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227F" w14:textId="58000235" w:rsidR="00AA4218" w:rsidRPr="00E402DB" w:rsidRDefault="00AA4218" w:rsidP="00A14971">
      <w:pPr>
        <w:spacing w:after="3600"/>
        <w:ind w:left="3686"/>
        <w:jc w:val="right"/>
        <w:rPr>
          <w:rFonts w:ascii="Verdana" w:hAnsi="Verdana"/>
          <w:b/>
        </w:rPr>
      </w:pPr>
    </w:p>
    <w:tbl>
      <w:tblPr>
        <w:tblW w:w="6237" w:type="dxa"/>
        <w:tblInd w:w="1332" w:type="dxa"/>
        <w:tblLayout w:type="fixed"/>
        <w:tblLook w:val="0000" w:firstRow="0" w:lastRow="0" w:firstColumn="0" w:lastColumn="0" w:noHBand="0" w:noVBand="0"/>
      </w:tblPr>
      <w:tblGrid>
        <w:gridCol w:w="6237"/>
      </w:tblGrid>
      <w:tr w:rsidR="00AA4218" w:rsidRPr="005E0CA8" w14:paraId="7DDE7D8D" w14:textId="77777777" w:rsidTr="003E6DEE">
        <w:trPr>
          <w:trHeight w:val="930"/>
        </w:trPr>
        <w:tc>
          <w:tcPr>
            <w:tcW w:w="6237" w:type="dxa"/>
            <w:vAlign w:val="bottom"/>
          </w:tcPr>
          <w:p w14:paraId="21315D8C" w14:textId="194F7680" w:rsidR="00AA4218" w:rsidRPr="00270CD3" w:rsidRDefault="00887620" w:rsidP="003E6DEE">
            <w:pPr>
              <w:spacing w:line="276" w:lineRule="auto"/>
              <w:jc w:val="both"/>
              <w:rPr>
                <w:rFonts w:ascii="Arial" w:hAnsi="Arial" w:cs="Arial"/>
                <w:b/>
                <w:bCs/>
                <w:sz w:val="28"/>
              </w:rPr>
            </w:pPr>
            <w:r>
              <w:rPr>
                <w:rFonts w:ascii="Arial" w:hAnsi="Arial" w:cs="Arial"/>
                <w:b/>
                <w:sz w:val="28"/>
                <w:szCs w:val="28"/>
              </w:rPr>
              <w:t>20</w:t>
            </w:r>
            <w:r w:rsidR="00B05E13">
              <w:rPr>
                <w:rFonts w:ascii="Arial" w:hAnsi="Arial" w:cs="Arial"/>
                <w:b/>
                <w:sz w:val="28"/>
                <w:szCs w:val="28"/>
              </w:rPr>
              <w:t>22</w:t>
            </w:r>
            <w:r w:rsidR="00251E2A">
              <w:rPr>
                <w:rFonts w:ascii="Arial" w:hAnsi="Arial" w:cs="Arial"/>
                <w:b/>
                <w:sz w:val="28"/>
                <w:szCs w:val="28"/>
              </w:rPr>
              <w:t xml:space="preserve"> </w:t>
            </w:r>
            <w:r w:rsidR="00BB225A" w:rsidRPr="00270CD3">
              <w:rPr>
                <w:rFonts w:ascii="Arial" w:hAnsi="Arial" w:cs="Arial"/>
                <w:b/>
                <w:sz w:val="28"/>
                <w:szCs w:val="28"/>
              </w:rPr>
              <w:t xml:space="preserve">Update </w:t>
            </w:r>
            <w:r w:rsidR="00BB225A">
              <w:rPr>
                <w:rFonts w:ascii="Arial" w:hAnsi="Arial" w:cs="Arial"/>
                <w:b/>
                <w:sz w:val="28"/>
                <w:szCs w:val="28"/>
              </w:rPr>
              <w:t>of the</w:t>
            </w:r>
            <w:r w:rsidR="004E5E04" w:rsidRPr="00270CD3">
              <w:rPr>
                <w:rFonts w:ascii="Arial" w:hAnsi="Arial" w:cs="Arial"/>
                <w:b/>
                <w:sz w:val="28"/>
                <w:szCs w:val="28"/>
              </w:rPr>
              <w:t xml:space="preserve"> New Zealand</w:t>
            </w:r>
            <w:r w:rsidR="00BB225A" w:rsidRPr="00270CD3">
              <w:rPr>
                <w:rFonts w:ascii="Arial" w:hAnsi="Arial" w:cs="Arial"/>
                <w:b/>
                <w:sz w:val="28"/>
                <w:szCs w:val="28"/>
              </w:rPr>
              <w:t xml:space="preserve"> Inventory</w:t>
            </w:r>
            <w:r w:rsidR="00BB225A">
              <w:rPr>
                <w:rFonts w:ascii="Arial" w:hAnsi="Arial" w:cs="Arial"/>
                <w:b/>
                <w:sz w:val="28"/>
                <w:szCs w:val="28"/>
              </w:rPr>
              <w:t xml:space="preserve"> of</w:t>
            </w:r>
            <w:r w:rsidR="00A14971" w:rsidRPr="00270CD3">
              <w:rPr>
                <w:rFonts w:ascii="Arial" w:hAnsi="Arial" w:cs="Arial"/>
                <w:b/>
                <w:sz w:val="28"/>
                <w:szCs w:val="28"/>
              </w:rPr>
              <w:t xml:space="preserve"> </w:t>
            </w:r>
            <w:r w:rsidR="00BB225A">
              <w:rPr>
                <w:rFonts w:ascii="Arial" w:hAnsi="Arial" w:cs="Arial"/>
                <w:b/>
                <w:sz w:val="28"/>
                <w:szCs w:val="28"/>
              </w:rPr>
              <w:t>Dioxin Emissions to Air, Land and Water, and Reservoir Sources</w:t>
            </w:r>
          </w:p>
        </w:tc>
      </w:tr>
    </w:tbl>
    <w:p w14:paraId="5B83852E" w14:textId="77777777" w:rsidR="00270CD3" w:rsidRPr="00270CD3" w:rsidRDefault="00270CD3" w:rsidP="00270CD3">
      <w:pPr>
        <w:spacing w:before="4800"/>
        <w:jc w:val="center"/>
        <w:rPr>
          <w:rFonts w:ascii="Arial" w:hAnsi="Arial" w:cs="Arial"/>
          <w:b/>
          <w:sz w:val="24"/>
          <w:szCs w:val="24"/>
        </w:rPr>
      </w:pPr>
      <w:r w:rsidRPr="00270CD3">
        <w:rPr>
          <w:rFonts w:ascii="Arial" w:hAnsi="Arial" w:cs="Arial"/>
          <w:b/>
          <w:sz w:val="24"/>
          <w:szCs w:val="24"/>
        </w:rPr>
        <w:t>Report to the Ministry for the Environment</w:t>
      </w:r>
    </w:p>
    <w:p w14:paraId="5F991265" w14:textId="77777777" w:rsidR="00270CD3" w:rsidRPr="00270CD3" w:rsidRDefault="00270CD3" w:rsidP="00270CD3">
      <w:pPr>
        <w:jc w:val="center"/>
        <w:rPr>
          <w:rFonts w:ascii="Arial" w:hAnsi="Arial" w:cs="Arial"/>
          <w:b/>
          <w:szCs w:val="24"/>
        </w:rPr>
      </w:pPr>
    </w:p>
    <w:p w14:paraId="0E63A0FC" w14:textId="64B21115" w:rsidR="00270CD3" w:rsidRPr="00ED6A25" w:rsidRDefault="00270CD3" w:rsidP="004A6E28">
      <w:pPr>
        <w:spacing w:line="300" w:lineRule="atLeast"/>
        <w:jc w:val="center"/>
        <w:rPr>
          <w:rFonts w:ascii="Arial" w:hAnsi="Arial" w:cs="Arial"/>
          <w:b/>
          <w:sz w:val="22"/>
          <w:szCs w:val="24"/>
        </w:rPr>
      </w:pPr>
      <w:r w:rsidRPr="00ED6A25">
        <w:rPr>
          <w:rFonts w:ascii="Arial" w:hAnsi="Arial" w:cs="Arial"/>
          <w:b/>
          <w:sz w:val="22"/>
          <w:szCs w:val="24"/>
        </w:rPr>
        <w:t xml:space="preserve">Prepared by </w:t>
      </w:r>
      <w:r w:rsidR="004A6E28" w:rsidRPr="00ED6A25">
        <w:rPr>
          <w:rFonts w:ascii="Arial" w:hAnsi="Arial" w:cs="Arial"/>
          <w:b/>
          <w:sz w:val="22"/>
          <w:szCs w:val="24"/>
        </w:rPr>
        <w:t>Alistair Bingham, JCL Air &amp; Environment Limited</w:t>
      </w:r>
    </w:p>
    <w:p w14:paraId="1F23936E" w14:textId="77777777" w:rsidR="00270CD3" w:rsidRPr="00ED6A25" w:rsidRDefault="00270CD3" w:rsidP="00270CD3">
      <w:pPr>
        <w:jc w:val="center"/>
        <w:rPr>
          <w:rFonts w:ascii="Arial" w:hAnsi="Arial" w:cs="Arial"/>
          <w:b/>
          <w:sz w:val="22"/>
          <w:szCs w:val="24"/>
        </w:rPr>
      </w:pPr>
    </w:p>
    <w:p w14:paraId="32DB990F" w14:textId="77777777" w:rsidR="00270CD3" w:rsidRPr="00ED6A25" w:rsidRDefault="00270CD3" w:rsidP="00270CD3">
      <w:pPr>
        <w:jc w:val="center"/>
        <w:rPr>
          <w:rFonts w:ascii="Arial" w:hAnsi="Arial" w:cs="Arial"/>
          <w:b/>
          <w:sz w:val="22"/>
          <w:szCs w:val="24"/>
        </w:rPr>
      </w:pPr>
    </w:p>
    <w:p w14:paraId="2D8BB3D6" w14:textId="37625108" w:rsidR="00AA4218" w:rsidRPr="00ED6A25" w:rsidRDefault="00B05E13" w:rsidP="00270CD3">
      <w:pPr>
        <w:jc w:val="center"/>
        <w:rPr>
          <w:rFonts w:ascii="Arial" w:hAnsi="Arial" w:cs="Arial"/>
          <w:sz w:val="18"/>
        </w:rPr>
      </w:pPr>
      <w:r>
        <w:rPr>
          <w:rFonts w:ascii="Arial" w:hAnsi="Arial" w:cs="Arial"/>
          <w:b/>
          <w:sz w:val="22"/>
          <w:szCs w:val="24"/>
        </w:rPr>
        <w:t>August</w:t>
      </w:r>
      <w:r w:rsidR="009E1204">
        <w:rPr>
          <w:rFonts w:ascii="Arial" w:hAnsi="Arial" w:cs="Arial"/>
          <w:b/>
          <w:sz w:val="22"/>
          <w:szCs w:val="24"/>
        </w:rPr>
        <w:t xml:space="preserve"> 20</w:t>
      </w:r>
      <w:r>
        <w:rPr>
          <w:rFonts w:ascii="Arial" w:hAnsi="Arial" w:cs="Arial"/>
          <w:b/>
          <w:sz w:val="22"/>
          <w:szCs w:val="24"/>
        </w:rPr>
        <w:t>22</w:t>
      </w:r>
    </w:p>
    <w:p w14:paraId="637ED4FC" w14:textId="77777777" w:rsidR="005360CF" w:rsidRDefault="005360CF" w:rsidP="00106EC9">
      <w:pPr>
        <w:jc w:val="both"/>
        <w:rPr>
          <w:rFonts w:ascii="Arial" w:hAnsi="Arial" w:cs="Arial"/>
        </w:rPr>
      </w:pPr>
    </w:p>
    <w:p w14:paraId="26F3CC20" w14:textId="0659530C" w:rsidR="00303226" w:rsidRDefault="00303226">
      <w:pPr>
        <w:spacing w:after="0"/>
        <w:rPr>
          <w:rFonts w:ascii="Arial" w:hAnsi="Arial" w:cs="Arial"/>
        </w:rPr>
      </w:pPr>
      <w:r>
        <w:rPr>
          <w:rFonts w:ascii="Arial" w:hAnsi="Arial" w:cs="Arial"/>
        </w:rPr>
        <w:br w:type="page"/>
      </w:r>
    </w:p>
    <w:p w14:paraId="516A4D8D" w14:textId="77777777" w:rsidR="007D3677" w:rsidRDefault="007D3677" w:rsidP="00106EC9">
      <w:pPr>
        <w:jc w:val="both"/>
      </w:pPr>
    </w:p>
    <w:p w14:paraId="7A0DAAC6" w14:textId="77777777" w:rsidR="007D3677" w:rsidRDefault="007D3677" w:rsidP="00106EC9">
      <w:pPr>
        <w:jc w:val="both"/>
      </w:pPr>
    </w:p>
    <w:p w14:paraId="795D5F85" w14:textId="77777777" w:rsidR="007D3677" w:rsidRDefault="007D3677" w:rsidP="00106EC9">
      <w:pPr>
        <w:jc w:val="both"/>
      </w:pPr>
    </w:p>
    <w:p w14:paraId="0E26593F" w14:textId="77777777" w:rsidR="007D3677" w:rsidRDefault="007D3677" w:rsidP="00106EC9">
      <w:pPr>
        <w:jc w:val="both"/>
      </w:pPr>
    </w:p>
    <w:p w14:paraId="703A76F6" w14:textId="77777777" w:rsidR="007D3677" w:rsidRDefault="007D3677" w:rsidP="00106EC9">
      <w:pPr>
        <w:jc w:val="both"/>
      </w:pPr>
    </w:p>
    <w:p w14:paraId="0DF2BA99" w14:textId="77777777" w:rsidR="007D3677" w:rsidRDefault="007D3677" w:rsidP="00106EC9">
      <w:pPr>
        <w:jc w:val="both"/>
      </w:pPr>
    </w:p>
    <w:p w14:paraId="33ED4365" w14:textId="77777777" w:rsidR="007D3677" w:rsidRDefault="007D3677" w:rsidP="00106EC9">
      <w:pPr>
        <w:jc w:val="both"/>
      </w:pPr>
    </w:p>
    <w:p w14:paraId="303F3BEE" w14:textId="77777777" w:rsidR="007D3677" w:rsidRDefault="007D3677" w:rsidP="00106EC9">
      <w:pPr>
        <w:jc w:val="both"/>
      </w:pPr>
    </w:p>
    <w:p w14:paraId="04EAE2D2" w14:textId="77777777" w:rsidR="007D3677" w:rsidRDefault="007D3677" w:rsidP="00106EC9">
      <w:pPr>
        <w:jc w:val="both"/>
      </w:pPr>
    </w:p>
    <w:p w14:paraId="420C3F19" w14:textId="77777777" w:rsidR="007D3677" w:rsidRDefault="007D3677" w:rsidP="00106EC9">
      <w:pPr>
        <w:jc w:val="both"/>
      </w:pPr>
    </w:p>
    <w:p w14:paraId="762E0A8A" w14:textId="77777777" w:rsidR="007D3677" w:rsidRDefault="007D3677" w:rsidP="00106EC9">
      <w:pPr>
        <w:jc w:val="both"/>
      </w:pPr>
    </w:p>
    <w:p w14:paraId="5F5734AF" w14:textId="77777777" w:rsidR="007D3677" w:rsidRDefault="007D3677" w:rsidP="00106EC9">
      <w:pPr>
        <w:jc w:val="both"/>
      </w:pPr>
    </w:p>
    <w:p w14:paraId="2F8D14A3" w14:textId="77777777" w:rsidR="007D3677" w:rsidRDefault="007D3677" w:rsidP="00106EC9">
      <w:pPr>
        <w:jc w:val="both"/>
      </w:pPr>
    </w:p>
    <w:p w14:paraId="525D7CBE" w14:textId="77777777" w:rsidR="007D3677" w:rsidRDefault="007D3677" w:rsidP="00106EC9">
      <w:pPr>
        <w:jc w:val="both"/>
      </w:pPr>
    </w:p>
    <w:p w14:paraId="67876275" w14:textId="77777777" w:rsidR="007D3677" w:rsidRDefault="007D3677" w:rsidP="00106EC9">
      <w:pPr>
        <w:jc w:val="both"/>
      </w:pPr>
    </w:p>
    <w:p w14:paraId="4FD90FC0" w14:textId="77777777" w:rsidR="007D3677" w:rsidRDefault="007D3677" w:rsidP="00106EC9">
      <w:pPr>
        <w:jc w:val="both"/>
      </w:pPr>
    </w:p>
    <w:p w14:paraId="553E0C25" w14:textId="77777777" w:rsidR="007D3677" w:rsidRDefault="007D3677" w:rsidP="00106EC9">
      <w:pPr>
        <w:jc w:val="both"/>
      </w:pPr>
    </w:p>
    <w:p w14:paraId="4864C7A6" w14:textId="77777777" w:rsidR="007D3677" w:rsidRDefault="007D3677" w:rsidP="00106EC9">
      <w:pPr>
        <w:jc w:val="both"/>
      </w:pPr>
    </w:p>
    <w:p w14:paraId="5D4C0DD5" w14:textId="77777777" w:rsidR="007D3677" w:rsidRDefault="007D3677" w:rsidP="00106EC9">
      <w:pPr>
        <w:jc w:val="both"/>
      </w:pPr>
    </w:p>
    <w:p w14:paraId="6ADD6D62" w14:textId="77777777" w:rsidR="007D3677" w:rsidRDefault="007D3677" w:rsidP="00106EC9">
      <w:pPr>
        <w:jc w:val="both"/>
      </w:pPr>
    </w:p>
    <w:p w14:paraId="4BBA377F" w14:textId="77777777" w:rsidR="007D3677" w:rsidRDefault="007D3677" w:rsidP="00106EC9">
      <w:pPr>
        <w:jc w:val="both"/>
      </w:pPr>
    </w:p>
    <w:p w14:paraId="41EFD662" w14:textId="77777777" w:rsidR="007D3677" w:rsidRDefault="007D3677" w:rsidP="00106EC9">
      <w:pPr>
        <w:jc w:val="both"/>
      </w:pPr>
    </w:p>
    <w:p w14:paraId="29003FE0" w14:textId="77777777" w:rsidR="007D3677" w:rsidRDefault="007D3677" w:rsidP="00106EC9">
      <w:pPr>
        <w:jc w:val="both"/>
      </w:pPr>
    </w:p>
    <w:p w14:paraId="099F38CA" w14:textId="77777777" w:rsidR="007D3677" w:rsidRDefault="007D3677" w:rsidP="00106EC9">
      <w:pPr>
        <w:jc w:val="both"/>
      </w:pPr>
    </w:p>
    <w:p w14:paraId="3C524AA4" w14:textId="77777777" w:rsidR="007D3677" w:rsidRDefault="007D3677" w:rsidP="00106EC9">
      <w:pPr>
        <w:jc w:val="both"/>
      </w:pPr>
    </w:p>
    <w:p w14:paraId="3C064454" w14:textId="77777777" w:rsidR="007D3677" w:rsidRDefault="007D3677" w:rsidP="00106EC9">
      <w:pPr>
        <w:jc w:val="both"/>
      </w:pPr>
    </w:p>
    <w:p w14:paraId="577820AF" w14:textId="77777777" w:rsidR="007D3677" w:rsidRDefault="007D3677" w:rsidP="00106EC9">
      <w:pPr>
        <w:jc w:val="both"/>
      </w:pPr>
    </w:p>
    <w:p w14:paraId="368AAF11" w14:textId="77777777" w:rsidR="007D3677" w:rsidRDefault="007D3677" w:rsidP="00106EC9">
      <w:pPr>
        <w:jc w:val="both"/>
      </w:pPr>
    </w:p>
    <w:p w14:paraId="016B02AF" w14:textId="77777777" w:rsidR="007D3677" w:rsidRDefault="007D3677" w:rsidP="00106EC9">
      <w:pPr>
        <w:jc w:val="both"/>
      </w:pPr>
    </w:p>
    <w:p w14:paraId="49BB9F1C" w14:textId="77777777" w:rsidR="007D3677" w:rsidRDefault="007D3677" w:rsidP="00106EC9">
      <w:pPr>
        <w:jc w:val="both"/>
      </w:pPr>
    </w:p>
    <w:p w14:paraId="3DD3E33E" w14:textId="77777777" w:rsidR="007D3677" w:rsidRDefault="007D3677" w:rsidP="00106EC9">
      <w:pPr>
        <w:jc w:val="both"/>
      </w:pPr>
    </w:p>
    <w:p w14:paraId="04C194D9" w14:textId="77777777" w:rsidR="007D3677" w:rsidRDefault="007D3677" w:rsidP="00106EC9">
      <w:pPr>
        <w:jc w:val="both"/>
      </w:pPr>
    </w:p>
    <w:p w14:paraId="1177FBB6" w14:textId="77777777" w:rsidR="007D3677" w:rsidRDefault="007D3677" w:rsidP="00106EC9">
      <w:pPr>
        <w:jc w:val="both"/>
      </w:pPr>
    </w:p>
    <w:p w14:paraId="43003568" w14:textId="77777777" w:rsidR="007D3677" w:rsidRDefault="007D3677" w:rsidP="00106EC9">
      <w:pPr>
        <w:jc w:val="both"/>
      </w:pPr>
    </w:p>
    <w:p w14:paraId="2BD3B6CC" w14:textId="741875DD" w:rsidR="00303226" w:rsidRPr="007D3677" w:rsidRDefault="00303226" w:rsidP="00106EC9">
      <w:pPr>
        <w:jc w:val="both"/>
      </w:pPr>
      <w:r w:rsidRPr="007D3677">
        <w:t>DISCLAIMER</w:t>
      </w:r>
    </w:p>
    <w:p w14:paraId="71EAA849" w14:textId="77777777" w:rsidR="00303226" w:rsidRDefault="00303226" w:rsidP="00106EC9">
      <w:pPr>
        <w:jc w:val="both"/>
        <w:rPr>
          <w:rFonts w:ascii="Arial" w:hAnsi="Arial" w:cs="Arial"/>
        </w:rPr>
      </w:pPr>
    </w:p>
    <w:p w14:paraId="2666B929" w14:textId="6458FA47" w:rsidR="007D3677" w:rsidRPr="007D3677" w:rsidRDefault="007D3677" w:rsidP="00106EC9">
      <w:pPr>
        <w:jc w:val="both"/>
      </w:pPr>
      <w:r>
        <w:t>JCL Air and Environment</w:t>
      </w:r>
      <w:r w:rsidRPr="007D3677">
        <w:t xml:space="preserve"> Ltd accepts no liability with respect to this publication’s use other than by the </w:t>
      </w:r>
      <w:r>
        <w:t>Ministry for the Environment</w:t>
      </w:r>
      <w:r w:rsidRPr="007D3677">
        <w:t>. This publication may not be reproduced or copied in any form with</w:t>
      </w:r>
      <w:r>
        <w:t>out the permission of the Ministry</w:t>
      </w:r>
      <w:r w:rsidRPr="007D3677">
        <w:t>.</w:t>
      </w:r>
    </w:p>
    <w:p w14:paraId="5246EF5B" w14:textId="77777777" w:rsidR="00303226" w:rsidRPr="00270CD3" w:rsidRDefault="00303226" w:rsidP="00106EC9">
      <w:pPr>
        <w:jc w:val="both"/>
        <w:rPr>
          <w:rFonts w:ascii="Arial" w:hAnsi="Arial" w:cs="Arial"/>
        </w:rPr>
      </w:pPr>
    </w:p>
    <w:p w14:paraId="13BDA2E3" w14:textId="77777777" w:rsidR="00394F37" w:rsidRDefault="00394F37" w:rsidP="00106EC9">
      <w:pPr>
        <w:jc w:val="both"/>
        <w:rPr>
          <w:rFonts w:ascii="Verdana" w:hAnsi="Verdana"/>
        </w:rPr>
        <w:sectPr w:rsidR="00394F37" w:rsidSect="00394F37">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40" w:left="1418" w:header="720" w:footer="720" w:gutter="0"/>
          <w:pgNumType w:fmt="lowerRoman" w:start="1"/>
          <w:cols w:space="720"/>
          <w:titlePg/>
        </w:sectPr>
      </w:pPr>
    </w:p>
    <w:p w14:paraId="6D1EA20C" w14:textId="77777777" w:rsidR="004D23FE" w:rsidRPr="00270CD3" w:rsidRDefault="004D23FE" w:rsidP="00994F11">
      <w:pPr>
        <w:jc w:val="center"/>
        <w:rPr>
          <w:rFonts w:ascii="Arial" w:hAnsi="Arial" w:cs="Arial"/>
          <w:b/>
          <w:sz w:val="28"/>
          <w:szCs w:val="28"/>
        </w:rPr>
      </w:pPr>
      <w:r w:rsidRPr="00270CD3">
        <w:rPr>
          <w:rFonts w:ascii="Arial" w:hAnsi="Arial" w:cs="Arial"/>
          <w:b/>
          <w:sz w:val="28"/>
          <w:szCs w:val="28"/>
        </w:rPr>
        <w:lastRenderedPageBreak/>
        <w:t>Executive Summary</w:t>
      </w:r>
    </w:p>
    <w:p w14:paraId="348798C6" w14:textId="131BC941" w:rsidR="008E3651" w:rsidRPr="008E3651" w:rsidRDefault="553CDC87" w:rsidP="0C34660A">
      <w:pPr>
        <w:spacing w:line="300" w:lineRule="atLeast"/>
        <w:jc w:val="both"/>
        <w:rPr>
          <w:lang w:val="en-US"/>
        </w:rPr>
      </w:pPr>
      <w:r>
        <w:t xml:space="preserve">As a signatory </w:t>
      </w:r>
      <w:r w:rsidR="07F1D312">
        <w:t>to the Stockholm Convention on P</w:t>
      </w:r>
      <w:r>
        <w:t xml:space="preserve">ersistent </w:t>
      </w:r>
      <w:r w:rsidR="07F1D312">
        <w:t>O</w:t>
      </w:r>
      <w:r>
        <w:t xml:space="preserve">rganic </w:t>
      </w:r>
      <w:r w:rsidR="07F1D312">
        <w:t>P</w:t>
      </w:r>
      <w:r>
        <w:t>ollutants (POPs)</w:t>
      </w:r>
      <w:r w:rsidR="43BBF86B">
        <w:t>,</w:t>
      </w:r>
      <w:r>
        <w:t xml:space="preserve"> New Zealand has undertaken </w:t>
      </w:r>
      <w:r w:rsidR="2D39176D">
        <w:t>assessments of</w:t>
      </w:r>
      <w:r>
        <w:t xml:space="preserve"> national releases of dioxins on a regular basis</w:t>
      </w:r>
      <w:r w:rsidR="2D39176D">
        <w:t>.</w:t>
      </w:r>
      <w:r>
        <w:t xml:space="preserve"> </w:t>
      </w:r>
      <w:r w:rsidR="2D39176D">
        <w:t>T</w:t>
      </w:r>
      <w:r>
        <w:t xml:space="preserve">hese assessments take the </w:t>
      </w:r>
      <w:r w:rsidR="5CBDD65F">
        <w:t xml:space="preserve">form of an emission inventory. </w:t>
      </w:r>
      <w:r w:rsidR="7ADC9906">
        <w:t>D</w:t>
      </w:r>
      <w:r>
        <w:t xml:space="preserve">ioxins are </w:t>
      </w:r>
      <w:r w:rsidR="7ADC9906">
        <w:t>a useful surrogate for all POPs species, being much studied, with extensive information available on source discharges and environmental distribution.</w:t>
      </w:r>
      <w:r w:rsidR="5CBDD65F">
        <w:t xml:space="preserve"> </w:t>
      </w:r>
      <w:r w:rsidR="1582D0C9">
        <w:t xml:space="preserve">Estimates of releases of dioxin from 49 </w:t>
      </w:r>
      <w:bookmarkStart w:id="0" w:name="_Int_Jt9uaDXo"/>
      <w:r w:rsidR="1582D0C9">
        <w:t>different sources</w:t>
      </w:r>
      <w:bookmarkEnd w:id="0"/>
      <w:r w:rsidR="1582D0C9">
        <w:t xml:space="preserve"> in New Zealand have been made for </w:t>
      </w:r>
      <w:r w:rsidR="5CBDD65F">
        <w:t>the</w:t>
      </w:r>
      <w:r w:rsidR="1582D0C9">
        <w:t xml:space="preserve"> reference year of 20</w:t>
      </w:r>
      <w:r w:rsidR="70DC0E49">
        <w:t>20</w:t>
      </w:r>
      <w:r w:rsidR="1E7D1E7F">
        <w:t xml:space="preserve"> to provide an update for New Zealand’s Dioxin Inventory</w:t>
      </w:r>
      <w:r w:rsidR="7ADC9906">
        <w:t xml:space="preserve"> previously published for </w:t>
      </w:r>
      <w:r w:rsidR="5CBDD65F">
        <w:t xml:space="preserve">the </w:t>
      </w:r>
      <w:r w:rsidR="7ADC9906">
        <w:t>reference years of 2008</w:t>
      </w:r>
      <w:r w:rsidR="70DC0E49">
        <w:t xml:space="preserve">, </w:t>
      </w:r>
      <w:r w:rsidR="7ADC9906">
        <w:t>2012</w:t>
      </w:r>
      <w:r w:rsidR="41D08AD6">
        <w:t xml:space="preserve"> and 2016</w:t>
      </w:r>
      <w:r w:rsidR="7ADC9906">
        <w:t>.</w:t>
      </w:r>
      <w:r w:rsidR="1582D0C9">
        <w:t xml:space="preserve"> The </w:t>
      </w:r>
      <w:r w:rsidR="62A66B9E">
        <w:t xml:space="preserve">United Nations Environment Programme (UNEP) </w:t>
      </w:r>
      <w:r w:rsidR="1E7D1E7F">
        <w:t>Dioxin Toolkit methodology</w:t>
      </w:r>
      <w:r w:rsidR="1582D0C9">
        <w:t xml:space="preserve"> was used </w:t>
      </w:r>
      <w:r w:rsidR="4BC4C05C" w:rsidRPr="242827C5">
        <w:rPr>
          <w:lang w:val="en-US"/>
        </w:rPr>
        <w:t xml:space="preserve">in which the annual </w:t>
      </w:r>
      <w:r w:rsidR="7492D453" w:rsidRPr="242827C5">
        <w:rPr>
          <w:lang w:val="en-US"/>
        </w:rPr>
        <w:t xml:space="preserve">dioxin </w:t>
      </w:r>
      <w:r w:rsidR="4BC4C05C" w:rsidRPr="242827C5">
        <w:rPr>
          <w:lang w:val="en-US"/>
        </w:rPr>
        <w:t xml:space="preserve">releases from each source are estimated by multiplying an activity statistic by an emission factor. Activity statistics are chosen </w:t>
      </w:r>
      <w:r w:rsidR="7492D453" w:rsidRPr="242827C5">
        <w:rPr>
          <w:lang w:val="en-US"/>
        </w:rPr>
        <w:t>from measures such as annual</w:t>
      </w:r>
      <w:r w:rsidR="4028C7D3" w:rsidRPr="242827C5">
        <w:rPr>
          <w:lang w:val="en-US"/>
        </w:rPr>
        <w:t xml:space="preserve"> fuel consumption, </w:t>
      </w:r>
      <w:r w:rsidR="7492D453" w:rsidRPr="242827C5">
        <w:rPr>
          <w:lang w:val="en-US"/>
        </w:rPr>
        <w:t xml:space="preserve">annual </w:t>
      </w:r>
      <w:r w:rsidR="4BC4C05C" w:rsidRPr="242827C5">
        <w:rPr>
          <w:lang w:val="en-US"/>
        </w:rPr>
        <w:t>production rates</w:t>
      </w:r>
      <w:r w:rsidR="7492D453" w:rsidRPr="242827C5">
        <w:rPr>
          <w:lang w:val="en-US"/>
        </w:rPr>
        <w:t xml:space="preserve"> etc.</w:t>
      </w:r>
      <w:r w:rsidR="4BC4C05C" w:rsidRPr="242827C5">
        <w:rPr>
          <w:lang w:val="en-US"/>
        </w:rPr>
        <w:t xml:space="preserve"> </w:t>
      </w:r>
      <w:r w:rsidR="7492D453" w:rsidRPr="242827C5">
        <w:rPr>
          <w:lang w:val="en-US"/>
        </w:rPr>
        <w:t>Emission</w:t>
      </w:r>
      <w:r w:rsidR="4BC4C05C" w:rsidRPr="242827C5">
        <w:rPr>
          <w:lang w:val="en-US"/>
        </w:rPr>
        <w:t xml:space="preserve"> factors are based on data for the average </w:t>
      </w:r>
      <w:r w:rsidR="7492D453" w:rsidRPr="242827C5">
        <w:rPr>
          <w:lang w:val="en-US"/>
        </w:rPr>
        <w:t xml:space="preserve">dioxin </w:t>
      </w:r>
      <w:r w:rsidR="4BC4C05C" w:rsidRPr="242827C5">
        <w:rPr>
          <w:lang w:val="en-US"/>
        </w:rPr>
        <w:t xml:space="preserve">emissions </w:t>
      </w:r>
      <w:r w:rsidR="7492D453" w:rsidRPr="242827C5">
        <w:rPr>
          <w:lang w:val="en-US"/>
        </w:rPr>
        <w:t>for a particular category</w:t>
      </w:r>
      <w:r w:rsidR="79EA63CF" w:rsidRPr="242827C5">
        <w:rPr>
          <w:lang w:val="en-US"/>
        </w:rPr>
        <w:t xml:space="preserve"> per unit of activity</w:t>
      </w:r>
      <w:r w:rsidR="0306A212" w:rsidRPr="242827C5">
        <w:rPr>
          <w:lang w:val="en-US"/>
        </w:rPr>
        <w:t xml:space="preserve">. </w:t>
      </w:r>
      <w:r w:rsidR="79EA63CF" w:rsidRPr="242827C5">
        <w:rPr>
          <w:lang w:val="en-US"/>
        </w:rPr>
        <w:t>The Toolkit approach assigns r</w:t>
      </w:r>
      <w:r w:rsidR="7492D453" w:rsidRPr="242827C5">
        <w:rPr>
          <w:lang w:val="en-US"/>
        </w:rPr>
        <w:t>eleas</w:t>
      </w:r>
      <w:r w:rsidR="79EA63CF" w:rsidRPr="242827C5">
        <w:rPr>
          <w:lang w:val="en-US"/>
        </w:rPr>
        <w:t xml:space="preserve">es </w:t>
      </w:r>
      <w:r w:rsidR="7492D453" w:rsidRPr="242827C5">
        <w:rPr>
          <w:lang w:val="en-US"/>
        </w:rPr>
        <w:t xml:space="preserve">to </w:t>
      </w:r>
      <w:r w:rsidR="4028C7D3" w:rsidRPr="242827C5">
        <w:rPr>
          <w:lang w:val="en-US"/>
        </w:rPr>
        <w:t>five</w:t>
      </w:r>
      <w:r w:rsidR="2B3FB7EC" w:rsidRPr="242827C5">
        <w:rPr>
          <w:lang w:val="en-US"/>
        </w:rPr>
        <w:t xml:space="preserve"> environmental vectors:</w:t>
      </w:r>
      <w:r w:rsidR="7492D453" w:rsidRPr="242827C5">
        <w:rPr>
          <w:lang w:val="en-US"/>
        </w:rPr>
        <w:t xml:space="preserve"> </w:t>
      </w:r>
      <w:r w:rsidR="4BC4C05C" w:rsidRPr="242827C5">
        <w:rPr>
          <w:lang w:val="en-US"/>
        </w:rPr>
        <w:t>air, land</w:t>
      </w:r>
      <w:r w:rsidR="2B3FB7EC" w:rsidRPr="242827C5">
        <w:rPr>
          <w:lang w:val="en-US"/>
        </w:rPr>
        <w:t>,</w:t>
      </w:r>
      <w:r w:rsidR="7492D453" w:rsidRPr="242827C5">
        <w:rPr>
          <w:lang w:val="en-US"/>
        </w:rPr>
        <w:t xml:space="preserve"> </w:t>
      </w:r>
      <w:r w:rsidR="4BC4C05C" w:rsidRPr="242827C5">
        <w:rPr>
          <w:lang w:val="en-US"/>
        </w:rPr>
        <w:t>water</w:t>
      </w:r>
      <w:r w:rsidR="2B3FB7EC" w:rsidRPr="242827C5">
        <w:rPr>
          <w:lang w:val="en-US"/>
        </w:rPr>
        <w:t>,</w:t>
      </w:r>
      <w:r w:rsidR="1B753FB3" w:rsidRPr="242827C5">
        <w:rPr>
          <w:lang w:val="en-US"/>
        </w:rPr>
        <w:t xml:space="preserve"> </w:t>
      </w:r>
      <w:bookmarkStart w:id="1" w:name="_Int_3crTAFHN"/>
      <w:r w:rsidR="1B753FB3" w:rsidRPr="242827C5">
        <w:rPr>
          <w:lang w:val="en-US"/>
        </w:rPr>
        <w:t>products,</w:t>
      </w:r>
      <w:bookmarkEnd w:id="1"/>
      <w:r w:rsidR="1B753FB3" w:rsidRPr="242827C5">
        <w:rPr>
          <w:lang w:val="en-US"/>
        </w:rPr>
        <w:t xml:space="preserve"> </w:t>
      </w:r>
      <w:r w:rsidR="2B3FB7EC" w:rsidRPr="242827C5">
        <w:rPr>
          <w:lang w:val="en-US"/>
        </w:rPr>
        <w:t>and</w:t>
      </w:r>
      <w:r w:rsidR="1B753FB3" w:rsidRPr="242827C5">
        <w:rPr>
          <w:lang w:val="en-US"/>
        </w:rPr>
        <w:t xml:space="preserve"> residues</w:t>
      </w:r>
      <w:r w:rsidR="79EA63CF" w:rsidRPr="242827C5">
        <w:rPr>
          <w:lang w:val="en-US"/>
        </w:rPr>
        <w:t>.</w:t>
      </w:r>
    </w:p>
    <w:p w14:paraId="06290EF8" w14:textId="36DDACB7" w:rsidR="00D5121D" w:rsidRDefault="005A3003" w:rsidP="00D5121D">
      <w:pPr>
        <w:spacing w:line="300" w:lineRule="atLeast"/>
        <w:jc w:val="both"/>
      </w:pPr>
      <w:r>
        <w:t>A</w:t>
      </w:r>
      <w:r w:rsidR="00D5121D" w:rsidRPr="00D73AA1">
        <w:t xml:space="preserve">ctivity data was obtained through published information sources and direct contact with government agencies, </w:t>
      </w:r>
      <w:r w:rsidR="00D5121D">
        <w:t xml:space="preserve">and specific </w:t>
      </w:r>
      <w:r w:rsidR="00D5121D" w:rsidRPr="00D73AA1">
        <w:t>industr</w:t>
      </w:r>
      <w:r w:rsidR="00D5121D">
        <w:t>ies</w:t>
      </w:r>
      <w:r w:rsidR="00D5121D" w:rsidRPr="00D73AA1">
        <w:t>.</w:t>
      </w:r>
      <w:r w:rsidR="00D5121D">
        <w:t xml:space="preserve"> </w:t>
      </w:r>
      <w:r>
        <w:t>E</w:t>
      </w:r>
      <w:r w:rsidR="00D5121D">
        <w:t>mission factors were based on emissions data for the specific sources, where available, or the default factors given in the UNEP Toolkit.</w:t>
      </w:r>
    </w:p>
    <w:p w14:paraId="31EE17E1" w14:textId="6BB26851" w:rsidR="00572B0D" w:rsidRDefault="47542537" w:rsidP="00D5121D">
      <w:pPr>
        <w:spacing w:line="300" w:lineRule="atLeast"/>
        <w:jc w:val="both"/>
      </w:pPr>
      <w:r>
        <w:t xml:space="preserve">Although the assessment is quantitative it is important to recognise </w:t>
      </w:r>
      <w:r w:rsidR="6C87A8DC">
        <w:t>that there is uncertainty associated with each estimate and that thi</w:t>
      </w:r>
      <w:r w:rsidR="0221325C">
        <w:t xml:space="preserve">s varies for each category. </w:t>
      </w:r>
      <w:r w:rsidR="6C87A8DC">
        <w:t>The uncertainty may be associated not only with the dioxin emission factor but also wi</w:t>
      </w:r>
      <w:r w:rsidR="0221325C">
        <w:t xml:space="preserve">th the source activity itself. </w:t>
      </w:r>
      <w:r w:rsidR="6C87A8DC">
        <w:t xml:space="preserve">Consequently, the value of the emission inventory is not in its ability to produce absolute numbers, </w:t>
      </w:r>
      <w:bookmarkStart w:id="2" w:name="_Int_OTpTd8Ku"/>
      <w:r w:rsidR="6C87A8DC">
        <w:t>rather the</w:t>
      </w:r>
      <w:bookmarkEnd w:id="2"/>
      <w:r w:rsidR="6C87A8DC">
        <w:t xml:space="preserve"> inventory is more suited to </w:t>
      </w:r>
      <w:r w:rsidR="5E81E401">
        <w:t>revealing trends over time and showing which sources are more significant than others.</w:t>
      </w:r>
      <w:r w:rsidR="6C87A8DC">
        <w:t xml:space="preserve"> </w:t>
      </w:r>
      <w:r w:rsidR="4ECA826E">
        <w:t>This knowledge can assist with focussing government initiatives for dioxin release reduction.</w:t>
      </w:r>
    </w:p>
    <w:p w14:paraId="7F2A1518" w14:textId="77777777" w:rsidR="00D6698F" w:rsidRDefault="00D6698F" w:rsidP="00D5121D">
      <w:pPr>
        <w:spacing w:line="300" w:lineRule="atLeast"/>
        <w:jc w:val="both"/>
      </w:pPr>
    </w:p>
    <w:p w14:paraId="659DADB9" w14:textId="40E7CCAC" w:rsidR="006F02C8" w:rsidRPr="0050196B" w:rsidRDefault="00C20FEF" w:rsidP="00D5121D">
      <w:pPr>
        <w:spacing w:line="300" w:lineRule="atLeast"/>
        <w:jc w:val="both"/>
        <w:rPr>
          <w:rFonts w:ascii="Arial" w:hAnsi="Arial" w:cs="Arial"/>
          <w:b/>
        </w:rPr>
      </w:pPr>
      <w:r w:rsidRPr="0050196B">
        <w:rPr>
          <w:rFonts w:ascii="Arial" w:hAnsi="Arial" w:cs="Arial"/>
          <w:b/>
        </w:rPr>
        <w:t xml:space="preserve">Annual Dioxin Releases for </w:t>
      </w:r>
      <w:r w:rsidR="003E7591">
        <w:rPr>
          <w:rFonts w:ascii="Arial" w:hAnsi="Arial" w:cs="Arial"/>
          <w:b/>
        </w:rPr>
        <w:t>2020</w:t>
      </w:r>
    </w:p>
    <w:p w14:paraId="44123D2D" w14:textId="038BD1AE" w:rsidR="00C20FEF" w:rsidRPr="0037003D" w:rsidRDefault="00C20FEF" w:rsidP="00C20FEF">
      <w:pPr>
        <w:spacing w:line="300" w:lineRule="atLeast"/>
        <w:jc w:val="both"/>
      </w:pPr>
      <w:r w:rsidRPr="0037003D">
        <w:t>The total dioxin release quantity for New Zealand fo</w:t>
      </w:r>
      <w:r w:rsidR="00D67142" w:rsidRPr="0037003D">
        <w:t xml:space="preserve">r </w:t>
      </w:r>
      <w:r w:rsidR="00E932F7" w:rsidRPr="0037003D">
        <w:t>2020</w:t>
      </w:r>
      <w:r w:rsidR="00B54E70" w:rsidRPr="0037003D">
        <w:t xml:space="preserve"> </w:t>
      </w:r>
      <w:r w:rsidR="00D67142" w:rsidRPr="0037003D">
        <w:t xml:space="preserve">has been estimated at </w:t>
      </w:r>
      <w:r w:rsidR="00B54E70" w:rsidRPr="0037003D">
        <w:t>3</w:t>
      </w:r>
      <w:r w:rsidR="00E00D29">
        <w:t>6.</w:t>
      </w:r>
      <w:r w:rsidR="00791AAE">
        <w:t>6</w:t>
      </w:r>
      <w:r w:rsidR="00B54E70" w:rsidRPr="0037003D">
        <w:t xml:space="preserve"> </w:t>
      </w:r>
      <w:r w:rsidRPr="0037003D">
        <w:t>g</w:t>
      </w:r>
      <w:r w:rsidR="00C8126A" w:rsidRPr="0037003D">
        <w:t xml:space="preserve"> TEQ</w:t>
      </w:r>
      <w:r w:rsidR="0076794C" w:rsidRPr="00AA4F49">
        <w:rPr>
          <w:rStyle w:val="FootnoteReference"/>
        </w:rPr>
        <w:footnoteReference w:id="2"/>
      </w:r>
      <w:r w:rsidRPr="0037003D">
        <w:t>.</w:t>
      </w:r>
      <w:r w:rsidR="00E03F31" w:rsidRPr="0037003D">
        <w:t xml:space="preserve"> </w:t>
      </w:r>
      <w:r w:rsidRPr="0037003D">
        <w:t xml:space="preserve">This can be compared with values of </w:t>
      </w:r>
      <w:r w:rsidR="003F7B56" w:rsidRPr="0037003D">
        <w:t>3</w:t>
      </w:r>
      <w:r w:rsidR="00791AAE">
        <w:t>7.1</w:t>
      </w:r>
      <w:r w:rsidR="003F7B56" w:rsidRPr="0037003D">
        <w:t xml:space="preserve"> </w:t>
      </w:r>
      <w:r w:rsidRPr="0037003D">
        <w:t xml:space="preserve">g </w:t>
      </w:r>
      <w:r w:rsidR="00C8126A" w:rsidRPr="0037003D">
        <w:t xml:space="preserve">TEQ </w:t>
      </w:r>
      <w:r w:rsidR="007513C7" w:rsidRPr="0037003D">
        <w:t>for 20</w:t>
      </w:r>
      <w:r w:rsidR="003F7B56" w:rsidRPr="0037003D">
        <w:t>16</w:t>
      </w:r>
      <w:r w:rsidR="007513C7" w:rsidRPr="0037003D">
        <w:t xml:space="preserve"> and </w:t>
      </w:r>
      <w:r w:rsidR="003F7B56" w:rsidRPr="0037003D">
        <w:t>3</w:t>
      </w:r>
      <w:r w:rsidR="00791AAE">
        <w:t>7.0</w:t>
      </w:r>
      <w:r w:rsidR="003F7B56" w:rsidRPr="0037003D">
        <w:t xml:space="preserve"> </w:t>
      </w:r>
      <w:r w:rsidRPr="0037003D">
        <w:t xml:space="preserve">g </w:t>
      </w:r>
      <w:r w:rsidR="00C8126A" w:rsidRPr="0037003D">
        <w:t xml:space="preserve">TEQ </w:t>
      </w:r>
      <w:r w:rsidRPr="0037003D">
        <w:t>for</w:t>
      </w:r>
      <w:r w:rsidR="0037003D">
        <w:t xml:space="preserve"> </w:t>
      </w:r>
      <w:r w:rsidR="003F7B56" w:rsidRPr="0037003D">
        <w:t>2012</w:t>
      </w:r>
      <w:r w:rsidRPr="0037003D">
        <w:t xml:space="preserve">. </w:t>
      </w:r>
      <w:r w:rsidR="002C2600" w:rsidRPr="0037003D">
        <w:t>Figure E1</w:t>
      </w:r>
      <w:r w:rsidRPr="0037003D">
        <w:t xml:space="preserve"> on the next page </w:t>
      </w:r>
      <w:r w:rsidR="00936246" w:rsidRPr="0037003D">
        <w:t>shows how individual sources contributed to this total</w:t>
      </w:r>
      <w:r w:rsidR="00965F33" w:rsidRPr="0037003D">
        <w:t xml:space="preserve"> and Figure E2 shows the contribution made by the major release categories.</w:t>
      </w:r>
      <w:r w:rsidRPr="0037003D">
        <w:t xml:space="preserve"> </w:t>
      </w:r>
      <w:r w:rsidR="00E932F7" w:rsidRPr="0037003D">
        <w:t>Full details of release quantities from the various sectors investigated are presented in Appendices 1 and 2.</w:t>
      </w:r>
    </w:p>
    <w:p w14:paraId="0C0E8032" w14:textId="2F9FF40A" w:rsidR="003F7B56" w:rsidRDefault="003F7B56" w:rsidP="00C20FEF">
      <w:pPr>
        <w:spacing w:line="300" w:lineRule="atLeast"/>
        <w:jc w:val="both"/>
        <w:rPr>
          <w:highlight w:val="yellow"/>
        </w:rPr>
      </w:pPr>
    </w:p>
    <w:p w14:paraId="1A87E45E" w14:textId="4B9A26CD" w:rsidR="00D45EF1" w:rsidRPr="004B7C48" w:rsidRDefault="00F541C7" w:rsidP="00D5121D">
      <w:pPr>
        <w:spacing w:line="300" w:lineRule="atLeast"/>
        <w:jc w:val="both"/>
        <w:rPr>
          <w:highlight w:val="yellow"/>
        </w:rPr>
      </w:pPr>
      <w:r>
        <w:rPr>
          <w:noProof/>
        </w:rPr>
        <w:lastRenderedPageBreak/>
        <w:drawing>
          <wp:inline distT="0" distB="0" distL="0" distR="0" wp14:anchorId="5CC19DBB" wp14:editId="53F01891">
            <wp:extent cx="5760085" cy="8141335"/>
            <wp:effectExtent l="0" t="0" r="18415" b="12065"/>
            <wp:docPr id="3" name="Chart 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202B50" w14:textId="654A0582" w:rsidR="00A56687" w:rsidRPr="004B7C48" w:rsidRDefault="3B03DA64" w:rsidP="0037003D">
      <w:pPr>
        <w:spacing w:line="300" w:lineRule="atLeast"/>
        <w:jc w:val="center"/>
        <w:rPr>
          <w:highlight w:val="yellow"/>
        </w:rPr>
      </w:pPr>
      <w:r w:rsidRPr="0C34660A">
        <w:rPr>
          <w:b/>
          <w:bCs/>
        </w:rPr>
        <w:t>Figure E1</w:t>
      </w:r>
      <w:bookmarkStart w:id="3" w:name="_Int_nIHdpvFj"/>
      <w:r w:rsidRPr="0C34660A">
        <w:rPr>
          <w:b/>
          <w:bCs/>
        </w:rPr>
        <w:t xml:space="preserve">. </w:t>
      </w:r>
      <w:bookmarkEnd w:id="3"/>
      <w:r w:rsidRPr="0C34660A">
        <w:rPr>
          <w:b/>
          <w:bCs/>
        </w:rPr>
        <w:t xml:space="preserve">Annual Dioxin Releases </w:t>
      </w:r>
      <w:r w:rsidR="6F511F12" w:rsidRPr="0C34660A">
        <w:rPr>
          <w:b/>
          <w:bCs/>
        </w:rPr>
        <w:t xml:space="preserve">for </w:t>
      </w:r>
      <w:r w:rsidRPr="0C34660A">
        <w:rPr>
          <w:b/>
          <w:bCs/>
        </w:rPr>
        <w:t>20</w:t>
      </w:r>
      <w:r w:rsidR="198D2D03" w:rsidRPr="0C34660A">
        <w:rPr>
          <w:b/>
          <w:bCs/>
        </w:rPr>
        <w:t xml:space="preserve">20 </w:t>
      </w:r>
      <w:r w:rsidRPr="0C34660A">
        <w:rPr>
          <w:b/>
          <w:bCs/>
        </w:rPr>
        <w:t>by Source</w:t>
      </w:r>
      <w:r w:rsidR="03C6F904" w:rsidRPr="0C34660A">
        <w:rPr>
          <w:b/>
          <w:bCs/>
        </w:rPr>
        <w:t xml:space="preserve"> (see Appendix 2 for detail</w:t>
      </w:r>
      <w:r w:rsidR="5EE10F75" w:rsidRPr="0C34660A">
        <w:rPr>
          <w:b/>
          <w:bCs/>
        </w:rPr>
        <w:t>s</w:t>
      </w:r>
      <w:r w:rsidR="03C6F904" w:rsidRPr="0C34660A">
        <w:rPr>
          <w:b/>
          <w:bCs/>
        </w:rPr>
        <w:t>)</w:t>
      </w:r>
      <w:r w:rsidR="002C2600" w:rsidRPr="0C34660A">
        <w:rPr>
          <w:highlight w:val="yellow"/>
        </w:rPr>
        <w:br w:type="page"/>
      </w:r>
    </w:p>
    <w:p w14:paraId="2BC4F207" w14:textId="74BB6568" w:rsidR="009663BF" w:rsidRPr="004B7C48" w:rsidRDefault="00175AD9" w:rsidP="0098300B">
      <w:pPr>
        <w:spacing w:line="300" w:lineRule="atLeast"/>
        <w:jc w:val="center"/>
        <w:rPr>
          <w:highlight w:val="yellow"/>
        </w:rPr>
      </w:pPr>
      <w:r>
        <w:rPr>
          <w:noProof/>
        </w:rPr>
        <w:lastRenderedPageBreak/>
        <w:drawing>
          <wp:inline distT="0" distB="0" distL="0" distR="0" wp14:anchorId="7CF588FF" wp14:editId="44841E8C">
            <wp:extent cx="5186680" cy="4943061"/>
            <wp:effectExtent l="0" t="0" r="7620" b="10160"/>
            <wp:docPr id="11" name="Chart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D5612E" w14:textId="68D2EE6A" w:rsidR="009432C1" w:rsidRPr="0037003D" w:rsidRDefault="43EDE113" w:rsidP="0C34660A">
      <w:pPr>
        <w:spacing w:line="300" w:lineRule="atLeast"/>
        <w:jc w:val="center"/>
        <w:rPr>
          <w:b/>
          <w:bCs/>
        </w:rPr>
      </w:pPr>
      <w:r w:rsidRPr="0C34660A">
        <w:rPr>
          <w:b/>
          <w:bCs/>
        </w:rPr>
        <w:t>Figure E2</w:t>
      </w:r>
      <w:r w:rsidR="5EE10F75" w:rsidRPr="0C34660A">
        <w:rPr>
          <w:b/>
          <w:bCs/>
        </w:rPr>
        <w:t>*</w:t>
      </w:r>
      <w:bookmarkStart w:id="4" w:name="_Int_A6uCMVyb"/>
      <w:r w:rsidRPr="0C34660A">
        <w:rPr>
          <w:b/>
          <w:bCs/>
        </w:rPr>
        <w:t xml:space="preserve">. </w:t>
      </w:r>
      <w:bookmarkEnd w:id="4"/>
      <w:r w:rsidRPr="0C34660A">
        <w:rPr>
          <w:b/>
          <w:bCs/>
        </w:rPr>
        <w:t>Plot Showing the Contribution of Major Release Categories for Dioxin</w:t>
      </w:r>
    </w:p>
    <w:p w14:paraId="69CD747F" w14:textId="31957C0D" w:rsidR="0098300B" w:rsidRPr="004B7C48" w:rsidRDefault="003E2E9A" w:rsidP="0037003D">
      <w:pPr>
        <w:spacing w:line="120" w:lineRule="atLeast"/>
        <w:jc w:val="center"/>
        <w:rPr>
          <w:b/>
          <w:highlight w:val="yellow"/>
        </w:rPr>
      </w:pPr>
      <w:r w:rsidRPr="0037003D">
        <w:rPr>
          <w:b/>
          <w:sz w:val="16"/>
          <w:szCs w:val="16"/>
        </w:rPr>
        <w:t>(* The sum of all categories may not total exactly 100.0% due to rounding effects)</w:t>
      </w:r>
    </w:p>
    <w:p w14:paraId="6E2833E6" w14:textId="25ACC5FA" w:rsidR="00D72DE9" w:rsidRPr="0037003D" w:rsidRDefault="00D72DE9" w:rsidP="00D72DE9">
      <w:pPr>
        <w:pStyle w:val="ListParagraph"/>
        <w:numPr>
          <w:ilvl w:val="0"/>
          <w:numId w:val="29"/>
        </w:numPr>
        <w:spacing w:line="300" w:lineRule="atLeast"/>
        <w:jc w:val="both"/>
      </w:pPr>
      <w:r w:rsidRPr="0037003D">
        <w:t xml:space="preserve">Figure E2 shows that about </w:t>
      </w:r>
      <w:r w:rsidR="002F48A1" w:rsidRPr="0037003D">
        <w:t>60%</w:t>
      </w:r>
      <w:r w:rsidRPr="0037003D">
        <w:t xml:space="preserve"> of New Zealand’s estimated dioxin releases can be attributed to two categories – disposal of municipal waste in landfills and sewage treatment. </w:t>
      </w:r>
    </w:p>
    <w:p w14:paraId="42233166" w14:textId="547A9B3B" w:rsidR="00D72DE9" w:rsidRPr="0037003D" w:rsidRDefault="00D72DE9" w:rsidP="00952807">
      <w:pPr>
        <w:pStyle w:val="ListParagraph"/>
        <w:numPr>
          <w:ilvl w:val="0"/>
          <w:numId w:val="29"/>
        </w:numPr>
        <w:spacing w:after="240" w:line="300" w:lineRule="atLeast"/>
        <w:jc w:val="both"/>
        <w:rPr>
          <w:szCs w:val="18"/>
        </w:rPr>
      </w:pPr>
      <w:r w:rsidRPr="0037003D">
        <w:t xml:space="preserve">Combined with seven other categories: secondary aluminium processing, </w:t>
      </w:r>
      <w:r w:rsidR="00E07925" w:rsidRPr="0037003D">
        <w:t xml:space="preserve">industrial wood combustion, </w:t>
      </w:r>
      <w:r w:rsidRPr="0037003D">
        <w:t xml:space="preserve">industrial coal combustion, metal shredding, </w:t>
      </w:r>
      <w:r w:rsidR="002F48A1" w:rsidRPr="0037003D">
        <w:t xml:space="preserve">landfill fires, </w:t>
      </w:r>
      <w:r w:rsidRPr="0037003D">
        <w:t xml:space="preserve">heating and cooking with wood and </w:t>
      </w:r>
      <w:r w:rsidR="002F48A1" w:rsidRPr="0037003D">
        <w:t xml:space="preserve">structure fires </w:t>
      </w:r>
      <w:r w:rsidRPr="0037003D">
        <w:t xml:space="preserve">the nine sources comprise </w:t>
      </w:r>
      <w:r w:rsidR="002F48A1" w:rsidRPr="0037003D">
        <w:t>87</w:t>
      </w:r>
      <w:r w:rsidRPr="0037003D">
        <w:t>% of total dioxin releases with the remaining 1</w:t>
      </w:r>
      <w:r w:rsidR="002F48A1" w:rsidRPr="0037003D">
        <w:t>3</w:t>
      </w:r>
      <w:r w:rsidRPr="0037003D">
        <w:t xml:space="preserve">% split between 40 other categories and sub-categories. </w:t>
      </w:r>
    </w:p>
    <w:p w14:paraId="183F4181" w14:textId="7C62D873" w:rsidR="00D72DE9" w:rsidRPr="0037003D" w:rsidRDefault="002B1F9F" w:rsidP="00952807">
      <w:pPr>
        <w:pStyle w:val="ListParagraph"/>
        <w:numPr>
          <w:ilvl w:val="0"/>
          <w:numId w:val="29"/>
        </w:numPr>
        <w:spacing w:after="240" w:line="300" w:lineRule="atLeast"/>
        <w:jc w:val="both"/>
        <w:rPr>
          <w:szCs w:val="18"/>
        </w:rPr>
      </w:pPr>
      <w:r w:rsidRPr="0037003D">
        <w:rPr>
          <w:szCs w:val="18"/>
        </w:rPr>
        <w:t xml:space="preserve">All members of New Zealand’s </w:t>
      </w:r>
      <w:r w:rsidR="002F48A1" w:rsidRPr="0037003D">
        <w:rPr>
          <w:szCs w:val="18"/>
        </w:rPr>
        <w:t xml:space="preserve">5.025 </w:t>
      </w:r>
      <w:r w:rsidRPr="0037003D">
        <w:rPr>
          <w:szCs w:val="18"/>
        </w:rPr>
        <w:t xml:space="preserve">million population contributed to the sewage treatment release in </w:t>
      </w:r>
      <w:r w:rsidR="002F48A1" w:rsidRPr="0037003D">
        <w:rPr>
          <w:szCs w:val="18"/>
        </w:rPr>
        <w:t>2020</w:t>
      </w:r>
      <w:r w:rsidRPr="0037003D">
        <w:rPr>
          <w:szCs w:val="18"/>
        </w:rPr>
        <w:t xml:space="preserve"> and a significant majority will have </w:t>
      </w:r>
      <w:r w:rsidR="004A209B" w:rsidRPr="0037003D">
        <w:rPr>
          <w:szCs w:val="18"/>
        </w:rPr>
        <w:t>generated wastes disposed of</w:t>
      </w:r>
      <w:r w:rsidRPr="0037003D">
        <w:rPr>
          <w:szCs w:val="18"/>
        </w:rPr>
        <w:t xml:space="preserve"> in mu</w:t>
      </w:r>
      <w:r w:rsidR="00D965EC" w:rsidRPr="0037003D">
        <w:rPr>
          <w:szCs w:val="18"/>
        </w:rPr>
        <w:t xml:space="preserve">nicipal solid waste landfills. </w:t>
      </w:r>
    </w:p>
    <w:p w14:paraId="0AFAB282" w14:textId="77777777" w:rsidR="00D72DE9" w:rsidRPr="0037003D" w:rsidRDefault="002B1F9F" w:rsidP="00952807">
      <w:pPr>
        <w:pStyle w:val="ListParagraph"/>
        <w:numPr>
          <w:ilvl w:val="0"/>
          <w:numId w:val="29"/>
        </w:numPr>
        <w:spacing w:after="240" w:line="300" w:lineRule="atLeast"/>
        <w:jc w:val="both"/>
        <w:rPr>
          <w:szCs w:val="18"/>
        </w:rPr>
      </w:pPr>
      <w:r w:rsidRPr="0037003D">
        <w:rPr>
          <w:szCs w:val="18"/>
        </w:rPr>
        <w:t>Releases f</w:t>
      </w:r>
      <w:r w:rsidR="00E26C7C" w:rsidRPr="0037003D">
        <w:rPr>
          <w:szCs w:val="18"/>
        </w:rPr>
        <w:t xml:space="preserve">rom industrial coal and </w:t>
      </w:r>
      <w:r w:rsidR="00936246" w:rsidRPr="0037003D">
        <w:rPr>
          <w:szCs w:val="18"/>
        </w:rPr>
        <w:t>wood</w:t>
      </w:r>
      <w:r w:rsidR="0050196B" w:rsidRPr="0037003D">
        <w:rPr>
          <w:szCs w:val="18"/>
        </w:rPr>
        <w:t>-</w:t>
      </w:r>
      <w:r w:rsidR="00E26C7C" w:rsidRPr="0037003D">
        <w:rPr>
          <w:szCs w:val="18"/>
        </w:rPr>
        <w:t>waste</w:t>
      </w:r>
      <w:r w:rsidR="00936246" w:rsidRPr="0037003D">
        <w:rPr>
          <w:szCs w:val="18"/>
        </w:rPr>
        <w:t xml:space="preserve"> </w:t>
      </w:r>
      <w:r w:rsidRPr="0037003D">
        <w:rPr>
          <w:szCs w:val="18"/>
        </w:rPr>
        <w:t>co</w:t>
      </w:r>
      <w:r w:rsidR="006F02C8" w:rsidRPr="0037003D">
        <w:rPr>
          <w:szCs w:val="18"/>
        </w:rPr>
        <w:t>mbustion are associated with about</w:t>
      </w:r>
      <w:r w:rsidRPr="0037003D">
        <w:rPr>
          <w:szCs w:val="18"/>
        </w:rPr>
        <w:t xml:space="preserve"> </w:t>
      </w:r>
      <w:r w:rsidR="006F02C8" w:rsidRPr="0037003D">
        <w:rPr>
          <w:szCs w:val="18"/>
        </w:rPr>
        <w:t>500 coal-fired b</w:t>
      </w:r>
      <w:r w:rsidR="00E26C7C" w:rsidRPr="0037003D">
        <w:rPr>
          <w:szCs w:val="18"/>
        </w:rPr>
        <w:t>oilers and more than 175 wood</w:t>
      </w:r>
      <w:r w:rsidR="006F02C8" w:rsidRPr="0037003D">
        <w:rPr>
          <w:szCs w:val="18"/>
        </w:rPr>
        <w:t>-fired power plants.</w:t>
      </w:r>
      <w:r w:rsidR="00D6698F" w:rsidRPr="0037003D">
        <w:rPr>
          <w:szCs w:val="18"/>
        </w:rPr>
        <w:t xml:space="preserve"> </w:t>
      </w:r>
    </w:p>
    <w:p w14:paraId="3EC12501" w14:textId="2E4DD1C9" w:rsidR="00D72DE9" w:rsidRPr="0037003D" w:rsidRDefault="76DEF016" w:rsidP="00952807">
      <w:pPr>
        <w:pStyle w:val="ListParagraph"/>
        <w:numPr>
          <w:ilvl w:val="0"/>
          <w:numId w:val="29"/>
        </w:numPr>
        <w:spacing w:after="240" w:line="300" w:lineRule="atLeast"/>
        <w:jc w:val="both"/>
      </w:pPr>
      <w:r>
        <w:t xml:space="preserve">Structure fires </w:t>
      </w:r>
      <w:r w:rsidR="7E332B29">
        <w:t xml:space="preserve">and landfill fires </w:t>
      </w:r>
      <w:r>
        <w:t xml:space="preserve">are </w:t>
      </w:r>
      <w:bookmarkStart w:id="5" w:name="_Int_HstpcVaY"/>
      <w:r>
        <w:t>essentially random</w:t>
      </w:r>
      <w:bookmarkEnd w:id="5"/>
      <w:r>
        <w:t xml:space="preserve"> events</w:t>
      </w:r>
      <w:r w:rsidR="08ACF704">
        <w:t>.</w:t>
      </w:r>
      <w:r w:rsidR="2648CA2D">
        <w:t xml:space="preserve"> </w:t>
      </w:r>
    </w:p>
    <w:p w14:paraId="68F39CFE" w14:textId="109FE4FD" w:rsidR="00F30796" w:rsidRPr="0037003D" w:rsidRDefault="00E26C7C" w:rsidP="00952807">
      <w:pPr>
        <w:pStyle w:val="ListParagraph"/>
        <w:numPr>
          <w:ilvl w:val="0"/>
          <w:numId w:val="29"/>
        </w:numPr>
        <w:spacing w:after="240" w:line="300" w:lineRule="atLeast"/>
        <w:jc w:val="both"/>
        <w:rPr>
          <w:szCs w:val="18"/>
        </w:rPr>
      </w:pPr>
      <w:r w:rsidRPr="0037003D">
        <w:rPr>
          <w:szCs w:val="18"/>
        </w:rPr>
        <w:t>Heating and cooking with wood, primarily the former, occurs in about 5</w:t>
      </w:r>
      <w:r w:rsidR="00236E1C">
        <w:rPr>
          <w:szCs w:val="18"/>
        </w:rPr>
        <w:t>3</w:t>
      </w:r>
      <w:r w:rsidRPr="0037003D">
        <w:rPr>
          <w:szCs w:val="18"/>
        </w:rPr>
        <w:t xml:space="preserve">0,000 New Zealand households </w:t>
      </w:r>
    </w:p>
    <w:p w14:paraId="34F3162E" w14:textId="77777777" w:rsidR="00F30796" w:rsidRPr="004B7C48" w:rsidRDefault="00F30796">
      <w:pPr>
        <w:spacing w:after="0"/>
        <w:rPr>
          <w:szCs w:val="18"/>
          <w:highlight w:val="yellow"/>
        </w:rPr>
      </w:pPr>
      <w:r w:rsidRPr="004B7C48">
        <w:rPr>
          <w:szCs w:val="18"/>
          <w:highlight w:val="yellow"/>
        </w:rPr>
        <w:br w:type="page"/>
      </w:r>
    </w:p>
    <w:p w14:paraId="645B9F7B" w14:textId="218D68F4" w:rsidR="007A79A7" w:rsidRPr="0037003D" w:rsidRDefault="007A79A7" w:rsidP="007A79A7">
      <w:pPr>
        <w:spacing w:line="300" w:lineRule="atLeast"/>
        <w:jc w:val="both"/>
        <w:rPr>
          <w:rFonts w:ascii="Arial" w:hAnsi="Arial" w:cs="Arial"/>
          <w:b/>
          <w:szCs w:val="18"/>
        </w:rPr>
      </w:pPr>
      <w:r w:rsidRPr="0037003D">
        <w:rPr>
          <w:rFonts w:ascii="Arial" w:hAnsi="Arial" w:cs="Arial"/>
          <w:b/>
          <w:szCs w:val="18"/>
        </w:rPr>
        <w:lastRenderedPageBreak/>
        <w:t xml:space="preserve">Changes between </w:t>
      </w:r>
      <w:r w:rsidR="000A60C0" w:rsidRPr="0037003D">
        <w:rPr>
          <w:rFonts w:ascii="Arial" w:hAnsi="Arial" w:cs="Arial"/>
          <w:b/>
          <w:szCs w:val="18"/>
        </w:rPr>
        <w:t>2016</w:t>
      </w:r>
      <w:r w:rsidR="00BC680E" w:rsidRPr="0037003D">
        <w:rPr>
          <w:rFonts w:ascii="Arial" w:hAnsi="Arial" w:cs="Arial"/>
          <w:b/>
          <w:szCs w:val="18"/>
        </w:rPr>
        <w:t xml:space="preserve"> </w:t>
      </w:r>
      <w:r w:rsidRPr="0037003D">
        <w:rPr>
          <w:rFonts w:ascii="Arial" w:hAnsi="Arial" w:cs="Arial"/>
          <w:b/>
          <w:szCs w:val="18"/>
        </w:rPr>
        <w:t xml:space="preserve">and </w:t>
      </w:r>
      <w:r w:rsidR="000A60C0" w:rsidRPr="0037003D">
        <w:rPr>
          <w:rFonts w:ascii="Arial" w:hAnsi="Arial" w:cs="Arial"/>
          <w:b/>
          <w:szCs w:val="18"/>
        </w:rPr>
        <w:t>2020</w:t>
      </w:r>
    </w:p>
    <w:p w14:paraId="194CD809" w14:textId="232688F0" w:rsidR="00F30796" w:rsidRPr="004B7C48" w:rsidRDefault="495D4548" w:rsidP="0C34660A">
      <w:pPr>
        <w:spacing w:line="300" w:lineRule="atLeast"/>
        <w:jc w:val="both"/>
        <w:rPr>
          <w:b/>
          <w:bCs/>
          <w:highlight w:val="yellow"/>
        </w:rPr>
      </w:pPr>
      <w:r>
        <w:t xml:space="preserve">The </w:t>
      </w:r>
      <w:r w:rsidR="169F5556">
        <w:t>tables below show source categories</w:t>
      </w:r>
      <w:r>
        <w:t xml:space="preserve"> which </w:t>
      </w:r>
      <w:r w:rsidR="169F5556">
        <w:t xml:space="preserve">for </w:t>
      </w:r>
      <w:r w:rsidR="09E3441E">
        <w:t>2020</w:t>
      </w:r>
      <w:r w:rsidR="169F5556">
        <w:t xml:space="preserve"> had increases</w:t>
      </w:r>
      <w:r>
        <w:t xml:space="preserve"> </w:t>
      </w:r>
      <w:r w:rsidR="169F5556">
        <w:t xml:space="preserve">or decreases in their dioxin releases by more than 0.01 g </w:t>
      </w:r>
      <w:r w:rsidR="08ACF704">
        <w:t xml:space="preserve">TEQ </w:t>
      </w:r>
      <w:r w:rsidR="169F5556">
        <w:t>compared with 201</w:t>
      </w:r>
      <w:r w:rsidR="08ACF704">
        <w:t>6</w:t>
      </w:r>
      <w:r w:rsidR="169F5556">
        <w:t xml:space="preserve"> levels</w:t>
      </w:r>
      <w:bookmarkStart w:id="6" w:name="_Int_wbZxKqly"/>
      <w:r w:rsidR="169F5556">
        <w:t xml:space="preserve">. </w:t>
      </w:r>
      <w:bookmarkEnd w:id="6"/>
    </w:p>
    <w:p w14:paraId="757A44E5" w14:textId="2513CAF6" w:rsidR="00AC5730" w:rsidRPr="0037003D" w:rsidRDefault="169F5556" w:rsidP="0C34660A">
      <w:pPr>
        <w:spacing w:line="300" w:lineRule="atLeast"/>
        <w:jc w:val="center"/>
        <w:rPr>
          <w:b/>
          <w:bCs/>
        </w:rPr>
      </w:pPr>
      <w:r w:rsidRPr="0C34660A">
        <w:rPr>
          <w:b/>
          <w:bCs/>
        </w:rPr>
        <w:t>Table E1</w:t>
      </w:r>
      <w:bookmarkStart w:id="7" w:name="_Int_szki8i5s"/>
      <w:r w:rsidRPr="0C34660A">
        <w:rPr>
          <w:b/>
          <w:bCs/>
        </w:rPr>
        <w:t xml:space="preserve">. </w:t>
      </w:r>
      <w:bookmarkEnd w:id="7"/>
      <w:r w:rsidR="670104CE" w:rsidRPr="0C34660A">
        <w:rPr>
          <w:b/>
          <w:bCs/>
        </w:rPr>
        <w:t xml:space="preserve">Source </w:t>
      </w:r>
      <w:r w:rsidRPr="0C34660A">
        <w:rPr>
          <w:b/>
          <w:bCs/>
        </w:rPr>
        <w:t>Categories with Increases</w:t>
      </w:r>
      <w:r w:rsidR="670104CE" w:rsidRPr="0C34660A">
        <w:rPr>
          <w:b/>
          <w:bCs/>
        </w:rPr>
        <w:t xml:space="preserve"> Compared to </w:t>
      </w:r>
      <w:r w:rsidR="3195CE79" w:rsidRPr="0C34660A">
        <w:rPr>
          <w:b/>
          <w:bCs/>
        </w:rPr>
        <w:t>2016</w:t>
      </w:r>
    </w:p>
    <w:tbl>
      <w:tblPr>
        <w:tblStyle w:val="TableGrid"/>
        <w:tblW w:w="0" w:type="auto"/>
        <w:jc w:val="center"/>
        <w:tblLook w:val="04A0" w:firstRow="1" w:lastRow="0" w:firstColumn="1" w:lastColumn="0" w:noHBand="0" w:noVBand="1"/>
      </w:tblPr>
      <w:tblGrid>
        <w:gridCol w:w="3446"/>
        <w:gridCol w:w="2182"/>
      </w:tblGrid>
      <w:tr w:rsidR="00236F47" w:rsidRPr="00F65430" w14:paraId="24378803" w14:textId="77777777" w:rsidTr="0050120C">
        <w:trPr>
          <w:trHeight w:val="420"/>
          <w:jc w:val="center"/>
        </w:trPr>
        <w:tc>
          <w:tcPr>
            <w:tcW w:w="0" w:type="auto"/>
          </w:tcPr>
          <w:p w14:paraId="5DDB209A" w14:textId="183037D3" w:rsidR="00236F47" w:rsidRPr="0037003D" w:rsidRDefault="00236F47" w:rsidP="00B609B2">
            <w:pPr>
              <w:spacing w:after="0" w:line="300" w:lineRule="atLeast"/>
              <w:jc w:val="center"/>
              <w:rPr>
                <w:b/>
                <w:sz w:val="18"/>
                <w:szCs w:val="18"/>
              </w:rPr>
            </w:pPr>
            <w:r w:rsidRPr="0037003D">
              <w:rPr>
                <w:b/>
                <w:sz w:val="18"/>
                <w:szCs w:val="18"/>
              </w:rPr>
              <w:t>Source Category</w:t>
            </w:r>
          </w:p>
        </w:tc>
        <w:tc>
          <w:tcPr>
            <w:tcW w:w="0" w:type="auto"/>
          </w:tcPr>
          <w:p w14:paraId="6D60382C" w14:textId="77777777" w:rsidR="00B609B2" w:rsidRPr="0037003D" w:rsidRDefault="00236F47" w:rsidP="00B609B2">
            <w:pPr>
              <w:spacing w:after="0" w:line="300" w:lineRule="atLeast"/>
              <w:jc w:val="center"/>
              <w:rPr>
                <w:b/>
                <w:sz w:val="18"/>
                <w:szCs w:val="18"/>
              </w:rPr>
            </w:pPr>
            <w:r w:rsidRPr="0037003D">
              <w:rPr>
                <w:b/>
                <w:sz w:val="18"/>
                <w:szCs w:val="18"/>
              </w:rPr>
              <w:t xml:space="preserve">Change in Dioxin Release </w:t>
            </w:r>
          </w:p>
          <w:p w14:paraId="3A7E8EC2" w14:textId="1F57EF84" w:rsidR="00236F47" w:rsidRPr="0037003D" w:rsidRDefault="00236F47" w:rsidP="00B609B2">
            <w:pPr>
              <w:spacing w:after="0" w:line="300" w:lineRule="atLeast"/>
              <w:jc w:val="center"/>
              <w:rPr>
                <w:b/>
                <w:sz w:val="18"/>
                <w:szCs w:val="18"/>
              </w:rPr>
            </w:pPr>
            <w:r w:rsidRPr="0037003D">
              <w:rPr>
                <w:b/>
                <w:sz w:val="18"/>
                <w:szCs w:val="18"/>
              </w:rPr>
              <w:t>(g TEQ/annum)</w:t>
            </w:r>
          </w:p>
        </w:tc>
      </w:tr>
      <w:tr w:rsidR="005F5EE3" w:rsidRPr="00F65430" w14:paraId="1B0EC76C" w14:textId="77777777" w:rsidTr="0050120C">
        <w:trPr>
          <w:trHeight w:hRule="exact" w:val="284"/>
          <w:jc w:val="center"/>
        </w:trPr>
        <w:tc>
          <w:tcPr>
            <w:tcW w:w="0" w:type="auto"/>
          </w:tcPr>
          <w:p w14:paraId="5DFDA731" w14:textId="7E883BB6" w:rsidR="005F5EE3" w:rsidRPr="0037003D" w:rsidRDefault="00977029" w:rsidP="00E44746">
            <w:pPr>
              <w:spacing w:line="300" w:lineRule="atLeast"/>
              <w:rPr>
                <w:sz w:val="18"/>
                <w:szCs w:val="18"/>
              </w:rPr>
            </w:pPr>
            <w:r>
              <w:rPr>
                <w:sz w:val="18"/>
                <w:szCs w:val="18"/>
              </w:rPr>
              <w:t xml:space="preserve">Industrial </w:t>
            </w:r>
            <w:r w:rsidR="00B264DE">
              <w:rPr>
                <w:sz w:val="18"/>
                <w:szCs w:val="18"/>
              </w:rPr>
              <w:t>biomass (</w:t>
            </w:r>
            <w:r>
              <w:rPr>
                <w:sz w:val="18"/>
                <w:szCs w:val="18"/>
              </w:rPr>
              <w:t>wood</w:t>
            </w:r>
            <w:r w:rsidR="00B264DE">
              <w:rPr>
                <w:sz w:val="18"/>
                <w:szCs w:val="18"/>
              </w:rPr>
              <w:t xml:space="preserve"> waste)</w:t>
            </w:r>
            <w:r>
              <w:rPr>
                <w:sz w:val="18"/>
                <w:szCs w:val="18"/>
              </w:rPr>
              <w:t xml:space="preserve"> combustion</w:t>
            </w:r>
          </w:p>
        </w:tc>
        <w:tc>
          <w:tcPr>
            <w:tcW w:w="0" w:type="auto"/>
          </w:tcPr>
          <w:p w14:paraId="6703E255" w14:textId="306159A6" w:rsidR="005F5EE3" w:rsidRPr="0037003D" w:rsidRDefault="002E293F" w:rsidP="00E44746">
            <w:pPr>
              <w:spacing w:line="300" w:lineRule="atLeast"/>
              <w:jc w:val="center"/>
              <w:rPr>
                <w:sz w:val="18"/>
                <w:szCs w:val="18"/>
              </w:rPr>
            </w:pPr>
            <w:r>
              <w:rPr>
                <w:sz w:val="18"/>
                <w:szCs w:val="18"/>
              </w:rPr>
              <w:t>+</w:t>
            </w:r>
            <w:r w:rsidR="00977029">
              <w:rPr>
                <w:sz w:val="18"/>
                <w:szCs w:val="18"/>
              </w:rPr>
              <w:t>0.76</w:t>
            </w:r>
          </w:p>
        </w:tc>
      </w:tr>
      <w:tr w:rsidR="005F5EE3" w:rsidRPr="00F65430" w14:paraId="06815CA3" w14:textId="77777777" w:rsidTr="0050120C">
        <w:trPr>
          <w:trHeight w:hRule="exact" w:val="284"/>
          <w:jc w:val="center"/>
        </w:trPr>
        <w:tc>
          <w:tcPr>
            <w:tcW w:w="0" w:type="auto"/>
          </w:tcPr>
          <w:p w14:paraId="21054D55" w14:textId="48FF2FE7" w:rsidR="005F5EE3" w:rsidRPr="0037003D" w:rsidRDefault="00977029" w:rsidP="00E44746">
            <w:pPr>
              <w:spacing w:line="300" w:lineRule="atLeast"/>
              <w:rPr>
                <w:sz w:val="18"/>
                <w:szCs w:val="18"/>
              </w:rPr>
            </w:pPr>
            <w:r>
              <w:rPr>
                <w:sz w:val="18"/>
                <w:szCs w:val="18"/>
              </w:rPr>
              <w:t>Landfill fires</w:t>
            </w:r>
          </w:p>
        </w:tc>
        <w:tc>
          <w:tcPr>
            <w:tcW w:w="0" w:type="auto"/>
          </w:tcPr>
          <w:p w14:paraId="63747A36" w14:textId="61F4FF64" w:rsidR="005F5EE3" w:rsidRPr="0037003D" w:rsidRDefault="002E293F" w:rsidP="00E44746">
            <w:pPr>
              <w:spacing w:line="300" w:lineRule="atLeast"/>
              <w:jc w:val="center"/>
              <w:rPr>
                <w:sz w:val="18"/>
                <w:szCs w:val="18"/>
              </w:rPr>
            </w:pPr>
            <w:r>
              <w:rPr>
                <w:sz w:val="18"/>
                <w:szCs w:val="18"/>
              </w:rPr>
              <w:t>+</w:t>
            </w:r>
            <w:r w:rsidR="00977029">
              <w:rPr>
                <w:sz w:val="18"/>
                <w:szCs w:val="18"/>
              </w:rPr>
              <w:t>0.75</w:t>
            </w:r>
          </w:p>
        </w:tc>
      </w:tr>
      <w:tr w:rsidR="00260C49" w:rsidRPr="00F65430" w14:paraId="07DCE851" w14:textId="77777777" w:rsidTr="0050120C">
        <w:trPr>
          <w:trHeight w:hRule="exact" w:val="284"/>
          <w:jc w:val="center"/>
        </w:trPr>
        <w:tc>
          <w:tcPr>
            <w:tcW w:w="0" w:type="auto"/>
          </w:tcPr>
          <w:p w14:paraId="2173C1DE" w14:textId="69B6779A" w:rsidR="00260C49" w:rsidRDefault="00260C49" w:rsidP="00E44746">
            <w:pPr>
              <w:spacing w:line="300" w:lineRule="atLeast"/>
              <w:rPr>
                <w:sz w:val="18"/>
                <w:szCs w:val="18"/>
              </w:rPr>
            </w:pPr>
            <w:r>
              <w:rPr>
                <w:sz w:val="18"/>
                <w:szCs w:val="18"/>
              </w:rPr>
              <w:t>Metal shredding</w:t>
            </w:r>
          </w:p>
        </w:tc>
        <w:tc>
          <w:tcPr>
            <w:tcW w:w="0" w:type="auto"/>
          </w:tcPr>
          <w:p w14:paraId="70E121DC" w14:textId="6A9A2A42" w:rsidR="00260C49" w:rsidRDefault="00260C49" w:rsidP="00E44746">
            <w:pPr>
              <w:spacing w:line="300" w:lineRule="atLeast"/>
              <w:jc w:val="center"/>
              <w:rPr>
                <w:sz w:val="18"/>
                <w:szCs w:val="18"/>
              </w:rPr>
            </w:pPr>
            <w:r>
              <w:rPr>
                <w:sz w:val="18"/>
                <w:szCs w:val="18"/>
              </w:rPr>
              <w:t>+0.52</w:t>
            </w:r>
          </w:p>
        </w:tc>
      </w:tr>
      <w:tr w:rsidR="00977029" w:rsidRPr="00F65430" w14:paraId="5CFF3903" w14:textId="77777777" w:rsidTr="00AA4F49">
        <w:trPr>
          <w:trHeight w:hRule="exact" w:val="284"/>
          <w:jc w:val="center"/>
        </w:trPr>
        <w:tc>
          <w:tcPr>
            <w:tcW w:w="0" w:type="auto"/>
            <w:vAlign w:val="bottom"/>
          </w:tcPr>
          <w:p w14:paraId="2BCB85B9" w14:textId="55E01934" w:rsidR="00977029" w:rsidRPr="0037003D" w:rsidRDefault="00977029" w:rsidP="00977029">
            <w:pPr>
              <w:spacing w:line="300" w:lineRule="atLeast"/>
              <w:rPr>
                <w:sz w:val="18"/>
                <w:szCs w:val="18"/>
              </w:rPr>
            </w:pPr>
            <w:r w:rsidRPr="0037003D">
              <w:rPr>
                <w:sz w:val="18"/>
                <w:szCs w:val="18"/>
              </w:rPr>
              <w:t>Coal-fired electricity generation</w:t>
            </w:r>
          </w:p>
        </w:tc>
        <w:tc>
          <w:tcPr>
            <w:tcW w:w="0" w:type="auto"/>
          </w:tcPr>
          <w:p w14:paraId="39D5E000" w14:textId="6AA7F3DC" w:rsidR="00977029" w:rsidRPr="0037003D" w:rsidRDefault="002E293F" w:rsidP="00977029">
            <w:pPr>
              <w:spacing w:line="300" w:lineRule="atLeast"/>
              <w:jc w:val="center"/>
              <w:rPr>
                <w:sz w:val="18"/>
                <w:szCs w:val="18"/>
              </w:rPr>
            </w:pPr>
            <w:r>
              <w:rPr>
                <w:sz w:val="18"/>
                <w:szCs w:val="18"/>
              </w:rPr>
              <w:t>+</w:t>
            </w:r>
            <w:r w:rsidR="00977029">
              <w:rPr>
                <w:sz w:val="18"/>
                <w:szCs w:val="18"/>
              </w:rPr>
              <w:t>0.35</w:t>
            </w:r>
          </w:p>
        </w:tc>
      </w:tr>
      <w:tr w:rsidR="00EC29F2" w:rsidRPr="00F65430" w14:paraId="4DDAB423" w14:textId="77777777" w:rsidTr="0050120C">
        <w:trPr>
          <w:trHeight w:hRule="exact" w:val="284"/>
          <w:jc w:val="center"/>
        </w:trPr>
        <w:tc>
          <w:tcPr>
            <w:tcW w:w="0" w:type="auto"/>
          </w:tcPr>
          <w:p w14:paraId="374B5744" w14:textId="27924F45" w:rsidR="00EC29F2" w:rsidRDefault="00EC29F2" w:rsidP="00977029">
            <w:pPr>
              <w:spacing w:line="300" w:lineRule="atLeast"/>
              <w:rPr>
                <w:sz w:val="18"/>
                <w:szCs w:val="18"/>
              </w:rPr>
            </w:pPr>
            <w:r>
              <w:rPr>
                <w:sz w:val="18"/>
                <w:szCs w:val="18"/>
              </w:rPr>
              <w:t>Landfills, waste dumps and landfill mining</w:t>
            </w:r>
          </w:p>
        </w:tc>
        <w:tc>
          <w:tcPr>
            <w:tcW w:w="0" w:type="auto"/>
          </w:tcPr>
          <w:p w14:paraId="605F94C2" w14:textId="402F531A" w:rsidR="00EC29F2" w:rsidRDefault="002E293F" w:rsidP="00977029">
            <w:pPr>
              <w:spacing w:line="300" w:lineRule="atLeast"/>
              <w:jc w:val="center"/>
              <w:rPr>
                <w:sz w:val="18"/>
                <w:szCs w:val="18"/>
              </w:rPr>
            </w:pPr>
            <w:r>
              <w:rPr>
                <w:sz w:val="18"/>
                <w:szCs w:val="18"/>
              </w:rPr>
              <w:t>+</w:t>
            </w:r>
            <w:r w:rsidR="00EC29F2">
              <w:rPr>
                <w:sz w:val="18"/>
                <w:szCs w:val="18"/>
              </w:rPr>
              <w:t>0.27</w:t>
            </w:r>
          </w:p>
        </w:tc>
      </w:tr>
      <w:tr w:rsidR="00AA4F49" w:rsidRPr="00F65430" w14:paraId="0A72406C" w14:textId="77777777" w:rsidTr="0050120C">
        <w:trPr>
          <w:trHeight w:hRule="exact" w:val="284"/>
          <w:jc w:val="center"/>
        </w:trPr>
        <w:tc>
          <w:tcPr>
            <w:tcW w:w="0" w:type="auto"/>
          </w:tcPr>
          <w:p w14:paraId="455555BF" w14:textId="77777777" w:rsidR="00E00D29" w:rsidRDefault="00E00D29" w:rsidP="00E00D29">
            <w:pPr>
              <w:spacing w:line="300" w:lineRule="atLeast"/>
              <w:jc w:val="both"/>
              <w:rPr>
                <w:szCs w:val="18"/>
              </w:rPr>
            </w:pPr>
            <w:r w:rsidRPr="00C00B65">
              <w:rPr>
                <w:sz w:val="18"/>
                <w:szCs w:val="18"/>
              </w:rPr>
              <w:t>Sewage/sewage treatment</w:t>
            </w:r>
          </w:p>
          <w:p w14:paraId="463B2033" w14:textId="08C9EB52" w:rsidR="00977029" w:rsidRPr="0037003D" w:rsidRDefault="00977029" w:rsidP="00977029">
            <w:pPr>
              <w:spacing w:line="300" w:lineRule="atLeast"/>
              <w:rPr>
                <w:sz w:val="18"/>
                <w:szCs w:val="18"/>
              </w:rPr>
            </w:pPr>
          </w:p>
        </w:tc>
        <w:tc>
          <w:tcPr>
            <w:tcW w:w="0" w:type="auto"/>
          </w:tcPr>
          <w:p w14:paraId="654F24E2" w14:textId="25589B1D" w:rsidR="00977029" w:rsidRPr="0037003D" w:rsidRDefault="002E293F" w:rsidP="00977029">
            <w:pPr>
              <w:spacing w:line="300" w:lineRule="atLeast"/>
              <w:jc w:val="center"/>
              <w:rPr>
                <w:sz w:val="18"/>
                <w:szCs w:val="18"/>
              </w:rPr>
            </w:pPr>
            <w:r>
              <w:rPr>
                <w:sz w:val="18"/>
                <w:szCs w:val="18"/>
              </w:rPr>
              <w:t>+</w:t>
            </w:r>
            <w:r w:rsidR="00E00D29">
              <w:rPr>
                <w:sz w:val="18"/>
                <w:szCs w:val="18"/>
              </w:rPr>
              <w:t>0.22</w:t>
            </w:r>
          </w:p>
        </w:tc>
      </w:tr>
      <w:tr w:rsidR="00977029" w:rsidRPr="00F65430" w14:paraId="368D1C8B" w14:textId="77777777" w:rsidTr="0050120C">
        <w:trPr>
          <w:trHeight w:hRule="exact" w:val="284"/>
          <w:jc w:val="center"/>
        </w:trPr>
        <w:tc>
          <w:tcPr>
            <w:tcW w:w="0" w:type="auto"/>
          </w:tcPr>
          <w:p w14:paraId="426EC72B" w14:textId="08B1B2AF" w:rsidR="00977029" w:rsidRPr="0037003D" w:rsidRDefault="00E00D29" w:rsidP="00E00D29">
            <w:pPr>
              <w:spacing w:line="300" w:lineRule="atLeast"/>
              <w:jc w:val="both"/>
              <w:rPr>
                <w:sz w:val="18"/>
                <w:szCs w:val="18"/>
              </w:rPr>
            </w:pPr>
            <w:r>
              <w:rPr>
                <w:sz w:val="18"/>
                <w:szCs w:val="18"/>
              </w:rPr>
              <w:t>Forest fires</w:t>
            </w:r>
          </w:p>
        </w:tc>
        <w:tc>
          <w:tcPr>
            <w:tcW w:w="0" w:type="auto"/>
          </w:tcPr>
          <w:p w14:paraId="2EDB8514" w14:textId="132C9FC1" w:rsidR="00977029" w:rsidRPr="0037003D" w:rsidRDefault="002E293F" w:rsidP="00977029">
            <w:pPr>
              <w:spacing w:line="300" w:lineRule="atLeast"/>
              <w:jc w:val="center"/>
              <w:rPr>
                <w:sz w:val="18"/>
                <w:szCs w:val="18"/>
              </w:rPr>
            </w:pPr>
            <w:r>
              <w:rPr>
                <w:sz w:val="18"/>
                <w:szCs w:val="18"/>
              </w:rPr>
              <w:t>+</w:t>
            </w:r>
            <w:r w:rsidR="00E00D29">
              <w:rPr>
                <w:sz w:val="18"/>
                <w:szCs w:val="18"/>
              </w:rPr>
              <w:t>0.20</w:t>
            </w:r>
          </w:p>
        </w:tc>
      </w:tr>
      <w:tr w:rsidR="00977029" w:rsidRPr="00F65430" w14:paraId="5320716D" w14:textId="77777777" w:rsidTr="0050120C">
        <w:trPr>
          <w:trHeight w:hRule="exact" w:val="284"/>
          <w:jc w:val="center"/>
        </w:trPr>
        <w:tc>
          <w:tcPr>
            <w:tcW w:w="0" w:type="auto"/>
          </w:tcPr>
          <w:p w14:paraId="5E8CD6E3" w14:textId="1D699210" w:rsidR="00977029" w:rsidRPr="0037003D" w:rsidRDefault="00E94FFD" w:rsidP="00977029">
            <w:pPr>
              <w:spacing w:line="300" w:lineRule="atLeast"/>
              <w:rPr>
                <w:sz w:val="18"/>
                <w:szCs w:val="18"/>
              </w:rPr>
            </w:pPr>
            <w:r>
              <w:rPr>
                <w:sz w:val="18"/>
                <w:szCs w:val="18"/>
              </w:rPr>
              <w:t>2-stroke engines</w:t>
            </w:r>
          </w:p>
        </w:tc>
        <w:tc>
          <w:tcPr>
            <w:tcW w:w="0" w:type="auto"/>
          </w:tcPr>
          <w:p w14:paraId="5C1CACDD" w14:textId="593D457F" w:rsidR="00977029" w:rsidRPr="0037003D" w:rsidRDefault="002E293F" w:rsidP="00977029">
            <w:pPr>
              <w:spacing w:line="300" w:lineRule="atLeast"/>
              <w:jc w:val="center"/>
              <w:rPr>
                <w:sz w:val="18"/>
                <w:szCs w:val="18"/>
              </w:rPr>
            </w:pPr>
            <w:r>
              <w:rPr>
                <w:sz w:val="18"/>
                <w:szCs w:val="18"/>
              </w:rPr>
              <w:t>+</w:t>
            </w:r>
            <w:r w:rsidR="00E94FFD">
              <w:rPr>
                <w:sz w:val="18"/>
                <w:szCs w:val="18"/>
              </w:rPr>
              <w:t>0.17</w:t>
            </w:r>
          </w:p>
        </w:tc>
      </w:tr>
      <w:tr w:rsidR="00977029" w:rsidRPr="00F65430" w14:paraId="102D38EE" w14:textId="77777777" w:rsidTr="0050120C">
        <w:trPr>
          <w:trHeight w:hRule="exact" w:val="284"/>
          <w:jc w:val="center"/>
        </w:trPr>
        <w:tc>
          <w:tcPr>
            <w:tcW w:w="0" w:type="auto"/>
          </w:tcPr>
          <w:p w14:paraId="1EAC45F4" w14:textId="3BE8650C" w:rsidR="00977029" w:rsidRPr="0037003D" w:rsidRDefault="00E94FFD" w:rsidP="00977029">
            <w:pPr>
              <w:spacing w:line="300" w:lineRule="atLeast"/>
              <w:rPr>
                <w:sz w:val="18"/>
                <w:szCs w:val="18"/>
              </w:rPr>
            </w:pPr>
            <w:r>
              <w:rPr>
                <w:sz w:val="18"/>
                <w:szCs w:val="18"/>
              </w:rPr>
              <w:t>Pet cremators</w:t>
            </w:r>
          </w:p>
        </w:tc>
        <w:tc>
          <w:tcPr>
            <w:tcW w:w="0" w:type="auto"/>
          </w:tcPr>
          <w:p w14:paraId="520475EF" w14:textId="61257DB2" w:rsidR="00977029" w:rsidRPr="0037003D" w:rsidRDefault="002E293F" w:rsidP="00977029">
            <w:pPr>
              <w:spacing w:line="300" w:lineRule="atLeast"/>
              <w:jc w:val="center"/>
              <w:rPr>
                <w:sz w:val="18"/>
                <w:szCs w:val="18"/>
              </w:rPr>
            </w:pPr>
            <w:r>
              <w:rPr>
                <w:sz w:val="18"/>
                <w:szCs w:val="18"/>
              </w:rPr>
              <w:t>+</w:t>
            </w:r>
            <w:r w:rsidR="00E94FFD">
              <w:rPr>
                <w:sz w:val="18"/>
                <w:szCs w:val="18"/>
              </w:rPr>
              <w:t>0.14</w:t>
            </w:r>
          </w:p>
        </w:tc>
      </w:tr>
      <w:tr w:rsidR="00977029" w:rsidRPr="00F65430" w14:paraId="2E0D59D0" w14:textId="77777777" w:rsidTr="0050120C">
        <w:trPr>
          <w:trHeight w:hRule="exact" w:val="284"/>
          <w:jc w:val="center"/>
        </w:trPr>
        <w:tc>
          <w:tcPr>
            <w:tcW w:w="0" w:type="auto"/>
          </w:tcPr>
          <w:p w14:paraId="31EDB38A" w14:textId="77777777" w:rsidR="00977029" w:rsidRPr="0037003D" w:rsidRDefault="00977029" w:rsidP="00977029">
            <w:pPr>
              <w:spacing w:line="300" w:lineRule="atLeast"/>
              <w:rPr>
                <w:sz w:val="18"/>
                <w:szCs w:val="18"/>
              </w:rPr>
            </w:pPr>
            <w:r w:rsidRPr="0037003D">
              <w:rPr>
                <w:sz w:val="18"/>
                <w:szCs w:val="18"/>
              </w:rPr>
              <w:t>Vehicle fires</w:t>
            </w:r>
          </w:p>
        </w:tc>
        <w:tc>
          <w:tcPr>
            <w:tcW w:w="0" w:type="auto"/>
          </w:tcPr>
          <w:p w14:paraId="070D8E00" w14:textId="4250130A" w:rsidR="00977029" w:rsidRPr="0037003D" w:rsidRDefault="002E293F" w:rsidP="00977029">
            <w:pPr>
              <w:spacing w:line="300" w:lineRule="atLeast"/>
              <w:jc w:val="center"/>
              <w:rPr>
                <w:sz w:val="18"/>
                <w:szCs w:val="18"/>
              </w:rPr>
            </w:pPr>
            <w:r>
              <w:rPr>
                <w:sz w:val="18"/>
                <w:szCs w:val="18"/>
              </w:rPr>
              <w:t>+</w:t>
            </w:r>
            <w:r w:rsidR="00977029" w:rsidRPr="0037003D">
              <w:rPr>
                <w:sz w:val="18"/>
                <w:szCs w:val="18"/>
              </w:rPr>
              <w:t>0.</w:t>
            </w:r>
            <w:r w:rsidR="00E94FFD" w:rsidRPr="0037003D">
              <w:rPr>
                <w:sz w:val="18"/>
                <w:szCs w:val="18"/>
              </w:rPr>
              <w:t>0</w:t>
            </w:r>
            <w:r w:rsidR="00E94FFD">
              <w:rPr>
                <w:sz w:val="18"/>
                <w:szCs w:val="18"/>
              </w:rPr>
              <w:t>46</w:t>
            </w:r>
          </w:p>
        </w:tc>
      </w:tr>
      <w:tr w:rsidR="00977029" w:rsidRPr="00F65430" w14:paraId="34614730" w14:textId="77777777" w:rsidTr="0050120C">
        <w:trPr>
          <w:trHeight w:hRule="exact" w:val="284"/>
          <w:jc w:val="center"/>
        </w:trPr>
        <w:tc>
          <w:tcPr>
            <w:tcW w:w="0" w:type="auto"/>
          </w:tcPr>
          <w:p w14:paraId="513B42CC" w14:textId="6B8778B1" w:rsidR="00977029" w:rsidRPr="0037003D" w:rsidRDefault="00815A01" w:rsidP="00977029">
            <w:pPr>
              <w:spacing w:line="300" w:lineRule="atLeast"/>
              <w:rPr>
                <w:sz w:val="18"/>
                <w:szCs w:val="18"/>
              </w:rPr>
            </w:pPr>
            <w:r w:rsidRPr="00C00B65">
              <w:rPr>
                <w:sz w:val="18"/>
                <w:szCs w:val="18"/>
              </w:rPr>
              <w:t>Crematoria</w:t>
            </w:r>
            <w:r w:rsidRPr="00815A01" w:rsidDel="00815A01">
              <w:rPr>
                <w:sz w:val="18"/>
                <w:szCs w:val="18"/>
              </w:rPr>
              <w:t xml:space="preserve"> </w:t>
            </w:r>
          </w:p>
        </w:tc>
        <w:tc>
          <w:tcPr>
            <w:tcW w:w="0" w:type="auto"/>
          </w:tcPr>
          <w:p w14:paraId="697E7BD3" w14:textId="29567597" w:rsidR="00977029" w:rsidRPr="0037003D" w:rsidRDefault="002E293F" w:rsidP="00977029">
            <w:pPr>
              <w:spacing w:line="300" w:lineRule="atLeast"/>
              <w:jc w:val="center"/>
              <w:rPr>
                <w:sz w:val="18"/>
                <w:szCs w:val="18"/>
              </w:rPr>
            </w:pPr>
            <w:r>
              <w:rPr>
                <w:sz w:val="18"/>
                <w:szCs w:val="18"/>
              </w:rPr>
              <w:t>+</w:t>
            </w:r>
            <w:r w:rsidR="00E94FFD">
              <w:rPr>
                <w:sz w:val="18"/>
                <w:szCs w:val="18"/>
              </w:rPr>
              <w:t>0.0</w:t>
            </w:r>
            <w:r w:rsidR="00815A01">
              <w:rPr>
                <w:sz w:val="18"/>
                <w:szCs w:val="18"/>
              </w:rPr>
              <w:t>20</w:t>
            </w:r>
          </w:p>
        </w:tc>
      </w:tr>
      <w:tr w:rsidR="00815A01" w:rsidRPr="00F65430" w14:paraId="2ADFF6D5" w14:textId="77777777" w:rsidTr="0050120C">
        <w:trPr>
          <w:trHeight w:hRule="exact" w:val="284"/>
          <w:jc w:val="center"/>
        </w:trPr>
        <w:tc>
          <w:tcPr>
            <w:tcW w:w="0" w:type="auto"/>
          </w:tcPr>
          <w:p w14:paraId="12F4C7BE" w14:textId="12A3AB6B" w:rsidR="00815A01" w:rsidRPr="0037003D" w:rsidRDefault="00815A01" w:rsidP="00815A01">
            <w:pPr>
              <w:spacing w:line="300" w:lineRule="atLeast"/>
              <w:rPr>
                <w:sz w:val="18"/>
                <w:szCs w:val="18"/>
              </w:rPr>
            </w:pPr>
            <w:r w:rsidRPr="00C00B65">
              <w:rPr>
                <w:sz w:val="18"/>
                <w:szCs w:val="18"/>
              </w:rPr>
              <w:t>Diesel engines</w:t>
            </w:r>
          </w:p>
        </w:tc>
        <w:tc>
          <w:tcPr>
            <w:tcW w:w="0" w:type="auto"/>
          </w:tcPr>
          <w:p w14:paraId="539F8C8E" w14:textId="5D5D5D84" w:rsidR="00815A01" w:rsidRPr="0037003D" w:rsidRDefault="002E293F" w:rsidP="00815A01">
            <w:pPr>
              <w:spacing w:line="300" w:lineRule="atLeast"/>
              <w:jc w:val="center"/>
              <w:rPr>
                <w:sz w:val="18"/>
                <w:szCs w:val="18"/>
              </w:rPr>
            </w:pPr>
            <w:r>
              <w:rPr>
                <w:sz w:val="18"/>
                <w:szCs w:val="18"/>
              </w:rPr>
              <w:t>+</w:t>
            </w:r>
            <w:r w:rsidR="00815A01">
              <w:rPr>
                <w:sz w:val="18"/>
                <w:szCs w:val="18"/>
              </w:rPr>
              <w:t>0.019</w:t>
            </w:r>
          </w:p>
        </w:tc>
      </w:tr>
    </w:tbl>
    <w:p w14:paraId="3DABE6FC" w14:textId="77777777" w:rsidR="00977029" w:rsidRPr="0037003D" w:rsidRDefault="00977029" w:rsidP="007A79A7">
      <w:pPr>
        <w:spacing w:line="300" w:lineRule="atLeast"/>
        <w:jc w:val="both"/>
        <w:rPr>
          <w:szCs w:val="18"/>
        </w:rPr>
      </w:pPr>
    </w:p>
    <w:p w14:paraId="60248D70" w14:textId="15896264" w:rsidR="00495051" w:rsidRPr="0037003D" w:rsidRDefault="00D85083" w:rsidP="00D72DE9">
      <w:pPr>
        <w:pStyle w:val="ListParagraph"/>
        <w:numPr>
          <w:ilvl w:val="0"/>
          <w:numId w:val="30"/>
        </w:numPr>
        <w:spacing w:line="300" w:lineRule="atLeast"/>
        <w:jc w:val="both"/>
        <w:rPr>
          <w:szCs w:val="18"/>
        </w:rPr>
      </w:pPr>
      <w:r w:rsidRPr="0037003D">
        <w:rPr>
          <w:szCs w:val="18"/>
        </w:rPr>
        <w:t>Releases from c</w:t>
      </w:r>
      <w:r w:rsidR="00B264DE" w:rsidRPr="0037003D">
        <w:rPr>
          <w:szCs w:val="18"/>
        </w:rPr>
        <w:t>ombustion of wood waste in industrial boilers ha</w:t>
      </w:r>
      <w:r w:rsidRPr="0037003D">
        <w:rPr>
          <w:szCs w:val="18"/>
        </w:rPr>
        <w:t xml:space="preserve">ve </w:t>
      </w:r>
      <w:r w:rsidR="00B264DE" w:rsidRPr="0037003D">
        <w:rPr>
          <w:szCs w:val="18"/>
        </w:rPr>
        <w:t>increased because of improvements in consumption estimates</w:t>
      </w:r>
      <w:r w:rsidR="004F7353">
        <w:rPr>
          <w:szCs w:val="18"/>
        </w:rPr>
        <w:t>.</w:t>
      </w:r>
    </w:p>
    <w:p w14:paraId="784DBA3A" w14:textId="37541AA4" w:rsidR="00B264DE" w:rsidRDefault="00B264DE" w:rsidP="00D72DE9">
      <w:pPr>
        <w:pStyle w:val="ListParagraph"/>
        <w:numPr>
          <w:ilvl w:val="0"/>
          <w:numId w:val="30"/>
        </w:numPr>
        <w:spacing w:line="300" w:lineRule="atLeast"/>
        <w:jc w:val="both"/>
        <w:rPr>
          <w:szCs w:val="18"/>
        </w:rPr>
      </w:pPr>
      <w:r w:rsidRPr="0037003D">
        <w:rPr>
          <w:szCs w:val="18"/>
        </w:rPr>
        <w:t xml:space="preserve">Landfill fires, forest fires and vehicle fires are </w:t>
      </w:r>
      <w:r w:rsidR="00841A70" w:rsidRPr="0037003D">
        <w:rPr>
          <w:szCs w:val="18"/>
        </w:rPr>
        <w:t>unpredictable</w:t>
      </w:r>
      <w:r w:rsidRPr="0037003D">
        <w:rPr>
          <w:szCs w:val="18"/>
        </w:rPr>
        <w:t xml:space="preserve"> events </w:t>
      </w:r>
      <w:r w:rsidR="00D85083" w:rsidRPr="0037003D">
        <w:rPr>
          <w:szCs w:val="18"/>
        </w:rPr>
        <w:t>which will fluctuate from year to year.</w:t>
      </w:r>
    </w:p>
    <w:p w14:paraId="308ED84D" w14:textId="65530D33" w:rsidR="00260C49" w:rsidRPr="0037003D" w:rsidRDefault="00260C49" w:rsidP="00D72DE9">
      <w:pPr>
        <w:pStyle w:val="ListParagraph"/>
        <w:numPr>
          <w:ilvl w:val="0"/>
          <w:numId w:val="30"/>
        </w:numPr>
        <w:spacing w:line="300" w:lineRule="atLeast"/>
        <w:jc w:val="both"/>
        <w:rPr>
          <w:szCs w:val="18"/>
        </w:rPr>
      </w:pPr>
      <w:r>
        <w:rPr>
          <w:szCs w:val="18"/>
        </w:rPr>
        <w:t xml:space="preserve">Metal shredding </w:t>
      </w:r>
      <w:r w:rsidR="00E02BD2">
        <w:rPr>
          <w:szCs w:val="18"/>
        </w:rPr>
        <w:t xml:space="preserve">releases </w:t>
      </w:r>
      <w:r>
        <w:rPr>
          <w:szCs w:val="18"/>
        </w:rPr>
        <w:t>ha</w:t>
      </w:r>
      <w:r w:rsidR="00E02BD2">
        <w:rPr>
          <w:szCs w:val="18"/>
        </w:rPr>
        <w:t>ve</w:t>
      </w:r>
      <w:r>
        <w:rPr>
          <w:szCs w:val="18"/>
        </w:rPr>
        <w:t xml:space="preserve"> increased due to an increase in shredder operators and material throughput.</w:t>
      </w:r>
    </w:p>
    <w:p w14:paraId="78E5E577" w14:textId="4CE1BA9C" w:rsidR="00D85083" w:rsidRPr="0037003D" w:rsidRDefault="00D85083" w:rsidP="00D72DE9">
      <w:pPr>
        <w:pStyle w:val="ListParagraph"/>
        <w:numPr>
          <w:ilvl w:val="0"/>
          <w:numId w:val="30"/>
        </w:numPr>
        <w:spacing w:line="300" w:lineRule="atLeast"/>
        <w:jc w:val="both"/>
        <w:rPr>
          <w:szCs w:val="18"/>
        </w:rPr>
      </w:pPr>
      <w:r w:rsidRPr="0037003D">
        <w:rPr>
          <w:szCs w:val="18"/>
        </w:rPr>
        <w:t>Releases from coal</w:t>
      </w:r>
      <w:r w:rsidR="0094426B">
        <w:rPr>
          <w:szCs w:val="18"/>
        </w:rPr>
        <w:t>-</w:t>
      </w:r>
      <w:r w:rsidRPr="0037003D">
        <w:rPr>
          <w:szCs w:val="18"/>
        </w:rPr>
        <w:t>fired electricity generation have increased because more coal was burned to cover hydroelectricity shortages and maintenance of the Cook Strait cable in 2020.</w:t>
      </w:r>
    </w:p>
    <w:p w14:paraId="6C31B47F" w14:textId="6E6681B9" w:rsidR="00F30796" w:rsidRPr="0037003D" w:rsidRDefault="00D72DE9" w:rsidP="00D72DE9">
      <w:pPr>
        <w:pStyle w:val="ListParagraph"/>
        <w:numPr>
          <w:ilvl w:val="0"/>
          <w:numId w:val="30"/>
        </w:numPr>
        <w:spacing w:line="300" w:lineRule="atLeast"/>
        <w:jc w:val="both"/>
        <w:rPr>
          <w:szCs w:val="18"/>
        </w:rPr>
      </w:pPr>
      <w:r w:rsidRPr="0037003D">
        <w:rPr>
          <w:szCs w:val="18"/>
        </w:rPr>
        <w:t>I</w:t>
      </w:r>
      <w:r w:rsidR="006C6E0B" w:rsidRPr="0037003D">
        <w:rPr>
          <w:szCs w:val="18"/>
        </w:rPr>
        <w:t>ncreased r</w:t>
      </w:r>
      <w:r w:rsidR="005F0FDB" w:rsidRPr="0037003D">
        <w:rPr>
          <w:szCs w:val="18"/>
        </w:rPr>
        <w:t xml:space="preserve">eleases </w:t>
      </w:r>
      <w:r w:rsidR="006C6E0B" w:rsidRPr="0037003D">
        <w:rPr>
          <w:szCs w:val="18"/>
        </w:rPr>
        <w:t xml:space="preserve">from </w:t>
      </w:r>
      <w:r w:rsidR="00D85083" w:rsidRPr="0037003D">
        <w:rPr>
          <w:szCs w:val="18"/>
        </w:rPr>
        <w:t>landfill deposition</w:t>
      </w:r>
      <w:r w:rsidR="007572B2">
        <w:rPr>
          <w:szCs w:val="18"/>
        </w:rPr>
        <w:t>,</w:t>
      </w:r>
      <w:r w:rsidR="00D85083" w:rsidRPr="0037003D">
        <w:rPr>
          <w:szCs w:val="18"/>
        </w:rPr>
        <w:t xml:space="preserve"> </w:t>
      </w:r>
      <w:r w:rsidR="006C6E0B" w:rsidRPr="0037003D">
        <w:rPr>
          <w:szCs w:val="18"/>
        </w:rPr>
        <w:t xml:space="preserve">sewage treatment, </w:t>
      </w:r>
      <w:r w:rsidRPr="0037003D">
        <w:rPr>
          <w:szCs w:val="18"/>
        </w:rPr>
        <w:t>and crematoria can be</w:t>
      </w:r>
      <w:r w:rsidR="006C6E0B" w:rsidRPr="0037003D">
        <w:rPr>
          <w:szCs w:val="18"/>
        </w:rPr>
        <w:t xml:space="preserve"> attr</w:t>
      </w:r>
      <w:r w:rsidR="000E5B3F" w:rsidRPr="0037003D">
        <w:rPr>
          <w:szCs w:val="18"/>
        </w:rPr>
        <w:t xml:space="preserve">ibuted to population increase. </w:t>
      </w:r>
    </w:p>
    <w:p w14:paraId="0CC7BE6E" w14:textId="01916F12" w:rsidR="00841A70" w:rsidRPr="0037003D" w:rsidRDefault="00841A70" w:rsidP="00D72DE9">
      <w:pPr>
        <w:pStyle w:val="ListParagraph"/>
        <w:numPr>
          <w:ilvl w:val="0"/>
          <w:numId w:val="30"/>
        </w:numPr>
        <w:spacing w:line="300" w:lineRule="atLeast"/>
        <w:jc w:val="both"/>
        <w:rPr>
          <w:szCs w:val="18"/>
        </w:rPr>
      </w:pPr>
      <w:r w:rsidRPr="0037003D">
        <w:rPr>
          <w:szCs w:val="18"/>
        </w:rPr>
        <w:t>Pet cremator increases can be attributed to improvements in throughput estimation following a Regional Council survey.</w:t>
      </w:r>
    </w:p>
    <w:p w14:paraId="435EC3A8" w14:textId="40E90F3B" w:rsidR="004401CF" w:rsidRPr="0037003D" w:rsidRDefault="004401CF" w:rsidP="00D72DE9">
      <w:pPr>
        <w:pStyle w:val="ListParagraph"/>
        <w:numPr>
          <w:ilvl w:val="0"/>
          <w:numId w:val="30"/>
        </w:numPr>
        <w:spacing w:line="300" w:lineRule="atLeast"/>
        <w:jc w:val="both"/>
        <w:rPr>
          <w:szCs w:val="18"/>
        </w:rPr>
      </w:pPr>
      <w:r w:rsidRPr="0037003D">
        <w:rPr>
          <w:szCs w:val="18"/>
        </w:rPr>
        <w:t xml:space="preserve">Releases from 2-stroke engines are greater </w:t>
      </w:r>
      <w:r w:rsidR="00527864">
        <w:rPr>
          <w:szCs w:val="18"/>
        </w:rPr>
        <w:t>because of</w:t>
      </w:r>
      <w:r w:rsidRPr="0037003D">
        <w:rPr>
          <w:szCs w:val="18"/>
        </w:rPr>
        <w:t xml:space="preserve"> increased fuel consumption estimates </w:t>
      </w:r>
      <w:r w:rsidR="00532278">
        <w:rPr>
          <w:szCs w:val="18"/>
        </w:rPr>
        <w:t>for</w:t>
      </w:r>
      <w:r w:rsidRPr="0037003D">
        <w:rPr>
          <w:szCs w:val="18"/>
        </w:rPr>
        <w:t xml:space="preserve"> the recreational marine sector.</w:t>
      </w:r>
    </w:p>
    <w:p w14:paraId="2AB87223" w14:textId="05078699" w:rsidR="001F000A" w:rsidRPr="0037003D" w:rsidRDefault="001F000A" w:rsidP="00D72DE9">
      <w:pPr>
        <w:pStyle w:val="ListParagraph"/>
        <w:numPr>
          <w:ilvl w:val="0"/>
          <w:numId w:val="30"/>
        </w:numPr>
        <w:spacing w:line="300" w:lineRule="atLeast"/>
        <w:jc w:val="both"/>
        <w:rPr>
          <w:szCs w:val="18"/>
        </w:rPr>
      </w:pPr>
      <w:r w:rsidRPr="0037003D">
        <w:rPr>
          <w:szCs w:val="18"/>
        </w:rPr>
        <w:t xml:space="preserve">Increased releases from diesel engines result from increased diesel consumption which may be related to heavy fuel oil replacement in the marine transport industry. </w:t>
      </w:r>
    </w:p>
    <w:p w14:paraId="37D1334C" w14:textId="34088725" w:rsidR="00F30796" w:rsidRPr="004B7C48" w:rsidRDefault="00F30796">
      <w:pPr>
        <w:spacing w:after="0"/>
        <w:rPr>
          <w:szCs w:val="18"/>
          <w:highlight w:val="yellow"/>
        </w:rPr>
      </w:pPr>
      <w:r w:rsidRPr="004B7C48">
        <w:rPr>
          <w:szCs w:val="18"/>
          <w:highlight w:val="yellow"/>
        </w:rPr>
        <w:br w:type="page"/>
      </w:r>
    </w:p>
    <w:p w14:paraId="463560EC" w14:textId="77777777" w:rsidR="0050196B" w:rsidRPr="004B7C48" w:rsidRDefault="0050196B">
      <w:pPr>
        <w:spacing w:after="0"/>
        <w:rPr>
          <w:szCs w:val="18"/>
          <w:highlight w:val="yellow"/>
        </w:rPr>
      </w:pPr>
    </w:p>
    <w:p w14:paraId="79B973A7" w14:textId="72013B0B" w:rsidR="00CC3BDB" w:rsidRPr="0037003D" w:rsidRDefault="670104CE" w:rsidP="0C34660A">
      <w:pPr>
        <w:spacing w:line="300" w:lineRule="atLeast"/>
        <w:jc w:val="center"/>
        <w:rPr>
          <w:b/>
          <w:bCs/>
        </w:rPr>
      </w:pPr>
      <w:r w:rsidRPr="0C34660A">
        <w:rPr>
          <w:b/>
          <w:bCs/>
        </w:rPr>
        <w:t>T</w:t>
      </w:r>
      <w:r w:rsidR="14B92894" w:rsidRPr="0C34660A">
        <w:rPr>
          <w:b/>
          <w:bCs/>
        </w:rPr>
        <w:t>able E2</w:t>
      </w:r>
      <w:bookmarkStart w:id="8" w:name="_Int_MyHjqNMd"/>
      <w:r w:rsidR="14B92894" w:rsidRPr="0C34660A">
        <w:rPr>
          <w:b/>
          <w:bCs/>
        </w:rPr>
        <w:t xml:space="preserve">. </w:t>
      </w:r>
      <w:bookmarkEnd w:id="8"/>
      <w:r w:rsidRPr="0C34660A">
        <w:rPr>
          <w:b/>
          <w:bCs/>
        </w:rPr>
        <w:t xml:space="preserve">Source </w:t>
      </w:r>
      <w:r w:rsidR="14B92894" w:rsidRPr="0C34660A">
        <w:rPr>
          <w:b/>
          <w:bCs/>
        </w:rPr>
        <w:t>Categories with Decreases</w:t>
      </w:r>
      <w:r w:rsidRPr="0C34660A">
        <w:rPr>
          <w:b/>
          <w:bCs/>
        </w:rPr>
        <w:t xml:space="preserve"> Compared to </w:t>
      </w:r>
      <w:r w:rsidR="10D9455E" w:rsidRPr="0C34660A">
        <w:rPr>
          <w:b/>
          <w:bCs/>
        </w:rPr>
        <w:t>2016</w:t>
      </w:r>
    </w:p>
    <w:tbl>
      <w:tblPr>
        <w:tblStyle w:val="TableGrid"/>
        <w:tblW w:w="0" w:type="auto"/>
        <w:jc w:val="center"/>
        <w:tblLook w:val="04A0" w:firstRow="1" w:lastRow="0" w:firstColumn="1" w:lastColumn="0" w:noHBand="0" w:noVBand="1"/>
      </w:tblPr>
      <w:tblGrid>
        <w:gridCol w:w="4248"/>
        <w:gridCol w:w="1964"/>
      </w:tblGrid>
      <w:tr w:rsidR="00CC3BDB" w:rsidRPr="000737E1" w14:paraId="766BD7B8" w14:textId="77777777" w:rsidTr="0C34660A">
        <w:trPr>
          <w:jc w:val="center"/>
        </w:trPr>
        <w:tc>
          <w:tcPr>
            <w:tcW w:w="4248" w:type="dxa"/>
          </w:tcPr>
          <w:p w14:paraId="657060AD" w14:textId="77777777" w:rsidR="00CC3BDB" w:rsidRPr="0037003D" w:rsidRDefault="00CC3BDB" w:rsidP="005F5EE3">
            <w:pPr>
              <w:spacing w:after="0" w:line="300" w:lineRule="atLeast"/>
              <w:jc w:val="center"/>
              <w:rPr>
                <w:b/>
                <w:sz w:val="18"/>
                <w:szCs w:val="18"/>
              </w:rPr>
            </w:pPr>
            <w:r w:rsidRPr="0037003D">
              <w:rPr>
                <w:b/>
                <w:sz w:val="18"/>
                <w:szCs w:val="18"/>
              </w:rPr>
              <w:t>Source Category</w:t>
            </w:r>
          </w:p>
        </w:tc>
        <w:tc>
          <w:tcPr>
            <w:tcW w:w="1964" w:type="dxa"/>
          </w:tcPr>
          <w:p w14:paraId="43C33890" w14:textId="77777777" w:rsidR="005F5EE3" w:rsidRPr="0037003D" w:rsidRDefault="00CC3BDB" w:rsidP="005F5EE3">
            <w:pPr>
              <w:spacing w:after="0" w:line="300" w:lineRule="atLeast"/>
              <w:jc w:val="center"/>
              <w:rPr>
                <w:b/>
                <w:sz w:val="18"/>
                <w:szCs w:val="18"/>
              </w:rPr>
            </w:pPr>
            <w:r w:rsidRPr="0037003D">
              <w:rPr>
                <w:b/>
                <w:sz w:val="18"/>
                <w:szCs w:val="18"/>
              </w:rPr>
              <w:t xml:space="preserve">Change in Dioxin Release </w:t>
            </w:r>
          </w:p>
          <w:p w14:paraId="2339AB42" w14:textId="335DB837" w:rsidR="00CC3BDB" w:rsidRPr="0037003D" w:rsidRDefault="00CC3BDB" w:rsidP="005F5EE3">
            <w:pPr>
              <w:spacing w:after="0" w:line="300" w:lineRule="atLeast"/>
              <w:jc w:val="center"/>
              <w:rPr>
                <w:b/>
                <w:sz w:val="18"/>
                <w:szCs w:val="18"/>
              </w:rPr>
            </w:pPr>
            <w:r w:rsidRPr="0037003D">
              <w:rPr>
                <w:b/>
                <w:sz w:val="18"/>
                <w:szCs w:val="18"/>
              </w:rPr>
              <w:t>(g TEQ/annum)</w:t>
            </w:r>
          </w:p>
        </w:tc>
      </w:tr>
      <w:tr w:rsidR="00CC3BDB" w:rsidRPr="000737E1" w14:paraId="56C985E5" w14:textId="77777777" w:rsidTr="0C34660A">
        <w:trPr>
          <w:trHeight w:hRule="exact" w:val="284"/>
          <w:jc w:val="center"/>
        </w:trPr>
        <w:tc>
          <w:tcPr>
            <w:tcW w:w="4248" w:type="dxa"/>
            <w:vAlign w:val="bottom"/>
          </w:tcPr>
          <w:p w14:paraId="223F9865" w14:textId="79628F32" w:rsidR="00CC3BDB" w:rsidRPr="0037003D" w:rsidRDefault="00ED7FF6" w:rsidP="006202B2">
            <w:pPr>
              <w:spacing w:line="300" w:lineRule="atLeast"/>
              <w:rPr>
                <w:sz w:val="18"/>
                <w:szCs w:val="18"/>
              </w:rPr>
            </w:pPr>
            <w:r w:rsidRPr="0037003D">
              <w:rPr>
                <w:sz w:val="18"/>
                <w:szCs w:val="18"/>
              </w:rPr>
              <w:t>Secondary aluminium production</w:t>
            </w:r>
          </w:p>
        </w:tc>
        <w:tc>
          <w:tcPr>
            <w:tcW w:w="1964" w:type="dxa"/>
            <w:vAlign w:val="bottom"/>
          </w:tcPr>
          <w:p w14:paraId="7CC61967" w14:textId="551C709E" w:rsidR="00CC3BDB" w:rsidRPr="0037003D" w:rsidRDefault="00CC3BDB" w:rsidP="006202B2">
            <w:pPr>
              <w:spacing w:line="300" w:lineRule="atLeast"/>
              <w:jc w:val="center"/>
              <w:rPr>
                <w:sz w:val="18"/>
                <w:szCs w:val="18"/>
              </w:rPr>
            </w:pPr>
            <w:r w:rsidRPr="0037003D">
              <w:rPr>
                <w:sz w:val="18"/>
                <w:szCs w:val="18"/>
              </w:rPr>
              <w:t>-</w:t>
            </w:r>
            <w:r w:rsidR="00ED7FF6" w:rsidRPr="0037003D">
              <w:rPr>
                <w:sz w:val="18"/>
                <w:szCs w:val="18"/>
              </w:rPr>
              <w:t>1.48</w:t>
            </w:r>
          </w:p>
        </w:tc>
      </w:tr>
      <w:tr w:rsidR="00D24EAB" w:rsidRPr="000737E1" w14:paraId="72D75E26" w14:textId="77777777" w:rsidTr="0C34660A">
        <w:trPr>
          <w:trHeight w:hRule="exact" w:val="284"/>
          <w:jc w:val="center"/>
        </w:trPr>
        <w:tc>
          <w:tcPr>
            <w:tcW w:w="4248" w:type="dxa"/>
            <w:vAlign w:val="bottom"/>
          </w:tcPr>
          <w:p w14:paraId="0C22773D" w14:textId="3196B8CD" w:rsidR="00D24EAB" w:rsidRPr="0037003D" w:rsidRDefault="00ED7FF6" w:rsidP="006202B2">
            <w:pPr>
              <w:spacing w:line="300" w:lineRule="atLeast"/>
              <w:rPr>
                <w:sz w:val="18"/>
                <w:szCs w:val="18"/>
              </w:rPr>
            </w:pPr>
            <w:r w:rsidRPr="0037003D">
              <w:rPr>
                <w:sz w:val="18"/>
                <w:szCs w:val="18"/>
              </w:rPr>
              <w:t>Structure Fires</w:t>
            </w:r>
          </w:p>
        </w:tc>
        <w:tc>
          <w:tcPr>
            <w:tcW w:w="1964" w:type="dxa"/>
            <w:vAlign w:val="bottom"/>
          </w:tcPr>
          <w:p w14:paraId="214518DB" w14:textId="48F4C14D" w:rsidR="00D24EAB" w:rsidRPr="0037003D" w:rsidRDefault="00D24EAB" w:rsidP="006202B2">
            <w:pPr>
              <w:spacing w:line="300" w:lineRule="atLeast"/>
              <w:jc w:val="center"/>
              <w:rPr>
                <w:sz w:val="18"/>
                <w:szCs w:val="18"/>
              </w:rPr>
            </w:pPr>
            <w:r w:rsidRPr="0037003D">
              <w:rPr>
                <w:sz w:val="18"/>
                <w:szCs w:val="18"/>
              </w:rPr>
              <w:t>-0.</w:t>
            </w:r>
            <w:r w:rsidR="00ED7FF6" w:rsidRPr="0037003D">
              <w:rPr>
                <w:sz w:val="18"/>
                <w:szCs w:val="18"/>
              </w:rPr>
              <w:t>87</w:t>
            </w:r>
          </w:p>
        </w:tc>
      </w:tr>
      <w:tr w:rsidR="00D24EAB" w:rsidRPr="000737E1" w14:paraId="283DEE67" w14:textId="77777777" w:rsidTr="0C34660A">
        <w:trPr>
          <w:trHeight w:hRule="exact" w:val="284"/>
          <w:jc w:val="center"/>
        </w:trPr>
        <w:tc>
          <w:tcPr>
            <w:tcW w:w="4248" w:type="dxa"/>
            <w:vAlign w:val="bottom"/>
          </w:tcPr>
          <w:p w14:paraId="4B43DAC7" w14:textId="70A871AC" w:rsidR="00D24EAB" w:rsidRPr="0037003D" w:rsidRDefault="00ED7FF6" w:rsidP="006202B2">
            <w:pPr>
              <w:spacing w:line="300" w:lineRule="atLeast"/>
              <w:rPr>
                <w:sz w:val="18"/>
                <w:szCs w:val="18"/>
              </w:rPr>
            </w:pPr>
            <w:r w:rsidRPr="0037003D">
              <w:rPr>
                <w:sz w:val="18"/>
                <w:szCs w:val="18"/>
              </w:rPr>
              <w:t>Open burning of domestic wastes</w:t>
            </w:r>
          </w:p>
        </w:tc>
        <w:tc>
          <w:tcPr>
            <w:tcW w:w="1964" w:type="dxa"/>
            <w:vAlign w:val="bottom"/>
          </w:tcPr>
          <w:p w14:paraId="052CF19E" w14:textId="091DD75D" w:rsidR="00D24EAB" w:rsidRPr="0037003D" w:rsidRDefault="00ED7FF6" w:rsidP="006202B2">
            <w:pPr>
              <w:spacing w:line="300" w:lineRule="atLeast"/>
              <w:jc w:val="center"/>
              <w:rPr>
                <w:sz w:val="18"/>
                <w:szCs w:val="18"/>
              </w:rPr>
            </w:pPr>
            <w:r w:rsidRPr="0037003D">
              <w:rPr>
                <w:sz w:val="18"/>
                <w:szCs w:val="18"/>
              </w:rPr>
              <w:t>-0.35</w:t>
            </w:r>
          </w:p>
        </w:tc>
      </w:tr>
      <w:tr w:rsidR="00D24EAB" w:rsidRPr="000737E1" w14:paraId="27F01265" w14:textId="77777777" w:rsidTr="0C34660A">
        <w:trPr>
          <w:trHeight w:hRule="exact" w:val="284"/>
          <w:jc w:val="center"/>
        </w:trPr>
        <w:tc>
          <w:tcPr>
            <w:tcW w:w="4248" w:type="dxa"/>
            <w:vAlign w:val="bottom"/>
          </w:tcPr>
          <w:p w14:paraId="3BE377DC" w14:textId="77777777" w:rsidR="001D1DB8" w:rsidRPr="000737E1" w:rsidRDefault="001D1DB8" w:rsidP="001D1DB8">
            <w:pPr>
              <w:spacing w:line="300" w:lineRule="atLeast"/>
              <w:jc w:val="both"/>
              <w:rPr>
                <w:sz w:val="18"/>
                <w:szCs w:val="18"/>
              </w:rPr>
            </w:pPr>
            <w:r w:rsidRPr="000737E1">
              <w:rPr>
                <w:sz w:val="18"/>
                <w:szCs w:val="18"/>
              </w:rPr>
              <w:t xml:space="preserve">Pulp &amp; paper </w:t>
            </w:r>
            <w:r>
              <w:rPr>
                <w:sz w:val="18"/>
                <w:szCs w:val="18"/>
              </w:rPr>
              <w:t>production</w:t>
            </w:r>
          </w:p>
          <w:p w14:paraId="6AEF9B24" w14:textId="58DBB245" w:rsidR="00D24EAB" w:rsidRPr="0037003D" w:rsidRDefault="00D24EAB" w:rsidP="006202B2">
            <w:pPr>
              <w:spacing w:line="300" w:lineRule="atLeast"/>
              <w:rPr>
                <w:sz w:val="18"/>
                <w:szCs w:val="18"/>
              </w:rPr>
            </w:pPr>
          </w:p>
        </w:tc>
        <w:tc>
          <w:tcPr>
            <w:tcW w:w="1964" w:type="dxa"/>
            <w:vAlign w:val="bottom"/>
          </w:tcPr>
          <w:p w14:paraId="051F96FD" w14:textId="67358A35" w:rsidR="00D24EAB" w:rsidRPr="0037003D" w:rsidRDefault="001D1DB8" w:rsidP="006202B2">
            <w:pPr>
              <w:spacing w:line="300" w:lineRule="atLeast"/>
              <w:jc w:val="center"/>
              <w:rPr>
                <w:sz w:val="18"/>
                <w:szCs w:val="18"/>
              </w:rPr>
            </w:pPr>
            <w:r>
              <w:rPr>
                <w:sz w:val="18"/>
                <w:szCs w:val="18"/>
              </w:rPr>
              <w:t>-0.34</w:t>
            </w:r>
          </w:p>
        </w:tc>
      </w:tr>
      <w:tr w:rsidR="001D1DB8" w:rsidRPr="000737E1" w14:paraId="5E168433" w14:textId="77777777" w:rsidTr="0C34660A">
        <w:trPr>
          <w:trHeight w:hRule="exact" w:val="284"/>
          <w:jc w:val="center"/>
        </w:trPr>
        <w:tc>
          <w:tcPr>
            <w:tcW w:w="4248" w:type="dxa"/>
            <w:vAlign w:val="bottom"/>
          </w:tcPr>
          <w:p w14:paraId="4C88593B" w14:textId="77777777" w:rsidR="001D1DB8" w:rsidRPr="000737E1" w:rsidRDefault="001D1DB8" w:rsidP="001D1DB8">
            <w:pPr>
              <w:spacing w:line="300" w:lineRule="atLeast"/>
              <w:jc w:val="both"/>
              <w:rPr>
                <w:sz w:val="18"/>
                <w:szCs w:val="18"/>
              </w:rPr>
            </w:pPr>
            <w:r w:rsidRPr="000737E1">
              <w:rPr>
                <w:sz w:val="18"/>
                <w:szCs w:val="18"/>
              </w:rPr>
              <w:t>Industrial/commercial coal use</w:t>
            </w:r>
          </w:p>
          <w:p w14:paraId="3FFE8628" w14:textId="6AB2F9B9" w:rsidR="001D1DB8" w:rsidRPr="0037003D" w:rsidRDefault="001D1DB8" w:rsidP="001D1DB8">
            <w:pPr>
              <w:spacing w:line="300" w:lineRule="atLeast"/>
              <w:rPr>
                <w:sz w:val="18"/>
                <w:szCs w:val="18"/>
              </w:rPr>
            </w:pPr>
          </w:p>
        </w:tc>
        <w:tc>
          <w:tcPr>
            <w:tcW w:w="1964" w:type="dxa"/>
            <w:vAlign w:val="bottom"/>
          </w:tcPr>
          <w:p w14:paraId="226D81BA" w14:textId="25D3F99D" w:rsidR="001D1DB8" w:rsidRPr="0037003D" w:rsidRDefault="001D1DB8" w:rsidP="001D1DB8">
            <w:pPr>
              <w:spacing w:line="300" w:lineRule="atLeast"/>
              <w:jc w:val="center"/>
              <w:rPr>
                <w:sz w:val="18"/>
                <w:szCs w:val="18"/>
              </w:rPr>
            </w:pPr>
            <w:r w:rsidRPr="0037003D">
              <w:rPr>
                <w:sz w:val="18"/>
                <w:szCs w:val="18"/>
              </w:rPr>
              <w:t>-0.23</w:t>
            </w:r>
          </w:p>
        </w:tc>
      </w:tr>
      <w:tr w:rsidR="001D1DB8" w:rsidRPr="000737E1" w14:paraId="153B1262" w14:textId="77777777" w:rsidTr="0C34660A">
        <w:trPr>
          <w:trHeight w:hRule="exact" w:val="284"/>
          <w:jc w:val="center"/>
        </w:trPr>
        <w:tc>
          <w:tcPr>
            <w:tcW w:w="4248" w:type="dxa"/>
            <w:vAlign w:val="bottom"/>
          </w:tcPr>
          <w:p w14:paraId="501BB2F5" w14:textId="77777777" w:rsidR="001D1DB8" w:rsidRPr="000737E1" w:rsidRDefault="001D1DB8" w:rsidP="001D1DB8">
            <w:pPr>
              <w:spacing w:line="300" w:lineRule="atLeast"/>
              <w:jc w:val="both"/>
              <w:rPr>
                <w:sz w:val="18"/>
                <w:szCs w:val="18"/>
              </w:rPr>
            </w:pPr>
            <w:r w:rsidRPr="000737E1">
              <w:rPr>
                <w:sz w:val="18"/>
                <w:szCs w:val="18"/>
              </w:rPr>
              <w:t>Primary iron &amp; steel production</w:t>
            </w:r>
          </w:p>
          <w:p w14:paraId="20DA8B3F" w14:textId="597BAEA4" w:rsidR="001D1DB8" w:rsidRPr="0037003D" w:rsidRDefault="001D1DB8" w:rsidP="001D1DB8">
            <w:pPr>
              <w:spacing w:line="300" w:lineRule="atLeast"/>
              <w:rPr>
                <w:sz w:val="18"/>
                <w:szCs w:val="18"/>
              </w:rPr>
            </w:pPr>
          </w:p>
        </w:tc>
        <w:tc>
          <w:tcPr>
            <w:tcW w:w="1964" w:type="dxa"/>
            <w:vAlign w:val="bottom"/>
          </w:tcPr>
          <w:p w14:paraId="7B1CA6E1" w14:textId="51AD4050" w:rsidR="001D1DB8" w:rsidRPr="0037003D" w:rsidRDefault="001D1DB8" w:rsidP="001D1DB8">
            <w:pPr>
              <w:spacing w:line="300" w:lineRule="atLeast"/>
              <w:jc w:val="center"/>
              <w:rPr>
                <w:sz w:val="18"/>
                <w:szCs w:val="18"/>
              </w:rPr>
            </w:pPr>
            <w:r w:rsidRPr="0037003D">
              <w:rPr>
                <w:sz w:val="18"/>
                <w:szCs w:val="18"/>
              </w:rPr>
              <w:t>-0.18</w:t>
            </w:r>
          </w:p>
        </w:tc>
      </w:tr>
      <w:tr w:rsidR="001D1DB8" w:rsidRPr="000737E1" w14:paraId="205E0CDC" w14:textId="77777777" w:rsidTr="002B1D39">
        <w:trPr>
          <w:trHeight w:hRule="exact" w:val="284"/>
          <w:jc w:val="center"/>
        </w:trPr>
        <w:tc>
          <w:tcPr>
            <w:tcW w:w="4248" w:type="dxa"/>
            <w:vAlign w:val="bottom"/>
          </w:tcPr>
          <w:p w14:paraId="7E8918B2" w14:textId="77777777" w:rsidR="001D1DB8" w:rsidRPr="0037003D" w:rsidRDefault="001D1DB8" w:rsidP="001D1DB8">
            <w:pPr>
              <w:spacing w:line="300" w:lineRule="atLeast"/>
              <w:jc w:val="both"/>
              <w:rPr>
                <w:sz w:val="18"/>
                <w:szCs w:val="18"/>
              </w:rPr>
            </w:pPr>
            <w:r w:rsidRPr="0037003D">
              <w:rPr>
                <w:sz w:val="18"/>
                <w:szCs w:val="18"/>
              </w:rPr>
              <w:t>Brass and bronze production</w:t>
            </w:r>
          </w:p>
          <w:p w14:paraId="163CEAD5" w14:textId="0C05FDED" w:rsidR="001D1DB8" w:rsidRPr="0037003D" w:rsidRDefault="001D1DB8" w:rsidP="001D1DB8">
            <w:pPr>
              <w:spacing w:line="300" w:lineRule="atLeast"/>
              <w:rPr>
                <w:sz w:val="18"/>
                <w:szCs w:val="18"/>
              </w:rPr>
            </w:pPr>
          </w:p>
        </w:tc>
        <w:tc>
          <w:tcPr>
            <w:tcW w:w="1964" w:type="dxa"/>
            <w:vAlign w:val="bottom"/>
          </w:tcPr>
          <w:p w14:paraId="3A09ADD1" w14:textId="6C856A7C" w:rsidR="001D1DB8" w:rsidRPr="0037003D" w:rsidRDefault="001D1DB8" w:rsidP="001D1DB8">
            <w:pPr>
              <w:spacing w:line="300" w:lineRule="atLeast"/>
              <w:jc w:val="center"/>
              <w:rPr>
                <w:sz w:val="18"/>
                <w:szCs w:val="18"/>
              </w:rPr>
            </w:pPr>
            <w:r w:rsidRPr="0037003D">
              <w:rPr>
                <w:sz w:val="18"/>
                <w:szCs w:val="18"/>
              </w:rPr>
              <w:t>-0.15</w:t>
            </w:r>
          </w:p>
        </w:tc>
      </w:tr>
      <w:tr w:rsidR="001D1DB8" w:rsidRPr="000737E1" w14:paraId="6D7A4953" w14:textId="77777777" w:rsidTr="002B1D39">
        <w:trPr>
          <w:trHeight w:hRule="exact" w:val="284"/>
          <w:jc w:val="center"/>
        </w:trPr>
        <w:tc>
          <w:tcPr>
            <w:tcW w:w="4248" w:type="dxa"/>
          </w:tcPr>
          <w:p w14:paraId="532016E8" w14:textId="555300C5" w:rsidR="001D1DB8" w:rsidRPr="0037003D" w:rsidRDefault="001D1DB8" w:rsidP="001D1DB8">
            <w:pPr>
              <w:spacing w:line="300" w:lineRule="atLeast"/>
              <w:rPr>
                <w:sz w:val="18"/>
                <w:szCs w:val="18"/>
              </w:rPr>
            </w:pPr>
            <w:r w:rsidRPr="0037003D">
              <w:rPr>
                <w:sz w:val="18"/>
                <w:szCs w:val="18"/>
              </w:rPr>
              <w:t>Iron foundries</w:t>
            </w:r>
          </w:p>
        </w:tc>
        <w:tc>
          <w:tcPr>
            <w:tcW w:w="1964" w:type="dxa"/>
          </w:tcPr>
          <w:p w14:paraId="111BAAF6" w14:textId="6C516ACB" w:rsidR="001D1DB8" w:rsidRPr="0037003D" w:rsidRDefault="001D1DB8" w:rsidP="001D1DB8">
            <w:pPr>
              <w:spacing w:line="300" w:lineRule="atLeast"/>
              <w:jc w:val="center"/>
              <w:rPr>
                <w:sz w:val="18"/>
                <w:szCs w:val="18"/>
              </w:rPr>
            </w:pPr>
            <w:r w:rsidRPr="0037003D">
              <w:rPr>
                <w:sz w:val="18"/>
                <w:szCs w:val="18"/>
              </w:rPr>
              <w:t>-0.12</w:t>
            </w:r>
          </w:p>
        </w:tc>
      </w:tr>
      <w:tr w:rsidR="000F0F9F" w:rsidRPr="000737E1" w14:paraId="4F78AFF0" w14:textId="77777777" w:rsidTr="0C34660A">
        <w:trPr>
          <w:trHeight w:hRule="exact" w:val="284"/>
          <w:jc w:val="center"/>
        </w:trPr>
        <w:tc>
          <w:tcPr>
            <w:tcW w:w="4248" w:type="dxa"/>
            <w:vAlign w:val="bottom"/>
          </w:tcPr>
          <w:p w14:paraId="075BEA92" w14:textId="59C88637" w:rsidR="000F0F9F" w:rsidRPr="0037003D" w:rsidRDefault="5DEA7402" w:rsidP="006202B2">
            <w:pPr>
              <w:spacing w:line="300" w:lineRule="atLeast"/>
              <w:rPr>
                <w:sz w:val="18"/>
                <w:szCs w:val="18"/>
              </w:rPr>
            </w:pPr>
            <w:r w:rsidRPr="0C34660A">
              <w:rPr>
                <w:sz w:val="18"/>
                <w:szCs w:val="18"/>
              </w:rPr>
              <w:t>Household heating &amp; cooking with biomass (wood)</w:t>
            </w:r>
          </w:p>
        </w:tc>
        <w:tc>
          <w:tcPr>
            <w:tcW w:w="1964" w:type="dxa"/>
            <w:vAlign w:val="bottom"/>
          </w:tcPr>
          <w:p w14:paraId="6C42886D" w14:textId="06CE1722" w:rsidR="000F0F9F" w:rsidRPr="0037003D" w:rsidRDefault="000F0F9F" w:rsidP="006202B2">
            <w:pPr>
              <w:spacing w:line="300" w:lineRule="atLeast"/>
              <w:jc w:val="center"/>
              <w:rPr>
                <w:sz w:val="18"/>
                <w:szCs w:val="18"/>
              </w:rPr>
            </w:pPr>
            <w:r w:rsidRPr="0037003D">
              <w:rPr>
                <w:sz w:val="18"/>
                <w:szCs w:val="18"/>
              </w:rPr>
              <w:t>-0.0</w:t>
            </w:r>
            <w:r w:rsidR="00D10401" w:rsidRPr="0037003D">
              <w:rPr>
                <w:sz w:val="18"/>
                <w:szCs w:val="18"/>
              </w:rPr>
              <w:t>69</w:t>
            </w:r>
          </w:p>
        </w:tc>
      </w:tr>
      <w:tr w:rsidR="000F0F9F" w:rsidRPr="000737E1" w14:paraId="61A22317" w14:textId="77777777" w:rsidTr="0C34660A">
        <w:trPr>
          <w:trHeight w:hRule="exact" w:val="284"/>
          <w:jc w:val="center"/>
        </w:trPr>
        <w:tc>
          <w:tcPr>
            <w:tcW w:w="4248" w:type="dxa"/>
            <w:vAlign w:val="bottom"/>
          </w:tcPr>
          <w:p w14:paraId="64026B11" w14:textId="05FE23E1" w:rsidR="000F0F9F" w:rsidRPr="0037003D" w:rsidRDefault="5DEA7402" w:rsidP="006202B2">
            <w:pPr>
              <w:spacing w:line="300" w:lineRule="atLeast"/>
              <w:rPr>
                <w:sz w:val="18"/>
                <w:szCs w:val="18"/>
              </w:rPr>
            </w:pPr>
            <w:r w:rsidRPr="0C34660A">
              <w:rPr>
                <w:sz w:val="18"/>
                <w:szCs w:val="18"/>
              </w:rPr>
              <w:t>Heavy oil-fired</w:t>
            </w:r>
            <w:r w:rsidR="1C282AB0" w:rsidRPr="0C34660A">
              <w:rPr>
                <w:sz w:val="18"/>
                <w:szCs w:val="18"/>
              </w:rPr>
              <w:t xml:space="preserve"> engines</w:t>
            </w:r>
          </w:p>
        </w:tc>
        <w:tc>
          <w:tcPr>
            <w:tcW w:w="1964" w:type="dxa"/>
            <w:vAlign w:val="bottom"/>
          </w:tcPr>
          <w:p w14:paraId="4BD2660F" w14:textId="09F40AE1" w:rsidR="000F0F9F" w:rsidRPr="0037003D" w:rsidRDefault="000F0F9F" w:rsidP="006202B2">
            <w:pPr>
              <w:spacing w:line="300" w:lineRule="atLeast"/>
              <w:jc w:val="center"/>
              <w:rPr>
                <w:sz w:val="18"/>
                <w:szCs w:val="18"/>
              </w:rPr>
            </w:pPr>
            <w:r w:rsidRPr="0037003D">
              <w:rPr>
                <w:sz w:val="18"/>
                <w:szCs w:val="18"/>
              </w:rPr>
              <w:t>-0.0</w:t>
            </w:r>
            <w:r w:rsidR="00D10401" w:rsidRPr="0037003D">
              <w:rPr>
                <w:sz w:val="18"/>
                <w:szCs w:val="18"/>
              </w:rPr>
              <w:t>34</w:t>
            </w:r>
          </w:p>
        </w:tc>
      </w:tr>
      <w:tr w:rsidR="000F0F9F" w:rsidRPr="000737E1" w14:paraId="0E5644B2" w14:textId="77777777" w:rsidTr="0C34660A">
        <w:trPr>
          <w:trHeight w:hRule="exact" w:val="284"/>
          <w:jc w:val="center"/>
        </w:trPr>
        <w:tc>
          <w:tcPr>
            <w:tcW w:w="4248" w:type="dxa"/>
            <w:vAlign w:val="bottom"/>
          </w:tcPr>
          <w:p w14:paraId="24291ACD" w14:textId="149E6F44" w:rsidR="000F0F9F" w:rsidRPr="0037003D" w:rsidRDefault="000F0F9F" w:rsidP="006202B2">
            <w:pPr>
              <w:spacing w:line="300" w:lineRule="atLeast"/>
              <w:rPr>
                <w:sz w:val="18"/>
                <w:szCs w:val="18"/>
              </w:rPr>
            </w:pPr>
            <w:r w:rsidRPr="0037003D">
              <w:rPr>
                <w:sz w:val="18"/>
                <w:szCs w:val="18"/>
              </w:rPr>
              <w:t>Wood and biomass incineration</w:t>
            </w:r>
            <w:r w:rsidR="00D10401" w:rsidRPr="0037003D">
              <w:rPr>
                <w:sz w:val="18"/>
                <w:szCs w:val="18"/>
              </w:rPr>
              <w:t xml:space="preserve"> (school incinerators)</w:t>
            </w:r>
          </w:p>
        </w:tc>
        <w:tc>
          <w:tcPr>
            <w:tcW w:w="1964" w:type="dxa"/>
            <w:vAlign w:val="bottom"/>
          </w:tcPr>
          <w:p w14:paraId="57F5DE19" w14:textId="55712605" w:rsidR="000F0F9F" w:rsidRPr="0037003D" w:rsidRDefault="000F0F9F" w:rsidP="006202B2">
            <w:pPr>
              <w:spacing w:line="300" w:lineRule="atLeast"/>
              <w:jc w:val="center"/>
              <w:rPr>
                <w:sz w:val="18"/>
                <w:szCs w:val="18"/>
              </w:rPr>
            </w:pPr>
            <w:r w:rsidRPr="0037003D">
              <w:rPr>
                <w:sz w:val="18"/>
                <w:szCs w:val="18"/>
              </w:rPr>
              <w:t>-0.0</w:t>
            </w:r>
            <w:r w:rsidR="00D10401" w:rsidRPr="0037003D">
              <w:rPr>
                <w:sz w:val="18"/>
                <w:szCs w:val="18"/>
              </w:rPr>
              <w:t>33</w:t>
            </w:r>
          </w:p>
        </w:tc>
      </w:tr>
      <w:tr w:rsidR="00F633DA" w:rsidRPr="000737E1" w14:paraId="7E80F3C6" w14:textId="77777777" w:rsidTr="0C34660A">
        <w:trPr>
          <w:trHeight w:hRule="exact" w:val="284"/>
          <w:jc w:val="center"/>
        </w:trPr>
        <w:tc>
          <w:tcPr>
            <w:tcW w:w="4248" w:type="dxa"/>
            <w:vAlign w:val="bottom"/>
          </w:tcPr>
          <w:p w14:paraId="5E4F4DDB" w14:textId="77777777" w:rsidR="00D10401" w:rsidRPr="0037003D" w:rsidRDefault="00D10401" w:rsidP="00D10401">
            <w:pPr>
              <w:spacing w:line="300" w:lineRule="atLeast"/>
              <w:jc w:val="both"/>
              <w:rPr>
                <w:szCs w:val="18"/>
              </w:rPr>
            </w:pPr>
            <w:r w:rsidRPr="000737E1">
              <w:rPr>
                <w:sz w:val="18"/>
                <w:szCs w:val="18"/>
              </w:rPr>
              <w:t>Lime production</w:t>
            </w:r>
          </w:p>
          <w:p w14:paraId="46DD2FA3" w14:textId="20679838" w:rsidR="00F633DA" w:rsidRPr="0037003D" w:rsidRDefault="00F633DA" w:rsidP="006202B2">
            <w:pPr>
              <w:spacing w:line="300" w:lineRule="atLeast"/>
              <w:rPr>
                <w:sz w:val="18"/>
                <w:szCs w:val="18"/>
              </w:rPr>
            </w:pPr>
          </w:p>
        </w:tc>
        <w:tc>
          <w:tcPr>
            <w:tcW w:w="1964" w:type="dxa"/>
            <w:vAlign w:val="bottom"/>
          </w:tcPr>
          <w:p w14:paraId="2E794CB8" w14:textId="5CE68960" w:rsidR="00F633DA" w:rsidRPr="0037003D" w:rsidRDefault="00F633DA" w:rsidP="006202B2">
            <w:pPr>
              <w:spacing w:line="300" w:lineRule="atLeast"/>
              <w:jc w:val="center"/>
              <w:rPr>
                <w:sz w:val="18"/>
                <w:szCs w:val="18"/>
              </w:rPr>
            </w:pPr>
            <w:r w:rsidRPr="0037003D">
              <w:rPr>
                <w:sz w:val="18"/>
                <w:szCs w:val="18"/>
              </w:rPr>
              <w:t>-0.0</w:t>
            </w:r>
            <w:r w:rsidR="00D10401" w:rsidRPr="0037003D">
              <w:rPr>
                <w:sz w:val="18"/>
                <w:szCs w:val="18"/>
              </w:rPr>
              <w:t>29</w:t>
            </w:r>
          </w:p>
        </w:tc>
      </w:tr>
      <w:tr w:rsidR="000F0F9F" w:rsidRPr="000737E1" w14:paraId="697CF5D2" w14:textId="77777777" w:rsidTr="0C34660A">
        <w:trPr>
          <w:trHeight w:hRule="exact" w:val="284"/>
          <w:jc w:val="center"/>
        </w:trPr>
        <w:tc>
          <w:tcPr>
            <w:tcW w:w="4248" w:type="dxa"/>
            <w:vAlign w:val="bottom"/>
          </w:tcPr>
          <w:p w14:paraId="3BE9149B" w14:textId="77777777" w:rsidR="004A52F7" w:rsidRPr="0037003D" w:rsidRDefault="004A52F7" w:rsidP="004A52F7">
            <w:pPr>
              <w:spacing w:line="300" w:lineRule="atLeast"/>
              <w:jc w:val="both"/>
              <w:rPr>
                <w:szCs w:val="18"/>
              </w:rPr>
            </w:pPr>
            <w:r w:rsidRPr="0037003D">
              <w:rPr>
                <w:sz w:val="18"/>
                <w:szCs w:val="18"/>
              </w:rPr>
              <w:t>Black liquor combustion</w:t>
            </w:r>
          </w:p>
          <w:p w14:paraId="1E960B73" w14:textId="2DC74F2C" w:rsidR="000F0F9F" w:rsidRPr="0037003D" w:rsidRDefault="000F0F9F" w:rsidP="006202B2">
            <w:pPr>
              <w:spacing w:line="300" w:lineRule="atLeast"/>
              <w:rPr>
                <w:sz w:val="18"/>
                <w:szCs w:val="18"/>
              </w:rPr>
            </w:pPr>
          </w:p>
        </w:tc>
        <w:tc>
          <w:tcPr>
            <w:tcW w:w="1964" w:type="dxa"/>
            <w:vAlign w:val="bottom"/>
          </w:tcPr>
          <w:p w14:paraId="7D4209C0" w14:textId="165E8982" w:rsidR="000F0F9F" w:rsidRPr="0037003D" w:rsidRDefault="000F0F9F" w:rsidP="006202B2">
            <w:pPr>
              <w:spacing w:line="300" w:lineRule="atLeast"/>
              <w:jc w:val="center"/>
              <w:rPr>
                <w:sz w:val="18"/>
                <w:szCs w:val="18"/>
              </w:rPr>
            </w:pPr>
            <w:r w:rsidRPr="0037003D">
              <w:rPr>
                <w:sz w:val="18"/>
                <w:szCs w:val="18"/>
              </w:rPr>
              <w:t>-0.01</w:t>
            </w:r>
            <w:r w:rsidR="004A52F7">
              <w:rPr>
                <w:sz w:val="18"/>
                <w:szCs w:val="18"/>
              </w:rPr>
              <w:t>8</w:t>
            </w:r>
          </w:p>
        </w:tc>
      </w:tr>
      <w:tr w:rsidR="000F0F9F" w:rsidRPr="000737E1" w14:paraId="597F2313" w14:textId="77777777" w:rsidTr="0C34660A">
        <w:trPr>
          <w:trHeight w:hRule="exact" w:val="284"/>
          <w:jc w:val="center"/>
        </w:trPr>
        <w:tc>
          <w:tcPr>
            <w:tcW w:w="4248" w:type="dxa"/>
            <w:vAlign w:val="bottom"/>
          </w:tcPr>
          <w:p w14:paraId="79EF68DB" w14:textId="52351C48" w:rsidR="000F0F9F" w:rsidRPr="0037003D" w:rsidRDefault="004A52F7" w:rsidP="006202B2">
            <w:pPr>
              <w:spacing w:line="300" w:lineRule="atLeast"/>
              <w:rPr>
                <w:sz w:val="18"/>
                <w:szCs w:val="18"/>
              </w:rPr>
            </w:pPr>
            <w:r w:rsidRPr="0037003D">
              <w:rPr>
                <w:sz w:val="18"/>
                <w:szCs w:val="18"/>
              </w:rPr>
              <w:t>Agricultural residue burning</w:t>
            </w:r>
          </w:p>
        </w:tc>
        <w:tc>
          <w:tcPr>
            <w:tcW w:w="1964" w:type="dxa"/>
            <w:vAlign w:val="bottom"/>
          </w:tcPr>
          <w:p w14:paraId="70968527" w14:textId="55B0E586" w:rsidR="000F0F9F" w:rsidRPr="0037003D" w:rsidRDefault="000F0F9F" w:rsidP="006202B2">
            <w:pPr>
              <w:spacing w:line="300" w:lineRule="atLeast"/>
              <w:jc w:val="center"/>
              <w:rPr>
                <w:sz w:val="18"/>
                <w:szCs w:val="18"/>
              </w:rPr>
            </w:pPr>
            <w:r w:rsidRPr="0037003D">
              <w:rPr>
                <w:sz w:val="18"/>
                <w:szCs w:val="18"/>
              </w:rPr>
              <w:t>-0.01</w:t>
            </w:r>
            <w:r w:rsidR="00DB2C0B" w:rsidRPr="0037003D">
              <w:rPr>
                <w:sz w:val="18"/>
                <w:szCs w:val="18"/>
              </w:rPr>
              <w:t>4</w:t>
            </w:r>
          </w:p>
        </w:tc>
      </w:tr>
      <w:tr w:rsidR="0060206A" w:rsidRPr="000737E1" w14:paraId="5D06D811" w14:textId="77777777" w:rsidTr="0C34660A">
        <w:trPr>
          <w:trHeight w:hRule="exact" w:val="284"/>
          <w:jc w:val="center"/>
        </w:trPr>
        <w:tc>
          <w:tcPr>
            <w:tcW w:w="4248" w:type="dxa"/>
            <w:vAlign w:val="bottom"/>
          </w:tcPr>
          <w:p w14:paraId="18F3541C" w14:textId="2D955E1D" w:rsidR="0060206A" w:rsidRPr="0037003D" w:rsidRDefault="0060206A" w:rsidP="006202B2">
            <w:pPr>
              <w:spacing w:line="300" w:lineRule="atLeast"/>
              <w:rPr>
                <w:sz w:val="18"/>
                <w:szCs w:val="18"/>
              </w:rPr>
            </w:pPr>
            <w:r w:rsidRPr="0037003D">
              <w:rPr>
                <w:sz w:val="18"/>
                <w:szCs w:val="18"/>
              </w:rPr>
              <w:t>Petroleum production</w:t>
            </w:r>
          </w:p>
        </w:tc>
        <w:tc>
          <w:tcPr>
            <w:tcW w:w="1964" w:type="dxa"/>
            <w:vAlign w:val="bottom"/>
          </w:tcPr>
          <w:p w14:paraId="49EE7B8E" w14:textId="129A709D" w:rsidR="0060206A" w:rsidRPr="0037003D" w:rsidRDefault="0060206A" w:rsidP="006202B2">
            <w:pPr>
              <w:spacing w:line="300" w:lineRule="atLeast"/>
              <w:jc w:val="center"/>
              <w:rPr>
                <w:sz w:val="18"/>
                <w:szCs w:val="18"/>
              </w:rPr>
            </w:pPr>
            <w:r w:rsidRPr="0037003D">
              <w:rPr>
                <w:sz w:val="18"/>
                <w:szCs w:val="18"/>
              </w:rPr>
              <w:t>-0.011</w:t>
            </w:r>
          </w:p>
        </w:tc>
      </w:tr>
    </w:tbl>
    <w:p w14:paraId="3F7DA311" w14:textId="77777777" w:rsidR="004A52F7" w:rsidRPr="004A52F7" w:rsidRDefault="004A52F7" w:rsidP="004A52F7">
      <w:pPr>
        <w:spacing w:line="300" w:lineRule="atLeast"/>
        <w:ind w:left="360"/>
        <w:jc w:val="both"/>
        <w:rPr>
          <w:szCs w:val="18"/>
        </w:rPr>
      </w:pPr>
    </w:p>
    <w:p w14:paraId="37D4CF84" w14:textId="51E5A089" w:rsidR="00F30796" w:rsidRPr="0037003D" w:rsidRDefault="00CC3BDB" w:rsidP="00F30796">
      <w:pPr>
        <w:pStyle w:val="ListParagraph"/>
        <w:numPr>
          <w:ilvl w:val="0"/>
          <w:numId w:val="31"/>
        </w:numPr>
        <w:spacing w:line="300" w:lineRule="atLeast"/>
        <w:jc w:val="both"/>
        <w:rPr>
          <w:szCs w:val="18"/>
        </w:rPr>
      </w:pPr>
      <w:r w:rsidRPr="0037003D">
        <w:rPr>
          <w:szCs w:val="18"/>
        </w:rPr>
        <w:t xml:space="preserve">Plant closures </w:t>
      </w:r>
      <w:r w:rsidR="001F000A" w:rsidRPr="0037003D">
        <w:rPr>
          <w:szCs w:val="18"/>
        </w:rPr>
        <w:t>a</w:t>
      </w:r>
      <w:r w:rsidR="002C39C9" w:rsidRPr="0037003D">
        <w:rPr>
          <w:szCs w:val="18"/>
        </w:rPr>
        <w:t xml:space="preserve">nd / or </w:t>
      </w:r>
      <w:r w:rsidR="00E44D73" w:rsidRPr="0037003D">
        <w:rPr>
          <w:szCs w:val="18"/>
        </w:rPr>
        <w:t>decrease</w:t>
      </w:r>
      <w:r w:rsidR="008467E7" w:rsidRPr="0037003D">
        <w:rPr>
          <w:szCs w:val="18"/>
        </w:rPr>
        <w:t>s</w:t>
      </w:r>
      <w:r w:rsidR="00E44D73" w:rsidRPr="0037003D">
        <w:rPr>
          <w:szCs w:val="18"/>
        </w:rPr>
        <w:t xml:space="preserve"> in production quantities </w:t>
      </w:r>
      <w:r w:rsidRPr="0037003D">
        <w:rPr>
          <w:szCs w:val="18"/>
        </w:rPr>
        <w:t xml:space="preserve">were the cause of the </w:t>
      </w:r>
      <w:r w:rsidR="002C39C9" w:rsidRPr="0037003D">
        <w:rPr>
          <w:szCs w:val="18"/>
        </w:rPr>
        <w:t xml:space="preserve">release </w:t>
      </w:r>
      <w:r w:rsidRPr="0037003D">
        <w:rPr>
          <w:szCs w:val="18"/>
        </w:rPr>
        <w:t xml:space="preserve">reductions for secondary </w:t>
      </w:r>
      <w:r w:rsidR="002C39C9" w:rsidRPr="0037003D">
        <w:rPr>
          <w:szCs w:val="18"/>
        </w:rPr>
        <w:t xml:space="preserve">aluminium, copper </w:t>
      </w:r>
      <w:r w:rsidR="00647A32" w:rsidRPr="0037003D">
        <w:rPr>
          <w:szCs w:val="18"/>
        </w:rPr>
        <w:t>brass and bronze production</w:t>
      </w:r>
      <w:r w:rsidR="002C39C9" w:rsidRPr="0037003D">
        <w:rPr>
          <w:szCs w:val="18"/>
        </w:rPr>
        <w:t xml:space="preserve"> </w:t>
      </w:r>
      <w:r w:rsidR="00AB5076" w:rsidRPr="0037003D">
        <w:rPr>
          <w:szCs w:val="18"/>
        </w:rPr>
        <w:t xml:space="preserve">and iron foundries. </w:t>
      </w:r>
    </w:p>
    <w:p w14:paraId="07AEC72F" w14:textId="360C6E13" w:rsidR="007B5FDB" w:rsidRPr="0037003D" w:rsidRDefault="007B5FDB" w:rsidP="00F30796">
      <w:pPr>
        <w:pStyle w:val="ListParagraph"/>
        <w:numPr>
          <w:ilvl w:val="0"/>
          <w:numId w:val="31"/>
        </w:numPr>
        <w:spacing w:line="300" w:lineRule="atLeast"/>
        <w:jc w:val="both"/>
        <w:rPr>
          <w:szCs w:val="18"/>
        </w:rPr>
      </w:pPr>
      <w:r w:rsidRPr="0037003D">
        <w:rPr>
          <w:szCs w:val="18"/>
        </w:rPr>
        <w:t>Structure fires are unpredictable events which will fluctuate from year to year.</w:t>
      </w:r>
    </w:p>
    <w:p w14:paraId="27B0DEFD" w14:textId="0C03F557" w:rsidR="002C39C9" w:rsidRDefault="002C39C9" w:rsidP="00F30796">
      <w:pPr>
        <w:pStyle w:val="ListParagraph"/>
        <w:numPr>
          <w:ilvl w:val="0"/>
          <w:numId w:val="31"/>
        </w:numPr>
        <w:spacing w:line="300" w:lineRule="atLeast"/>
        <w:jc w:val="both"/>
        <w:rPr>
          <w:szCs w:val="18"/>
        </w:rPr>
      </w:pPr>
      <w:r w:rsidRPr="0037003D">
        <w:rPr>
          <w:szCs w:val="18"/>
        </w:rPr>
        <w:t>Releases from open burning of domesti</w:t>
      </w:r>
      <w:r w:rsidR="003E751E" w:rsidRPr="0037003D">
        <w:rPr>
          <w:szCs w:val="18"/>
        </w:rPr>
        <w:t>c</w:t>
      </w:r>
      <w:r w:rsidRPr="0037003D">
        <w:rPr>
          <w:szCs w:val="18"/>
        </w:rPr>
        <w:t xml:space="preserve"> wastes</w:t>
      </w:r>
      <w:r w:rsidR="003E751E" w:rsidRPr="0037003D">
        <w:rPr>
          <w:szCs w:val="18"/>
        </w:rPr>
        <w:t xml:space="preserve"> have reduced because of a decrease in the estimate of the amount of waste burnt</w:t>
      </w:r>
      <w:r w:rsidR="00532278">
        <w:rPr>
          <w:szCs w:val="18"/>
        </w:rPr>
        <w:t xml:space="preserve"> by households</w:t>
      </w:r>
      <w:r w:rsidR="003E751E" w:rsidRPr="0037003D">
        <w:rPr>
          <w:szCs w:val="18"/>
        </w:rPr>
        <w:t>.</w:t>
      </w:r>
      <w:r w:rsidRPr="0037003D">
        <w:rPr>
          <w:szCs w:val="18"/>
        </w:rPr>
        <w:t xml:space="preserve"> </w:t>
      </w:r>
    </w:p>
    <w:p w14:paraId="190E1360" w14:textId="32F1BE6E" w:rsidR="001D1DB8" w:rsidRPr="0037003D" w:rsidRDefault="001D1DB8" w:rsidP="001D1DB8">
      <w:pPr>
        <w:pStyle w:val="ListParagraph"/>
        <w:numPr>
          <w:ilvl w:val="0"/>
          <w:numId w:val="31"/>
        </w:numPr>
        <w:spacing w:line="300" w:lineRule="atLeast"/>
        <w:jc w:val="both"/>
        <w:rPr>
          <w:szCs w:val="18"/>
        </w:rPr>
      </w:pPr>
      <w:r w:rsidRPr="0037003D">
        <w:rPr>
          <w:szCs w:val="18"/>
        </w:rPr>
        <w:t xml:space="preserve">Pulp and paper releases have decreased </w:t>
      </w:r>
      <w:r>
        <w:rPr>
          <w:szCs w:val="18"/>
        </w:rPr>
        <w:t>due to</w:t>
      </w:r>
      <w:r w:rsidRPr="0037003D">
        <w:rPr>
          <w:szCs w:val="18"/>
        </w:rPr>
        <w:t xml:space="preserve"> a reduction in bleached </w:t>
      </w:r>
      <w:r>
        <w:rPr>
          <w:szCs w:val="18"/>
        </w:rPr>
        <w:t xml:space="preserve">kraft </w:t>
      </w:r>
      <w:r w:rsidRPr="0037003D">
        <w:rPr>
          <w:szCs w:val="18"/>
        </w:rPr>
        <w:t>pulp production.</w:t>
      </w:r>
    </w:p>
    <w:p w14:paraId="7C5EF32D" w14:textId="35356599" w:rsidR="003E751E" w:rsidRPr="0037003D" w:rsidRDefault="00677E93" w:rsidP="003E751E">
      <w:pPr>
        <w:pStyle w:val="ListParagraph"/>
        <w:numPr>
          <w:ilvl w:val="0"/>
          <w:numId w:val="31"/>
        </w:numPr>
        <w:spacing w:line="300" w:lineRule="atLeast"/>
        <w:jc w:val="both"/>
        <w:rPr>
          <w:szCs w:val="18"/>
        </w:rPr>
      </w:pPr>
      <w:r w:rsidRPr="0037003D">
        <w:rPr>
          <w:szCs w:val="18"/>
        </w:rPr>
        <w:t>Decreases</w:t>
      </w:r>
      <w:r w:rsidR="003E751E" w:rsidRPr="0037003D">
        <w:rPr>
          <w:szCs w:val="18"/>
        </w:rPr>
        <w:t xml:space="preserve"> in releases from industrial and commercial coal use are due to </w:t>
      </w:r>
      <w:r w:rsidRPr="0037003D">
        <w:rPr>
          <w:szCs w:val="18"/>
        </w:rPr>
        <w:t>drops in</w:t>
      </w:r>
      <w:r w:rsidR="003E751E" w:rsidRPr="0037003D">
        <w:rPr>
          <w:szCs w:val="18"/>
        </w:rPr>
        <w:t xml:space="preserve"> coal consumption</w:t>
      </w:r>
      <w:r w:rsidRPr="0037003D">
        <w:rPr>
          <w:szCs w:val="18"/>
        </w:rPr>
        <w:t xml:space="preserve"> caused by COVID </w:t>
      </w:r>
      <w:r w:rsidR="007B5FDB" w:rsidRPr="0037003D">
        <w:rPr>
          <w:szCs w:val="18"/>
        </w:rPr>
        <w:t>lock</w:t>
      </w:r>
      <w:r w:rsidRPr="0037003D">
        <w:rPr>
          <w:szCs w:val="18"/>
        </w:rPr>
        <w:t xml:space="preserve"> downs in 2020.</w:t>
      </w:r>
    </w:p>
    <w:p w14:paraId="349EC26B" w14:textId="560566BD" w:rsidR="003E751E" w:rsidRPr="0037003D" w:rsidRDefault="00677E93" w:rsidP="00F30796">
      <w:pPr>
        <w:pStyle w:val="ListParagraph"/>
        <w:numPr>
          <w:ilvl w:val="0"/>
          <w:numId w:val="31"/>
        </w:numPr>
        <w:spacing w:line="300" w:lineRule="atLeast"/>
        <w:jc w:val="both"/>
        <w:rPr>
          <w:szCs w:val="18"/>
        </w:rPr>
      </w:pPr>
      <w:r w:rsidRPr="0037003D">
        <w:rPr>
          <w:szCs w:val="18"/>
        </w:rPr>
        <w:t xml:space="preserve">Releases from primary iron and steel production have decreased because a greater proportion of waste </w:t>
      </w:r>
      <w:r w:rsidR="007B5FDB" w:rsidRPr="0037003D">
        <w:rPr>
          <w:szCs w:val="18"/>
        </w:rPr>
        <w:t>materials are being recycled through the process</w:t>
      </w:r>
      <w:r w:rsidR="00532278">
        <w:rPr>
          <w:szCs w:val="18"/>
        </w:rPr>
        <w:t xml:space="preserve"> rather than being sent to landfill.</w:t>
      </w:r>
    </w:p>
    <w:p w14:paraId="2169EAF9" w14:textId="72025971" w:rsidR="007B5FDB" w:rsidRPr="0037003D" w:rsidRDefault="007B5FDB" w:rsidP="007B5FDB">
      <w:pPr>
        <w:pStyle w:val="ListParagraph"/>
        <w:numPr>
          <w:ilvl w:val="0"/>
          <w:numId w:val="31"/>
        </w:numPr>
        <w:spacing w:line="300" w:lineRule="atLeast"/>
        <w:jc w:val="both"/>
        <w:rPr>
          <w:szCs w:val="18"/>
        </w:rPr>
      </w:pPr>
      <w:r w:rsidRPr="0037003D">
        <w:rPr>
          <w:szCs w:val="18"/>
        </w:rPr>
        <w:t xml:space="preserve">Reductions for household heating and cooking with biomass (wood) reflect </w:t>
      </w:r>
      <w:r w:rsidR="00467677" w:rsidRPr="0037003D">
        <w:rPr>
          <w:szCs w:val="18"/>
        </w:rPr>
        <w:t>a decrease in the number of wood burners.</w:t>
      </w:r>
      <w:r w:rsidRPr="0037003D">
        <w:rPr>
          <w:szCs w:val="18"/>
        </w:rPr>
        <w:t xml:space="preserve"> </w:t>
      </w:r>
    </w:p>
    <w:p w14:paraId="66E61248" w14:textId="16EE681A" w:rsidR="00467677" w:rsidRPr="0037003D" w:rsidRDefault="6661A196" w:rsidP="007B5FDB">
      <w:pPr>
        <w:pStyle w:val="ListParagraph"/>
        <w:numPr>
          <w:ilvl w:val="0"/>
          <w:numId w:val="31"/>
        </w:numPr>
        <w:spacing w:line="300" w:lineRule="atLeast"/>
        <w:jc w:val="both"/>
      </w:pPr>
      <w:r>
        <w:t>Heavy oil-fired engine release reductions follow a drop in fuel consumption of this type by the marine transport industry which may be related to international controls on sulphur emission levels.</w:t>
      </w:r>
    </w:p>
    <w:p w14:paraId="147D70EB" w14:textId="2BF74B89" w:rsidR="00555B9C" w:rsidRPr="0037003D" w:rsidRDefault="00555B9C" w:rsidP="007B5FDB">
      <w:pPr>
        <w:pStyle w:val="ListParagraph"/>
        <w:numPr>
          <w:ilvl w:val="0"/>
          <w:numId w:val="31"/>
        </w:numPr>
        <w:spacing w:line="300" w:lineRule="atLeast"/>
        <w:jc w:val="both"/>
        <w:rPr>
          <w:szCs w:val="18"/>
        </w:rPr>
      </w:pPr>
      <w:r w:rsidRPr="0037003D">
        <w:rPr>
          <w:szCs w:val="18"/>
        </w:rPr>
        <w:t>Fewer schools operating incinerators is the reason for the release drop in the wood and biomass incineration category.</w:t>
      </w:r>
    </w:p>
    <w:p w14:paraId="49198961" w14:textId="6B76FF01" w:rsidR="00555B9C" w:rsidRPr="0037003D" w:rsidRDefault="00555B9C" w:rsidP="007B5FDB">
      <w:pPr>
        <w:pStyle w:val="ListParagraph"/>
        <w:numPr>
          <w:ilvl w:val="0"/>
          <w:numId w:val="31"/>
        </w:numPr>
        <w:spacing w:line="300" w:lineRule="atLeast"/>
        <w:jc w:val="both"/>
        <w:rPr>
          <w:szCs w:val="18"/>
        </w:rPr>
      </w:pPr>
      <w:r w:rsidRPr="0037003D">
        <w:rPr>
          <w:szCs w:val="18"/>
        </w:rPr>
        <w:t xml:space="preserve">Lime production release reductions reflect a downward trend in lime production. </w:t>
      </w:r>
    </w:p>
    <w:p w14:paraId="4F21C212" w14:textId="35BA8C3E" w:rsidR="00555B9C" w:rsidRPr="0037003D" w:rsidRDefault="38DFCB37" w:rsidP="007B5FDB">
      <w:pPr>
        <w:pStyle w:val="ListParagraph"/>
        <w:numPr>
          <w:ilvl w:val="0"/>
          <w:numId w:val="31"/>
        </w:numPr>
        <w:spacing w:line="300" w:lineRule="atLeast"/>
        <w:jc w:val="both"/>
      </w:pPr>
      <w:r>
        <w:t xml:space="preserve">The extent of agricultural residue burning fluctuates from year to </w:t>
      </w:r>
      <w:r w:rsidR="2C6E2547">
        <w:t>year.</w:t>
      </w:r>
    </w:p>
    <w:p w14:paraId="7BC4EF85" w14:textId="63FB91FB" w:rsidR="00AE06A8" w:rsidRPr="0037003D" w:rsidRDefault="00AE06A8" w:rsidP="007B5FDB">
      <w:pPr>
        <w:pStyle w:val="ListParagraph"/>
        <w:numPr>
          <w:ilvl w:val="0"/>
          <w:numId w:val="31"/>
        </w:numPr>
        <w:spacing w:line="300" w:lineRule="atLeast"/>
        <w:jc w:val="both"/>
        <w:rPr>
          <w:szCs w:val="18"/>
        </w:rPr>
      </w:pPr>
      <w:r w:rsidRPr="0037003D">
        <w:rPr>
          <w:szCs w:val="18"/>
        </w:rPr>
        <w:t>Black liquor combustion release reductions are due to reduced kraft pulp production in 2020.</w:t>
      </w:r>
    </w:p>
    <w:p w14:paraId="451C32DC" w14:textId="1F7116DC" w:rsidR="00AE06A8" w:rsidRPr="0037003D" w:rsidRDefault="00AE06A8" w:rsidP="007B5FDB">
      <w:pPr>
        <w:pStyle w:val="ListParagraph"/>
        <w:numPr>
          <w:ilvl w:val="0"/>
          <w:numId w:val="31"/>
        </w:numPr>
        <w:spacing w:line="300" w:lineRule="atLeast"/>
        <w:jc w:val="both"/>
        <w:rPr>
          <w:szCs w:val="18"/>
        </w:rPr>
      </w:pPr>
      <w:r w:rsidRPr="0037003D">
        <w:rPr>
          <w:szCs w:val="18"/>
        </w:rPr>
        <w:t xml:space="preserve">Petroleum production releases have reduced </w:t>
      </w:r>
      <w:r w:rsidR="00461BC8">
        <w:rPr>
          <w:szCs w:val="18"/>
        </w:rPr>
        <w:t>due to</w:t>
      </w:r>
      <w:r w:rsidRPr="0037003D">
        <w:rPr>
          <w:szCs w:val="18"/>
        </w:rPr>
        <w:t xml:space="preserve"> </w:t>
      </w:r>
      <w:r w:rsidR="0060206A">
        <w:rPr>
          <w:szCs w:val="18"/>
        </w:rPr>
        <w:t>reduced feedstock processing</w:t>
      </w:r>
      <w:r w:rsidRPr="0037003D">
        <w:rPr>
          <w:szCs w:val="18"/>
        </w:rPr>
        <w:t xml:space="preserve"> at the Marsden Point refinery as COVID travel restrictions impacted fuel consumption</w:t>
      </w:r>
      <w:r w:rsidR="000737E1" w:rsidRPr="0037003D">
        <w:rPr>
          <w:szCs w:val="18"/>
        </w:rPr>
        <w:t>,</w:t>
      </w:r>
      <w:r w:rsidRPr="0037003D">
        <w:rPr>
          <w:szCs w:val="18"/>
        </w:rPr>
        <w:t xml:space="preserve"> particularly in the aviation industry</w:t>
      </w:r>
      <w:r w:rsidR="000737E1" w:rsidRPr="0037003D">
        <w:rPr>
          <w:szCs w:val="18"/>
        </w:rPr>
        <w:t>,</w:t>
      </w:r>
      <w:r w:rsidRPr="0037003D">
        <w:rPr>
          <w:szCs w:val="18"/>
        </w:rPr>
        <w:t xml:space="preserve"> in 2020.</w:t>
      </w:r>
    </w:p>
    <w:p w14:paraId="6891CB69" w14:textId="409FA5EA" w:rsidR="00F30796" w:rsidRPr="0060206A" w:rsidRDefault="00B80139" w:rsidP="0060206A">
      <w:pPr>
        <w:spacing w:after="0"/>
        <w:rPr>
          <w:szCs w:val="18"/>
        </w:rPr>
      </w:pPr>
      <w:r>
        <w:rPr>
          <w:szCs w:val="18"/>
        </w:rPr>
        <w:br w:type="page"/>
      </w:r>
    </w:p>
    <w:p w14:paraId="7BFFBA2E" w14:textId="6689AC3B" w:rsidR="00164A79" w:rsidRPr="0037003D" w:rsidRDefault="00164A79" w:rsidP="00164A79">
      <w:pPr>
        <w:spacing w:line="300" w:lineRule="atLeast"/>
        <w:jc w:val="both"/>
        <w:rPr>
          <w:rFonts w:ascii="Arial" w:hAnsi="Arial" w:cs="Arial"/>
          <w:b/>
          <w:szCs w:val="18"/>
        </w:rPr>
      </w:pPr>
      <w:r w:rsidRPr="0037003D">
        <w:rPr>
          <w:rFonts w:ascii="Arial" w:hAnsi="Arial" w:cs="Arial"/>
          <w:b/>
          <w:szCs w:val="18"/>
        </w:rPr>
        <w:lastRenderedPageBreak/>
        <w:t>Trends in Dioxin Releases</w:t>
      </w:r>
    </w:p>
    <w:p w14:paraId="0C9F9EA8" w14:textId="18A18649" w:rsidR="00164A79" w:rsidRPr="0037003D" w:rsidRDefault="00164A79" w:rsidP="007A79A7">
      <w:pPr>
        <w:spacing w:line="300" w:lineRule="atLeast"/>
        <w:jc w:val="both"/>
        <w:rPr>
          <w:szCs w:val="18"/>
        </w:rPr>
      </w:pPr>
      <w:r w:rsidRPr="0037003D">
        <w:rPr>
          <w:szCs w:val="18"/>
        </w:rPr>
        <w:t xml:space="preserve">Figures E3 and E4 display plots of </w:t>
      </w:r>
      <w:r w:rsidR="00F46975" w:rsidRPr="0037003D">
        <w:rPr>
          <w:szCs w:val="18"/>
        </w:rPr>
        <w:t>dioxin releases versus source category for 2012</w:t>
      </w:r>
      <w:r w:rsidR="00DC45D8">
        <w:rPr>
          <w:szCs w:val="18"/>
        </w:rPr>
        <w:t>,</w:t>
      </w:r>
      <w:r w:rsidR="00F46975" w:rsidRPr="0037003D">
        <w:rPr>
          <w:szCs w:val="18"/>
        </w:rPr>
        <w:t xml:space="preserve"> 2016</w:t>
      </w:r>
      <w:r w:rsidR="00DC45D8">
        <w:rPr>
          <w:szCs w:val="18"/>
        </w:rPr>
        <w:t xml:space="preserve"> and 2020.</w:t>
      </w:r>
      <w:r w:rsidR="00F46975" w:rsidRPr="0037003D">
        <w:rPr>
          <w:szCs w:val="18"/>
        </w:rPr>
        <w:t xml:space="preserve"> The sources have been </w:t>
      </w:r>
      <w:r w:rsidR="007313F6" w:rsidRPr="0037003D">
        <w:rPr>
          <w:szCs w:val="18"/>
        </w:rPr>
        <w:t>categorised</w:t>
      </w:r>
      <w:r w:rsidR="00F46975" w:rsidRPr="0037003D">
        <w:rPr>
          <w:szCs w:val="18"/>
        </w:rPr>
        <w:t xml:space="preserve"> as major and minor to make the lesser sources more visible.</w:t>
      </w:r>
    </w:p>
    <w:p w14:paraId="2B7460E6" w14:textId="727073FA" w:rsidR="00395E7D" w:rsidRDefault="00395E7D" w:rsidP="007A79A7">
      <w:pPr>
        <w:spacing w:line="300" w:lineRule="atLeast"/>
        <w:jc w:val="both"/>
        <w:rPr>
          <w:szCs w:val="18"/>
        </w:rPr>
      </w:pPr>
    </w:p>
    <w:p w14:paraId="5F1E3661" w14:textId="3276A4D8" w:rsidR="00D551B2" w:rsidRDefault="00A21AFA" w:rsidP="007A79A7">
      <w:pPr>
        <w:spacing w:line="300" w:lineRule="atLeast"/>
        <w:jc w:val="both"/>
        <w:rPr>
          <w:szCs w:val="18"/>
        </w:rPr>
      </w:pPr>
      <w:r>
        <w:rPr>
          <w:noProof/>
        </w:rPr>
        <w:drawing>
          <wp:inline distT="0" distB="0" distL="0" distR="0" wp14:anchorId="7A8F9B33" wp14:editId="2A34106A">
            <wp:extent cx="5760085" cy="7347568"/>
            <wp:effectExtent l="0" t="0" r="18415" b="6350"/>
            <wp:docPr id="1" name="Chart 1">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AAF929" w14:textId="0B31020B" w:rsidR="00D551B2" w:rsidRDefault="11FF64A0" w:rsidP="0C34660A">
      <w:pPr>
        <w:spacing w:line="300" w:lineRule="atLeast"/>
        <w:jc w:val="center"/>
        <w:rPr>
          <w:b/>
          <w:bCs/>
        </w:rPr>
      </w:pPr>
      <w:r w:rsidRPr="0C34660A">
        <w:rPr>
          <w:b/>
          <w:bCs/>
        </w:rPr>
        <w:t>Figure E3</w:t>
      </w:r>
      <w:bookmarkStart w:id="9" w:name="_Int_x2HeZMht"/>
      <w:r w:rsidRPr="0C34660A">
        <w:rPr>
          <w:b/>
          <w:bCs/>
        </w:rPr>
        <w:t xml:space="preserve">. </w:t>
      </w:r>
      <w:bookmarkEnd w:id="9"/>
      <w:r w:rsidRPr="0C34660A">
        <w:rPr>
          <w:b/>
          <w:bCs/>
        </w:rPr>
        <w:t>Major Sources’ Dioxin Releases for 2012, 2016 and 2020 (see Appendix 2 for details)</w:t>
      </w:r>
    </w:p>
    <w:p w14:paraId="72281125" w14:textId="74D87AB9" w:rsidR="004E356D" w:rsidRPr="003A4D22" w:rsidRDefault="004E356D" w:rsidP="0C34660A">
      <w:pPr>
        <w:spacing w:line="300" w:lineRule="atLeast"/>
        <w:jc w:val="center"/>
      </w:pPr>
      <w:r w:rsidRPr="003A4D22">
        <w:t xml:space="preserve">(* NZ’s sole secondary iron and steel plant closed in </w:t>
      </w:r>
      <w:r w:rsidR="00322153" w:rsidRPr="003A4D22">
        <w:t>2015 so there is no data for 2016 and 2020)</w:t>
      </w:r>
    </w:p>
    <w:p w14:paraId="2B0B6420" w14:textId="00D31869" w:rsidR="009663BF" w:rsidRPr="0037003D" w:rsidRDefault="00047222">
      <w:pPr>
        <w:spacing w:after="0"/>
        <w:rPr>
          <w:szCs w:val="18"/>
        </w:rPr>
      </w:pPr>
      <w:r>
        <w:rPr>
          <w:noProof/>
        </w:rPr>
        <w:lastRenderedPageBreak/>
        <w:drawing>
          <wp:inline distT="0" distB="0" distL="0" distR="0" wp14:anchorId="747510D8" wp14:editId="24D73E18">
            <wp:extent cx="5760085" cy="6881446"/>
            <wp:effectExtent l="0" t="0" r="18415" b="15240"/>
            <wp:docPr id="8" name="Chart 8">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DF5E8D" w14:textId="1E2058BF" w:rsidR="009663BF" w:rsidRPr="0037003D" w:rsidRDefault="3ACFB0B2" w:rsidP="0C34660A">
      <w:pPr>
        <w:spacing w:line="300" w:lineRule="atLeast"/>
        <w:jc w:val="center"/>
        <w:rPr>
          <w:b/>
          <w:bCs/>
        </w:rPr>
      </w:pPr>
      <w:r w:rsidRPr="0C34660A">
        <w:rPr>
          <w:b/>
          <w:bCs/>
        </w:rPr>
        <w:t>Figure E</w:t>
      </w:r>
      <w:r w:rsidR="1BFA8D52" w:rsidRPr="0C34660A">
        <w:rPr>
          <w:b/>
          <w:bCs/>
        </w:rPr>
        <w:t>4</w:t>
      </w:r>
      <w:bookmarkStart w:id="10" w:name="_Int_tq7bH8WX"/>
      <w:r w:rsidRPr="0C34660A">
        <w:rPr>
          <w:b/>
          <w:bCs/>
        </w:rPr>
        <w:t xml:space="preserve">. </w:t>
      </w:r>
      <w:bookmarkEnd w:id="10"/>
      <w:r w:rsidR="1BFA8D52" w:rsidRPr="0C34660A">
        <w:rPr>
          <w:b/>
          <w:bCs/>
        </w:rPr>
        <w:t>Minor</w:t>
      </w:r>
      <w:r w:rsidRPr="0C34660A">
        <w:rPr>
          <w:b/>
          <w:bCs/>
        </w:rPr>
        <w:t xml:space="preserve"> Sources</w:t>
      </w:r>
      <w:r w:rsidR="1BFA8D52" w:rsidRPr="0C34660A">
        <w:rPr>
          <w:b/>
          <w:bCs/>
        </w:rPr>
        <w:t>’</w:t>
      </w:r>
      <w:r w:rsidRPr="0C34660A">
        <w:rPr>
          <w:b/>
          <w:bCs/>
        </w:rPr>
        <w:t xml:space="preserve"> Dioxin Releases for </w:t>
      </w:r>
      <w:r w:rsidR="66845B3B" w:rsidRPr="0C34660A">
        <w:rPr>
          <w:b/>
          <w:bCs/>
        </w:rPr>
        <w:t>2012, 2016 and 2020</w:t>
      </w:r>
      <w:r w:rsidR="60AE5D1E" w:rsidRPr="0C34660A">
        <w:rPr>
          <w:b/>
          <w:bCs/>
        </w:rPr>
        <w:t xml:space="preserve"> (see Appendix 2 for details</w:t>
      </w:r>
      <w:r w:rsidR="074AA5C8" w:rsidRPr="0C34660A">
        <w:rPr>
          <w:b/>
          <w:bCs/>
        </w:rPr>
        <w:t>)</w:t>
      </w:r>
    </w:p>
    <w:p w14:paraId="247060E6" w14:textId="6BE3B3DE" w:rsidR="00255253" w:rsidRPr="00570ACB" w:rsidRDefault="66845B3B" w:rsidP="00570ACB">
      <w:pPr>
        <w:spacing w:line="300" w:lineRule="atLeast"/>
        <w:jc w:val="both"/>
      </w:pPr>
      <w:r>
        <w:t>Figure</w:t>
      </w:r>
      <w:r w:rsidR="6C1F0F86">
        <w:t>s</w:t>
      </w:r>
      <w:r>
        <w:t xml:space="preserve"> E3 </w:t>
      </w:r>
      <w:r w:rsidR="6C1F0F86">
        <w:t xml:space="preserve">and E4 </w:t>
      </w:r>
      <w:r>
        <w:t>show an increasing trend of dioxin release for landfill deposition</w:t>
      </w:r>
      <w:r w:rsidR="4E131A0D">
        <w:t>, although the rate of change is declining. In contrast</w:t>
      </w:r>
      <w:r w:rsidR="00F97CC5">
        <w:t>,</w:t>
      </w:r>
      <w:r w:rsidR="4E131A0D">
        <w:t xml:space="preserve"> a decreasing trend is evident for secondary metal activities such as secondary aluminium and steel production</w:t>
      </w:r>
      <w:r w:rsidR="6C1F0F86">
        <w:t xml:space="preserve">, </w:t>
      </w:r>
      <w:r w:rsidR="4E131A0D">
        <w:t>iron foundries</w:t>
      </w:r>
      <w:r w:rsidR="6C1F0F86">
        <w:t xml:space="preserve"> and brass and bronze production</w:t>
      </w:r>
      <w:r w:rsidR="4E131A0D">
        <w:t xml:space="preserve"> </w:t>
      </w:r>
      <w:bookmarkStart w:id="11" w:name="_Int_O7uGqgWe"/>
      <w:r w:rsidR="6C1F0F86">
        <w:t xml:space="preserve">largely </w:t>
      </w:r>
      <w:r w:rsidR="4E131A0D">
        <w:t>due</w:t>
      </w:r>
      <w:bookmarkEnd w:id="11"/>
      <w:r w:rsidR="4E131A0D">
        <w:t xml:space="preserve"> to plant closures</w:t>
      </w:r>
      <w:bookmarkStart w:id="12" w:name="_Int_3iIuAU7V"/>
      <w:r w:rsidR="6C1F0F86">
        <w:t xml:space="preserve">. </w:t>
      </w:r>
      <w:bookmarkEnd w:id="12"/>
    </w:p>
    <w:p w14:paraId="302128D6" w14:textId="4CC5CDA7" w:rsidR="008E0822" w:rsidRPr="00570ACB" w:rsidRDefault="008E0822" w:rsidP="00570ACB">
      <w:pPr>
        <w:spacing w:line="300" w:lineRule="atLeast"/>
        <w:jc w:val="both"/>
        <w:rPr>
          <w:szCs w:val="18"/>
        </w:rPr>
      </w:pPr>
      <w:r w:rsidRPr="00570ACB">
        <w:rPr>
          <w:szCs w:val="18"/>
        </w:rPr>
        <w:t xml:space="preserve">Sewage treatment </w:t>
      </w:r>
      <w:r w:rsidR="00DD3D83" w:rsidRPr="00570ACB">
        <w:rPr>
          <w:szCs w:val="18"/>
        </w:rPr>
        <w:t xml:space="preserve">and crematoria show a trend of increasing dioxin releases as their activities </w:t>
      </w:r>
      <w:r w:rsidR="000F4F01" w:rsidRPr="00570ACB">
        <w:rPr>
          <w:szCs w:val="18"/>
        </w:rPr>
        <w:t xml:space="preserve">are based on population numbers. Asphalt production also shows an increasing trend reflecting the fact that major new roads continue to be built </w:t>
      </w:r>
      <w:r w:rsidR="00AF29D3" w:rsidRPr="00570ACB">
        <w:rPr>
          <w:szCs w:val="18"/>
        </w:rPr>
        <w:t>while existing roads require maintenance.</w:t>
      </w:r>
    </w:p>
    <w:p w14:paraId="7F8FACF4" w14:textId="7A4E55FC" w:rsidR="00AF29D3" w:rsidRPr="00570ACB" w:rsidRDefault="00AF29D3" w:rsidP="00255253">
      <w:pPr>
        <w:spacing w:line="300" w:lineRule="atLeast"/>
        <w:jc w:val="both"/>
        <w:rPr>
          <w:szCs w:val="18"/>
        </w:rPr>
      </w:pPr>
      <w:r w:rsidRPr="00570ACB">
        <w:rPr>
          <w:szCs w:val="18"/>
        </w:rPr>
        <w:t xml:space="preserve">Household heating and cooking with biomass (wood) and coal </w:t>
      </w:r>
      <w:r w:rsidR="00570ACB" w:rsidRPr="00570ACB">
        <w:rPr>
          <w:szCs w:val="18"/>
        </w:rPr>
        <w:t>both show a gradual decline in dioxin releases as burners and stoves are slowly replaced with devices requiring alternative forms of energy such as electricity.</w:t>
      </w:r>
    </w:p>
    <w:p w14:paraId="0CD0BC8D" w14:textId="4122F804" w:rsidR="00390EAD" w:rsidRPr="00A50697" w:rsidRDefault="00F46975" w:rsidP="009663BF">
      <w:pPr>
        <w:spacing w:after="0"/>
        <w:rPr>
          <w:rFonts w:ascii="Arial" w:hAnsi="Arial" w:cs="Arial"/>
          <w:b/>
          <w:szCs w:val="18"/>
        </w:rPr>
      </w:pPr>
      <w:r w:rsidRPr="004B7C48">
        <w:rPr>
          <w:szCs w:val="18"/>
          <w:highlight w:val="yellow"/>
        </w:rPr>
        <w:br w:type="page"/>
      </w:r>
      <w:r w:rsidR="00664203" w:rsidRPr="00A50697">
        <w:rPr>
          <w:rFonts w:ascii="Arial" w:hAnsi="Arial" w:cs="Arial"/>
          <w:b/>
          <w:szCs w:val="18"/>
        </w:rPr>
        <w:lastRenderedPageBreak/>
        <w:t>Dioxin Reduction I</w:t>
      </w:r>
      <w:r w:rsidR="00390EAD" w:rsidRPr="00A50697">
        <w:rPr>
          <w:rFonts w:ascii="Arial" w:hAnsi="Arial" w:cs="Arial"/>
          <w:b/>
          <w:szCs w:val="18"/>
        </w:rPr>
        <w:t>nitiatives</w:t>
      </w:r>
    </w:p>
    <w:p w14:paraId="0EC820EF" w14:textId="33F8A3DC" w:rsidR="005878EF" w:rsidRPr="00A50697" w:rsidRDefault="2BBED27B" w:rsidP="006C16F6">
      <w:pPr>
        <w:spacing w:line="300" w:lineRule="atLeast"/>
        <w:jc w:val="both"/>
      </w:pPr>
      <w:r>
        <w:t xml:space="preserve">As shown in Figures E1 and E2 landfills are by far </w:t>
      </w:r>
      <w:r w:rsidR="59F66618">
        <w:t xml:space="preserve">the largest </w:t>
      </w:r>
      <w:r>
        <w:t xml:space="preserve">source of dioxins for New Zealand. </w:t>
      </w:r>
      <w:r w:rsidR="2520337C">
        <w:t xml:space="preserve">Because the types of waste </w:t>
      </w:r>
      <w:r w:rsidR="4C887E4E">
        <w:t xml:space="preserve">deposited in </w:t>
      </w:r>
      <w:r w:rsidR="01C93261">
        <w:t xml:space="preserve">municipal </w:t>
      </w:r>
      <w:r w:rsidR="4C887E4E">
        <w:t>landfills are so diverse</w:t>
      </w:r>
      <w:r w:rsidR="70B3815F">
        <w:t>,</w:t>
      </w:r>
      <w:r w:rsidR="4C887E4E">
        <w:t xml:space="preserve"> only a very general emission factor can be applied to estimate dioxin releases from this source.</w:t>
      </w:r>
      <w:r w:rsidR="01C93261">
        <w:t xml:space="preserve"> </w:t>
      </w:r>
      <w:r w:rsidR="4C887E4E">
        <w:t xml:space="preserve">Where </w:t>
      </w:r>
      <w:r w:rsidR="01C93261">
        <w:t xml:space="preserve">the waste total is comprised of significant volumes </w:t>
      </w:r>
      <w:r w:rsidR="4C887E4E">
        <w:t>of</w:t>
      </w:r>
      <w:r w:rsidR="01C93261">
        <w:t xml:space="preserve"> inert materials such as food wastes, clean</w:t>
      </w:r>
      <w:bookmarkStart w:id="13" w:name="_Int_CppJNToD"/>
      <w:r w:rsidR="01C93261">
        <w:t>fill,</w:t>
      </w:r>
      <w:bookmarkEnd w:id="13"/>
      <w:r w:rsidR="01C93261">
        <w:t xml:space="preserve"> and garden waste</w:t>
      </w:r>
      <w:r w:rsidR="720724FC">
        <w:t xml:space="preserve"> it is probable that the dioxin release is being over-estimated and reducing their volume will result in a reduction in the dioxin estimation for landfills. </w:t>
      </w:r>
    </w:p>
    <w:p w14:paraId="572A1903" w14:textId="313C568D" w:rsidR="0012649F" w:rsidRPr="00A50697" w:rsidRDefault="6105915A" w:rsidP="006C16F6">
      <w:pPr>
        <w:spacing w:line="300" w:lineRule="atLeast"/>
        <w:jc w:val="both"/>
      </w:pPr>
      <w:r>
        <w:t xml:space="preserve">There are currently </w:t>
      </w:r>
      <w:bookmarkStart w:id="14" w:name="_Int_CDrpJQye"/>
      <w:proofErr w:type="gramStart"/>
      <w:r>
        <w:t>a number of</w:t>
      </w:r>
      <w:bookmarkEnd w:id="14"/>
      <w:proofErr w:type="gramEnd"/>
      <w:r>
        <w:t xml:space="preserve"> government initiatives which are aimed at reducing waste volumes. New legislation is </w:t>
      </w:r>
      <w:r w:rsidR="00CB68AA">
        <w:t>anticipated</w:t>
      </w:r>
      <w:r>
        <w:t xml:space="preserve"> which will replace the current Waste Minimisation Act </w:t>
      </w:r>
      <w:r w:rsidR="00FC172A">
        <w:t xml:space="preserve">2008 </w:t>
      </w:r>
      <w:r>
        <w:t>and Litter Act</w:t>
      </w:r>
      <w:r w:rsidR="00E71D59">
        <w:t xml:space="preserve"> 1979</w:t>
      </w:r>
      <w:r w:rsidR="00655785">
        <w:t>,</w:t>
      </w:r>
      <w:r>
        <w:t xml:space="preserve"> </w:t>
      </w:r>
      <w:r w:rsidR="0F026937">
        <w:t xml:space="preserve">and will </w:t>
      </w:r>
      <w:r>
        <w:t xml:space="preserve">place greater emphasis </w:t>
      </w:r>
      <w:r w:rsidR="0F026937">
        <w:t>on a circular economy where resources are kept at their highest value use for as long as possible.</w:t>
      </w:r>
      <w:r>
        <w:t xml:space="preserve"> </w:t>
      </w:r>
      <w:r w:rsidR="0F026937">
        <w:t>From 1 July 2022 the Waste Levy was significantly increased and expanded with charges f</w:t>
      </w:r>
      <w:r w:rsidR="423EAB84">
        <w:t>or</w:t>
      </w:r>
      <w:r w:rsidR="0F026937">
        <w:t xml:space="preserve"> municipal </w:t>
      </w:r>
      <w:r w:rsidR="423EAB84">
        <w:t>landfills increasing from $20 to $30 per tonne. These charges will increase further to $50 per tonne in 2023 and $60 per tonne in 2024.</w:t>
      </w:r>
      <w:r w:rsidR="2F88D4DF">
        <w:t xml:space="preserve"> Other initiatives include an investment of $124 million in resource recovery in</w:t>
      </w:r>
      <w:r w:rsidR="3FD18BFC">
        <w:t>f</w:t>
      </w:r>
      <w:r w:rsidR="2F88D4DF">
        <w:t>rastructure</w:t>
      </w:r>
      <w:r w:rsidR="4F1D5AEA">
        <w:t xml:space="preserve">, </w:t>
      </w:r>
      <w:r w:rsidR="3FD18BFC">
        <w:t xml:space="preserve">continuing investment in the Waste Minimisation Fund and introducing regulated product stewardship for six waste streams including plastic packaging and tyres. In addition, the government is considering recommendations </w:t>
      </w:r>
      <w:r w:rsidR="2CE2FAE3">
        <w:t>to incentivise councils to implement kerbside collection of food waste and standardise the materials collected in kerbside recycling nationally.</w:t>
      </w:r>
    </w:p>
    <w:p w14:paraId="24A99193" w14:textId="77777777" w:rsidR="007A79A7" w:rsidRPr="00D05D39" w:rsidRDefault="007A79A7" w:rsidP="007A79A7">
      <w:pPr>
        <w:spacing w:line="300" w:lineRule="atLeast"/>
        <w:jc w:val="both"/>
        <w:rPr>
          <w:rFonts w:ascii="Arial" w:hAnsi="Arial" w:cs="Arial"/>
          <w:b/>
          <w:szCs w:val="18"/>
        </w:rPr>
      </w:pPr>
      <w:r w:rsidRPr="00D05D39">
        <w:rPr>
          <w:rFonts w:ascii="Arial" w:hAnsi="Arial" w:cs="Arial"/>
          <w:b/>
          <w:szCs w:val="18"/>
        </w:rPr>
        <w:t>Global and national perspectives</w:t>
      </w:r>
    </w:p>
    <w:p w14:paraId="18426E8D" w14:textId="38542113" w:rsidR="007A79A7" w:rsidRPr="00D05D39" w:rsidRDefault="005333BB" w:rsidP="007A79A7">
      <w:pPr>
        <w:spacing w:line="300" w:lineRule="atLeast"/>
        <w:jc w:val="both"/>
      </w:pPr>
      <w:r w:rsidRPr="00D05D39">
        <w:rPr>
          <w:szCs w:val="18"/>
        </w:rPr>
        <w:t>Estimates of global per capita releases of dioxins are in the range 15 – 39 g TEQ per million people per year.</w:t>
      </w:r>
      <w:r w:rsidR="0054720D" w:rsidRPr="00D05D39">
        <w:rPr>
          <w:szCs w:val="18"/>
        </w:rPr>
        <w:t xml:space="preserve"> </w:t>
      </w:r>
      <w:r w:rsidR="00A50AA5" w:rsidRPr="00D05D39">
        <w:rPr>
          <w:szCs w:val="18"/>
        </w:rPr>
        <w:t xml:space="preserve">In comparison New Zealand had releases of </w:t>
      </w:r>
      <w:r w:rsidR="00D05D39" w:rsidRPr="00D05D39">
        <w:rPr>
          <w:szCs w:val="18"/>
        </w:rPr>
        <w:t>8.</w:t>
      </w:r>
      <w:r w:rsidR="00F939DB">
        <w:rPr>
          <w:szCs w:val="18"/>
        </w:rPr>
        <w:t>4</w:t>
      </w:r>
      <w:r w:rsidR="00D05D39" w:rsidRPr="00D05D39">
        <w:rPr>
          <w:szCs w:val="18"/>
        </w:rPr>
        <w:t xml:space="preserve"> </w:t>
      </w:r>
      <w:r w:rsidR="00A50AA5" w:rsidRPr="00D05D39">
        <w:rPr>
          <w:szCs w:val="18"/>
        </w:rPr>
        <w:t>g TEQ per million in</w:t>
      </w:r>
      <w:r w:rsidR="00D05D39" w:rsidRPr="00D05D39">
        <w:rPr>
          <w:szCs w:val="18"/>
        </w:rPr>
        <w:t xml:space="preserve"> 2012</w:t>
      </w:r>
      <w:r w:rsidR="00A50AA5" w:rsidRPr="00D05D39">
        <w:rPr>
          <w:szCs w:val="18"/>
        </w:rPr>
        <w:t xml:space="preserve">, </w:t>
      </w:r>
      <w:r w:rsidR="00D05D39">
        <w:rPr>
          <w:szCs w:val="18"/>
        </w:rPr>
        <w:t>7.</w:t>
      </w:r>
      <w:r w:rsidR="00F939DB">
        <w:rPr>
          <w:szCs w:val="18"/>
        </w:rPr>
        <w:t>9</w:t>
      </w:r>
      <w:r w:rsidR="00D05D39">
        <w:rPr>
          <w:szCs w:val="18"/>
        </w:rPr>
        <w:t xml:space="preserve"> </w:t>
      </w:r>
      <w:r w:rsidR="00A50AA5" w:rsidRPr="00D05D39">
        <w:rPr>
          <w:szCs w:val="18"/>
        </w:rPr>
        <w:t xml:space="preserve">g TEQ per million in </w:t>
      </w:r>
      <w:r w:rsidR="00D05D39">
        <w:rPr>
          <w:szCs w:val="18"/>
        </w:rPr>
        <w:t>2016</w:t>
      </w:r>
      <w:r w:rsidR="00A50AA5" w:rsidRPr="00D05D39">
        <w:rPr>
          <w:szCs w:val="18"/>
        </w:rPr>
        <w:t xml:space="preserve"> and </w:t>
      </w:r>
      <w:r w:rsidR="00D05D39">
        <w:rPr>
          <w:szCs w:val="18"/>
        </w:rPr>
        <w:t>7.</w:t>
      </w:r>
      <w:r w:rsidR="000C759B">
        <w:rPr>
          <w:szCs w:val="18"/>
        </w:rPr>
        <w:t>3</w:t>
      </w:r>
      <w:r w:rsidR="00D05D39">
        <w:rPr>
          <w:szCs w:val="18"/>
        </w:rPr>
        <w:t xml:space="preserve"> </w:t>
      </w:r>
      <w:r w:rsidR="00A50AA5" w:rsidRPr="00D05D39">
        <w:rPr>
          <w:szCs w:val="18"/>
        </w:rPr>
        <w:t>g TEQ per million in</w:t>
      </w:r>
      <w:r w:rsidR="00D05D39">
        <w:rPr>
          <w:szCs w:val="18"/>
        </w:rPr>
        <w:t xml:space="preserve"> 2020</w:t>
      </w:r>
      <w:r w:rsidR="00A50AA5" w:rsidRPr="00D05D39">
        <w:rPr>
          <w:color w:val="FF0000"/>
          <w:szCs w:val="18"/>
        </w:rPr>
        <w:t>.</w:t>
      </w:r>
      <w:r w:rsidR="00C97AD3" w:rsidRPr="00D05D39">
        <w:rPr>
          <w:color w:val="FF0000"/>
          <w:szCs w:val="18"/>
        </w:rPr>
        <w:t xml:space="preserve"> </w:t>
      </w:r>
    </w:p>
    <w:p w14:paraId="4797C8E6" w14:textId="6C12F0F2" w:rsidR="007A79A7" w:rsidRPr="00D05D39" w:rsidRDefault="653CFC76" w:rsidP="007A79A7">
      <w:pPr>
        <w:spacing w:line="300" w:lineRule="atLeast"/>
        <w:jc w:val="both"/>
      </w:pPr>
      <w:r>
        <w:t>There are no official recommendations for ‘acceptable’ levels of national dioxin releases, and it is also not possible to relate the release estimates directly to any potential health effects. The more relevant information is provided by national surveys of dioxin body burdens, for which there have been several New Zealand studies.</w:t>
      </w:r>
    </w:p>
    <w:p w14:paraId="250309CE" w14:textId="599460F2" w:rsidR="007A79A7" w:rsidRPr="00D05D39" w:rsidRDefault="653CFC76" w:rsidP="007A79A7">
      <w:pPr>
        <w:spacing w:line="300" w:lineRule="atLeast"/>
        <w:jc w:val="both"/>
      </w:pPr>
      <w:r>
        <w:t xml:space="preserve">The levels of dioxins in mothers’ milk have been measured on 3 occasions in New Zealand: 1988, 1998 and 2008. These studies showed that the dioxin concentrations in New Zealand mothers are </w:t>
      </w:r>
      <w:bookmarkStart w:id="15" w:name="_Int_4lKmhTAU"/>
      <w:r>
        <w:t>relatively low</w:t>
      </w:r>
      <w:bookmarkEnd w:id="15"/>
      <w:r>
        <w:t xml:space="preserve"> by comparison with many other countries. Also, the levels have been steadily dropping, with a reduction of 70% observed from 1988 to 1998, and a further reduction of 40% from 1998 to 2008.</w:t>
      </w:r>
    </w:p>
    <w:p w14:paraId="009BED0C" w14:textId="77777777" w:rsidR="007A79A7" w:rsidRPr="00C97AD3" w:rsidRDefault="653CFC76" w:rsidP="007A79A7">
      <w:pPr>
        <w:spacing w:line="300" w:lineRule="atLeast"/>
        <w:jc w:val="both"/>
      </w:pPr>
      <w:r>
        <w:t xml:space="preserve">The levels of dioxins in blood serum have been monitored on two occasions in New Zealand, in 1997 and 2012. Once again, these studies showed the dioxin concentrations in New Zealanders are </w:t>
      </w:r>
      <w:bookmarkStart w:id="16" w:name="_Int_L14aQ5Wa"/>
      <w:r>
        <w:t>relatively low</w:t>
      </w:r>
      <w:bookmarkEnd w:id="16"/>
      <w:r>
        <w:t xml:space="preserve"> by comparison with many other countries, and the levels have dropped over time.</w:t>
      </w:r>
    </w:p>
    <w:p w14:paraId="5DE11CF1" w14:textId="7E9A9EFA" w:rsidR="00994F11" w:rsidRPr="00270CD3" w:rsidRDefault="007A79A7" w:rsidP="007A79A7">
      <w:pPr>
        <w:spacing w:line="300" w:lineRule="atLeast"/>
        <w:jc w:val="center"/>
        <w:rPr>
          <w:rFonts w:ascii="Arial" w:hAnsi="Arial" w:cs="Arial"/>
          <w:b/>
          <w:sz w:val="28"/>
          <w:szCs w:val="28"/>
        </w:rPr>
      </w:pPr>
      <w:r w:rsidRPr="00270CD3">
        <w:rPr>
          <w:b/>
          <w:sz w:val="32"/>
          <w:szCs w:val="28"/>
        </w:rPr>
        <w:br w:type="page"/>
      </w:r>
      <w:r w:rsidR="00994F11" w:rsidRPr="00270CD3">
        <w:rPr>
          <w:rFonts w:ascii="Arial" w:hAnsi="Arial" w:cs="Arial"/>
          <w:b/>
          <w:sz w:val="28"/>
          <w:szCs w:val="28"/>
        </w:rPr>
        <w:lastRenderedPageBreak/>
        <w:t>Contents</w:t>
      </w:r>
    </w:p>
    <w:p w14:paraId="20203719" w14:textId="77777777" w:rsidR="00C05182" w:rsidRPr="00270CD3" w:rsidRDefault="00C05182" w:rsidP="003833D6">
      <w:pPr>
        <w:spacing w:line="300" w:lineRule="atLeast"/>
        <w:jc w:val="both"/>
      </w:pPr>
    </w:p>
    <w:p w14:paraId="04092859" w14:textId="3FC45047" w:rsidR="003E6DEE" w:rsidRPr="008234C5" w:rsidRDefault="00B162C0" w:rsidP="008234C5">
      <w:pPr>
        <w:pStyle w:val="TOC1"/>
        <w:rPr>
          <w:rFonts w:eastAsiaTheme="minorEastAsia"/>
          <w:lang w:val="en-NZ" w:eastAsia="en-NZ"/>
        </w:rPr>
      </w:pPr>
      <w:r w:rsidRPr="008234C5">
        <w:rPr>
          <w:rFonts w:ascii="Times New Roman" w:hAnsi="Times New Roman" w:cs="Times New Roman"/>
          <w:bCs/>
        </w:rPr>
        <w:fldChar w:fldCharType="begin"/>
      </w:r>
      <w:r w:rsidRPr="008234C5">
        <w:rPr>
          <w:rFonts w:ascii="Times New Roman" w:hAnsi="Times New Roman" w:cs="Times New Roman"/>
          <w:bCs/>
        </w:rPr>
        <w:instrText xml:space="preserve"> TOC \o "1-3" \h \z \u </w:instrText>
      </w:r>
      <w:r w:rsidRPr="008234C5">
        <w:rPr>
          <w:rFonts w:ascii="Times New Roman" w:hAnsi="Times New Roman" w:cs="Times New Roman"/>
          <w:bCs/>
        </w:rPr>
        <w:fldChar w:fldCharType="separate"/>
      </w:r>
      <w:hyperlink w:anchor="_Toc112768051" w:history="1">
        <w:r w:rsidR="003E6DEE" w:rsidRPr="008234C5">
          <w:rPr>
            <w:rStyle w:val="Hyperlink"/>
          </w:rPr>
          <w:t>Units and abbreviations</w:t>
        </w:r>
        <w:r w:rsidR="003E6DEE" w:rsidRPr="008234C5">
          <w:rPr>
            <w:webHidden/>
          </w:rPr>
          <w:tab/>
        </w:r>
        <w:r w:rsidR="003E6DEE" w:rsidRPr="008234C5">
          <w:rPr>
            <w:webHidden/>
          </w:rPr>
          <w:fldChar w:fldCharType="begin"/>
        </w:r>
        <w:r w:rsidR="003E6DEE" w:rsidRPr="008234C5">
          <w:rPr>
            <w:webHidden/>
          </w:rPr>
          <w:instrText xml:space="preserve"> PAGEREF _Toc112768051 \h </w:instrText>
        </w:r>
        <w:r w:rsidR="003E6DEE" w:rsidRPr="008234C5">
          <w:rPr>
            <w:webHidden/>
          </w:rPr>
        </w:r>
        <w:r w:rsidR="003E6DEE" w:rsidRPr="008234C5">
          <w:rPr>
            <w:webHidden/>
          </w:rPr>
          <w:fldChar w:fldCharType="separate"/>
        </w:r>
        <w:r w:rsidR="003E6DEE" w:rsidRPr="008234C5">
          <w:rPr>
            <w:webHidden/>
          </w:rPr>
          <w:t>xiii</w:t>
        </w:r>
        <w:r w:rsidR="003E6DEE" w:rsidRPr="008234C5">
          <w:rPr>
            <w:webHidden/>
          </w:rPr>
          <w:fldChar w:fldCharType="end"/>
        </w:r>
      </w:hyperlink>
    </w:p>
    <w:p w14:paraId="6E5DA164" w14:textId="11ED153E" w:rsidR="003E6DEE" w:rsidRPr="008234C5" w:rsidRDefault="003E6DEE" w:rsidP="008234C5">
      <w:pPr>
        <w:pStyle w:val="TOC1"/>
        <w:rPr>
          <w:rFonts w:eastAsiaTheme="minorEastAsia"/>
          <w:lang w:val="en-NZ" w:eastAsia="en-NZ"/>
        </w:rPr>
      </w:pPr>
      <w:hyperlink w:anchor="_Toc112768052" w:history="1">
        <w:r w:rsidRPr="008234C5">
          <w:rPr>
            <w:rStyle w:val="Hyperlink"/>
            <w:rFonts w:ascii="Times New Roman" w:hAnsi="Times New Roman" w:cs="Times New Roman"/>
            <w:b w:val="0"/>
            <w:bCs/>
          </w:rPr>
          <w:t>1</w:t>
        </w:r>
        <w:r w:rsidRPr="008234C5">
          <w:rPr>
            <w:rFonts w:eastAsiaTheme="minorEastAsia"/>
            <w:lang w:val="en-NZ" w:eastAsia="en-NZ"/>
          </w:rPr>
          <w:tab/>
        </w:r>
        <w:r w:rsidRPr="008234C5">
          <w:rPr>
            <w:rStyle w:val="Hyperlink"/>
            <w:rFonts w:ascii="Times New Roman" w:hAnsi="Times New Roman" w:cs="Times New Roman"/>
            <w:b w:val="0"/>
            <w:bCs/>
          </w:rPr>
          <w:t>Introduction</w:t>
        </w:r>
        <w:r w:rsidRPr="008234C5">
          <w:rPr>
            <w:webHidden/>
          </w:rPr>
          <w:tab/>
        </w:r>
        <w:r w:rsidRPr="008234C5">
          <w:rPr>
            <w:webHidden/>
          </w:rPr>
          <w:fldChar w:fldCharType="begin"/>
        </w:r>
        <w:r w:rsidRPr="008234C5">
          <w:rPr>
            <w:webHidden/>
          </w:rPr>
          <w:instrText xml:space="preserve"> PAGEREF _Toc112768052 \h </w:instrText>
        </w:r>
        <w:r w:rsidRPr="008234C5">
          <w:rPr>
            <w:webHidden/>
          </w:rPr>
        </w:r>
        <w:r w:rsidRPr="008234C5">
          <w:rPr>
            <w:webHidden/>
          </w:rPr>
          <w:fldChar w:fldCharType="separate"/>
        </w:r>
        <w:r w:rsidRPr="008234C5">
          <w:rPr>
            <w:webHidden/>
          </w:rPr>
          <w:t>1</w:t>
        </w:r>
        <w:r w:rsidRPr="008234C5">
          <w:rPr>
            <w:webHidden/>
          </w:rPr>
          <w:fldChar w:fldCharType="end"/>
        </w:r>
      </w:hyperlink>
    </w:p>
    <w:p w14:paraId="190568F9" w14:textId="6576F0DC" w:rsidR="003E6DEE" w:rsidRPr="008234C5" w:rsidRDefault="003E6DEE">
      <w:pPr>
        <w:pStyle w:val="TOC2"/>
        <w:tabs>
          <w:tab w:val="left" w:pos="880"/>
          <w:tab w:val="right" w:leader="dot" w:pos="9061"/>
        </w:tabs>
        <w:rPr>
          <w:rFonts w:eastAsiaTheme="minorEastAsia"/>
          <w:bCs/>
          <w:noProof/>
          <w:lang w:eastAsia="en-NZ"/>
        </w:rPr>
      </w:pPr>
      <w:hyperlink w:anchor="_Toc112768053" w:history="1">
        <w:r w:rsidRPr="008234C5">
          <w:rPr>
            <w:rStyle w:val="Hyperlink"/>
            <w:bCs/>
            <w:noProof/>
          </w:rPr>
          <w:t>1.1</w:t>
        </w:r>
        <w:r w:rsidRPr="008234C5">
          <w:rPr>
            <w:rFonts w:eastAsiaTheme="minorEastAsia"/>
            <w:bCs/>
            <w:noProof/>
            <w:lang w:eastAsia="en-NZ"/>
          </w:rPr>
          <w:tab/>
        </w:r>
        <w:r w:rsidRPr="008234C5">
          <w:rPr>
            <w:rStyle w:val="Hyperlink"/>
            <w:bCs/>
            <w:noProof/>
          </w:rPr>
          <w:t>Background</w:t>
        </w:r>
        <w:r w:rsidRPr="008234C5">
          <w:rPr>
            <w:bCs/>
            <w:noProof/>
            <w:webHidden/>
          </w:rPr>
          <w:tab/>
        </w:r>
        <w:r w:rsidRPr="008234C5">
          <w:rPr>
            <w:bCs/>
            <w:noProof/>
            <w:webHidden/>
          </w:rPr>
          <w:fldChar w:fldCharType="begin"/>
        </w:r>
        <w:r w:rsidRPr="008234C5">
          <w:rPr>
            <w:bCs/>
            <w:noProof/>
            <w:webHidden/>
          </w:rPr>
          <w:instrText xml:space="preserve"> PAGEREF _Toc112768053 \h </w:instrText>
        </w:r>
        <w:r w:rsidRPr="008234C5">
          <w:rPr>
            <w:bCs/>
            <w:noProof/>
            <w:webHidden/>
          </w:rPr>
        </w:r>
        <w:r w:rsidRPr="008234C5">
          <w:rPr>
            <w:bCs/>
            <w:noProof/>
            <w:webHidden/>
          </w:rPr>
          <w:fldChar w:fldCharType="separate"/>
        </w:r>
        <w:r w:rsidRPr="008234C5">
          <w:rPr>
            <w:bCs/>
            <w:noProof/>
            <w:webHidden/>
          </w:rPr>
          <w:t>1</w:t>
        </w:r>
        <w:r w:rsidRPr="008234C5">
          <w:rPr>
            <w:bCs/>
            <w:noProof/>
            <w:webHidden/>
          </w:rPr>
          <w:fldChar w:fldCharType="end"/>
        </w:r>
      </w:hyperlink>
    </w:p>
    <w:p w14:paraId="7F98E4CE" w14:textId="3B974914" w:rsidR="003E6DEE" w:rsidRPr="008234C5" w:rsidRDefault="003E6DEE">
      <w:pPr>
        <w:pStyle w:val="TOC2"/>
        <w:tabs>
          <w:tab w:val="left" w:pos="880"/>
          <w:tab w:val="right" w:leader="dot" w:pos="9061"/>
        </w:tabs>
        <w:rPr>
          <w:rFonts w:eastAsiaTheme="minorEastAsia"/>
          <w:bCs/>
          <w:noProof/>
          <w:lang w:eastAsia="en-NZ"/>
        </w:rPr>
      </w:pPr>
      <w:hyperlink w:anchor="_Toc112768054" w:history="1">
        <w:r w:rsidRPr="008234C5">
          <w:rPr>
            <w:rStyle w:val="Hyperlink"/>
            <w:bCs/>
            <w:noProof/>
          </w:rPr>
          <w:t>1.2</w:t>
        </w:r>
        <w:r w:rsidRPr="008234C5">
          <w:rPr>
            <w:rFonts w:eastAsiaTheme="minorEastAsia"/>
            <w:bCs/>
            <w:noProof/>
            <w:lang w:eastAsia="en-NZ"/>
          </w:rPr>
          <w:tab/>
        </w:r>
        <w:r w:rsidRPr="008234C5">
          <w:rPr>
            <w:rStyle w:val="Hyperlink"/>
            <w:bCs/>
            <w:noProof/>
          </w:rPr>
          <w:t>Methodology</w:t>
        </w:r>
        <w:r w:rsidRPr="008234C5">
          <w:rPr>
            <w:bCs/>
            <w:noProof/>
            <w:webHidden/>
          </w:rPr>
          <w:tab/>
        </w:r>
        <w:r w:rsidRPr="008234C5">
          <w:rPr>
            <w:bCs/>
            <w:noProof/>
            <w:webHidden/>
          </w:rPr>
          <w:fldChar w:fldCharType="begin"/>
        </w:r>
        <w:r w:rsidRPr="008234C5">
          <w:rPr>
            <w:bCs/>
            <w:noProof/>
            <w:webHidden/>
          </w:rPr>
          <w:instrText xml:space="preserve"> PAGEREF _Toc112768054 \h </w:instrText>
        </w:r>
        <w:r w:rsidRPr="008234C5">
          <w:rPr>
            <w:bCs/>
            <w:noProof/>
            <w:webHidden/>
          </w:rPr>
        </w:r>
        <w:r w:rsidRPr="008234C5">
          <w:rPr>
            <w:bCs/>
            <w:noProof/>
            <w:webHidden/>
          </w:rPr>
          <w:fldChar w:fldCharType="separate"/>
        </w:r>
        <w:r w:rsidRPr="008234C5">
          <w:rPr>
            <w:bCs/>
            <w:noProof/>
            <w:webHidden/>
          </w:rPr>
          <w:t>1</w:t>
        </w:r>
        <w:r w:rsidRPr="008234C5">
          <w:rPr>
            <w:bCs/>
            <w:noProof/>
            <w:webHidden/>
          </w:rPr>
          <w:fldChar w:fldCharType="end"/>
        </w:r>
      </w:hyperlink>
    </w:p>
    <w:p w14:paraId="278EB690" w14:textId="3D26B18E" w:rsidR="003E6DEE" w:rsidRPr="008234C5" w:rsidRDefault="003E6DEE">
      <w:pPr>
        <w:pStyle w:val="TOC2"/>
        <w:tabs>
          <w:tab w:val="left" w:pos="880"/>
          <w:tab w:val="right" w:leader="dot" w:pos="9061"/>
        </w:tabs>
        <w:rPr>
          <w:rFonts w:eastAsiaTheme="minorEastAsia"/>
          <w:bCs/>
          <w:noProof/>
          <w:lang w:eastAsia="en-NZ"/>
        </w:rPr>
      </w:pPr>
      <w:hyperlink w:anchor="_Toc112768055" w:history="1">
        <w:r w:rsidRPr="008234C5">
          <w:rPr>
            <w:rStyle w:val="Hyperlink"/>
            <w:bCs/>
            <w:noProof/>
          </w:rPr>
          <w:t>1.3</w:t>
        </w:r>
        <w:r w:rsidRPr="008234C5">
          <w:rPr>
            <w:rFonts w:eastAsiaTheme="minorEastAsia"/>
            <w:bCs/>
            <w:noProof/>
            <w:lang w:eastAsia="en-NZ"/>
          </w:rPr>
          <w:tab/>
        </w:r>
        <w:r w:rsidRPr="008234C5">
          <w:rPr>
            <w:rStyle w:val="Hyperlink"/>
            <w:bCs/>
            <w:noProof/>
          </w:rPr>
          <w:t>Report layout and content</w:t>
        </w:r>
        <w:r w:rsidRPr="008234C5">
          <w:rPr>
            <w:bCs/>
            <w:noProof/>
            <w:webHidden/>
          </w:rPr>
          <w:tab/>
        </w:r>
        <w:r w:rsidRPr="008234C5">
          <w:rPr>
            <w:bCs/>
            <w:noProof/>
            <w:webHidden/>
          </w:rPr>
          <w:fldChar w:fldCharType="begin"/>
        </w:r>
        <w:r w:rsidRPr="008234C5">
          <w:rPr>
            <w:bCs/>
            <w:noProof/>
            <w:webHidden/>
          </w:rPr>
          <w:instrText xml:space="preserve"> PAGEREF _Toc112768055 \h </w:instrText>
        </w:r>
        <w:r w:rsidRPr="008234C5">
          <w:rPr>
            <w:bCs/>
            <w:noProof/>
            <w:webHidden/>
          </w:rPr>
        </w:r>
        <w:r w:rsidRPr="008234C5">
          <w:rPr>
            <w:bCs/>
            <w:noProof/>
            <w:webHidden/>
          </w:rPr>
          <w:fldChar w:fldCharType="separate"/>
        </w:r>
        <w:r w:rsidRPr="008234C5">
          <w:rPr>
            <w:bCs/>
            <w:noProof/>
            <w:webHidden/>
          </w:rPr>
          <w:t>1</w:t>
        </w:r>
        <w:r w:rsidRPr="008234C5">
          <w:rPr>
            <w:bCs/>
            <w:noProof/>
            <w:webHidden/>
          </w:rPr>
          <w:fldChar w:fldCharType="end"/>
        </w:r>
      </w:hyperlink>
    </w:p>
    <w:p w14:paraId="28FE7261" w14:textId="76F4B6F4" w:rsidR="003E6DEE" w:rsidRPr="008234C5" w:rsidRDefault="003E6DEE" w:rsidP="008234C5">
      <w:pPr>
        <w:pStyle w:val="TOC1"/>
        <w:rPr>
          <w:rFonts w:eastAsiaTheme="minorEastAsia"/>
          <w:lang w:val="en-NZ" w:eastAsia="en-NZ"/>
        </w:rPr>
      </w:pPr>
      <w:hyperlink w:anchor="_Toc112768056" w:history="1">
        <w:r w:rsidRPr="008234C5">
          <w:rPr>
            <w:rStyle w:val="Hyperlink"/>
            <w:rFonts w:ascii="Times New Roman" w:hAnsi="Times New Roman" w:cs="Times New Roman"/>
            <w:b w:val="0"/>
            <w:bCs/>
          </w:rPr>
          <w:t>2</w:t>
        </w:r>
        <w:r w:rsidRPr="008234C5">
          <w:rPr>
            <w:rFonts w:eastAsiaTheme="minorEastAsia"/>
            <w:lang w:val="en-NZ" w:eastAsia="en-NZ"/>
          </w:rPr>
          <w:tab/>
        </w:r>
        <w:r w:rsidRPr="008234C5">
          <w:rPr>
            <w:rStyle w:val="Hyperlink"/>
            <w:rFonts w:ascii="Times New Roman" w:hAnsi="Times New Roman" w:cs="Times New Roman"/>
            <w:b w:val="0"/>
            <w:bCs/>
          </w:rPr>
          <w:t>Dioxin Formation and the UNEP Toolkit</w:t>
        </w:r>
        <w:r w:rsidRPr="008234C5">
          <w:rPr>
            <w:webHidden/>
          </w:rPr>
          <w:tab/>
        </w:r>
        <w:r w:rsidRPr="008234C5">
          <w:rPr>
            <w:webHidden/>
          </w:rPr>
          <w:fldChar w:fldCharType="begin"/>
        </w:r>
        <w:r w:rsidRPr="008234C5">
          <w:rPr>
            <w:webHidden/>
          </w:rPr>
          <w:instrText xml:space="preserve"> PAGEREF _Toc112768056 \h </w:instrText>
        </w:r>
        <w:r w:rsidRPr="008234C5">
          <w:rPr>
            <w:webHidden/>
          </w:rPr>
        </w:r>
        <w:r w:rsidRPr="008234C5">
          <w:rPr>
            <w:webHidden/>
          </w:rPr>
          <w:fldChar w:fldCharType="separate"/>
        </w:r>
        <w:r w:rsidRPr="008234C5">
          <w:rPr>
            <w:webHidden/>
          </w:rPr>
          <w:t>2</w:t>
        </w:r>
        <w:r w:rsidRPr="008234C5">
          <w:rPr>
            <w:webHidden/>
          </w:rPr>
          <w:fldChar w:fldCharType="end"/>
        </w:r>
      </w:hyperlink>
    </w:p>
    <w:p w14:paraId="4476B254" w14:textId="6405A8E6" w:rsidR="003E6DEE" w:rsidRPr="008234C5" w:rsidRDefault="003E6DEE">
      <w:pPr>
        <w:pStyle w:val="TOC2"/>
        <w:tabs>
          <w:tab w:val="left" w:pos="880"/>
          <w:tab w:val="right" w:leader="dot" w:pos="9061"/>
        </w:tabs>
        <w:rPr>
          <w:rFonts w:eastAsiaTheme="minorEastAsia"/>
          <w:bCs/>
          <w:noProof/>
          <w:lang w:eastAsia="en-NZ"/>
        </w:rPr>
      </w:pPr>
      <w:hyperlink w:anchor="_Toc112768057" w:history="1">
        <w:r w:rsidRPr="008234C5">
          <w:rPr>
            <w:rStyle w:val="Hyperlink"/>
            <w:bCs/>
            <w:noProof/>
          </w:rPr>
          <w:t>2.1</w:t>
        </w:r>
        <w:r w:rsidRPr="008234C5">
          <w:rPr>
            <w:rFonts w:eastAsiaTheme="minorEastAsia"/>
            <w:bCs/>
            <w:noProof/>
            <w:lang w:eastAsia="en-NZ"/>
          </w:rPr>
          <w:tab/>
        </w:r>
        <w:r w:rsidRPr="008234C5">
          <w:rPr>
            <w:rStyle w:val="Hyperlink"/>
            <w:bCs/>
            <w:noProof/>
          </w:rPr>
          <w:t>Dioxin Formation</w:t>
        </w:r>
        <w:r w:rsidRPr="008234C5">
          <w:rPr>
            <w:bCs/>
            <w:noProof/>
            <w:webHidden/>
          </w:rPr>
          <w:tab/>
        </w:r>
        <w:r w:rsidRPr="008234C5">
          <w:rPr>
            <w:bCs/>
            <w:noProof/>
            <w:webHidden/>
          </w:rPr>
          <w:fldChar w:fldCharType="begin"/>
        </w:r>
        <w:r w:rsidRPr="008234C5">
          <w:rPr>
            <w:bCs/>
            <w:noProof/>
            <w:webHidden/>
          </w:rPr>
          <w:instrText xml:space="preserve"> PAGEREF _Toc112768057 \h </w:instrText>
        </w:r>
        <w:r w:rsidRPr="008234C5">
          <w:rPr>
            <w:bCs/>
            <w:noProof/>
            <w:webHidden/>
          </w:rPr>
        </w:r>
        <w:r w:rsidRPr="008234C5">
          <w:rPr>
            <w:bCs/>
            <w:noProof/>
            <w:webHidden/>
          </w:rPr>
          <w:fldChar w:fldCharType="separate"/>
        </w:r>
        <w:r w:rsidRPr="008234C5">
          <w:rPr>
            <w:bCs/>
            <w:noProof/>
            <w:webHidden/>
          </w:rPr>
          <w:t>2</w:t>
        </w:r>
        <w:r w:rsidRPr="008234C5">
          <w:rPr>
            <w:bCs/>
            <w:noProof/>
            <w:webHidden/>
          </w:rPr>
          <w:fldChar w:fldCharType="end"/>
        </w:r>
      </w:hyperlink>
    </w:p>
    <w:p w14:paraId="18A4181C" w14:textId="35B53AAD" w:rsidR="003E6DEE" w:rsidRPr="008234C5" w:rsidRDefault="003E6DEE">
      <w:pPr>
        <w:pStyle w:val="TOC2"/>
        <w:tabs>
          <w:tab w:val="left" w:pos="880"/>
          <w:tab w:val="right" w:leader="dot" w:pos="9061"/>
        </w:tabs>
        <w:rPr>
          <w:rFonts w:eastAsiaTheme="minorEastAsia"/>
          <w:bCs/>
          <w:noProof/>
          <w:lang w:eastAsia="en-NZ"/>
        </w:rPr>
      </w:pPr>
      <w:hyperlink w:anchor="_Toc112768058" w:history="1">
        <w:r w:rsidRPr="008234C5">
          <w:rPr>
            <w:rStyle w:val="Hyperlink"/>
            <w:bCs/>
            <w:noProof/>
          </w:rPr>
          <w:t>2.2</w:t>
        </w:r>
        <w:r w:rsidRPr="008234C5">
          <w:rPr>
            <w:rFonts w:eastAsiaTheme="minorEastAsia"/>
            <w:bCs/>
            <w:noProof/>
            <w:lang w:eastAsia="en-NZ"/>
          </w:rPr>
          <w:tab/>
        </w:r>
        <w:r w:rsidRPr="008234C5">
          <w:rPr>
            <w:rStyle w:val="Hyperlink"/>
            <w:bCs/>
            <w:noProof/>
          </w:rPr>
          <w:t>The UNEP Toolkit</w:t>
        </w:r>
        <w:r w:rsidRPr="008234C5">
          <w:rPr>
            <w:bCs/>
            <w:noProof/>
            <w:webHidden/>
          </w:rPr>
          <w:tab/>
        </w:r>
        <w:r w:rsidRPr="008234C5">
          <w:rPr>
            <w:bCs/>
            <w:noProof/>
            <w:webHidden/>
          </w:rPr>
          <w:fldChar w:fldCharType="begin"/>
        </w:r>
        <w:r w:rsidRPr="008234C5">
          <w:rPr>
            <w:bCs/>
            <w:noProof/>
            <w:webHidden/>
          </w:rPr>
          <w:instrText xml:space="preserve"> PAGEREF _Toc112768058 \h </w:instrText>
        </w:r>
        <w:r w:rsidRPr="008234C5">
          <w:rPr>
            <w:bCs/>
            <w:noProof/>
            <w:webHidden/>
          </w:rPr>
        </w:r>
        <w:r w:rsidRPr="008234C5">
          <w:rPr>
            <w:bCs/>
            <w:noProof/>
            <w:webHidden/>
          </w:rPr>
          <w:fldChar w:fldCharType="separate"/>
        </w:r>
        <w:r w:rsidRPr="008234C5">
          <w:rPr>
            <w:bCs/>
            <w:noProof/>
            <w:webHidden/>
          </w:rPr>
          <w:t>2</w:t>
        </w:r>
        <w:r w:rsidRPr="008234C5">
          <w:rPr>
            <w:bCs/>
            <w:noProof/>
            <w:webHidden/>
          </w:rPr>
          <w:fldChar w:fldCharType="end"/>
        </w:r>
      </w:hyperlink>
    </w:p>
    <w:p w14:paraId="6A3DAA9C" w14:textId="6E1DD906" w:rsidR="003E6DEE" w:rsidRPr="008234C5" w:rsidRDefault="003E6DEE">
      <w:pPr>
        <w:pStyle w:val="TOC2"/>
        <w:tabs>
          <w:tab w:val="left" w:pos="880"/>
          <w:tab w:val="right" w:leader="dot" w:pos="9061"/>
        </w:tabs>
        <w:rPr>
          <w:rFonts w:eastAsiaTheme="minorEastAsia"/>
          <w:bCs/>
          <w:noProof/>
          <w:lang w:eastAsia="en-NZ"/>
        </w:rPr>
      </w:pPr>
      <w:hyperlink w:anchor="_Toc112768059" w:history="1">
        <w:r w:rsidRPr="008234C5">
          <w:rPr>
            <w:rStyle w:val="Hyperlink"/>
            <w:bCs/>
            <w:noProof/>
          </w:rPr>
          <w:t>2.3</w:t>
        </w:r>
        <w:r w:rsidRPr="008234C5">
          <w:rPr>
            <w:rFonts w:eastAsiaTheme="minorEastAsia"/>
            <w:bCs/>
            <w:noProof/>
            <w:lang w:eastAsia="en-NZ"/>
          </w:rPr>
          <w:tab/>
        </w:r>
        <w:r w:rsidRPr="008234C5">
          <w:rPr>
            <w:rStyle w:val="Hyperlink"/>
            <w:bCs/>
            <w:noProof/>
          </w:rPr>
          <w:t>Release estimates</w:t>
        </w:r>
        <w:r w:rsidRPr="008234C5">
          <w:rPr>
            <w:bCs/>
            <w:noProof/>
            <w:webHidden/>
          </w:rPr>
          <w:tab/>
        </w:r>
        <w:r w:rsidRPr="008234C5">
          <w:rPr>
            <w:bCs/>
            <w:noProof/>
            <w:webHidden/>
          </w:rPr>
          <w:fldChar w:fldCharType="begin"/>
        </w:r>
        <w:r w:rsidRPr="008234C5">
          <w:rPr>
            <w:bCs/>
            <w:noProof/>
            <w:webHidden/>
          </w:rPr>
          <w:instrText xml:space="preserve"> PAGEREF _Toc112768059 \h </w:instrText>
        </w:r>
        <w:r w:rsidRPr="008234C5">
          <w:rPr>
            <w:bCs/>
            <w:noProof/>
            <w:webHidden/>
          </w:rPr>
        </w:r>
        <w:r w:rsidRPr="008234C5">
          <w:rPr>
            <w:bCs/>
            <w:noProof/>
            <w:webHidden/>
          </w:rPr>
          <w:fldChar w:fldCharType="separate"/>
        </w:r>
        <w:r w:rsidRPr="008234C5">
          <w:rPr>
            <w:bCs/>
            <w:noProof/>
            <w:webHidden/>
          </w:rPr>
          <w:t>3</w:t>
        </w:r>
        <w:r w:rsidRPr="008234C5">
          <w:rPr>
            <w:bCs/>
            <w:noProof/>
            <w:webHidden/>
          </w:rPr>
          <w:fldChar w:fldCharType="end"/>
        </w:r>
      </w:hyperlink>
    </w:p>
    <w:p w14:paraId="5AC7049A" w14:textId="7962D484" w:rsidR="003E6DEE" w:rsidRPr="008234C5" w:rsidRDefault="003E6DEE">
      <w:pPr>
        <w:pStyle w:val="TOC2"/>
        <w:tabs>
          <w:tab w:val="left" w:pos="880"/>
          <w:tab w:val="right" w:leader="dot" w:pos="9061"/>
        </w:tabs>
        <w:rPr>
          <w:rFonts w:eastAsiaTheme="minorEastAsia"/>
          <w:bCs/>
          <w:noProof/>
          <w:lang w:eastAsia="en-NZ"/>
        </w:rPr>
      </w:pPr>
      <w:hyperlink w:anchor="_Toc112768060" w:history="1">
        <w:r w:rsidRPr="008234C5">
          <w:rPr>
            <w:rStyle w:val="Hyperlink"/>
            <w:bCs/>
            <w:noProof/>
            <w:lang w:val="en-US"/>
          </w:rPr>
          <w:t>2.4</w:t>
        </w:r>
        <w:r w:rsidRPr="008234C5">
          <w:rPr>
            <w:rFonts w:eastAsiaTheme="minorEastAsia"/>
            <w:bCs/>
            <w:noProof/>
            <w:lang w:eastAsia="en-NZ"/>
          </w:rPr>
          <w:tab/>
        </w:r>
        <w:r w:rsidRPr="008234C5">
          <w:rPr>
            <w:rStyle w:val="Hyperlink"/>
            <w:bCs/>
            <w:noProof/>
            <w:lang w:val="en-US"/>
          </w:rPr>
          <w:t>Certainty Estimates</w:t>
        </w:r>
        <w:r w:rsidRPr="008234C5">
          <w:rPr>
            <w:bCs/>
            <w:noProof/>
            <w:webHidden/>
          </w:rPr>
          <w:tab/>
        </w:r>
        <w:r w:rsidRPr="008234C5">
          <w:rPr>
            <w:bCs/>
            <w:noProof/>
            <w:webHidden/>
          </w:rPr>
          <w:fldChar w:fldCharType="begin"/>
        </w:r>
        <w:r w:rsidRPr="008234C5">
          <w:rPr>
            <w:bCs/>
            <w:noProof/>
            <w:webHidden/>
          </w:rPr>
          <w:instrText xml:space="preserve"> PAGEREF _Toc112768060 \h </w:instrText>
        </w:r>
        <w:r w:rsidRPr="008234C5">
          <w:rPr>
            <w:bCs/>
            <w:noProof/>
            <w:webHidden/>
          </w:rPr>
        </w:r>
        <w:r w:rsidRPr="008234C5">
          <w:rPr>
            <w:bCs/>
            <w:noProof/>
            <w:webHidden/>
          </w:rPr>
          <w:fldChar w:fldCharType="separate"/>
        </w:r>
        <w:r w:rsidRPr="008234C5">
          <w:rPr>
            <w:bCs/>
            <w:noProof/>
            <w:webHidden/>
          </w:rPr>
          <w:t>4</w:t>
        </w:r>
        <w:r w:rsidRPr="008234C5">
          <w:rPr>
            <w:bCs/>
            <w:noProof/>
            <w:webHidden/>
          </w:rPr>
          <w:fldChar w:fldCharType="end"/>
        </w:r>
      </w:hyperlink>
    </w:p>
    <w:p w14:paraId="2008714C" w14:textId="6B09B016" w:rsidR="003E6DEE" w:rsidRPr="008234C5" w:rsidRDefault="003E6DEE">
      <w:pPr>
        <w:pStyle w:val="TOC2"/>
        <w:tabs>
          <w:tab w:val="left" w:pos="880"/>
          <w:tab w:val="right" w:leader="dot" w:pos="9061"/>
        </w:tabs>
        <w:rPr>
          <w:rFonts w:eastAsiaTheme="minorEastAsia"/>
          <w:bCs/>
          <w:noProof/>
          <w:lang w:eastAsia="en-NZ"/>
        </w:rPr>
      </w:pPr>
      <w:hyperlink w:anchor="_Toc112768061" w:history="1">
        <w:r w:rsidRPr="008234C5">
          <w:rPr>
            <w:rStyle w:val="Hyperlink"/>
            <w:bCs/>
            <w:noProof/>
          </w:rPr>
          <w:t>2.5</w:t>
        </w:r>
        <w:r w:rsidRPr="008234C5">
          <w:rPr>
            <w:rFonts w:eastAsiaTheme="minorEastAsia"/>
            <w:bCs/>
            <w:noProof/>
            <w:lang w:eastAsia="en-NZ"/>
          </w:rPr>
          <w:tab/>
        </w:r>
        <w:r w:rsidRPr="008234C5">
          <w:rPr>
            <w:rStyle w:val="Hyperlink"/>
            <w:bCs/>
            <w:noProof/>
          </w:rPr>
          <w:t>Back-calculations</w:t>
        </w:r>
        <w:r w:rsidRPr="008234C5">
          <w:rPr>
            <w:bCs/>
            <w:noProof/>
            <w:webHidden/>
          </w:rPr>
          <w:tab/>
        </w:r>
        <w:r w:rsidRPr="008234C5">
          <w:rPr>
            <w:bCs/>
            <w:noProof/>
            <w:webHidden/>
          </w:rPr>
          <w:fldChar w:fldCharType="begin"/>
        </w:r>
        <w:r w:rsidRPr="008234C5">
          <w:rPr>
            <w:bCs/>
            <w:noProof/>
            <w:webHidden/>
          </w:rPr>
          <w:instrText xml:space="preserve"> PAGEREF _Toc112768061 \h </w:instrText>
        </w:r>
        <w:r w:rsidRPr="008234C5">
          <w:rPr>
            <w:bCs/>
            <w:noProof/>
            <w:webHidden/>
          </w:rPr>
        </w:r>
        <w:r w:rsidRPr="008234C5">
          <w:rPr>
            <w:bCs/>
            <w:noProof/>
            <w:webHidden/>
          </w:rPr>
          <w:fldChar w:fldCharType="separate"/>
        </w:r>
        <w:r w:rsidRPr="008234C5">
          <w:rPr>
            <w:bCs/>
            <w:noProof/>
            <w:webHidden/>
          </w:rPr>
          <w:t>5</w:t>
        </w:r>
        <w:r w:rsidRPr="008234C5">
          <w:rPr>
            <w:bCs/>
            <w:noProof/>
            <w:webHidden/>
          </w:rPr>
          <w:fldChar w:fldCharType="end"/>
        </w:r>
      </w:hyperlink>
    </w:p>
    <w:p w14:paraId="7EEF32EB" w14:textId="6EB70253" w:rsidR="003E6DEE" w:rsidRPr="008234C5" w:rsidRDefault="003E6DEE">
      <w:pPr>
        <w:pStyle w:val="TOC2"/>
        <w:tabs>
          <w:tab w:val="left" w:pos="880"/>
          <w:tab w:val="right" w:leader="dot" w:pos="9061"/>
        </w:tabs>
        <w:rPr>
          <w:rFonts w:eastAsiaTheme="minorEastAsia"/>
          <w:bCs/>
          <w:noProof/>
          <w:lang w:eastAsia="en-NZ"/>
        </w:rPr>
      </w:pPr>
      <w:hyperlink w:anchor="_Toc112768062" w:history="1">
        <w:r w:rsidRPr="008234C5">
          <w:rPr>
            <w:rStyle w:val="Hyperlink"/>
            <w:bCs/>
            <w:noProof/>
          </w:rPr>
          <w:t>2.6</w:t>
        </w:r>
        <w:r w:rsidRPr="008234C5">
          <w:rPr>
            <w:rFonts w:eastAsiaTheme="minorEastAsia"/>
            <w:bCs/>
            <w:noProof/>
            <w:lang w:eastAsia="en-NZ"/>
          </w:rPr>
          <w:tab/>
        </w:r>
        <w:r w:rsidRPr="008234C5">
          <w:rPr>
            <w:rStyle w:val="Hyperlink"/>
            <w:bCs/>
            <w:noProof/>
          </w:rPr>
          <w:t>Units</w:t>
        </w:r>
        <w:r w:rsidRPr="008234C5">
          <w:rPr>
            <w:bCs/>
            <w:noProof/>
            <w:webHidden/>
          </w:rPr>
          <w:tab/>
        </w:r>
        <w:r w:rsidRPr="008234C5">
          <w:rPr>
            <w:bCs/>
            <w:noProof/>
            <w:webHidden/>
          </w:rPr>
          <w:fldChar w:fldCharType="begin"/>
        </w:r>
        <w:r w:rsidRPr="008234C5">
          <w:rPr>
            <w:bCs/>
            <w:noProof/>
            <w:webHidden/>
          </w:rPr>
          <w:instrText xml:space="preserve"> PAGEREF _Toc112768062 \h </w:instrText>
        </w:r>
        <w:r w:rsidRPr="008234C5">
          <w:rPr>
            <w:bCs/>
            <w:noProof/>
            <w:webHidden/>
          </w:rPr>
        </w:r>
        <w:r w:rsidRPr="008234C5">
          <w:rPr>
            <w:bCs/>
            <w:noProof/>
            <w:webHidden/>
          </w:rPr>
          <w:fldChar w:fldCharType="separate"/>
        </w:r>
        <w:r w:rsidRPr="008234C5">
          <w:rPr>
            <w:bCs/>
            <w:noProof/>
            <w:webHidden/>
          </w:rPr>
          <w:t>5</w:t>
        </w:r>
        <w:r w:rsidRPr="008234C5">
          <w:rPr>
            <w:bCs/>
            <w:noProof/>
            <w:webHidden/>
          </w:rPr>
          <w:fldChar w:fldCharType="end"/>
        </w:r>
      </w:hyperlink>
    </w:p>
    <w:p w14:paraId="3981580F" w14:textId="09B7CC29" w:rsidR="003E6DEE" w:rsidRPr="008234C5" w:rsidRDefault="003E6DEE" w:rsidP="008234C5">
      <w:pPr>
        <w:pStyle w:val="TOC1"/>
        <w:rPr>
          <w:rFonts w:eastAsiaTheme="minorEastAsia"/>
          <w:lang w:val="en-NZ" w:eastAsia="en-NZ"/>
        </w:rPr>
      </w:pPr>
      <w:hyperlink w:anchor="_Toc112768063" w:history="1">
        <w:r w:rsidRPr="008234C5">
          <w:rPr>
            <w:rStyle w:val="Hyperlink"/>
            <w:rFonts w:ascii="Times New Roman" w:hAnsi="Times New Roman" w:cs="Times New Roman"/>
            <w:b w:val="0"/>
            <w:bCs/>
          </w:rPr>
          <w:t>3</w:t>
        </w:r>
        <w:r w:rsidRPr="008234C5">
          <w:rPr>
            <w:rFonts w:eastAsiaTheme="minorEastAsia"/>
            <w:lang w:val="en-NZ" w:eastAsia="en-NZ"/>
          </w:rPr>
          <w:tab/>
        </w:r>
        <w:r w:rsidRPr="008234C5">
          <w:rPr>
            <w:rStyle w:val="Hyperlink"/>
            <w:rFonts w:ascii="Times New Roman" w:hAnsi="Times New Roman" w:cs="Times New Roman"/>
            <w:b w:val="0"/>
            <w:bCs/>
          </w:rPr>
          <w:t>Waste incineration</w:t>
        </w:r>
        <w:r w:rsidRPr="008234C5">
          <w:rPr>
            <w:webHidden/>
          </w:rPr>
          <w:tab/>
        </w:r>
        <w:r w:rsidRPr="008234C5">
          <w:rPr>
            <w:webHidden/>
          </w:rPr>
          <w:fldChar w:fldCharType="begin"/>
        </w:r>
        <w:r w:rsidRPr="008234C5">
          <w:rPr>
            <w:webHidden/>
          </w:rPr>
          <w:instrText xml:space="preserve"> PAGEREF _Toc112768063 \h </w:instrText>
        </w:r>
        <w:r w:rsidRPr="008234C5">
          <w:rPr>
            <w:webHidden/>
          </w:rPr>
        </w:r>
        <w:r w:rsidRPr="008234C5">
          <w:rPr>
            <w:webHidden/>
          </w:rPr>
          <w:fldChar w:fldCharType="separate"/>
        </w:r>
        <w:r w:rsidRPr="008234C5">
          <w:rPr>
            <w:webHidden/>
          </w:rPr>
          <w:t>6</w:t>
        </w:r>
        <w:r w:rsidRPr="008234C5">
          <w:rPr>
            <w:webHidden/>
          </w:rPr>
          <w:fldChar w:fldCharType="end"/>
        </w:r>
      </w:hyperlink>
    </w:p>
    <w:p w14:paraId="321C0680" w14:textId="70B4E60C" w:rsidR="003E6DEE" w:rsidRPr="008234C5" w:rsidRDefault="003E6DEE">
      <w:pPr>
        <w:pStyle w:val="TOC2"/>
        <w:tabs>
          <w:tab w:val="left" w:pos="880"/>
          <w:tab w:val="right" w:leader="dot" w:pos="9061"/>
        </w:tabs>
        <w:rPr>
          <w:rFonts w:eastAsiaTheme="minorEastAsia"/>
          <w:bCs/>
          <w:noProof/>
          <w:lang w:eastAsia="en-NZ"/>
        </w:rPr>
      </w:pPr>
      <w:hyperlink w:anchor="_Toc112768064" w:history="1">
        <w:r w:rsidRPr="008234C5">
          <w:rPr>
            <w:rStyle w:val="Hyperlink"/>
            <w:bCs/>
            <w:noProof/>
          </w:rPr>
          <w:t>3.1</w:t>
        </w:r>
        <w:r w:rsidRPr="008234C5">
          <w:rPr>
            <w:rFonts w:eastAsiaTheme="minorEastAsia"/>
            <w:bCs/>
            <w:noProof/>
            <w:lang w:eastAsia="en-NZ"/>
          </w:rPr>
          <w:tab/>
        </w:r>
        <w:r w:rsidRPr="008234C5">
          <w:rPr>
            <w:rStyle w:val="Hyperlink"/>
            <w:bCs/>
            <w:noProof/>
          </w:rPr>
          <w:t>Municipal solid waste incineration</w:t>
        </w:r>
        <w:r w:rsidRPr="008234C5">
          <w:rPr>
            <w:bCs/>
            <w:noProof/>
            <w:webHidden/>
          </w:rPr>
          <w:tab/>
        </w:r>
        <w:r w:rsidRPr="008234C5">
          <w:rPr>
            <w:bCs/>
            <w:noProof/>
            <w:webHidden/>
          </w:rPr>
          <w:fldChar w:fldCharType="begin"/>
        </w:r>
        <w:r w:rsidRPr="008234C5">
          <w:rPr>
            <w:bCs/>
            <w:noProof/>
            <w:webHidden/>
          </w:rPr>
          <w:instrText xml:space="preserve"> PAGEREF _Toc112768064 \h </w:instrText>
        </w:r>
        <w:r w:rsidRPr="008234C5">
          <w:rPr>
            <w:bCs/>
            <w:noProof/>
            <w:webHidden/>
          </w:rPr>
        </w:r>
        <w:r w:rsidRPr="008234C5">
          <w:rPr>
            <w:bCs/>
            <w:noProof/>
            <w:webHidden/>
          </w:rPr>
          <w:fldChar w:fldCharType="separate"/>
        </w:r>
        <w:r w:rsidRPr="008234C5">
          <w:rPr>
            <w:bCs/>
            <w:noProof/>
            <w:webHidden/>
          </w:rPr>
          <w:t>6</w:t>
        </w:r>
        <w:r w:rsidRPr="008234C5">
          <w:rPr>
            <w:bCs/>
            <w:noProof/>
            <w:webHidden/>
          </w:rPr>
          <w:fldChar w:fldCharType="end"/>
        </w:r>
      </w:hyperlink>
    </w:p>
    <w:p w14:paraId="7832282D" w14:textId="6C8D1FFF" w:rsidR="003E6DEE" w:rsidRPr="008234C5" w:rsidRDefault="003E6DEE">
      <w:pPr>
        <w:pStyle w:val="TOC2"/>
        <w:tabs>
          <w:tab w:val="left" w:pos="880"/>
          <w:tab w:val="right" w:leader="dot" w:pos="9061"/>
        </w:tabs>
        <w:rPr>
          <w:rFonts w:eastAsiaTheme="minorEastAsia"/>
          <w:bCs/>
          <w:noProof/>
          <w:lang w:eastAsia="en-NZ"/>
        </w:rPr>
      </w:pPr>
      <w:hyperlink w:anchor="_Toc112768065" w:history="1">
        <w:r w:rsidRPr="008234C5">
          <w:rPr>
            <w:rStyle w:val="Hyperlink"/>
            <w:bCs/>
            <w:noProof/>
          </w:rPr>
          <w:t>3.2</w:t>
        </w:r>
        <w:r w:rsidRPr="008234C5">
          <w:rPr>
            <w:rFonts w:eastAsiaTheme="minorEastAsia"/>
            <w:bCs/>
            <w:noProof/>
            <w:lang w:eastAsia="en-NZ"/>
          </w:rPr>
          <w:tab/>
        </w:r>
        <w:r w:rsidRPr="008234C5">
          <w:rPr>
            <w:rStyle w:val="Hyperlink"/>
            <w:bCs/>
            <w:noProof/>
          </w:rPr>
          <w:t>Hazardous waste incineration</w:t>
        </w:r>
        <w:r w:rsidRPr="008234C5">
          <w:rPr>
            <w:bCs/>
            <w:noProof/>
            <w:webHidden/>
          </w:rPr>
          <w:tab/>
        </w:r>
        <w:r w:rsidRPr="008234C5">
          <w:rPr>
            <w:bCs/>
            <w:noProof/>
            <w:webHidden/>
          </w:rPr>
          <w:fldChar w:fldCharType="begin"/>
        </w:r>
        <w:r w:rsidRPr="008234C5">
          <w:rPr>
            <w:bCs/>
            <w:noProof/>
            <w:webHidden/>
          </w:rPr>
          <w:instrText xml:space="preserve"> PAGEREF _Toc112768065 \h </w:instrText>
        </w:r>
        <w:r w:rsidRPr="008234C5">
          <w:rPr>
            <w:bCs/>
            <w:noProof/>
            <w:webHidden/>
          </w:rPr>
        </w:r>
        <w:r w:rsidRPr="008234C5">
          <w:rPr>
            <w:bCs/>
            <w:noProof/>
            <w:webHidden/>
          </w:rPr>
          <w:fldChar w:fldCharType="separate"/>
        </w:r>
        <w:r w:rsidRPr="008234C5">
          <w:rPr>
            <w:bCs/>
            <w:noProof/>
            <w:webHidden/>
          </w:rPr>
          <w:t>6</w:t>
        </w:r>
        <w:r w:rsidRPr="008234C5">
          <w:rPr>
            <w:bCs/>
            <w:noProof/>
            <w:webHidden/>
          </w:rPr>
          <w:fldChar w:fldCharType="end"/>
        </w:r>
      </w:hyperlink>
    </w:p>
    <w:p w14:paraId="373C31B9" w14:textId="22A5332D" w:rsidR="003E6DEE" w:rsidRPr="008234C5" w:rsidRDefault="003E6DEE">
      <w:pPr>
        <w:pStyle w:val="TOC2"/>
        <w:tabs>
          <w:tab w:val="left" w:pos="880"/>
          <w:tab w:val="right" w:leader="dot" w:pos="9061"/>
        </w:tabs>
        <w:rPr>
          <w:rFonts w:eastAsiaTheme="minorEastAsia"/>
          <w:bCs/>
          <w:noProof/>
          <w:lang w:eastAsia="en-NZ"/>
        </w:rPr>
      </w:pPr>
      <w:hyperlink w:anchor="_Toc112768066" w:history="1">
        <w:r w:rsidRPr="008234C5">
          <w:rPr>
            <w:rStyle w:val="Hyperlink"/>
            <w:bCs/>
            <w:noProof/>
          </w:rPr>
          <w:t>3.3</w:t>
        </w:r>
        <w:r w:rsidRPr="008234C5">
          <w:rPr>
            <w:rFonts w:eastAsiaTheme="minorEastAsia"/>
            <w:bCs/>
            <w:noProof/>
            <w:lang w:eastAsia="en-NZ"/>
          </w:rPr>
          <w:tab/>
        </w:r>
        <w:r w:rsidRPr="008234C5">
          <w:rPr>
            <w:rStyle w:val="Hyperlink"/>
            <w:bCs/>
            <w:noProof/>
          </w:rPr>
          <w:t>Medical waste incineration</w:t>
        </w:r>
        <w:r w:rsidRPr="008234C5">
          <w:rPr>
            <w:bCs/>
            <w:noProof/>
            <w:webHidden/>
          </w:rPr>
          <w:tab/>
        </w:r>
        <w:r w:rsidRPr="008234C5">
          <w:rPr>
            <w:bCs/>
            <w:noProof/>
            <w:webHidden/>
          </w:rPr>
          <w:fldChar w:fldCharType="begin"/>
        </w:r>
        <w:r w:rsidRPr="008234C5">
          <w:rPr>
            <w:bCs/>
            <w:noProof/>
            <w:webHidden/>
          </w:rPr>
          <w:instrText xml:space="preserve"> PAGEREF _Toc112768066 \h </w:instrText>
        </w:r>
        <w:r w:rsidRPr="008234C5">
          <w:rPr>
            <w:bCs/>
            <w:noProof/>
            <w:webHidden/>
          </w:rPr>
        </w:r>
        <w:r w:rsidRPr="008234C5">
          <w:rPr>
            <w:bCs/>
            <w:noProof/>
            <w:webHidden/>
          </w:rPr>
          <w:fldChar w:fldCharType="separate"/>
        </w:r>
        <w:r w:rsidRPr="008234C5">
          <w:rPr>
            <w:bCs/>
            <w:noProof/>
            <w:webHidden/>
          </w:rPr>
          <w:t>7</w:t>
        </w:r>
        <w:r w:rsidRPr="008234C5">
          <w:rPr>
            <w:bCs/>
            <w:noProof/>
            <w:webHidden/>
          </w:rPr>
          <w:fldChar w:fldCharType="end"/>
        </w:r>
      </w:hyperlink>
    </w:p>
    <w:p w14:paraId="1B4C44ED" w14:textId="5C8338C9" w:rsidR="003E6DEE" w:rsidRPr="008234C5" w:rsidRDefault="003E6DEE">
      <w:pPr>
        <w:pStyle w:val="TOC2"/>
        <w:tabs>
          <w:tab w:val="left" w:pos="880"/>
          <w:tab w:val="right" w:leader="dot" w:pos="9061"/>
        </w:tabs>
        <w:rPr>
          <w:rFonts w:eastAsiaTheme="minorEastAsia"/>
          <w:bCs/>
          <w:noProof/>
          <w:lang w:eastAsia="en-NZ"/>
        </w:rPr>
      </w:pPr>
      <w:hyperlink w:anchor="_Toc112768067" w:history="1">
        <w:r w:rsidRPr="008234C5">
          <w:rPr>
            <w:rStyle w:val="Hyperlink"/>
            <w:bCs/>
            <w:noProof/>
          </w:rPr>
          <w:t>3.4</w:t>
        </w:r>
        <w:r w:rsidRPr="008234C5">
          <w:rPr>
            <w:rFonts w:eastAsiaTheme="minorEastAsia"/>
            <w:bCs/>
            <w:noProof/>
            <w:lang w:eastAsia="en-NZ"/>
          </w:rPr>
          <w:tab/>
        </w:r>
        <w:r w:rsidRPr="008234C5">
          <w:rPr>
            <w:rStyle w:val="Hyperlink"/>
            <w:bCs/>
            <w:noProof/>
          </w:rPr>
          <w:t>Light-fraction shredder waste incineration</w:t>
        </w:r>
        <w:r w:rsidRPr="008234C5">
          <w:rPr>
            <w:bCs/>
            <w:noProof/>
            <w:webHidden/>
          </w:rPr>
          <w:tab/>
        </w:r>
        <w:r w:rsidRPr="008234C5">
          <w:rPr>
            <w:bCs/>
            <w:noProof/>
            <w:webHidden/>
          </w:rPr>
          <w:fldChar w:fldCharType="begin"/>
        </w:r>
        <w:r w:rsidRPr="008234C5">
          <w:rPr>
            <w:bCs/>
            <w:noProof/>
            <w:webHidden/>
          </w:rPr>
          <w:instrText xml:space="preserve"> PAGEREF _Toc112768067 \h </w:instrText>
        </w:r>
        <w:r w:rsidRPr="008234C5">
          <w:rPr>
            <w:bCs/>
            <w:noProof/>
            <w:webHidden/>
          </w:rPr>
        </w:r>
        <w:r w:rsidRPr="008234C5">
          <w:rPr>
            <w:bCs/>
            <w:noProof/>
            <w:webHidden/>
          </w:rPr>
          <w:fldChar w:fldCharType="separate"/>
        </w:r>
        <w:r w:rsidRPr="008234C5">
          <w:rPr>
            <w:bCs/>
            <w:noProof/>
            <w:webHidden/>
          </w:rPr>
          <w:t>8</w:t>
        </w:r>
        <w:r w:rsidRPr="008234C5">
          <w:rPr>
            <w:bCs/>
            <w:noProof/>
            <w:webHidden/>
          </w:rPr>
          <w:fldChar w:fldCharType="end"/>
        </w:r>
      </w:hyperlink>
    </w:p>
    <w:p w14:paraId="57FCECD9" w14:textId="407579D2" w:rsidR="003E6DEE" w:rsidRPr="008234C5" w:rsidRDefault="003E6DEE">
      <w:pPr>
        <w:pStyle w:val="TOC2"/>
        <w:tabs>
          <w:tab w:val="left" w:pos="880"/>
          <w:tab w:val="right" w:leader="dot" w:pos="9061"/>
        </w:tabs>
        <w:rPr>
          <w:rFonts w:eastAsiaTheme="minorEastAsia"/>
          <w:bCs/>
          <w:noProof/>
          <w:lang w:eastAsia="en-NZ"/>
        </w:rPr>
      </w:pPr>
      <w:hyperlink w:anchor="_Toc112768068" w:history="1">
        <w:r w:rsidRPr="008234C5">
          <w:rPr>
            <w:rStyle w:val="Hyperlink"/>
            <w:bCs/>
            <w:noProof/>
          </w:rPr>
          <w:t>3.5</w:t>
        </w:r>
        <w:r w:rsidRPr="008234C5">
          <w:rPr>
            <w:rFonts w:eastAsiaTheme="minorEastAsia"/>
            <w:bCs/>
            <w:noProof/>
            <w:lang w:eastAsia="en-NZ"/>
          </w:rPr>
          <w:tab/>
        </w:r>
        <w:r w:rsidRPr="008234C5">
          <w:rPr>
            <w:rStyle w:val="Hyperlink"/>
            <w:bCs/>
            <w:noProof/>
          </w:rPr>
          <w:t>Sewage sludge incineration</w:t>
        </w:r>
        <w:r w:rsidRPr="008234C5">
          <w:rPr>
            <w:bCs/>
            <w:noProof/>
            <w:webHidden/>
          </w:rPr>
          <w:tab/>
        </w:r>
        <w:r w:rsidRPr="008234C5">
          <w:rPr>
            <w:bCs/>
            <w:noProof/>
            <w:webHidden/>
          </w:rPr>
          <w:fldChar w:fldCharType="begin"/>
        </w:r>
        <w:r w:rsidRPr="008234C5">
          <w:rPr>
            <w:bCs/>
            <w:noProof/>
            <w:webHidden/>
          </w:rPr>
          <w:instrText xml:space="preserve"> PAGEREF _Toc112768068 \h </w:instrText>
        </w:r>
        <w:r w:rsidRPr="008234C5">
          <w:rPr>
            <w:bCs/>
            <w:noProof/>
            <w:webHidden/>
          </w:rPr>
        </w:r>
        <w:r w:rsidRPr="008234C5">
          <w:rPr>
            <w:bCs/>
            <w:noProof/>
            <w:webHidden/>
          </w:rPr>
          <w:fldChar w:fldCharType="separate"/>
        </w:r>
        <w:r w:rsidRPr="008234C5">
          <w:rPr>
            <w:bCs/>
            <w:noProof/>
            <w:webHidden/>
          </w:rPr>
          <w:t>8</w:t>
        </w:r>
        <w:r w:rsidRPr="008234C5">
          <w:rPr>
            <w:bCs/>
            <w:noProof/>
            <w:webHidden/>
          </w:rPr>
          <w:fldChar w:fldCharType="end"/>
        </w:r>
      </w:hyperlink>
    </w:p>
    <w:p w14:paraId="1D1715E1" w14:textId="337EEFE4" w:rsidR="003E6DEE" w:rsidRPr="008234C5" w:rsidRDefault="003E6DEE">
      <w:pPr>
        <w:pStyle w:val="TOC2"/>
        <w:tabs>
          <w:tab w:val="left" w:pos="880"/>
          <w:tab w:val="right" w:leader="dot" w:pos="9061"/>
        </w:tabs>
        <w:rPr>
          <w:rFonts w:eastAsiaTheme="minorEastAsia"/>
          <w:bCs/>
          <w:noProof/>
          <w:lang w:eastAsia="en-NZ"/>
        </w:rPr>
      </w:pPr>
      <w:hyperlink w:anchor="_Toc112768069" w:history="1">
        <w:r w:rsidRPr="008234C5">
          <w:rPr>
            <w:rStyle w:val="Hyperlink"/>
            <w:bCs/>
            <w:noProof/>
          </w:rPr>
          <w:t>3.6</w:t>
        </w:r>
        <w:r w:rsidRPr="008234C5">
          <w:rPr>
            <w:rFonts w:eastAsiaTheme="minorEastAsia"/>
            <w:bCs/>
            <w:noProof/>
            <w:lang w:eastAsia="en-NZ"/>
          </w:rPr>
          <w:tab/>
        </w:r>
        <w:r w:rsidRPr="008234C5">
          <w:rPr>
            <w:rStyle w:val="Hyperlink"/>
            <w:bCs/>
            <w:noProof/>
          </w:rPr>
          <w:t>Waste wood and waste biomass incineration</w:t>
        </w:r>
        <w:r w:rsidRPr="008234C5">
          <w:rPr>
            <w:bCs/>
            <w:noProof/>
            <w:webHidden/>
          </w:rPr>
          <w:tab/>
        </w:r>
        <w:r w:rsidRPr="008234C5">
          <w:rPr>
            <w:bCs/>
            <w:noProof/>
            <w:webHidden/>
          </w:rPr>
          <w:fldChar w:fldCharType="begin"/>
        </w:r>
        <w:r w:rsidRPr="008234C5">
          <w:rPr>
            <w:bCs/>
            <w:noProof/>
            <w:webHidden/>
          </w:rPr>
          <w:instrText xml:space="preserve"> PAGEREF _Toc112768069 \h </w:instrText>
        </w:r>
        <w:r w:rsidRPr="008234C5">
          <w:rPr>
            <w:bCs/>
            <w:noProof/>
            <w:webHidden/>
          </w:rPr>
        </w:r>
        <w:r w:rsidRPr="008234C5">
          <w:rPr>
            <w:bCs/>
            <w:noProof/>
            <w:webHidden/>
          </w:rPr>
          <w:fldChar w:fldCharType="separate"/>
        </w:r>
        <w:r w:rsidRPr="008234C5">
          <w:rPr>
            <w:bCs/>
            <w:noProof/>
            <w:webHidden/>
          </w:rPr>
          <w:t>9</w:t>
        </w:r>
        <w:r w:rsidRPr="008234C5">
          <w:rPr>
            <w:bCs/>
            <w:noProof/>
            <w:webHidden/>
          </w:rPr>
          <w:fldChar w:fldCharType="end"/>
        </w:r>
      </w:hyperlink>
    </w:p>
    <w:p w14:paraId="19AF1270" w14:textId="56A87F51" w:rsidR="003E6DEE" w:rsidRPr="008234C5" w:rsidRDefault="003E6DEE">
      <w:pPr>
        <w:pStyle w:val="TOC2"/>
        <w:tabs>
          <w:tab w:val="left" w:pos="880"/>
          <w:tab w:val="right" w:leader="dot" w:pos="9061"/>
        </w:tabs>
        <w:rPr>
          <w:rFonts w:eastAsiaTheme="minorEastAsia"/>
          <w:bCs/>
          <w:noProof/>
          <w:lang w:eastAsia="en-NZ"/>
        </w:rPr>
      </w:pPr>
      <w:hyperlink w:anchor="_Toc112768070" w:history="1">
        <w:r w:rsidRPr="008234C5">
          <w:rPr>
            <w:rStyle w:val="Hyperlink"/>
            <w:bCs/>
            <w:noProof/>
          </w:rPr>
          <w:t>3.7</w:t>
        </w:r>
        <w:r w:rsidRPr="008234C5">
          <w:rPr>
            <w:rFonts w:eastAsiaTheme="minorEastAsia"/>
            <w:bCs/>
            <w:noProof/>
            <w:lang w:eastAsia="en-NZ"/>
          </w:rPr>
          <w:tab/>
        </w:r>
        <w:r w:rsidRPr="008234C5">
          <w:rPr>
            <w:rStyle w:val="Hyperlink"/>
            <w:bCs/>
            <w:noProof/>
          </w:rPr>
          <w:t>Destruction of animal carcasses</w:t>
        </w:r>
        <w:r w:rsidRPr="008234C5">
          <w:rPr>
            <w:bCs/>
            <w:noProof/>
            <w:webHidden/>
          </w:rPr>
          <w:tab/>
        </w:r>
        <w:r w:rsidRPr="008234C5">
          <w:rPr>
            <w:bCs/>
            <w:noProof/>
            <w:webHidden/>
          </w:rPr>
          <w:fldChar w:fldCharType="begin"/>
        </w:r>
        <w:r w:rsidRPr="008234C5">
          <w:rPr>
            <w:bCs/>
            <w:noProof/>
            <w:webHidden/>
          </w:rPr>
          <w:instrText xml:space="preserve"> PAGEREF _Toc112768070 \h </w:instrText>
        </w:r>
        <w:r w:rsidRPr="008234C5">
          <w:rPr>
            <w:bCs/>
            <w:noProof/>
            <w:webHidden/>
          </w:rPr>
        </w:r>
        <w:r w:rsidRPr="008234C5">
          <w:rPr>
            <w:bCs/>
            <w:noProof/>
            <w:webHidden/>
          </w:rPr>
          <w:fldChar w:fldCharType="separate"/>
        </w:r>
        <w:r w:rsidRPr="008234C5">
          <w:rPr>
            <w:bCs/>
            <w:noProof/>
            <w:webHidden/>
          </w:rPr>
          <w:t>10</w:t>
        </w:r>
        <w:r w:rsidRPr="008234C5">
          <w:rPr>
            <w:bCs/>
            <w:noProof/>
            <w:webHidden/>
          </w:rPr>
          <w:fldChar w:fldCharType="end"/>
        </w:r>
      </w:hyperlink>
    </w:p>
    <w:p w14:paraId="6C6300EA" w14:textId="0E904046" w:rsidR="003E6DEE" w:rsidRPr="008234C5" w:rsidRDefault="003E6DEE">
      <w:pPr>
        <w:pStyle w:val="TOC2"/>
        <w:tabs>
          <w:tab w:val="left" w:pos="880"/>
          <w:tab w:val="right" w:leader="dot" w:pos="9061"/>
        </w:tabs>
        <w:rPr>
          <w:rFonts w:eastAsiaTheme="minorEastAsia"/>
          <w:bCs/>
          <w:noProof/>
          <w:lang w:eastAsia="en-NZ"/>
        </w:rPr>
      </w:pPr>
      <w:hyperlink w:anchor="_Toc112768071" w:history="1">
        <w:r w:rsidRPr="008234C5">
          <w:rPr>
            <w:rStyle w:val="Hyperlink"/>
            <w:rFonts w:eastAsia="Calibri"/>
            <w:bCs/>
            <w:noProof/>
          </w:rPr>
          <w:t>3.8</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_Toc112768071 \h </w:instrText>
        </w:r>
        <w:r w:rsidRPr="008234C5">
          <w:rPr>
            <w:bCs/>
            <w:noProof/>
            <w:webHidden/>
          </w:rPr>
        </w:r>
        <w:r w:rsidRPr="008234C5">
          <w:rPr>
            <w:bCs/>
            <w:noProof/>
            <w:webHidden/>
          </w:rPr>
          <w:fldChar w:fldCharType="separate"/>
        </w:r>
        <w:r w:rsidRPr="008234C5">
          <w:rPr>
            <w:bCs/>
            <w:noProof/>
            <w:webHidden/>
          </w:rPr>
          <w:t>11</w:t>
        </w:r>
        <w:r w:rsidRPr="008234C5">
          <w:rPr>
            <w:bCs/>
            <w:noProof/>
            <w:webHidden/>
          </w:rPr>
          <w:fldChar w:fldCharType="end"/>
        </w:r>
      </w:hyperlink>
    </w:p>
    <w:p w14:paraId="2D2713FC" w14:textId="1C66B3F2" w:rsidR="003E6DEE" w:rsidRPr="008234C5" w:rsidRDefault="003E6DEE" w:rsidP="008234C5">
      <w:pPr>
        <w:pStyle w:val="TOC1"/>
        <w:rPr>
          <w:rFonts w:eastAsiaTheme="minorEastAsia"/>
          <w:lang w:val="en-NZ" w:eastAsia="en-NZ"/>
        </w:rPr>
      </w:pPr>
      <w:hyperlink w:anchor="_Toc112768072" w:history="1">
        <w:r w:rsidRPr="008234C5">
          <w:rPr>
            <w:rStyle w:val="Hyperlink"/>
            <w:rFonts w:ascii="Times New Roman" w:hAnsi="Times New Roman" w:cs="Times New Roman"/>
            <w:b w:val="0"/>
            <w:bCs/>
          </w:rPr>
          <w:t>4</w:t>
        </w:r>
        <w:r w:rsidRPr="008234C5">
          <w:rPr>
            <w:rFonts w:eastAsiaTheme="minorEastAsia"/>
            <w:lang w:val="en-NZ" w:eastAsia="en-NZ"/>
          </w:rPr>
          <w:tab/>
        </w:r>
        <w:r w:rsidRPr="008234C5">
          <w:rPr>
            <w:rStyle w:val="Hyperlink"/>
            <w:rFonts w:ascii="Times New Roman" w:hAnsi="Times New Roman" w:cs="Times New Roman"/>
            <w:b w:val="0"/>
            <w:bCs/>
          </w:rPr>
          <w:t>Ferrous and non-ferrous metal production</w:t>
        </w:r>
        <w:r w:rsidRPr="008234C5">
          <w:rPr>
            <w:webHidden/>
          </w:rPr>
          <w:tab/>
        </w:r>
        <w:r w:rsidRPr="008234C5">
          <w:rPr>
            <w:webHidden/>
          </w:rPr>
          <w:fldChar w:fldCharType="begin"/>
        </w:r>
        <w:r w:rsidRPr="008234C5">
          <w:rPr>
            <w:webHidden/>
          </w:rPr>
          <w:instrText xml:space="preserve"> PAGEREF _Toc112768072 \h </w:instrText>
        </w:r>
        <w:r w:rsidRPr="008234C5">
          <w:rPr>
            <w:webHidden/>
          </w:rPr>
        </w:r>
        <w:r w:rsidRPr="008234C5">
          <w:rPr>
            <w:webHidden/>
          </w:rPr>
          <w:fldChar w:fldCharType="separate"/>
        </w:r>
        <w:r w:rsidRPr="008234C5">
          <w:rPr>
            <w:webHidden/>
          </w:rPr>
          <w:t>12</w:t>
        </w:r>
        <w:r w:rsidRPr="008234C5">
          <w:rPr>
            <w:webHidden/>
          </w:rPr>
          <w:fldChar w:fldCharType="end"/>
        </w:r>
      </w:hyperlink>
    </w:p>
    <w:p w14:paraId="4F367181" w14:textId="7ACA2C23" w:rsidR="003E6DEE" w:rsidRPr="008234C5" w:rsidRDefault="003E6DEE">
      <w:pPr>
        <w:pStyle w:val="TOC2"/>
        <w:tabs>
          <w:tab w:val="left" w:pos="880"/>
          <w:tab w:val="right" w:leader="dot" w:pos="9061"/>
        </w:tabs>
        <w:rPr>
          <w:rFonts w:eastAsiaTheme="minorEastAsia"/>
          <w:bCs/>
          <w:noProof/>
          <w:lang w:eastAsia="en-NZ"/>
        </w:rPr>
      </w:pPr>
      <w:hyperlink w:anchor="_Toc112768073" w:history="1">
        <w:r w:rsidRPr="008234C5">
          <w:rPr>
            <w:rStyle w:val="Hyperlink"/>
            <w:bCs/>
            <w:noProof/>
          </w:rPr>
          <w:t>4.1</w:t>
        </w:r>
        <w:r w:rsidRPr="008234C5">
          <w:rPr>
            <w:rFonts w:eastAsiaTheme="minorEastAsia"/>
            <w:bCs/>
            <w:noProof/>
            <w:lang w:eastAsia="en-NZ"/>
          </w:rPr>
          <w:tab/>
        </w:r>
        <w:r w:rsidRPr="008234C5">
          <w:rPr>
            <w:rStyle w:val="Hyperlink"/>
            <w:bCs/>
            <w:noProof/>
          </w:rPr>
          <w:t>Iron ore sintering</w:t>
        </w:r>
        <w:r w:rsidRPr="008234C5">
          <w:rPr>
            <w:bCs/>
            <w:noProof/>
            <w:webHidden/>
          </w:rPr>
          <w:tab/>
        </w:r>
        <w:r w:rsidRPr="008234C5">
          <w:rPr>
            <w:bCs/>
            <w:noProof/>
            <w:webHidden/>
          </w:rPr>
          <w:fldChar w:fldCharType="begin"/>
        </w:r>
        <w:r w:rsidRPr="008234C5">
          <w:rPr>
            <w:bCs/>
            <w:noProof/>
            <w:webHidden/>
          </w:rPr>
          <w:instrText xml:space="preserve"> PAGEREF _Toc112768073 \h </w:instrText>
        </w:r>
        <w:r w:rsidRPr="008234C5">
          <w:rPr>
            <w:bCs/>
            <w:noProof/>
            <w:webHidden/>
          </w:rPr>
        </w:r>
        <w:r w:rsidRPr="008234C5">
          <w:rPr>
            <w:bCs/>
            <w:noProof/>
            <w:webHidden/>
          </w:rPr>
          <w:fldChar w:fldCharType="separate"/>
        </w:r>
        <w:r w:rsidRPr="008234C5">
          <w:rPr>
            <w:bCs/>
            <w:noProof/>
            <w:webHidden/>
          </w:rPr>
          <w:t>12</w:t>
        </w:r>
        <w:r w:rsidRPr="008234C5">
          <w:rPr>
            <w:bCs/>
            <w:noProof/>
            <w:webHidden/>
          </w:rPr>
          <w:fldChar w:fldCharType="end"/>
        </w:r>
      </w:hyperlink>
    </w:p>
    <w:p w14:paraId="76AD3C39" w14:textId="5419D756" w:rsidR="003E6DEE" w:rsidRPr="008234C5" w:rsidRDefault="003E6DEE">
      <w:pPr>
        <w:pStyle w:val="TOC2"/>
        <w:tabs>
          <w:tab w:val="left" w:pos="880"/>
          <w:tab w:val="right" w:leader="dot" w:pos="9061"/>
        </w:tabs>
        <w:rPr>
          <w:rFonts w:eastAsiaTheme="minorEastAsia"/>
          <w:bCs/>
          <w:noProof/>
          <w:lang w:eastAsia="en-NZ"/>
        </w:rPr>
      </w:pPr>
      <w:hyperlink w:anchor="_Toc112768074" w:history="1">
        <w:r w:rsidRPr="008234C5">
          <w:rPr>
            <w:rStyle w:val="Hyperlink"/>
            <w:bCs/>
            <w:noProof/>
          </w:rPr>
          <w:t>4.2</w:t>
        </w:r>
        <w:r w:rsidRPr="008234C5">
          <w:rPr>
            <w:rFonts w:eastAsiaTheme="minorEastAsia"/>
            <w:bCs/>
            <w:noProof/>
            <w:lang w:eastAsia="en-NZ"/>
          </w:rPr>
          <w:tab/>
        </w:r>
        <w:r w:rsidRPr="008234C5">
          <w:rPr>
            <w:rStyle w:val="Hyperlink"/>
            <w:bCs/>
            <w:noProof/>
          </w:rPr>
          <w:t>Coke production (and charcoal)</w:t>
        </w:r>
        <w:r w:rsidRPr="008234C5">
          <w:rPr>
            <w:bCs/>
            <w:noProof/>
            <w:webHidden/>
          </w:rPr>
          <w:tab/>
        </w:r>
        <w:r w:rsidRPr="008234C5">
          <w:rPr>
            <w:bCs/>
            <w:noProof/>
            <w:webHidden/>
          </w:rPr>
          <w:fldChar w:fldCharType="begin"/>
        </w:r>
        <w:r w:rsidRPr="008234C5">
          <w:rPr>
            <w:bCs/>
            <w:noProof/>
            <w:webHidden/>
          </w:rPr>
          <w:instrText xml:space="preserve"> PAGEREF _Toc112768074 \h </w:instrText>
        </w:r>
        <w:r w:rsidRPr="008234C5">
          <w:rPr>
            <w:bCs/>
            <w:noProof/>
            <w:webHidden/>
          </w:rPr>
        </w:r>
        <w:r w:rsidRPr="008234C5">
          <w:rPr>
            <w:bCs/>
            <w:noProof/>
            <w:webHidden/>
          </w:rPr>
          <w:fldChar w:fldCharType="separate"/>
        </w:r>
        <w:r w:rsidRPr="008234C5">
          <w:rPr>
            <w:bCs/>
            <w:noProof/>
            <w:webHidden/>
          </w:rPr>
          <w:t>12</w:t>
        </w:r>
        <w:r w:rsidRPr="008234C5">
          <w:rPr>
            <w:bCs/>
            <w:noProof/>
            <w:webHidden/>
          </w:rPr>
          <w:fldChar w:fldCharType="end"/>
        </w:r>
      </w:hyperlink>
    </w:p>
    <w:p w14:paraId="6EEC5928" w14:textId="15C9956E" w:rsidR="003E6DEE" w:rsidRPr="008234C5" w:rsidRDefault="003E6DEE">
      <w:pPr>
        <w:pStyle w:val="TOC2"/>
        <w:tabs>
          <w:tab w:val="left" w:pos="880"/>
          <w:tab w:val="right" w:leader="dot" w:pos="9061"/>
        </w:tabs>
        <w:rPr>
          <w:rFonts w:eastAsiaTheme="minorEastAsia"/>
          <w:bCs/>
          <w:noProof/>
          <w:lang w:eastAsia="en-NZ"/>
        </w:rPr>
      </w:pPr>
      <w:hyperlink w:anchor="_Toc112768075" w:history="1">
        <w:r w:rsidRPr="008234C5">
          <w:rPr>
            <w:rStyle w:val="Hyperlink"/>
            <w:bCs/>
            <w:noProof/>
          </w:rPr>
          <w:t>4.3</w:t>
        </w:r>
        <w:r w:rsidRPr="008234C5">
          <w:rPr>
            <w:rFonts w:eastAsiaTheme="minorEastAsia"/>
            <w:bCs/>
            <w:noProof/>
            <w:lang w:eastAsia="en-NZ"/>
          </w:rPr>
          <w:tab/>
        </w:r>
        <w:r w:rsidRPr="008234C5">
          <w:rPr>
            <w:rStyle w:val="Hyperlink"/>
            <w:bCs/>
            <w:noProof/>
          </w:rPr>
          <w:t>Iron and steel production and foundries</w:t>
        </w:r>
        <w:r w:rsidRPr="008234C5">
          <w:rPr>
            <w:bCs/>
            <w:noProof/>
            <w:webHidden/>
          </w:rPr>
          <w:tab/>
        </w:r>
        <w:r w:rsidRPr="008234C5">
          <w:rPr>
            <w:bCs/>
            <w:noProof/>
            <w:webHidden/>
          </w:rPr>
          <w:fldChar w:fldCharType="begin"/>
        </w:r>
        <w:r w:rsidRPr="008234C5">
          <w:rPr>
            <w:bCs/>
            <w:noProof/>
            <w:webHidden/>
          </w:rPr>
          <w:instrText xml:space="preserve"> PAGEREF _Toc112768075 \h </w:instrText>
        </w:r>
        <w:r w:rsidRPr="008234C5">
          <w:rPr>
            <w:bCs/>
            <w:noProof/>
            <w:webHidden/>
          </w:rPr>
        </w:r>
        <w:r w:rsidRPr="008234C5">
          <w:rPr>
            <w:bCs/>
            <w:noProof/>
            <w:webHidden/>
          </w:rPr>
          <w:fldChar w:fldCharType="separate"/>
        </w:r>
        <w:r w:rsidRPr="008234C5">
          <w:rPr>
            <w:bCs/>
            <w:noProof/>
            <w:webHidden/>
          </w:rPr>
          <w:t>13</w:t>
        </w:r>
        <w:r w:rsidRPr="008234C5">
          <w:rPr>
            <w:bCs/>
            <w:noProof/>
            <w:webHidden/>
          </w:rPr>
          <w:fldChar w:fldCharType="end"/>
        </w:r>
      </w:hyperlink>
    </w:p>
    <w:p w14:paraId="7C253682" w14:textId="4047B9F7" w:rsidR="003E6DEE" w:rsidRPr="008234C5" w:rsidRDefault="003E6DEE">
      <w:pPr>
        <w:pStyle w:val="TOC3"/>
        <w:rPr>
          <w:bCs/>
          <w:sz w:val="20"/>
          <w:szCs w:val="20"/>
        </w:rPr>
      </w:pPr>
      <w:hyperlink w:anchor="_Toc112768076" w:history="1">
        <w:r w:rsidRPr="008234C5">
          <w:rPr>
            <w:rStyle w:val="Hyperlink"/>
            <w:bCs/>
            <w:sz w:val="20"/>
            <w:szCs w:val="20"/>
          </w:rPr>
          <w:t>4.3.1</w:t>
        </w:r>
        <w:r w:rsidRPr="008234C5">
          <w:rPr>
            <w:bCs/>
            <w:sz w:val="20"/>
            <w:szCs w:val="20"/>
          </w:rPr>
          <w:tab/>
        </w:r>
        <w:r w:rsidRPr="008234C5">
          <w:rPr>
            <w:rStyle w:val="Hyperlink"/>
            <w:bCs/>
            <w:sz w:val="20"/>
            <w:szCs w:val="20"/>
          </w:rPr>
          <w:t>Primary steel production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_Toc112768076 \h </w:instrText>
        </w:r>
        <w:r w:rsidRPr="008234C5">
          <w:rPr>
            <w:bCs/>
            <w:webHidden/>
            <w:sz w:val="20"/>
            <w:szCs w:val="20"/>
          </w:rPr>
        </w:r>
        <w:r w:rsidRPr="008234C5">
          <w:rPr>
            <w:bCs/>
            <w:webHidden/>
            <w:sz w:val="20"/>
            <w:szCs w:val="20"/>
          </w:rPr>
          <w:fldChar w:fldCharType="separate"/>
        </w:r>
        <w:r w:rsidRPr="008234C5">
          <w:rPr>
            <w:bCs/>
            <w:webHidden/>
            <w:sz w:val="20"/>
            <w:szCs w:val="20"/>
          </w:rPr>
          <w:t>13</w:t>
        </w:r>
        <w:r w:rsidRPr="008234C5">
          <w:rPr>
            <w:bCs/>
            <w:webHidden/>
            <w:sz w:val="20"/>
            <w:szCs w:val="20"/>
          </w:rPr>
          <w:fldChar w:fldCharType="end"/>
        </w:r>
      </w:hyperlink>
    </w:p>
    <w:p w14:paraId="3AA9177B" w14:textId="43B9E026" w:rsidR="003E6DEE" w:rsidRPr="008234C5" w:rsidRDefault="003E6DEE">
      <w:pPr>
        <w:pStyle w:val="TOC3"/>
        <w:rPr>
          <w:bCs/>
          <w:sz w:val="20"/>
          <w:szCs w:val="20"/>
        </w:rPr>
      </w:pPr>
      <w:hyperlink w:anchor="_Toc112768077" w:history="1">
        <w:r w:rsidRPr="008234C5">
          <w:rPr>
            <w:rStyle w:val="Hyperlink"/>
            <w:bCs/>
            <w:sz w:val="20"/>
            <w:szCs w:val="20"/>
          </w:rPr>
          <w:t>4.3.2</w:t>
        </w:r>
        <w:r w:rsidRPr="008234C5">
          <w:rPr>
            <w:bCs/>
            <w:sz w:val="20"/>
            <w:szCs w:val="20"/>
          </w:rPr>
          <w:tab/>
        </w:r>
        <w:r w:rsidRPr="008234C5">
          <w:rPr>
            <w:rStyle w:val="Hyperlink"/>
            <w:bCs/>
            <w:sz w:val="20"/>
            <w:szCs w:val="20"/>
          </w:rPr>
          <w:t>Secondary steel production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_Toc112768077 \h </w:instrText>
        </w:r>
        <w:r w:rsidRPr="008234C5">
          <w:rPr>
            <w:bCs/>
            <w:webHidden/>
            <w:sz w:val="20"/>
            <w:szCs w:val="20"/>
          </w:rPr>
        </w:r>
        <w:r w:rsidRPr="008234C5">
          <w:rPr>
            <w:bCs/>
            <w:webHidden/>
            <w:sz w:val="20"/>
            <w:szCs w:val="20"/>
          </w:rPr>
          <w:fldChar w:fldCharType="separate"/>
        </w:r>
        <w:r w:rsidRPr="008234C5">
          <w:rPr>
            <w:bCs/>
            <w:webHidden/>
            <w:sz w:val="20"/>
            <w:szCs w:val="20"/>
          </w:rPr>
          <w:t>14</w:t>
        </w:r>
        <w:r w:rsidRPr="008234C5">
          <w:rPr>
            <w:bCs/>
            <w:webHidden/>
            <w:sz w:val="20"/>
            <w:szCs w:val="20"/>
          </w:rPr>
          <w:fldChar w:fldCharType="end"/>
        </w:r>
      </w:hyperlink>
    </w:p>
    <w:p w14:paraId="03F6A613" w14:textId="5AAB380C" w:rsidR="003E6DEE" w:rsidRPr="008234C5" w:rsidRDefault="003E6DEE">
      <w:pPr>
        <w:pStyle w:val="TOC3"/>
        <w:rPr>
          <w:bCs/>
          <w:sz w:val="20"/>
          <w:szCs w:val="20"/>
        </w:rPr>
      </w:pPr>
      <w:hyperlink w:anchor="_Toc112768078" w:history="1">
        <w:r w:rsidRPr="008234C5">
          <w:rPr>
            <w:rStyle w:val="Hyperlink"/>
            <w:bCs/>
            <w:sz w:val="20"/>
            <w:szCs w:val="20"/>
          </w:rPr>
          <w:t>4.3.3</w:t>
        </w:r>
        <w:r w:rsidRPr="008234C5">
          <w:rPr>
            <w:bCs/>
            <w:sz w:val="20"/>
            <w:szCs w:val="20"/>
          </w:rPr>
          <w:tab/>
        </w:r>
        <w:r w:rsidRPr="008234C5">
          <w:rPr>
            <w:rStyle w:val="Hyperlink"/>
            <w:bCs/>
            <w:sz w:val="20"/>
            <w:szCs w:val="20"/>
          </w:rPr>
          <w:t>Iron foundries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_Toc112768078 \h </w:instrText>
        </w:r>
        <w:r w:rsidRPr="008234C5">
          <w:rPr>
            <w:bCs/>
            <w:webHidden/>
            <w:sz w:val="20"/>
            <w:szCs w:val="20"/>
          </w:rPr>
        </w:r>
        <w:r w:rsidRPr="008234C5">
          <w:rPr>
            <w:bCs/>
            <w:webHidden/>
            <w:sz w:val="20"/>
            <w:szCs w:val="20"/>
          </w:rPr>
          <w:fldChar w:fldCharType="separate"/>
        </w:r>
        <w:r w:rsidRPr="008234C5">
          <w:rPr>
            <w:bCs/>
            <w:webHidden/>
            <w:sz w:val="20"/>
            <w:szCs w:val="20"/>
          </w:rPr>
          <w:t>15</w:t>
        </w:r>
        <w:r w:rsidRPr="008234C5">
          <w:rPr>
            <w:bCs/>
            <w:webHidden/>
            <w:sz w:val="20"/>
            <w:szCs w:val="20"/>
          </w:rPr>
          <w:fldChar w:fldCharType="end"/>
        </w:r>
      </w:hyperlink>
    </w:p>
    <w:p w14:paraId="284DD8F5" w14:textId="24E2740B" w:rsidR="003E6DEE" w:rsidRPr="008234C5" w:rsidRDefault="003E6DEE">
      <w:pPr>
        <w:pStyle w:val="TOC3"/>
        <w:rPr>
          <w:bCs/>
          <w:sz w:val="20"/>
          <w:szCs w:val="20"/>
        </w:rPr>
      </w:pPr>
      <w:hyperlink w:anchor="_Toc112768079" w:history="1">
        <w:r w:rsidRPr="008234C5">
          <w:rPr>
            <w:rStyle w:val="Hyperlink"/>
            <w:bCs/>
            <w:sz w:val="20"/>
            <w:szCs w:val="20"/>
          </w:rPr>
          <w:t>4.3.4</w:t>
        </w:r>
        <w:r w:rsidRPr="008234C5">
          <w:rPr>
            <w:bCs/>
            <w:sz w:val="20"/>
            <w:szCs w:val="20"/>
          </w:rPr>
          <w:tab/>
        </w:r>
        <w:r w:rsidRPr="008234C5">
          <w:rPr>
            <w:rStyle w:val="Hyperlink"/>
            <w:bCs/>
            <w:sz w:val="20"/>
            <w:szCs w:val="20"/>
          </w:rPr>
          <w:t>Hot-dip galvanising plants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_Toc112768079 \h </w:instrText>
        </w:r>
        <w:r w:rsidRPr="008234C5">
          <w:rPr>
            <w:bCs/>
            <w:webHidden/>
            <w:sz w:val="20"/>
            <w:szCs w:val="20"/>
          </w:rPr>
        </w:r>
        <w:r w:rsidRPr="008234C5">
          <w:rPr>
            <w:bCs/>
            <w:webHidden/>
            <w:sz w:val="20"/>
            <w:szCs w:val="20"/>
          </w:rPr>
          <w:fldChar w:fldCharType="separate"/>
        </w:r>
        <w:r w:rsidRPr="008234C5">
          <w:rPr>
            <w:bCs/>
            <w:webHidden/>
            <w:sz w:val="20"/>
            <w:szCs w:val="20"/>
          </w:rPr>
          <w:t>16</w:t>
        </w:r>
        <w:r w:rsidRPr="008234C5">
          <w:rPr>
            <w:bCs/>
            <w:webHidden/>
            <w:sz w:val="20"/>
            <w:szCs w:val="20"/>
          </w:rPr>
          <w:fldChar w:fldCharType="end"/>
        </w:r>
      </w:hyperlink>
    </w:p>
    <w:p w14:paraId="4D88EF5E" w14:textId="37D64D14" w:rsidR="003E6DEE" w:rsidRPr="008234C5" w:rsidRDefault="003E6DEE">
      <w:pPr>
        <w:pStyle w:val="TOC3"/>
        <w:rPr>
          <w:bCs/>
          <w:sz w:val="20"/>
          <w:szCs w:val="20"/>
        </w:rPr>
      </w:pPr>
      <w:hyperlink w:anchor="_Toc112768080" w:history="1">
        <w:r w:rsidRPr="008234C5">
          <w:rPr>
            <w:rStyle w:val="Hyperlink"/>
            <w:bCs/>
            <w:sz w:val="20"/>
            <w:szCs w:val="20"/>
          </w:rPr>
          <w:t>4.3.5</w:t>
        </w:r>
        <w:r w:rsidRPr="008234C5">
          <w:rPr>
            <w:bCs/>
            <w:sz w:val="20"/>
            <w:szCs w:val="20"/>
          </w:rPr>
          <w:tab/>
        </w:r>
        <w:r w:rsidRPr="008234C5">
          <w:rPr>
            <w:rStyle w:val="Hyperlink"/>
            <w:bCs/>
            <w:sz w:val="20"/>
            <w:szCs w:val="20"/>
          </w:rPr>
          <w:t>Primary aluminium production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_Toc112768080 \h </w:instrText>
        </w:r>
        <w:r w:rsidRPr="008234C5">
          <w:rPr>
            <w:bCs/>
            <w:webHidden/>
            <w:sz w:val="20"/>
            <w:szCs w:val="20"/>
          </w:rPr>
        </w:r>
        <w:r w:rsidRPr="008234C5">
          <w:rPr>
            <w:bCs/>
            <w:webHidden/>
            <w:sz w:val="20"/>
            <w:szCs w:val="20"/>
          </w:rPr>
          <w:fldChar w:fldCharType="separate"/>
        </w:r>
        <w:r w:rsidRPr="008234C5">
          <w:rPr>
            <w:bCs/>
            <w:webHidden/>
            <w:sz w:val="20"/>
            <w:szCs w:val="20"/>
          </w:rPr>
          <w:t>16</w:t>
        </w:r>
        <w:r w:rsidRPr="008234C5">
          <w:rPr>
            <w:bCs/>
            <w:webHidden/>
            <w:sz w:val="20"/>
            <w:szCs w:val="20"/>
          </w:rPr>
          <w:fldChar w:fldCharType="end"/>
        </w:r>
      </w:hyperlink>
    </w:p>
    <w:p w14:paraId="1953C41D" w14:textId="6683351E" w:rsidR="003E6DEE" w:rsidRPr="008234C5" w:rsidRDefault="003E6DEE">
      <w:pPr>
        <w:pStyle w:val="TOC3"/>
        <w:rPr>
          <w:bCs/>
          <w:sz w:val="20"/>
          <w:szCs w:val="20"/>
        </w:rPr>
      </w:pPr>
      <w:hyperlink w:anchor="_Toc112768081" w:history="1">
        <w:r w:rsidRPr="008234C5">
          <w:rPr>
            <w:rStyle w:val="Hyperlink"/>
            <w:bCs/>
            <w:sz w:val="20"/>
            <w:szCs w:val="20"/>
          </w:rPr>
          <w:t>4.3.6</w:t>
        </w:r>
        <w:r w:rsidRPr="008234C5">
          <w:rPr>
            <w:bCs/>
            <w:sz w:val="20"/>
            <w:szCs w:val="20"/>
          </w:rPr>
          <w:tab/>
        </w:r>
        <w:r w:rsidRPr="008234C5">
          <w:rPr>
            <w:rStyle w:val="Hyperlink"/>
            <w:bCs/>
            <w:sz w:val="20"/>
            <w:szCs w:val="20"/>
          </w:rPr>
          <w:t>Secondary aluminium production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_Toc112768081 \h </w:instrText>
        </w:r>
        <w:r w:rsidRPr="008234C5">
          <w:rPr>
            <w:bCs/>
            <w:webHidden/>
            <w:sz w:val="20"/>
            <w:szCs w:val="20"/>
          </w:rPr>
        </w:r>
        <w:r w:rsidRPr="008234C5">
          <w:rPr>
            <w:bCs/>
            <w:webHidden/>
            <w:sz w:val="20"/>
            <w:szCs w:val="20"/>
          </w:rPr>
          <w:fldChar w:fldCharType="separate"/>
        </w:r>
        <w:r w:rsidRPr="008234C5">
          <w:rPr>
            <w:bCs/>
            <w:webHidden/>
            <w:sz w:val="20"/>
            <w:szCs w:val="20"/>
          </w:rPr>
          <w:t>16</w:t>
        </w:r>
        <w:r w:rsidRPr="008234C5">
          <w:rPr>
            <w:bCs/>
            <w:webHidden/>
            <w:sz w:val="20"/>
            <w:szCs w:val="20"/>
          </w:rPr>
          <w:fldChar w:fldCharType="end"/>
        </w:r>
      </w:hyperlink>
    </w:p>
    <w:p w14:paraId="3D9753A5" w14:textId="1EC97057" w:rsidR="003E6DEE" w:rsidRPr="008234C5" w:rsidRDefault="003E6DEE">
      <w:pPr>
        <w:pStyle w:val="TOC2"/>
        <w:tabs>
          <w:tab w:val="left" w:pos="880"/>
          <w:tab w:val="right" w:leader="dot" w:pos="9061"/>
        </w:tabs>
        <w:rPr>
          <w:rFonts w:eastAsiaTheme="minorEastAsia"/>
          <w:bCs/>
          <w:noProof/>
          <w:lang w:eastAsia="en-NZ"/>
        </w:rPr>
      </w:pPr>
      <w:hyperlink w:anchor="_Toc112768082" w:history="1">
        <w:r w:rsidRPr="008234C5">
          <w:rPr>
            <w:rStyle w:val="Hyperlink"/>
            <w:bCs/>
            <w:noProof/>
          </w:rPr>
          <w:t>4.4</w:t>
        </w:r>
        <w:r w:rsidRPr="008234C5">
          <w:rPr>
            <w:rFonts w:eastAsiaTheme="minorEastAsia"/>
            <w:bCs/>
            <w:noProof/>
            <w:lang w:eastAsia="en-NZ"/>
          </w:rPr>
          <w:tab/>
        </w:r>
        <w:r w:rsidRPr="008234C5">
          <w:rPr>
            <w:rStyle w:val="Hyperlink"/>
            <w:bCs/>
            <w:noProof/>
          </w:rPr>
          <w:t>Lead production</w:t>
        </w:r>
        <w:r w:rsidRPr="008234C5">
          <w:rPr>
            <w:bCs/>
            <w:noProof/>
            <w:webHidden/>
          </w:rPr>
          <w:tab/>
        </w:r>
        <w:r w:rsidRPr="008234C5">
          <w:rPr>
            <w:bCs/>
            <w:noProof/>
            <w:webHidden/>
          </w:rPr>
          <w:fldChar w:fldCharType="begin"/>
        </w:r>
        <w:r w:rsidRPr="008234C5">
          <w:rPr>
            <w:bCs/>
            <w:noProof/>
            <w:webHidden/>
          </w:rPr>
          <w:instrText xml:space="preserve"> PAGEREF _Toc112768082 \h </w:instrText>
        </w:r>
        <w:r w:rsidRPr="008234C5">
          <w:rPr>
            <w:bCs/>
            <w:noProof/>
            <w:webHidden/>
          </w:rPr>
        </w:r>
        <w:r w:rsidRPr="008234C5">
          <w:rPr>
            <w:bCs/>
            <w:noProof/>
            <w:webHidden/>
          </w:rPr>
          <w:fldChar w:fldCharType="separate"/>
        </w:r>
        <w:r w:rsidRPr="008234C5">
          <w:rPr>
            <w:bCs/>
            <w:noProof/>
            <w:webHidden/>
          </w:rPr>
          <w:t>17</w:t>
        </w:r>
        <w:r w:rsidRPr="008234C5">
          <w:rPr>
            <w:bCs/>
            <w:noProof/>
            <w:webHidden/>
          </w:rPr>
          <w:fldChar w:fldCharType="end"/>
        </w:r>
      </w:hyperlink>
    </w:p>
    <w:p w14:paraId="7170A2E0" w14:textId="4707BFE3" w:rsidR="003E6DEE" w:rsidRPr="008234C5" w:rsidRDefault="003E6DEE">
      <w:pPr>
        <w:pStyle w:val="TOC2"/>
        <w:tabs>
          <w:tab w:val="left" w:pos="880"/>
          <w:tab w:val="right" w:leader="dot" w:pos="9061"/>
        </w:tabs>
        <w:rPr>
          <w:rFonts w:eastAsiaTheme="minorEastAsia"/>
          <w:bCs/>
          <w:noProof/>
          <w:lang w:eastAsia="en-NZ"/>
        </w:rPr>
      </w:pPr>
      <w:hyperlink w:anchor="_Toc112768083" w:history="1">
        <w:r w:rsidRPr="008234C5">
          <w:rPr>
            <w:rStyle w:val="Hyperlink"/>
            <w:bCs/>
            <w:noProof/>
          </w:rPr>
          <w:t>4.5</w:t>
        </w:r>
        <w:r w:rsidRPr="008234C5">
          <w:rPr>
            <w:rFonts w:eastAsiaTheme="minorEastAsia"/>
            <w:bCs/>
            <w:noProof/>
            <w:lang w:eastAsia="en-NZ"/>
          </w:rPr>
          <w:tab/>
        </w:r>
        <w:r w:rsidRPr="008234C5">
          <w:rPr>
            <w:rStyle w:val="Hyperlink"/>
            <w:bCs/>
            <w:noProof/>
          </w:rPr>
          <w:t>Zinc production</w:t>
        </w:r>
        <w:r w:rsidRPr="008234C5">
          <w:rPr>
            <w:bCs/>
            <w:noProof/>
            <w:webHidden/>
          </w:rPr>
          <w:tab/>
        </w:r>
        <w:r w:rsidRPr="008234C5">
          <w:rPr>
            <w:bCs/>
            <w:noProof/>
            <w:webHidden/>
          </w:rPr>
          <w:fldChar w:fldCharType="begin"/>
        </w:r>
        <w:r w:rsidRPr="008234C5">
          <w:rPr>
            <w:bCs/>
            <w:noProof/>
            <w:webHidden/>
          </w:rPr>
          <w:instrText xml:space="preserve"> PAGEREF _Toc112768083 \h </w:instrText>
        </w:r>
        <w:r w:rsidRPr="008234C5">
          <w:rPr>
            <w:bCs/>
            <w:noProof/>
            <w:webHidden/>
          </w:rPr>
        </w:r>
        <w:r w:rsidRPr="008234C5">
          <w:rPr>
            <w:bCs/>
            <w:noProof/>
            <w:webHidden/>
          </w:rPr>
          <w:fldChar w:fldCharType="separate"/>
        </w:r>
        <w:r w:rsidRPr="008234C5">
          <w:rPr>
            <w:bCs/>
            <w:noProof/>
            <w:webHidden/>
          </w:rPr>
          <w:t>17</w:t>
        </w:r>
        <w:r w:rsidRPr="008234C5">
          <w:rPr>
            <w:bCs/>
            <w:noProof/>
            <w:webHidden/>
          </w:rPr>
          <w:fldChar w:fldCharType="end"/>
        </w:r>
      </w:hyperlink>
    </w:p>
    <w:p w14:paraId="09256596" w14:textId="506E7B4D" w:rsidR="003E6DEE" w:rsidRPr="008234C5" w:rsidRDefault="003E6DEE">
      <w:pPr>
        <w:pStyle w:val="TOC2"/>
        <w:tabs>
          <w:tab w:val="left" w:pos="880"/>
          <w:tab w:val="right" w:leader="dot" w:pos="9061"/>
        </w:tabs>
        <w:rPr>
          <w:rFonts w:eastAsiaTheme="minorEastAsia"/>
          <w:bCs/>
          <w:noProof/>
          <w:lang w:eastAsia="en-NZ"/>
        </w:rPr>
      </w:pPr>
      <w:hyperlink w:anchor="_Toc112768084" w:history="1">
        <w:r w:rsidRPr="008234C5">
          <w:rPr>
            <w:rStyle w:val="Hyperlink"/>
            <w:bCs/>
            <w:noProof/>
          </w:rPr>
          <w:t>4.6</w:t>
        </w:r>
        <w:r w:rsidRPr="008234C5">
          <w:rPr>
            <w:rFonts w:eastAsiaTheme="minorEastAsia"/>
            <w:bCs/>
            <w:noProof/>
            <w:lang w:eastAsia="en-NZ"/>
          </w:rPr>
          <w:tab/>
        </w:r>
        <w:r w:rsidRPr="008234C5">
          <w:rPr>
            <w:rStyle w:val="Hyperlink"/>
            <w:bCs/>
            <w:noProof/>
          </w:rPr>
          <w:t>Brass and bronze production</w:t>
        </w:r>
        <w:r w:rsidRPr="008234C5">
          <w:rPr>
            <w:bCs/>
            <w:noProof/>
            <w:webHidden/>
          </w:rPr>
          <w:tab/>
        </w:r>
        <w:r w:rsidRPr="008234C5">
          <w:rPr>
            <w:bCs/>
            <w:noProof/>
            <w:webHidden/>
          </w:rPr>
          <w:fldChar w:fldCharType="begin"/>
        </w:r>
        <w:r w:rsidRPr="008234C5">
          <w:rPr>
            <w:bCs/>
            <w:noProof/>
            <w:webHidden/>
          </w:rPr>
          <w:instrText xml:space="preserve"> PAGEREF _Toc112768084 \h </w:instrText>
        </w:r>
        <w:r w:rsidRPr="008234C5">
          <w:rPr>
            <w:bCs/>
            <w:noProof/>
            <w:webHidden/>
          </w:rPr>
        </w:r>
        <w:r w:rsidRPr="008234C5">
          <w:rPr>
            <w:bCs/>
            <w:noProof/>
            <w:webHidden/>
          </w:rPr>
          <w:fldChar w:fldCharType="separate"/>
        </w:r>
        <w:r w:rsidRPr="008234C5">
          <w:rPr>
            <w:bCs/>
            <w:noProof/>
            <w:webHidden/>
          </w:rPr>
          <w:t>17</w:t>
        </w:r>
        <w:r w:rsidRPr="008234C5">
          <w:rPr>
            <w:bCs/>
            <w:noProof/>
            <w:webHidden/>
          </w:rPr>
          <w:fldChar w:fldCharType="end"/>
        </w:r>
      </w:hyperlink>
    </w:p>
    <w:p w14:paraId="7AB6E8DB" w14:textId="6A6ACC2D" w:rsidR="003E6DEE" w:rsidRPr="008234C5" w:rsidRDefault="003E6DEE">
      <w:pPr>
        <w:pStyle w:val="TOC2"/>
        <w:tabs>
          <w:tab w:val="left" w:pos="880"/>
          <w:tab w:val="right" w:leader="dot" w:pos="9061"/>
        </w:tabs>
        <w:rPr>
          <w:rFonts w:eastAsiaTheme="minorEastAsia"/>
          <w:bCs/>
          <w:noProof/>
          <w:lang w:eastAsia="en-NZ"/>
        </w:rPr>
      </w:pPr>
      <w:hyperlink w:anchor="_Toc112768085" w:history="1">
        <w:r w:rsidRPr="008234C5">
          <w:rPr>
            <w:rStyle w:val="Hyperlink"/>
            <w:bCs/>
            <w:noProof/>
          </w:rPr>
          <w:t>4.7</w:t>
        </w:r>
        <w:r w:rsidRPr="008234C5">
          <w:rPr>
            <w:rFonts w:eastAsiaTheme="minorEastAsia"/>
            <w:bCs/>
            <w:noProof/>
            <w:lang w:eastAsia="en-NZ"/>
          </w:rPr>
          <w:tab/>
        </w:r>
        <w:r w:rsidRPr="008234C5">
          <w:rPr>
            <w:rStyle w:val="Hyperlink"/>
            <w:bCs/>
            <w:noProof/>
          </w:rPr>
          <w:t>Magnesium production</w:t>
        </w:r>
        <w:r w:rsidRPr="008234C5">
          <w:rPr>
            <w:bCs/>
            <w:noProof/>
            <w:webHidden/>
          </w:rPr>
          <w:tab/>
        </w:r>
        <w:r w:rsidRPr="008234C5">
          <w:rPr>
            <w:bCs/>
            <w:noProof/>
            <w:webHidden/>
          </w:rPr>
          <w:fldChar w:fldCharType="begin"/>
        </w:r>
        <w:r w:rsidRPr="008234C5">
          <w:rPr>
            <w:bCs/>
            <w:noProof/>
            <w:webHidden/>
          </w:rPr>
          <w:instrText xml:space="preserve"> PAGEREF _Toc112768085 \h </w:instrText>
        </w:r>
        <w:r w:rsidRPr="008234C5">
          <w:rPr>
            <w:bCs/>
            <w:noProof/>
            <w:webHidden/>
          </w:rPr>
        </w:r>
        <w:r w:rsidRPr="008234C5">
          <w:rPr>
            <w:bCs/>
            <w:noProof/>
            <w:webHidden/>
          </w:rPr>
          <w:fldChar w:fldCharType="separate"/>
        </w:r>
        <w:r w:rsidRPr="008234C5">
          <w:rPr>
            <w:bCs/>
            <w:noProof/>
            <w:webHidden/>
          </w:rPr>
          <w:t>18</w:t>
        </w:r>
        <w:r w:rsidRPr="008234C5">
          <w:rPr>
            <w:bCs/>
            <w:noProof/>
            <w:webHidden/>
          </w:rPr>
          <w:fldChar w:fldCharType="end"/>
        </w:r>
      </w:hyperlink>
    </w:p>
    <w:p w14:paraId="561010B2" w14:textId="5241A6ED" w:rsidR="003E6DEE" w:rsidRPr="008234C5" w:rsidRDefault="003E6DEE">
      <w:pPr>
        <w:pStyle w:val="TOC2"/>
        <w:tabs>
          <w:tab w:val="left" w:pos="880"/>
          <w:tab w:val="right" w:leader="dot" w:pos="9061"/>
        </w:tabs>
        <w:rPr>
          <w:rFonts w:eastAsiaTheme="minorEastAsia"/>
          <w:bCs/>
          <w:noProof/>
          <w:lang w:eastAsia="en-NZ"/>
        </w:rPr>
      </w:pPr>
      <w:hyperlink w:anchor="_Toc112768086" w:history="1">
        <w:r w:rsidRPr="008234C5">
          <w:rPr>
            <w:rStyle w:val="Hyperlink"/>
            <w:bCs/>
            <w:noProof/>
          </w:rPr>
          <w:t>4.8</w:t>
        </w:r>
        <w:r w:rsidRPr="008234C5">
          <w:rPr>
            <w:rFonts w:eastAsiaTheme="minorEastAsia"/>
            <w:bCs/>
            <w:noProof/>
            <w:lang w:eastAsia="en-NZ"/>
          </w:rPr>
          <w:tab/>
        </w:r>
        <w:r w:rsidRPr="008234C5">
          <w:rPr>
            <w:rStyle w:val="Hyperlink"/>
            <w:bCs/>
            <w:noProof/>
          </w:rPr>
          <w:t>Other non-ferrous metal production</w:t>
        </w:r>
        <w:r w:rsidRPr="008234C5">
          <w:rPr>
            <w:bCs/>
            <w:noProof/>
            <w:webHidden/>
          </w:rPr>
          <w:tab/>
        </w:r>
        <w:r w:rsidRPr="008234C5">
          <w:rPr>
            <w:bCs/>
            <w:noProof/>
            <w:webHidden/>
          </w:rPr>
          <w:fldChar w:fldCharType="begin"/>
        </w:r>
        <w:r w:rsidRPr="008234C5">
          <w:rPr>
            <w:bCs/>
            <w:noProof/>
            <w:webHidden/>
          </w:rPr>
          <w:instrText xml:space="preserve"> PAGEREF _Toc112768086 \h </w:instrText>
        </w:r>
        <w:r w:rsidRPr="008234C5">
          <w:rPr>
            <w:bCs/>
            <w:noProof/>
            <w:webHidden/>
          </w:rPr>
        </w:r>
        <w:r w:rsidRPr="008234C5">
          <w:rPr>
            <w:bCs/>
            <w:noProof/>
            <w:webHidden/>
          </w:rPr>
          <w:fldChar w:fldCharType="separate"/>
        </w:r>
        <w:r w:rsidRPr="008234C5">
          <w:rPr>
            <w:bCs/>
            <w:noProof/>
            <w:webHidden/>
          </w:rPr>
          <w:t>18</w:t>
        </w:r>
        <w:r w:rsidRPr="008234C5">
          <w:rPr>
            <w:bCs/>
            <w:noProof/>
            <w:webHidden/>
          </w:rPr>
          <w:fldChar w:fldCharType="end"/>
        </w:r>
      </w:hyperlink>
    </w:p>
    <w:p w14:paraId="415D4F4F" w14:textId="277BF915" w:rsidR="003E6DEE" w:rsidRPr="008234C5" w:rsidRDefault="003E6DEE">
      <w:pPr>
        <w:pStyle w:val="TOC2"/>
        <w:tabs>
          <w:tab w:val="left" w:pos="880"/>
          <w:tab w:val="right" w:leader="dot" w:pos="9061"/>
        </w:tabs>
        <w:rPr>
          <w:rFonts w:eastAsiaTheme="minorEastAsia"/>
          <w:bCs/>
          <w:noProof/>
          <w:lang w:eastAsia="en-NZ"/>
        </w:rPr>
      </w:pPr>
      <w:hyperlink w:anchor="_Toc112768087" w:history="1">
        <w:r w:rsidRPr="008234C5">
          <w:rPr>
            <w:rStyle w:val="Hyperlink"/>
            <w:bCs/>
            <w:noProof/>
          </w:rPr>
          <w:t>4.9</w:t>
        </w:r>
        <w:r w:rsidRPr="008234C5">
          <w:rPr>
            <w:rFonts w:eastAsiaTheme="minorEastAsia"/>
            <w:bCs/>
            <w:noProof/>
            <w:lang w:eastAsia="en-NZ"/>
          </w:rPr>
          <w:tab/>
        </w:r>
        <w:r w:rsidRPr="008234C5">
          <w:rPr>
            <w:rStyle w:val="Hyperlink"/>
            <w:bCs/>
            <w:noProof/>
          </w:rPr>
          <w:t>Metal shredding</w:t>
        </w:r>
        <w:r w:rsidRPr="008234C5">
          <w:rPr>
            <w:bCs/>
            <w:noProof/>
            <w:webHidden/>
          </w:rPr>
          <w:tab/>
        </w:r>
        <w:r w:rsidRPr="008234C5">
          <w:rPr>
            <w:bCs/>
            <w:noProof/>
            <w:webHidden/>
          </w:rPr>
          <w:fldChar w:fldCharType="begin"/>
        </w:r>
        <w:r w:rsidRPr="008234C5">
          <w:rPr>
            <w:bCs/>
            <w:noProof/>
            <w:webHidden/>
          </w:rPr>
          <w:instrText xml:space="preserve"> PAGEREF _Toc112768087 \h </w:instrText>
        </w:r>
        <w:r w:rsidRPr="008234C5">
          <w:rPr>
            <w:bCs/>
            <w:noProof/>
            <w:webHidden/>
          </w:rPr>
        </w:r>
        <w:r w:rsidRPr="008234C5">
          <w:rPr>
            <w:bCs/>
            <w:noProof/>
            <w:webHidden/>
          </w:rPr>
          <w:fldChar w:fldCharType="separate"/>
        </w:r>
        <w:r w:rsidRPr="008234C5">
          <w:rPr>
            <w:bCs/>
            <w:noProof/>
            <w:webHidden/>
          </w:rPr>
          <w:t>18</w:t>
        </w:r>
        <w:r w:rsidRPr="008234C5">
          <w:rPr>
            <w:bCs/>
            <w:noProof/>
            <w:webHidden/>
          </w:rPr>
          <w:fldChar w:fldCharType="end"/>
        </w:r>
      </w:hyperlink>
    </w:p>
    <w:p w14:paraId="33B870F4" w14:textId="7C5ED091" w:rsidR="003E6DEE" w:rsidRPr="008234C5" w:rsidRDefault="003E6DEE">
      <w:pPr>
        <w:pStyle w:val="TOC2"/>
        <w:tabs>
          <w:tab w:val="left" w:pos="880"/>
          <w:tab w:val="right" w:leader="dot" w:pos="9061"/>
        </w:tabs>
        <w:rPr>
          <w:rFonts w:eastAsiaTheme="minorEastAsia"/>
          <w:bCs/>
          <w:noProof/>
          <w:lang w:eastAsia="en-NZ"/>
        </w:rPr>
      </w:pPr>
      <w:hyperlink w:anchor="_Toc112768088" w:history="1">
        <w:r w:rsidRPr="008234C5">
          <w:rPr>
            <w:rStyle w:val="Hyperlink"/>
            <w:bCs/>
            <w:noProof/>
          </w:rPr>
          <w:t>4.10</w:t>
        </w:r>
        <w:r w:rsidRPr="008234C5">
          <w:rPr>
            <w:rFonts w:eastAsiaTheme="minorEastAsia"/>
            <w:bCs/>
            <w:noProof/>
            <w:lang w:eastAsia="en-NZ"/>
          </w:rPr>
          <w:tab/>
        </w:r>
        <w:r w:rsidRPr="008234C5">
          <w:rPr>
            <w:rStyle w:val="Hyperlink"/>
            <w:bCs/>
            <w:noProof/>
          </w:rPr>
          <w:t>Thermal wire reclamation and e-waste recycling</w:t>
        </w:r>
        <w:r w:rsidRPr="008234C5">
          <w:rPr>
            <w:bCs/>
            <w:noProof/>
            <w:webHidden/>
          </w:rPr>
          <w:tab/>
        </w:r>
        <w:r w:rsidRPr="008234C5">
          <w:rPr>
            <w:bCs/>
            <w:noProof/>
            <w:webHidden/>
          </w:rPr>
          <w:fldChar w:fldCharType="begin"/>
        </w:r>
        <w:r w:rsidRPr="008234C5">
          <w:rPr>
            <w:bCs/>
            <w:noProof/>
            <w:webHidden/>
          </w:rPr>
          <w:instrText xml:space="preserve"> PAGEREF _Toc112768088 \h </w:instrText>
        </w:r>
        <w:r w:rsidRPr="008234C5">
          <w:rPr>
            <w:bCs/>
            <w:noProof/>
            <w:webHidden/>
          </w:rPr>
        </w:r>
        <w:r w:rsidRPr="008234C5">
          <w:rPr>
            <w:bCs/>
            <w:noProof/>
            <w:webHidden/>
          </w:rPr>
          <w:fldChar w:fldCharType="separate"/>
        </w:r>
        <w:r w:rsidRPr="008234C5">
          <w:rPr>
            <w:bCs/>
            <w:noProof/>
            <w:webHidden/>
          </w:rPr>
          <w:t>19</w:t>
        </w:r>
        <w:r w:rsidRPr="008234C5">
          <w:rPr>
            <w:bCs/>
            <w:noProof/>
            <w:webHidden/>
          </w:rPr>
          <w:fldChar w:fldCharType="end"/>
        </w:r>
      </w:hyperlink>
    </w:p>
    <w:p w14:paraId="45D1FFA8" w14:textId="7779EDEA" w:rsidR="003E6DEE" w:rsidRPr="008234C5" w:rsidRDefault="003E6DEE">
      <w:pPr>
        <w:pStyle w:val="TOC2"/>
        <w:tabs>
          <w:tab w:val="left" w:pos="880"/>
          <w:tab w:val="right" w:leader="dot" w:pos="9061"/>
        </w:tabs>
        <w:rPr>
          <w:rFonts w:eastAsiaTheme="minorEastAsia"/>
          <w:bCs/>
          <w:noProof/>
          <w:lang w:eastAsia="en-NZ"/>
        </w:rPr>
      </w:pPr>
      <w:hyperlink w:anchor="_Toc112768089" w:history="1">
        <w:r w:rsidRPr="008234C5">
          <w:rPr>
            <w:rStyle w:val="Hyperlink"/>
            <w:rFonts w:eastAsia="Calibri"/>
            <w:bCs/>
            <w:noProof/>
          </w:rPr>
          <w:t>4.11</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_Toc112768089 \h </w:instrText>
        </w:r>
        <w:r w:rsidRPr="008234C5">
          <w:rPr>
            <w:bCs/>
            <w:noProof/>
            <w:webHidden/>
          </w:rPr>
        </w:r>
        <w:r w:rsidRPr="008234C5">
          <w:rPr>
            <w:bCs/>
            <w:noProof/>
            <w:webHidden/>
          </w:rPr>
          <w:fldChar w:fldCharType="separate"/>
        </w:r>
        <w:r w:rsidRPr="008234C5">
          <w:rPr>
            <w:bCs/>
            <w:noProof/>
            <w:webHidden/>
          </w:rPr>
          <w:t>20</w:t>
        </w:r>
        <w:r w:rsidRPr="008234C5">
          <w:rPr>
            <w:bCs/>
            <w:noProof/>
            <w:webHidden/>
          </w:rPr>
          <w:fldChar w:fldCharType="end"/>
        </w:r>
      </w:hyperlink>
    </w:p>
    <w:p w14:paraId="2449A0A8" w14:textId="6FEF556A" w:rsidR="003E6DEE" w:rsidRPr="008234C5" w:rsidRDefault="003E6DEE" w:rsidP="008234C5">
      <w:pPr>
        <w:pStyle w:val="TOC1"/>
        <w:rPr>
          <w:rFonts w:eastAsiaTheme="minorEastAsia"/>
          <w:lang w:val="en-NZ" w:eastAsia="en-NZ"/>
        </w:rPr>
      </w:pPr>
      <w:hyperlink w:anchor="_Toc112768090" w:history="1">
        <w:r w:rsidRPr="008234C5">
          <w:rPr>
            <w:rStyle w:val="Hyperlink"/>
            <w:rFonts w:ascii="Times New Roman" w:hAnsi="Times New Roman" w:cs="Times New Roman"/>
            <w:b w:val="0"/>
            <w:bCs/>
          </w:rPr>
          <w:t>5</w:t>
        </w:r>
        <w:r w:rsidRPr="008234C5">
          <w:rPr>
            <w:rFonts w:eastAsiaTheme="minorEastAsia"/>
            <w:lang w:val="en-NZ" w:eastAsia="en-NZ"/>
          </w:rPr>
          <w:tab/>
        </w:r>
        <w:r w:rsidRPr="008234C5">
          <w:rPr>
            <w:rStyle w:val="Hyperlink"/>
            <w:rFonts w:ascii="Times New Roman" w:hAnsi="Times New Roman" w:cs="Times New Roman"/>
            <w:b w:val="0"/>
            <w:bCs/>
          </w:rPr>
          <w:t>Heat and power generation</w:t>
        </w:r>
        <w:r w:rsidRPr="008234C5">
          <w:rPr>
            <w:webHidden/>
          </w:rPr>
          <w:tab/>
        </w:r>
        <w:r w:rsidRPr="008234C5">
          <w:rPr>
            <w:webHidden/>
          </w:rPr>
          <w:fldChar w:fldCharType="begin"/>
        </w:r>
        <w:r w:rsidRPr="008234C5">
          <w:rPr>
            <w:webHidden/>
          </w:rPr>
          <w:instrText xml:space="preserve"> PAGEREF _Toc112768090 \h </w:instrText>
        </w:r>
        <w:r w:rsidRPr="008234C5">
          <w:rPr>
            <w:webHidden/>
          </w:rPr>
        </w:r>
        <w:r w:rsidRPr="008234C5">
          <w:rPr>
            <w:webHidden/>
          </w:rPr>
          <w:fldChar w:fldCharType="separate"/>
        </w:r>
        <w:r w:rsidRPr="008234C5">
          <w:rPr>
            <w:webHidden/>
          </w:rPr>
          <w:t>21</w:t>
        </w:r>
        <w:r w:rsidRPr="008234C5">
          <w:rPr>
            <w:webHidden/>
          </w:rPr>
          <w:fldChar w:fldCharType="end"/>
        </w:r>
      </w:hyperlink>
    </w:p>
    <w:p w14:paraId="37A51197" w14:textId="45A0819B" w:rsidR="003E6DEE" w:rsidRPr="008234C5" w:rsidRDefault="003E6DEE">
      <w:pPr>
        <w:pStyle w:val="TOC2"/>
        <w:tabs>
          <w:tab w:val="left" w:pos="880"/>
          <w:tab w:val="right" w:leader="dot" w:pos="9061"/>
        </w:tabs>
        <w:rPr>
          <w:rFonts w:eastAsiaTheme="minorEastAsia"/>
          <w:bCs/>
          <w:noProof/>
          <w:lang w:eastAsia="en-NZ"/>
        </w:rPr>
      </w:pPr>
      <w:hyperlink w:anchor="_Toc112768091" w:history="1">
        <w:r w:rsidRPr="008234C5">
          <w:rPr>
            <w:rStyle w:val="Hyperlink"/>
            <w:bCs/>
            <w:noProof/>
          </w:rPr>
          <w:t>5.1</w:t>
        </w:r>
        <w:r w:rsidRPr="008234C5">
          <w:rPr>
            <w:rFonts w:eastAsiaTheme="minorEastAsia"/>
            <w:bCs/>
            <w:noProof/>
            <w:lang w:eastAsia="en-NZ"/>
          </w:rPr>
          <w:tab/>
        </w:r>
        <w:r w:rsidRPr="008234C5">
          <w:rPr>
            <w:rStyle w:val="Hyperlink"/>
            <w:bCs/>
            <w:noProof/>
          </w:rPr>
          <w:t>Fossil fuel power plants</w:t>
        </w:r>
        <w:r w:rsidRPr="008234C5">
          <w:rPr>
            <w:bCs/>
            <w:noProof/>
            <w:webHidden/>
          </w:rPr>
          <w:tab/>
        </w:r>
        <w:r w:rsidRPr="008234C5">
          <w:rPr>
            <w:bCs/>
            <w:noProof/>
            <w:webHidden/>
          </w:rPr>
          <w:fldChar w:fldCharType="begin"/>
        </w:r>
        <w:r w:rsidRPr="008234C5">
          <w:rPr>
            <w:bCs/>
            <w:noProof/>
            <w:webHidden/>
          </w:rPr>
          <w:instrText xml:space="preserve"> PAGEREF _Toc112768091 \h </w:instrText>
        </w:r>
        <w:r w:rsidRPr="008234C5">
          <w:rPr>
            <w:bCs/>
            <w:noProof/>
            <w:webHidden/>
          </w:rPr>
        </w:r>
        <w:r w:rsidRPr="008234C5">
          <w:rPr>
            <w:bCs/>
            <w:noProof/>
            <w:webHidden/>
          </w:rPr>
          <w:fldChar w:fldCharType="separate"/>
        </w:r>
        <w:r w:rsidRPr="008234C5">
          <w:rPr>
            <w:bCs/>
            <w:noProof/>
            <w:webHidden/>
          </w:rPr>
          <w:t>21</w:t>
        </w:r>
        <w:r w:rsidRPr="008234C5">
          <w:rPr>
            <w:bCs/>
            <w:noProof/>
            <w:webHidden/>
          </w:rPr>
          <w:fldChar w:fldCharType="end"/>
        </w:r>
      </w:hyperlink>
    </w:p>
    <w:p w14:paraId="52A0AF69" w14:textId="364E479F" w:rsidR="003E6DEE" w:rsidRPr="008234C5" w:rsidRDefault="003E6DEE">
      <w:pPr>
        <w:pStyle w:val="TOC3"/>
        <w:rPr>
          <w:bCs/>
          <w:sz w:val="20"/>
          <w:szCs w:val="20"/>
        </w:rPr>
      </w:pPr>
      <w:hyperlink w:anchor="_Toc112768092" w:history="1">
        <w:r w:rsidRPr="008234C5">
          <w:rPr>
            <w:rStyle w:val="Hyperlink"/>
            <w:bCs/>
            <w:sz w:val="20"/>
            <w:szCs w:val="20"/>
          </w:rPr>
          <w:t>5.1.1</w:t>
        </w:r>
        <w:r w:rsidRPr="008234C5">
          <w:rPr>
            <w:bCs/>
            <w:sz w:val="20"/>
            <w:szCs w:val="20"/>
          </w:rPr>
          <w:tab/>
        </w:r>
        <w:r w:rsidRPr="008234C5">
          <w:rPr>
            <w:rStyle w:val="Hyperlink"/>
            <w:bCs/>
            <w:sz w:val="20"/>
            <w:szCs w:val="20"/>
          </w:rPr>
          <w:t>Coal-fired power plants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_Toc112768092 \h </w:instrText>
        </w:r>
        <w:r w:rsidRPr="008234C5">
          <w:rPr>
            <w:bCs/>
            <w:webHidden/>
            <w:sz w:val="20"/>
            <w:szCs w:val="20"/>
          </w:rPr>
        </w:r>
        <w:r w:rsidRPr="008234C5">
          <w:rPr>
            <w:bCs/>
            <w:webHidden/>
            <w:sz w:val="20"/>
            <w:szCs w:val="20"/>
          </w:rPr>
          <w:fldChar w:fldCharType="separate"/>
        </w:r>
        <w:r w:rsidRPr="008234C5">
          <w:rPr>
            <w:bCs/>
            <w:webHidden/>
            <w:sz w:val="20"/>
            <w:szCs w:val="20"/>
          </w:rPr>
          <w:t>21</w:t>
        </w:r>
        <w:r w:rsidRPr="008234C5">
          <w:rPr>
            <w:bCs/>
            <w:webHidden/>
            <w:sz w:val="20"/>
            <w:szCs w:val="20"/>
          </w:rPr>
          <w:fldChar w:fldCharType="end"/>
        </w:r>
      </w:hyperlink>
    </w:p>
    <w:p w14:paraId="79763C03" w14:textId="78F6FACC" w:rsidR="003E6DEE" w:rsidRPr="008234C5" w:rsidRDefault="003E6DEE">
      <w:pPr>
        <w:pStyle w:val="TOC3"/>
        <w:rPr>
          <w:bCs/>
          <w:sz w:val="20"/>
          <w:szCs w:val="20"/>
        </w:rPr>
      </w:pPr>
      <w:hyperlink w:anchor="_Toc112768093" w:history="1">
        <w:r w:rsidRPr="008234C5">
          <w:rPr>
            <w:rStyle w:val="Hyperlink"/>
            <w:rFonts w:eastAsia="Calibri"/>
            <w:bCs/>
            <w:sz w:val="20"/>
            <w:szCs w:val="20"/>
          </w:rPr>
          <w:t>5.1.2</w:t>
        </w:r>
        <w:r w:rsidRPr="008234C5">
          <w:rPr>
            <w:bCs/>
            <w:sz w:val="20"/>
            <w:szCs w:val="20"/>
          </w:rPr>
          <w:tab/>
        </w:r>
        <w:r w:rsidRPr="008234C5">
          <w:rPr>
            <w:rStyle w:val="Hyperlink"/>
            <w:rFonts w:eastAsia="Calibri"/>
            <w:bCs/>
            <w:sz w:val="20"/>
            <w:szCs w:val="20"/>
          </w:rPr>
          <w:t>Heavy fuel oil-fired power plants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_Toc112768093 \h </w:instrText>
        </w:r>
        <w:r w:rsidRPr="008234C5">
          <w:rPr>
            <w:bCs/>
            <w:webHidden/>
            <w:sz w:val="20"/>
            <w:szCs w:val="20"/>
          </w:rPr>
        </w:r>
        <w:r w:rsidRPr="008234C5">
          <w:rPr>
            <w:bCs/>
            <w:webHidden/>
            <w:sz w:val="20"/>
            <w:szCs w:val="20"/>
          </w:rPr>
          <w:fldChar w:fldCharType="separate"/>
        </w:r>
        <w:r w:rsidRPr="008234C5">
          <w:rPr>
            <w:bCs/>
            <w:webHidden/>
            <w:sz w:val="20"/>
            <w:szCs w:val="20"/>
          </w:rPr>
          <w:t>24</w:t>
        </w:r>
        <w:r w:rsidRPr="008234C5">
          <w:rPr>
            <w:bCs/>
            <w:webHidden/>
            <w:sz w:val="20"/>
            <w:szCs w:val="20"/>
          </w:rPr>
          <w:fldChar w:fldCharType="end"/>
        </w:r>
      </w:hyperlink>
    </w:p>
    <w:p w14:paraId="47E93C5F" w14:textId="300E5DE7" w:rsidR="003E6DEE" w:rsidRPr="008234C5" w:rsidRDefault="003E6DEE">
      <w:pPr>
        <w:pStyle w:val="TOC3"/>
        <w:rPr>
          <w:bCs/>
          <w:sz w:val="20"/>
          <w:szCs w:val="20"/>
        </w:rPr>
      </w:pPr>
      <w:hyperlink w:anchor="_Toc112768094" w:history="1">
        <w:r w:rsidRPr="008234C5">
          <w:rPr>
            <w:rStyle w:val="Hyperlink"/>
            <w:bCs/>
            <w:sz w:val="20"/>
            <w:szCs w:val="20"/>
          </w:rPr>
          <w:t>5.1.3</w:t>
        </w:r>
        <w:r w:rsidRPr="008234C5">
          <w:rPr>
            <w:bCs/>
            <w:sz w:val="20"/>
            <w:szCs w:val="20"/>
          </w:rPr>
          <w:tab/>
        </w:r>
        <w:r w:rsidRPr="008234C5">
          <w:rPr>
            <w:rStyle w:val="Hyperlink"/>
            <w:bCs/>
            <w:sz w:val="20"/>
            <w:szCs w:val="20"/>
          </w:rPr>
          <w:t>Fuel oil and natural gas-fired power plants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_Toc112768094 \h </w:instrText>
        </w:r>
        <w:r w:rsidRPr="008234C5">
          <w:rPr>
            <w:bCs/>
            <w:webHidden/>
            <w:sz w:val="20"/>
            <w:szCs w:val="20"/>
          </w:rPr>
        </w:r>
        <w:r w:rsidRPr="008234C5">
          <w:rPr>
            <w:bCs/>
            <w:webHidden/>
            <w:sz w:val="20"/>
            <w:szCs w:val="20"/>
          </w:rPr>
          <w:fldChar w:fldCharType="separate"/>
        </w:r>
        <w:r w:rsidRPr="008234C5">
          <w:rPr>
            <w:bCs/>
            <w:webHidden/>
            <w:sz w:val="20"/>
            <w:szCs w:val="20"/>
          </w:rPr>
          <w:t>25</w:t>
        </w:r>
        <w:r w:rsidRPr="008234C5">
          <w:rPr>
            <w:bCs/>
            <w:webHidden/>
            <w:sz w:val="20"/>
            <w:szCs w:val="20"/>
          </w:rPr>
          <w:fldChar w:fldCharType="end"/>
        </w:r>
      </w:hyperlink>
    </w:p>
    <w:p w14:paraId="59BDD6F6" w14:textId="0CC7FA46" w:rsidR="003E6DEE" w:rsidRPr="008234C5" w:rsidRDefault="003E6DEE">
      <w:pPr>
        <w:pStyle w:val="TOC2"/>
        <w:tabs>
          <w:tab w:val="left" w:pos="880"/>
          <w:tab w:val="right" w:leader="dot" w:pos="9061"/>
        </w:tabs>
        <w:rPr>
          <w:rFonts w:eastAsiaTheme="minorEastAsia"/>
          <w:bCs/>
          <w:noProof/>
          <w:lang w:eastAsia="en-NZ"/>
        </w:rPr>
      </w:pPr>
      <w:hyperlink w:anchor="_Toc112768095" w:history="1">
        <w:r w:rsidRPr="008234C5">
          <w:rPr>
            <w:rStyle w:val="Hyperlink"/>
            <w:rFonts w:eastAsia="Calibri"/>
            <w:bCs/>
            <w:noProof/>
          </w:rPr>
          <w:t>5.2</w:t>
        </w:r>
        <w:r w:rsidRPr="008234C5">
          <w:rPr>
            <w:rFonts w:eastAsiaTheme="minorEastAsia"/>
            <w:bCs/>
            <w:noProof/>
            <w:lang w:eastAsia="en-NZ"/>
          </w:rPr>
          <w:tab/>
        </w:r>
        <w:r w:rsidRPr="008234C5">
          <w:rPr>
            <w:rStyle w:val="Hyperlink"/>
            <w:rFonts w:eastAsia="Calibri"/>
            <w:bCs/>
            <w:noProof/>
          </w:rPr>
          <w:t>Biomass power plants</w:t>
        </w:r>
        <w:r w:rsidRPr="008234C5">
          <w:rPr>
            <w:bCs/>
            <w:noProof/>
            <w:webHidden/>
          </w:rPr>
          <w:tab/>
        </w:r>
        <w:r w:rsidRPr="008234C5">
          <w:rPr>
            <w:bCs/>
            <w:noProof/>
            <w:webHidden/>
          </w:rPr>
          <w:fldChar w:fldCharType="begin"/>
        </w:r>
        <w:r w:rsidRPr="008234C5">
          <w:rPr>
            <w:bCs/>
            <w:noProof/>
            <w:webHidden/>
          </w:rPr>
          <w:instrText xml:space="preserve"> PAGEREF _Toc112768095 \h </w:instrText>
        </w:r>
        <w:r w:rsidRPr="008234C5">
          <w:rPr>
            <w:bCs/>
            <w:noProof/>
            <w:webHidden/>
          </w:rPr>
        </w:r>
        <w:r w:rsidRPr="008234C5">
          <w:rPr>
            <w:bCs/>
            <w:noProof/>
            <w:webHidden/>
          </w:rPr>
          <w:fldChar w:fldCharType="separate"/>
        </w:r>
        <w:r w:rsidRPr="008234C5">
          <w:rPr>
            <w:bCs/>
            <w:noProof/>
            <w:webHidden/>
          </w:rPr>
          <w:t>27</w:t>
        </w:r>
        <w:r w:rsidRPr="008234C5">
          <w:rPr>
            <w:bCs/>
            <w:noProof/>
            <w:webHidden/>
          </w:rPr>
          <w:fldChar w:fldCharType="end"/>
        </w:r>
      </w:hyperlink>
    </w:p>
    <w:p w14:paraId="62EC7C06" w14:textId="13541604" w:rsidR="003E6DEE" w:rsidRPr="008234C5" w:rsidRDefault="003E6DEE">
      <w:pPr>
        <w:pStyle w:val="TOC2"/>
        <w:tabs>
          <w:tab w:val="left" w:pos="880"/>
          <w:tab w:val="right" w:leader="dot" w:pos="9061"/>
        </w:tabs>
        <w:rPr>
          <w:rFonts w:eastAsiaTheme="minorEastAsia"/>
          <w:bCs/>
          <w:noProof/>
          <w:lang w:eastAsia="en-NZ"/>
        </w:rPr>
      </w:pPr>
      <w:hyperlink w:anchor="_Toc112768096" w:history="1">
        <w:r w:rsidRPr="008234C5">
          <w:rPr>
            <w:rStyle w:val="Hyperlink"/>
            <w:bCs/>
            <w:noProof/>
          </w:rPr>
          <w:t>5.3</w:t>
        </w:r>
        <w:r w:rsidRPr="008234C5">
          <w:rPr>
            <w:rFonts w:eastAsiaTheme="minorEastAsia"/>
            <w:bCs/>
            <w:noProof/>
            <w:lang w:eastAsia="en-NZ"/>
          </w:rPr>
          <w:tab/>
        </w:r>
        <w:r w:rsidRPr="008234C5">
          <w:rPr>
            <w:rStyle w:val="Hyperlink"/>
            <w:bCs/>
            <w:noProof/>
          </w:rPr>
          <w:t>Landfill, biogas combustion</w:t>
        </w:r>
        <w:r w:rsidRPr="008234C5">
          <w:rPr>
            <w:bCs/>
            <w:noProof/>
            <w:webHidden/>
          </w:rPr>
          <w:tab/>
        </w:r>
        <w:r w:rsidRPr="008234C5">
          <w:rPr>
            <w:bCs/>
            <w:noProof/>
            <w:webHidden/>
          </w:rPr>
          <w:fldChar w:fldCharType="begin"/>
        </w:r>
        <w:r w:rsidRPr="008234C5">
          <w:rPr>
            <w:bCs/>
            <w:noProof/>
            <w:webHidden/>
          </w:rPr>
          <w:instrText xml:space="preserve"> PAGEREF _Toc112768096 \h </w:instrText>
        </w:r>
        <w:r w:rsidRPr="008234C5">
          <w:rPr>
            <w:bCs/>
            <w:noProof/>
            <w:webHidden/>
          </w:rPr>
        </w:r>
        <w:r w:rsidRPr="008234C5">
          <w:rPr>
            <w:bCs/>
            <w:noProof/>
            <w:webHidden/>
          </w:rPr>
          <w:fldChar w:fldCharType="separate"/>
        </w:r>
        <w:r w:rsidRPr="008234C5">
          <w:rPr>
            <w:bCs/>
            <w:noProof/>
            <w:webHidden/>
          </w:rPr>
          <w:t>28</w:t>
        </w:r>
        <w:r w:rsidRPr="008234C5">
          <w:rPr>
            <w:bCs/>
            <w:noProof/>
            <w:webHidden/>
          </w:rPr>
          <w:fldChar w:fldCharType="end"/>
        </w:r>
      </w:hyperlink>
    </w:p>
    <w:p w14:paraId="255ED829" w14:textId="09E82A0C" w:rsidR="003E6DEE" w:rsidRPr="008234C5" w:rsidRDefault="003E6DEE">
      <w:pPr>
        <w:pStyle w:val="TOC2"/>
        <w:tabs>
          <w:tab w:val="left" w:pos="880"/>
          <w:tab w:val="right" w:leader="dot" w:pos="9061"/>
        </w:tabs>
        <w:rPr>
          <w:rFonts w:eastAsiaTheme="minorEastAsia"/>
          <w:bCs/>
          <w:noProof/>
          <w:lang w:eastAsia="en-NZ"/>
        </w:rPr>
      </w:pPr>
      <w:hyperlink w:anchor="_Toc112768097" w:history="1">
        <w:r w:rsidRPr="008234C5">
          <w:rPr>
            <w:rStyle w:val="Hyperlink"/>
            <w:bCs/>
            <w:noProof/>
          </w:rPr>
          <w:t>5.4</w:t>
        </w:r>
        <w:r w:rsidRPr="008234C5">
          <w:rPr>
            <w:rFonts w:eastAsiaTheme="minorEastAsia"/>
            <w:bCs/>
            <w:noProof/>
            <w:lang w:eastAsia="en-NZ"/>
          </w:rPr>
          <w:tab/>
        </w:r>
        <w:r w:rsidRPr="008234C5">
          <w:rPr>
            <w:rStyle w:val="Hyperlink"/>
            <w:bCs/>
            <w:noProof/>
          </w:rPr>
          <w:t>Household heating and cooking with biomass</w:t>
        </w:r>
        <w:r w:rsidRPr="008234C5">
          <w:rPr>
            <w:bCs/>
            <w:noProof/>
            <w:webHidden/>
          </w:rPr>
          <w:tab/>
        </w:r>
        <w:r w:rsidRPr="008234C5">
          <w:rPr>
            <w:bCs/>
            <w:noProof/>
            <w:webHidden/>
          </w:rPr>
          <w:fldChar w:fldCharType="begin"/>
        </w:r>
        <w:r w:rsidRPr="008234C5">
          <w:rPr>
            <w:bCs/>
            <w:noProof/>
            <w:webHidden/>
          </w:rPr>
          <w:instrText xml:space="preserve"> PAGEREF _Toc112768097 \h </w:instrText>
        </w:r>
        <w:r w:rsidRPr="008234C5">
          <w:rPr>
            <w:bCs/>
            <w:noProof/>
            <w:webHidden/>
          </w:rPr>
        </w:r>
        <w:r w:rsidRPr="008234C5">
          <w:rPr>
            <w:bCs/>
            <w:noProof/>
            <w:webHidden/>
          </w:rPr>
          <w:fldChar w:fldCharType="separate"/>
        </w:r>
        <w:r w:rsidRPr="008234C5">
          <w:rPr>
            <w:bCs/>
            <w:noProof/>
            <w:webHidden/>
          </w:rPr>
          <w:t>29</w:t>
        </w:r>
        <w:r w:rsidRPr="008234C5">
          <w:rPr>
            <w:bCs/>
            <w:noProof/>
            <w:webHidden/>
          </w:rPr>
          <w:fldChar w:fldCharType="end"/>
        </w:r>
      </w:hyperlink>
    </w:p>
    <w:p w14:paraId="4297588A" w14:textId="315163DB" w:rsidR="003E6DEE" w:rsidRPr="008234C5" w:rsidRDefault="003E6DEE">
      <w:pPr>
        <w:pStyle w:val="TOC2"/>
        <w:tabs>
          <w:tab w:val="left" w:pos="880"/>
          <w:tab w:val="right" w:leader="dot" w:pos="9061"/>
        </w:tabs>
        <w:rPr>
          <w:rFonts w:eastAsiaTheme="minorEastAsia"/>
          <w:bCs/>
          <w:noProof/>
          <w:lang w:eastAsia="en-NZ"/>
        </w:rPr>
      </w:pPr>
      <w:hyperlink w:anchor="_Toc112768098" w:history="1">
        <w:r w:rsidRPr="008234C5">
          <w:rPr>
            <w:rStyle w:val="Hyperlink"/>
            <w:bCs/>
            <w:noProof/>
          </w:rPr>
          <w:t>5.5</w:t>
        </w:r>
        <w:r w:rsidRPr="008234C5">
          <w:rPr>
            <w:rFonts w:eastAsiaTheme="minorEastAsia"/>
            <w:bCs/>
            <w:noProof/>
            <w:lang w:eastAsia="en-NZ"/>
          </w:rPr>
          <w:tab/>
        </w:r>
        <w:r w:rsidRPr="008234C5">
          <w:rPr>
            <w:rStyle w:val="Hyperlink"/>
            <w:bCs/>
            <w:noProof/>
          </w:rPr>
          <w:t>Household heating and cooking with fossil fuels</w:t>
        </w:r>
        <w:r w:rsidRPr="008234C5">
          <w:rPr>
            <w:bCs/>
            <w:noProof/>
            <w:webHidden/>
          </w:rPr>
          <w:tab/>
        </w:r>
        <w:r w:rsidRPr="008234C5">
          <w:rPr>
            <w:bCs/>
            <w:noProof/>
            <w:webHidden/>
          </w:rPr>
          <w:fldChar w:fldCharType="begin"/>
        </w:r>
        <w:r w:rsidRPr="008234C5">
          <w:rPr>
            <w:bCs/>
            <w:noProof/>
            <w:webHidden/>
          </w:rPr>
          <w:instrText xml:space="preserve"> PAGEREF _Toc112768098 \h </w:instrText>
        </w:r>
        <w:r w:rsidRPr="008234C5">
          <w:rPr>
            <w:bCs/>
            <w:noProof/>
            <w:webHidden/>
          </w:rPr>
        </w:r>
        <w:r w:rsidRPr="008234C5">
          <w:rPr>
            <w:bCs/>
            <w:noProof/>
            <w:webHidden/>
          </w:rPr>
          <w:fldChar w:fldCharType="separate"/>
        </w:r>
        <w:r w:rsidRPr="008234C5">
          <w:rPr>
            <w:bCs/>
            <w:noProof/>
            <w:webHidden/>
          </w:rPr>
          <w:t>30</w:t>
        </w:r>
        <w:r w:rsidRPr="008234C5">
          <w:rPr>
            <w:bCs/>
            <w:noProof/>
            <w:webHidden/>
          </w:rPr>
          <w:fldChar w:fldCharType="end"/>
        </w:r>
      </w:hyperlink>
    </w:p>
    <w:p w14:paraId="432C7016" w14:textId="29F5D19E" w:rsidR="003E6DEE" w:rsidRPr="008234C5" w:rsidRDefault="003E6DEE">
      <w:pPr>
        <w:pStyle w:val="TOC3"/>
        <w:rPr>
          <w:bCs/>
          <w:sz w:val="20"/>
          <w:szCs w:val="20"/>
        </w:rPr>
      </w:pPr>
      <w:hyperlink w:anchor="_Toc112768099" w:history="1">
        <w:r w:rsidRPr="008234C5">
          <w:rPr>
            <w:rStyle w:val="Hyperlink"/>
            <w:bCs/>
            <w:sz w:val="20"/>
            <w:szCs w:val="20"/>
          </w:rPr>
          <w:t>5.5.1</w:t>
        </w:r>
        <w:r w:rsidRPr="008234C5">
          <w:rPr>
            <w:bCs/>
            <w:sz w:val="20"/>
            <w:szCs w:val="20"/>
          </w:rPr>
          <w:tab/>
        </w:r>
        <w:r w:rsidRPr="008234C5">
          <w:rPr>
            <w:rStyle w:val="Hyperlink"/>
            <w:bCs/>
            <w:sz w:val="20"/>
            <w:szCs w:val="20"/>
          </w:rPr>
          <w:t>Coal</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_Toc112768099 \h </w:instrText>
        </w:r>
        <w:r w:rsidRPr="008234C5">
          <w:rPr>
            <w:bCs/>
            <w:webHidden/>
            <w:sz w:val="20"/>
            <w:szCs w:val="20"/>
          </w:rPr>
        </w:r>
        <w:r w:rsidRPr="008234C5">
          <w:rPr>
            <w:bCs/>
            <w:webHidden/>
            <w:sz w:val="20"/>
            <w:szCs w:val="20"/>
          </w:rPr>
          <w:fldChar w:fldCharType="separate"/>
        </w:r>
        <w:r w:rsidRPr="008234C5">
          <w:rPr>
            <w:bCs/>
            <w:webHidden/>
            <w:sz w:val="20"/>
            <w:szCs w:val="20"/>
          </w:rPr>
          <w:t>30</w:t>
        </w:r>
        <w:r w:rsidRPr="008234C5">
          <w:rPr>
            <w:bCs/>
            <w:webHidden/>
            <w:sz w:val="20"/>
            <w:szCs w:val="20"/>
          </w:rPr>
          <w:fldChar w:fldCharType="end"/>
        </w:r>
      </w:hyperlink>
    </w:p>
    <w:p w14:paraId="1AD4E08C" w14:textId="76C41B7E" w:rsidR="003E6DEE" w:rsidRPr="008234C5" w:rsidRDefault="003E6DEE">
      <w:pPr>
        <w:pStyle w:val="TOC3"/>
        <w:rPr>
          <w:bCs/>
          <w:sz w:val="20"/>
          <w:szCs w:val="20"/>
        </w:rPr>
      </w:pPr>
      <w:hyperlink w:anchor="_Toc112768100" w:history="1">
        <w:r w:rsidRPr="008234C5">
          <w:rPr>
            <w:rStyle w:val="Hyperlink"/>
            <w:bCs/>
            <w:sz w:val="20"/>
            <w:szCs w:val="20"/>
          </w:rPr>
          <w:t>5.5.2</w:t>
        </w:r>
        <w:r w:rsidRPr="008234C5">
          <w:rPr>
            <w:bCs/>
            <w:sz w:val="20"/>
            <w:szCs w:val="20"/>
          </w:rPr>
          <w:tab/>
        </w:r>
        <w:r w:rsidRPr="008234C5">
          <w:rPr>
            <w:rStyle w:val="Hyperlink"/>
            <w:bCs/>
            <w:sz w:val="20"/>
            <w:szCs w:val="20"/>
          </w:rPr>
          <w:t>Oil</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_Toc112768100 \h </w:instrText>
        </w:r>
        <w:r w:rsidRPr="008234C5">
          <w:rPr>
            <w:bCs/>
            <w:webHidden/>
            <w:sz w:val="20"/>
            <w:szCs w:val="20"/>
          </w:rPr>
        </w:r>
        <w:r w:rsidRPr="008234C5">
          <w:rPr>
            <w:bCs/>
            <w:webHidden/>
            <w:sz w:val="20"/>
            <w:szCs w:val="20"/>
          </w:rPr>
          <w:fldChar w:fldCharType="separate"/>
        </w:r>
        <w:r w:rsidRPr="008234C5">
          <w:rPr>
            <w:bCs/>
            <w:webHidden/>
            <w:sz w:val="20"/>
            <w:szCs w:val="20"/>
          </w:rPr>
          <w:t>30</w:t>
        </w:r>
        <w:r w:rsidRPr="008234C5">
          <w:rPr>
            <w:bCs/>
            <w:webHidden/>
            <w:sz w:val="20"/>
            <w:szCs w:val="20"/>
          </w:rPr>
          <w:fldChar w:fldCharType="end"/>
        </w:r>
      </w:hyperlink>
    </w:p>
    <w:p w14:paraId="73B72B8E" w14:textId="31B894A9" w:rsidR="003E6DEE" w:rsidRPr="008234C5" w:rsidRDefault="003E6DEE">
      <w:pPr>
        <w:pStyle w:val="TOC3"/>
        <w:rPr>
          <w:bCs/>
          <w:sz w:val="20"/>
          <w:szCs w:val="20"/>
        </w:rPr>
      </w:pPr>
      <w:hyperlink w:anchor="_Toc112768101" w:history="1">
        <w:r w:rsidRPr="008234C5">
          <w:rPr>
            <w:rStyle w:val="Hyperlink"/>
            <w:bCs/>
            <w:sz w:val="20"/>
            <w:szCs w:val="20"/>
          </w:rPr>
          <w:t>5.5.3</w:t>
        </w:r>
        <w:r w:rsidRPr="008234C5">
          <w:rPr>
            <w:bCs/>
            <w:sz w:val="20"/>
            <w:szCs w:val="20"/>
          </w:rPr>
          <w:tab/>
        </w:r>
        <w:r w:rsidRPr="008234C5">
          <w:rPr>
            <w:rStyle w:val="Hyperlink"/>
            <w:bCs/>
            <w:sz w:val="20"/>
            <w:szCs w:val="20"/>
          </w:rPr>
          <w:t>Gas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_Toc112768101 \h </w:instrText>
        </w:r>
        <w:r w:rsidRPr="008234C5">
          <w:rPr>
            <w:bCs/>
            <w:webHidden/>
            <w:sz w:val="20"/>
            <w:szCs w:val="20"/>
          </w:rPr>
        </w:r>
        <w:r w:rsidRPr="008234C5">
          <w:rPr>
            <w:bCs/>
            <w:webHidden/>
            <w:sz w:val="20"/>
            <w:szCs w:val="20"/>
          </w:rPr>
          <w:fldChar w:fldCharType="separate"/>
        </w:r>
        <w:r w:rsidRPr="008234C5">
          <w:rPr>
            <w:bCs/>
            <w:webHidden/>
            <w:sz w:val="20"/>
            <w:szCs w:val="20"/>
          </w:rPr>
          <w:t>31</w:t>
        </w:r>
        <w:r w:rsidRPr="008234C5">
          <w:rPr>
            <w:bCs/>
            <w:webHidden/>
            <w:sz w:val="20"/>
            <w:szCs w:val="20"/>
          </w:rPr>
          <w:fldChar w:fldCharType="end"/>
        </w:r>
      </w:hyperlink>
    </w:p>
    <w:p w14:paraId="550ED87A" w14:textId="0117E553" w:rsidR="003E6DEE" w:rsidRPr="008234C5" w:rsidRDefault="003E6DEE">
      <w:pPr>
        <w:pStyle w:val="TOC2"/>
        <w:tabs>
          <w:tab w:val="left" w:pos="880"/>
          <w:tab w:val="right" w:leader="dot" w:pos="9061"/>
        </w:tabs>
        <w:rPr>
          <w:rFonts w:eastAsiaTheme="minorEastAsia"/>
          <w:bCs/>
          <w:noProof/>
          <w:lang w:eastAsia="en-NZ"/>
        </w:rPr>
      </w:pPr>
      <w:hyperlink w:anchor="_Toc112768102" w:history="1">
        <w:r w:rsidRPr="008234C5">
          <w:rPr>
            <w:rStyle w:val="Hyperlink"/>
            <w:rFonts w:eastAsia="Calibri"/>
            <w:bCs/>
            <w:noProof/>
          </w:rPr>
          <w:t>5.6</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_Toc112768102 \h </w:instrText>
        </w:r>
        <w:r w:rsidRPr="008234C5">
          <w:rPr>
            <w:bCs/>
            <w:noProof/>
            <w:webHidden/>
          </w:rPr>
        </w:r>
        <w:r w:rsidRPr="008234C5">
          <w:rPr>
            <w:bCs/>
            <w:noProof/>
            <w:webHidden/>
          </w:rPr>
          <w:fldChar w:fldCharType="separate"/>
        </w:r>
        <w:r w:rsidRPr="008234C5">
          <w:rPr>
            <w:bCs/>
            <w:noProof/>
            <w:webHidden/>
          </w:rPr>
          <w:t>32</w:t>
        </w:r>
        <w:r w:rsidRPr="008234C5">
          <w:rPr>
            <w:bCs/>
            <w:noProof/>
            <w:webHidden/>
          </w:rPr>
          <w:fldChar w:fldCharType="end"/>
        </w:r>
      </w:hyperlink>
    </w:p>
    <w:p w14:paraId="35939DC2" w14:textId="0FF2E3F2" w:rsidR="003E6DEE" w:rsidRPr="008234C5" w:rsidRDefault="003E6DEE" w:rsidP="008234C5">
      <w:pPr>
        <w:pStyle w:val="TOC1"/>
        <w:rPr>
          <w:rFonts w:eastAsiaTheme="minorEastAsia"/>
          <w:lang w:val="en-NZ" w:eastAsia="en-NZ"/>
        </w:rPr>
      </w:pPr>
      <w:hyperlink w:anchor="_Toc112768103" w:history="1">
        <w:r w:rsidRPr="008234C5">
          <w:rPr>
            <w:rStyle w:val="Hyperlink"/>
            <w:rFonts w:ascii="Times New Roman" w:hAnsi="Times New Roman" w:cs="Times New Roman"/>
            <w:b w:val="0"/>
            <w:bCs/>
          </w:rPr>
          <w:t>6</w:t>
        </w:r>
        <w:r w:rsidRPr="008234C5">
          <w:rPr>
            <w:rFonts w:eastAsiaTheme="minorEastAsia"/>
            <w:lang w:val="en-NZ" w:eastAsia="en-NZ"/>
          </w:rPr>
          <w:tab/>
        </w:r>
        <w:r w:rsidRPr="008234C5">
          <w:rPr>
            <w:rStyle w:val="Hyperlink"/>
            <w:rFonts w:ascii="Times New Roman" w:hAnsi="Times New Roman" w:cs="Times New Roman"/>
            <w:b w:val="0"/>
            <w:bCs/>
          </w:rPr>
          <w:t>Production of mineral products</w:t>
        </w:r>
        <w:r w:rsidRPr="008234C5">
          <w:rPr>
            <w:webHidden/>
          </w:rPr>
          <w:tab/>
        </w:r>
        <w:r w:rsidRPr="008234C5">
          <w:rPr>
            <w:webHidden/>
          </w:rPr>
          <w:fldChar w:fldCharType="begin"/>
        </w:r>
        <w:r w:rsidRPr="008234C5">
          <w:rPr>
            <w:webHidden/>
          </w:rPr>
          <w:instrText xml:space="preserve"> PAGEREF _Toc112768103 \h </w:instrText>
        </w:r>
        <w:r w:rsidRPr="008234C5">
          <w:rPr>
            <w:webHidden/>
          </w:rPr>
        </w:r>
        <w:r w:rsidRPr="008234C5">
          <w:rPr>
            <w:webHidden/>
          </w:rPr>
          <w:fldChar w:fldCharType="separate"/>
        </w:r>
        <w:r w:rsidRPr="008234C5">
          <w:rPr>
            <w:webHidden/>
          </w:rPr>
          <w:t>33</w:t>
        </w:r>
        <w:r w:rsidRPr="008234C5">
          <w:rPr>
            <w:webHidden/>
          </w:rPr>
          <w:fldChar w:fldCharType="end"/>
        </w:r>
      </w:hyperlink>
    </w:p>
    <w:p w14:paraId="7B17E25B" w14:textId="39530332" w:rsidR="003E6DEE" w:rsidRPr="008234C5" w:rsidRDefault="003E6DEE">
      <w:pPr>
        <w:pStyle w:val="TOC2"/>
        <w:tabs>
          <w:tab w:val="left" w:pos="880"/>
          <w:tab w:val="right" w:leader="dot" w:pos="9061"/>
        </w:tabs>
        <w:rPr>
          <w:rFonts w:eastAsiaTheme="minorEastAsia"/>
          <w:bCs/>
          <w:noProof/>
          <w:lang w:eastAsia="en-NZ"/>
        </w:rPr>
      </w:pPr>
      <w:hyperlink w:anchor="_Toc112768104" w:history="1">
        <w:r w:rsidRPr="008234C5">
          <w:rPr>
            <w:rStyle w:val="Hyperlink"/>
            <w:bCs/>
            <w:noProof/>
          </w:rPr>
          <w:t>6.1</w:t>
        </w:r>
        <w:r w:rsidRPr="008234C5">
          <w:rPr>
            <w:rFonts w:eastAsiaTheme="minorEastAsia"/>
            <w:bCs/>
            <w:noProof/>
            <w:lang w:eastAsia="en-NZ"/>
          </w:rPr>
          <w:tab/>
        </w:r>
        <w:r w:rsidRPr="008234C5">
          <w:rPr>
            <w:rStyle w:val="Hyperlink"/>
            <w:bCs/>
            <w:noProof/>
          </w:rPr>
          <w:t>Cement production</w:t>
        </w:r>
        <w:r w:rsidRPr="008234C5">
          <w:rPr>
            <w:bCs/>
            <w:noProof/>
            <w:webHidden/>
          </w:rPr>
          <w:tab/>
        </w:r>
        <w:r w:rsidRPr="008234C5">
          <w:rPr>
            <w:bCs/>
            <w:noProof/>
            <w:webHidden/>
          </w:rPr>
          <w:fldChar w:fldCharType="begin"/>
        </w:r>
        <w:r w:rsidRPr="008234C5">
          <w:rPr>
            <w:bCs/>
            <w:noProof/>
            <w:webHidden/>
          </w:rPr>
          <w:instrText xml:space="preserve"> PAGEREF _Toc112768104 \h </w:instrText>
        </w:r>
        <w:r w:rsidRPr="008234C5">
          <w:rPr>
            <w:bCs/>
            <w:noProof/>
            <w:webHidden/>
          </w:rPr>
        </w:r>
        <w:r w:rsidRPr="008234C5">
          <w:rPr>
            <w:bCs/>
            <w:noProof/>
            <w:webHidden/>
          </w:rPr>
          <w:fldChar w:fldCharType="separate"/>
        </w:r>
        <w:r w:rsidRPr="008234C5">
          <w:rPr>
            <w:bCs/>
            <w:noProof/>
            <w:webHidden/>
          </w:rPr>
          <w:t>33</w:t>
        </w:r>
        <w:r w:rsidRPr="008234C5">
          <w:rPr>
            <w:bCs/>
            <w:noProof/>
            <w:webHidden/>
          </w:rPr>
          <w:fldChar w:fldCharType="end"/>
        </w:r>
      </w:hyperlink>
    </w:p>
    <w:p w14:paraId="5E53B6D1" w14:textId="7B150C81" w:rsidR="003E6DEE" w:rsidRPr="008234C5" w:rsidRDefault="003E6DEE">
      <w:pPr>
        <w:pStyle w:val="TOC2"/>
        <w:tabs>
          <w:tab w:val="left" w:pos="880"/>
          <w:tab w:val="right" w:leader="dot" w:pos="9061"/>
        </w:tabs>
        <w:rPr>
          <w:rFonts w:eastAsiaTheme="minorEastAsia"/>
          <w:bCs/>
          <w:noProof/>
          <w:lang w:eastAsia="en-NZ"/>
        </w:rPr>
      </w:pPr>
      <w:hyperlink w:anchor="_Toc112768105" w:history="1">
        <w:r w:rsidRPr="008234C5">
          <w:rPr>
            <w:rStyle w:val="Hyperlink"/>
            <w:bCs/>
            <w:noProof/>
          </w:rPr>
          <w:t>6.2</w:t>
        </w:r>
        <w:r w:rsidRPr="008234C5">
          <w:rPr>
            <w:rFonts w:eastAsiaTheme="minorEastAsia"/>
            <w:bCs/>
            <w:noProof/>
            <w:lang w:eastAsia="en-NZ"/>
          </w:rPr>
          <w:tab/>
        </w:r>
        <w:r w:rsidRPr="008234C5">
          <w:rPr>
            <w:rStyle w:val="Hyperlink"/>
            <w:bCs/>
            <w:noProof/>
          </w:rPr>
          <w:t>Lime production</w:t>
        </w:r>
        <w:r w:rsidRPr="008234C5">
          <w:rPr>
            <w:bCs/>
            <w:noProof/>
            <w:webHidden/>
          </w:rPr>
          <w:tab/>
        </w:r>
        <w:r w:rsidRPr="008234C5">
          <w:rPr>
            <w:bCs/>
            <w:noProof/>
            <w:webHidden/>
          </w:rPr>
          <w:fldChar w:fldCharType="begin"/>
        </w:r>
        <w:r w:rsidRPr="008234C5">
          <w:rPr>
            <w:bCs/>
            <w:noProof/>
            <w:webHidden/>
          </w:rPr>
          <w:instrText xml:space="preserve"> PAGEREF _Toc112768105 \h </w:instrText>
        </w:r>
        <w:r w:rsidRPr="008234C5">
          <w:rPr>
            <w:bCs/>
            <w:noProof/>
            <w:webHidden/>
          </w:rPr>
        </w:r>
        <w:r w:rsidRPr="008234C5">
          <w:rPr>
            <w:bCs/>
            <w:noProof/>
            <w:webHidden/>
          </w:rPr>
          <w:fldChar w:fldCharType="separate"/>
        </w:r>
        <w:r w:rsidRPr="008234C5">
          <w:rPr>
            <w:bCs/>
            <w:noProof/>
            <w:webHidden/>
          </w:rPr>
          <w:t>34</w:t>
        </w:r>
        <w:r w:rsidRPr="008234C5">
          <w:rPr>
            <w:bCs/>
            <w:noProof/>
            <w:webHidden/>
          </w:rPr>
          <w:fldChar w:fldCharType="end"/>
        </w:r>
      </w:hyperlink>
    </w:p>
    <w:p w14:paraId="4C995035" w14:textId="516A14F0" w:rsidR="003E6DEE" w:rsidRPr="008234C5" w:rsidRDefault="003E6DEE">
      <w:pPr>
        <w:pStyle w:val="TOC2"/>
        <w:tabs>
          <w:tab w:val="left" w:pos="880"/>
          <w:tab w:val="right" w:leader="dot" w:pos="9061"/>
        </w:tabs>
        <w:rPr>
          <w:rFonts w:eastAsiaTheme="minorEastAsia"/>
          <w:bCs/>
          <w:noProof/>
          <w:lang w:eastAsia="en-NZ"/>
        </w:rPr>
      </w:pPr>
      <w:hyperlink w:anchor="_Toc112768106" w:history="1">
        <w:r w:rsidRPr="008234C5">
          <w:rPr>
            <w:rStyle w:val="Hyperlink"/>
            <w:bCs/>
            <w:noProof/>
          </w:rPr>
          <w:t>6.3</w:t>
        </w:r>
        <w:r w:rsidRPr="008234C5">
          <w:rPr>
            <w:rFonts w:eastAsiaTheme="minorEastAsia"/>
            <w:bCs/>
            <w:noProof/>
            <w:lang w:eastAsia="en-NZ"/>
          </w:rPr>
          <w:tab/>
        </w:r>
        <w:r w:rsidRPr="008234C5">
          <w:rPr>
            <w:rStyle w:val="Hyperlink"/>
            <w:bCs/>
            <w:noProof/>
          </w:rPr>
          <w:t>Brick production</w:t>
        </w:r>
        <w:r w:rsidRPr="008234C5">
          <w:rPr>
            <w:bCs/>
            <w:noProof/>
            <w:webHidden/>
          </w:rPr>
          <w:tab/>
        </w:r>
        <w:r w:rsidRPr="008234C5">
          <w:rPr>
            <w:bCs/>
            <w:noProof/>
            <w:webHidden/>
          </w:rPr>
          <w:fldChar w:fldCharType="begin"/>
        </w:r>
        <w:r w:rsidRPr="008234C5">
          <w:rPr>
            <w:bCs/>
            <w:noProof/>
            <w:webHidden/>
          </w:rPr>
          <w:instrText xml:space="preserve"> PAGEREF _Toc112768106 \h </w:instrText>
        </w:r>
        <w:r w:rsidRPr="008234C5">
          <w:rPr>
            <w:bCs/>
            <w:noProof/>
            <w:webHidden/>
          </w:rPr>
        </w:r>
        <w:r w:rsidRPr="008234C5">
          <w:rPr>
            <w:bCs/>
            <w:noProof/>
            <w:webHidden/>
          </w:rPr>
          <w:fldChar w:fldCharType="separate"/>
        </w:r>
        <w:r w:rsidRPr="008234C5">
          <w:rPr>
            <w:bCs/>
            <w:noProof/>
            <w:webHidden/>
          </w:rPr>
          <w:t>35</w:t>
        </w:r>
        <w:r w:rsidRPr="008234C5">
          <w:rPr>
            <w:bCs/>
            <w:noProof/>
            <w:webHidden/>
          </w:rPr>
          <w:fldChar w:fldCharType="end"/>
        </w:r>
      </w:hyperlink>
    </w:p>
    <w:p w14:paraId="30A6EAC1" w14:textId="38C72DB4" w:rsidR="003E6DEE" w:rsidRPr="008234C5" w:rsidRDefault="003E6DEE">
      <w:pPr>
        <w:pStyle w:val="TOC2"/>
        <w:tabs>
          <w:tab w:val="left" w:pos="880"/>
          <w:tab w:val="right" w:leader="dot" w:pos="9061"/>
        </w:tabs>
        <w:rPr>
          <w:rFonts w:eastAsiaTheme="minorEastAsia"/>
          <w:bCs/>
          <w:noProof/>
          <w:lang w:eastAsia="en-NZ"/>
        </w:rPr>
      </w:pPr>
      <w:hyperlink w:anchor="_Toc112768107" w:history="1">
        <w:r w:rsidRPr="008234C5">
          <w:rPr>
            <w:rStyle w:val="Hyperlink"/>
            <w:bCs/>
            <w:noProof/>
          </w:rPr>
          <w:t>6.4</w:t>
        </w:r>
        <w:r w:rsidRPr="008234C5">
          <w:rPr>
            <w:rFonts w:eastAsiaTheme="minorEastAsia"/>
            <w:bCs/>
            <w:noProof/>
            <w:lang w:eastAsia="en-NZ"/>
          </w:rPr>
          <w:tab/>
        </w:r>
        <w:r w:rsidRPr="008234C5">
          <w:rPr>
            <w:rStyle w:val="Hyperlink"/>
            <w:bCs/>
            <w:noProof/>
          </w:rPr>
          <w:t>Glass production</w:t>
        </w:r>
        <w:r w:rsidRPr="008234C5">
          <w:rPr>
            <w:bCs/>
            <w:noProof/>
            <w:webHidden/>
          </w:rPr>
          <w:tab/>
        </w:r>
        <w:r w:rsidRPr="008234C5">
          <w:rPr>
            <w:bCs/>
            <w:noProof/>
            <w:webHidden/>
          </w:rPr>
          <w:fldChar w:fldCharType="begin"/>
        </w:r>
        <w:r w:rsidRPr="008234C5">
          <w:rPr>
            <w:bCs/>
            <w:noProof/>
            <w:webHidden/>
          </w:rPr>
          <w:instrText xml:space="preserve"> PAGEREF _Toc112768107 \h </w:instrText>
        </w:r>
        <w:r w:rsidRPr="008234C5">
          <w:rPr>
            <w:bCs/>
            <w:noProof/>
            <w:webHidden/>
          </w:rPr>
        </w:r>
        <w:r w:rsidRPr="008234C5">
          <w:rPr>
            <w:bCs/>
            <w:noProof/>
            <w:webHidden/>
          </w:rPr>
          <w:fldChar w:fldCharType="separate"/>
        </w:r>
        <w:r w:rsidRPr="008234C5">
          <w:rPr>
            <w:bCs/>
            <w:noProof/>
            <w:webHidden/>
          </w:rPr>
          <w:t>36</w:t>
        </w:r>
        <w:r w:rsidRPr="008234C5">
          <w:rPr>
            <w:bCs/>
            <w:noProof/>
            <w:webHidden/>
          </w:rPr>
          <w:fldChar w:fldCharType="end"/>
        </w:r>
      </w:hyperlink>
    </w:p>
    <w:p w14:paraId="0E88BE5D" w14:textId="6F6964B0" w:rsidR="003E6DEE" w:rsidRPr="008234C5" w:rsidRDefault="003E6DEE">
      <w:pPr>
        <w:pStyle w:val="TOC2"/>
        <w:tabs>
          <w:tab w:val="left" w:pos="880"/>
          <w:tab w:val="right" w:leader="dot" w:pos="9061"/>
        </w:tabs>
        <w:rPr>
          <w:rFonts w:eastAsiaTheme="minorEastAsia"/>
          <w:bCs/>
          <w:noProof/>
          <w:lang w:eastAsia="en-NZ"/>
        </w:rPr>
      </w:pPr>
      <w:hyperlink w:anchor="_Toc112768108" w:history="1">
        <w:r w:rsidRPr="008234C5">
          <w:rPr>
            <w:rStyle w:val="Hyperlink"/>
            <w:bCs/>
            <w:noProof/>
          </w:rPr>
          <w:t>6.5</w:t>
        </w:r>
        <w:r w:rsidRPr="008234C5">
          <w:rPr>
            <w:rFonts w:eastAsiaTheme="minorEastAsia"/>
            <w:bCs/>
            <w:noProof/>
            <w:lang w:eastAsia="en-NZ"/>
          </w:rPr>
          <w:tab/>
        </w:r>
        <w:r w:rsidRPr="008234C5">
          <w:rPr>
            <w:rStyle w:val="Hyperlink"/>
            <w:bCs/>
            <w:noProof/>
          </w:rPr>
          <w:t>Pottery and ceramics production</w:t>
        </w:r>
        <w:r w:rsidRPr="008234C5">
          <w:rPr>
            <w:bCs/>
            <w:noProof/>
            <w:webHidden/>
          </w:rPr>
          <w:tab/>
        </w:r>
        <w:r w:rsidRPr="008234C5">
          <w:rPr>
            <w:bCs/>
            <w:noProof/>
            <w:webHidden/>
          </w:rPr>
          <w:fldChar w:fldCharType="begin"/>
        </w:r>
        <w:r w:rsidRPr="008234C5">
          <w:rPr>
            <w:bCs/>
            <w:noProof/>
            <w:webHidden/>
          </w:rPr>
          <w:instrText xml:space="preserve"> PAGEREF _Toc112768108 \h </w:instrText>
        </w:r>
        <w:r w:rsidRPr="008234C5">
          <w:rPr>
            <w:bCs/>
            <w:noProof/>
            <w:webHidden/>
          </w:rPr>
        </w:r>
        <w:r w:rsidRPr="008234C5">
          <w:rPr>
            <w:bCs/>
            <w:noProof/>
            <w:webHidden/>
          </w:rPr>
          <w:fldChar w:fldCharType="separate"/>
        </w:r>
        <w:r w:rsidRPr="008234C5">
          <w:rPr>
            <w:bCs/>
            <w:noProof/>
            <w:webHidden/>
          </w:rPr>
          <w:t>37</w:t>
        </w:r>
        <w:r w:rsidRPr="008234C5">
          <w:rPr>
            <w:bCs/>
            <w:noProof/>
            <w:webHidden/>
          </w:rPr>
          <w:fldChar w:fldCharType="end"/>
        </w:r>
      </w:hyperlink>
    </w:p>
    <w:p w14:paraId="2EFBBDDE" w14:textId="2E23EA00" w:rsidR="003E6DEE" w:rsidRPr="008234C5" w:rsidRDefault="003E6DEE">
      <w:pPr>
        <w:pStyle w:val="TOC2"/>
        <w:tabs>
          <w:tab w:val="left" w:pos="880"/>
          <w:tab w:val="right" w:leader="dot" w:pos="9061"/>
        </w:tabs>
        <w:rPr>
          <w:rFonts w:eastAsiaTheme="minorEastAsia"/>
          <w:bCs/>
          <w:noProof/>
          <w:lang w:eastAsia="en-NZ"/>
        </w:rPr>
      </w:pPr>
      <w:hyperlink w:anchor="_Toc112768109" w:history="1">
        <w:r w:rsidRPr="008234C5">
          <w:rPr>
            <w:rStyle w:val="Hyperlink"/>
            <w:bCs/>
            <w:noProof/>
          </w:rPr>
          <w:t>6.6</w:t>
        </w:r>
        <w:r w:rsidRPr="008234C5">
          <w:rPr>
            <w:rFonts w:eastAsiaTheme="minorEastAsia"/>
            <w:bCs/>
            <w:noProof/>
            <w:lang w:eastAsia="en-NZ"/>
          </w:rPr>
          <w:tab/>
        </w:r>
        <w:r w:rsidRPr="008234C5">
          <w:rPr>
            <w:rStyle w:val="Hyperlink"/>
            <w:bCs/>
            <w:noProof/>
          </w:rPr>
          <w:t>Asphalt mixing</w:t>
        </w:r>
        <w:r w:rsidRPr="008234C5">
          <w:rPr>
            <w:bCs/>
            <w:noProof/>
            <w:webHidden/>
          </w:rPr>
          <w:tab/>
        </w:r>
        <w:r w:rsidRPr="008234C5">
          <w:rPr>
            <w:bCs/>
            <w:noProof/>
            <w:webHidden/>
          </w:rPr>
          <w:fldChar w:fldCharType="begin"/>
        </w:r>
        <w:r w:rsidRPr="008234C5">
          <w:rPr>
            <w:bCs/>
            <w:noProof/>
            <w:webHidden/>
          </w:rPr>
          <w:instrText xml:space="preserve"> PAGEREF _Toc112768109 \h </w:instrText>
        </w:r>
        <w:r w:rsidRPr="008234C5">
          <w:rPr>
            <w:bCs/>
            <w:noProof/>
            <w:webHidden/>
          </w:rPr>
        </w:r>
        <w:r w:rsidRPr="008234C5">
          <w:rPr>
            <w:bCs/>
            <w:noProof/>
            <w:webHidden/>
          </w:rPr>
          <w:fldChar w:fldCharType="separate"/>
        </w:r>
        <w:r w:rsidRPr="008234C5">
          <w:rPr>
            <w:bCs/>
            <w:noProof/>
            <w:webHidden/>
          </w:rPr>
          <w:t>38</w:t>
        </w:r>
        <w:r w:rsidRPr="008234C5">
          <w:rPr>
            <w:bCs/>
            <w:noProof/>
            <w:webHidden/>
          </w:rPr>
          <w:fldChar w:fldCharType="end"/>
        </w:r>
      </w:hyperlink>
    </w:p>
    <w:p w14:paraId="0AAFBD73" w14:textId="1C962D12" w:rsidR="003E6DEE" w:rsidRPr="008234C5" w:rsidRDefault="003E6DEE">
      <w:pPr>
        <w:pStyle w:val="TOC2"/>
        <w:tabs>
          <w:tab w:val="left" w:pos="880"/>
          <w:tab w:val="right" w:leader="dot" w:pos="9061"/>
        </w:tabs>
        <w:rPr>
          <w:rFonts w:eastAsiaTheme="minorEastAsia"/>
          <w:bCs/>
          <w:noProof/>
          <w:lang w:eastAsia="en-NZ"/>
        </w:rPr>
      </w:pPr>
      <w:hyperlink w:anchor="_Toc112768110" w:history="1">
        <w:r w:rsidRPr="008234C5">
          <w:rPr>
            <w:rStyle w:val="Hyperlink"/>
            <w:bCs/>
            <w:noProof/>
          </w:rPr>
          <w:t>6.7</w:t>
        </w:r>
        <w:r w:rsidRPr="008234C5">
          <w:rPr>
            <w:rFonts w:eastAsiaTheme="minorEastAsia"/>
            <w:bCs/>
            <w:noProof/>
            <w:lang w:eastAsia="en-NZ"/>
          </w:rPr>
          <w:tab/>
        </w:r>
        <w:r w:rsidRPr="008234C5">
          <w:rPr>
            <w:rStyle w:val="Hyperlink"/>
            <w:bCs/>
            <w:noProof/>
          </w:rPr>
          <w:t>Oil shale pyrolysis</w:t>
        </w:r>
        <w:r w:rsidRPr="008234C5">
          <w:rPr>
            <w:bCs/>
            <w:noProof/>
            <w:webHidden/>
          </w:rPr>
          <w:tab/>
        </w:r>
        <w:r w:rsidRPr="008234C5">
          <w:rPr>
            <w:bCs/>
            <w:noProof/>
            <w:webHidden/>
          </w:rPr>
          <w:fldChar w:fldCharType="begin"/>
        </w:r>
        <w:r w:rsidRPr="008234C5">
          <w:rPr>
            <w:bCs/>
            <w:noProof/>
            <w:webHidden/>
          </w:rPr>
          <w:instrText xml:space="preserve"> PAGEREF _Toc112768110 \h </w:instrText>
        </w:r>
        <w:r w:rsidRPr="008234C5">
          <w:rPr>
            <w:bCs/>
            <w:noProof/>
            <w:webHidden/>
          </w:rPr>
        </w:r>
        <w:r w:rsidRPr="008234C5">
          <w:rPr>
            <w:bCs/>
            <w:noProof/>
            <w:webHidden/>
          </w:rPr>
          <w:fldChar w:fldCharType="separate"/>
        </w:r>
        <w:r w:rsidRPr="008234C5">
          <w:rPr>
            <w:bCs/>
            <w:noProof/>
            <w:webHidden/>
          </w:rPr>
          <w:t>38</w:t>
        </w:r>
        <w:r w:rsidRPr="008234C5">
          <w:rPr>
            <w:bCs/>
            <w:noProof/>
            <w:webHidden/>
          </w:rPr>
          <w:fldChar w:fldCharType="end"/>
        </w:r>
      </w:hyperlink>
    </w:p>
    <w:p w14:paraId="1303A96A" w14:textId="16CEF622" w:rsidR="003E6DEE" w:rsidRPr="008234C5" w:rsidRDefault="003E6DEE">
      <w:pPr>
        <w:pStyle w:val="TOC2"/>
        <w:tabs>
          <w:tab w:val="left" w:pos="880"/>
          <w:tab w:val="right" w:leader="dot" w:pos="9061"/>
        </w:tabs>
        <w:rPr>
          <w:rFonts w:eastAsiaTheme="minorEastAsia"/>
          <w:bCs/>
          <w:noProof/>
          <w:lang w:eastAsia="en-NZ"/>
        </w:rPr>
      </w:pPr>
      <w:hyperlink w:anchor="_Toc112768111" w:history="1">
        <w:r w:rsidRPr="008234C5">
          <w:rPr>
            <w:rStyle w:val="Hyperlink"/>
            <w:rFonts w:eastAsia="Calibri"/>
            <w:bCs/>
            <w:noProof/>
          </w:rPr>
          <w:t>6.8</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_Toc112768111 \h </w:instrText>
        </w:r>
        <w:r w:rsidRPr="008234C5">
          <w:rPr>
            <w:bCs/>
            <w:noProof/>
            <w:webHidden/>
          </w:rPr>
        </w:r>
        <w:r w:rsidRPr="008234C5">
          <w:rPr>
            <w:bCs/>
            <w:noProof/>
            <w:webHidden/>
          </w:rPr>
          <w:fldChar w:fldCharType="separate"/>
        </w:r>
        <w:r w:rsidRPr="008234C5">
          <w:rPr>
            <w:bCs/>
            <w:noProof/>
            <w:webHidden/>
          </w:rPr>
          <w:t>39</w:t>
        </w:r>
        <w:r w:rsidRPr="008234C5">
          <w:rPr>
            <w:bCs/>
            <w:noProof/>
            <w:webHidden/>
          </w:rPr>
          <w:fldChar w:fldCharType="end"/>
        </w:r>
      </w:hyperlink>
    </w:p>
    <w:p w14:paraId="0E8709AC" w14:textId="7844852F" w:rsidR="003E6DEE" w:rsidRPr="008234C5" w:rsidRDefault="003E6DEE" w:rsidP="008234C5">
      <w:pPr>
        <w:pStyle w:val="TOC1"/>
        <w:rPr>
          <w:rFonts w:eastAsiaTheme="minorEastAsia"/>
          <w:lang w:val="en-NZ" w:eastAsia="en-NZ"/>
        </w:rPr>
      </w:pPr>
      <w:hyperlink w:anchor="_Toc112768112" w:history="1">
        <w:r w:rsidRPr="008234C5">
          <w:rPr>
            <w:rStyle w:val="Hyperlink"/>
            <w:rFonts w:ascii="Times New Roman" w:hAnsi="Times New Roman" w:cs="Times New Roman"/>
            <w:b w:val="0"/>
            <w:bCs/>
          </w:rPr>
          <w:t>7</w:t>
        </w:r>
        <w:r w:rsidRPr="008234C5">
          <w:rPr>
            <w:rFonts w:eastAsiaTheme="minorEastAsia"/>
            <w:lang w:val="en-NZ" w:eastAsia="en-NZ"/>
          </w:rPr>
          <w:tab/>
        </w:r>
        <w:r w:rsidRPr="008234C5">
          <w:rPr>
            <w:rStyle w:val="Hyperlink"/>
            <w:rFonts w:ascii="Times New Roman" w:hAnsi="Times New Roman" w:cs="Times New Roman"/>
            <w:b w:val="0"/>
            <w:bCs/>
          </w:rPr>
          <w:t>Transport</w:t>
        </w:r>
        <w:r w:rsidRPr="008234C5">
          <w:rPr>
            <w:webHidden/>
          </w:rPr>
          <w:tab/>
        </w:r>
        <w:r w:rsidRPr="008234C5">
          <w:rPr>
            <w:webHidden/>
          </w:rPr>
          <w:fldChar w:fldCharType="begin"/>
        </w:r>
        <w:r w:rsidRPr="008234C5">
          <w:rPr>
            <w:webHidden/>
          </w:rPr>
          <w:instrText xml:space="preserve"> PAGEREF _Toc112768112 \h </w:instrText>
        </w:r>
        <w:r w:rsidRPr="008234C5">
          <w:rPr>
            <w:webHidden/>
          </w:rPr>
        </w:r>
        <w:r w:rsidRPr="008234C5">
          <w:rPr>
            <w:webHidden/>
          </w:rPr>
          <w:fldChar w:fldCharType="separate"/>
        </w:r>
        <w:r w:rsidRPr="008234C5">
          <w:rPr>
            <w:webHidden/>
          </w:rPr>
          <w:t>40</w:t>
        </w:r>
        <w:r w:rsidRPr="008234C5">
          <w:rPr>
            <w:webHidden/>
          </w:rPr>
          <w:fldChar w:fldCharType="end"/>
        </w:r>
      </w:hyperlink>
    </w:p>
    <w:p w14:paraId="6D8ACDDE" w14:textId="5DFEA114" w:rsidR="003E6DEE" w:rsidRPr="008234C5" w:rsidRDefault="003E6DEE">
      <w:pPr>
        <w:pStyle w:val="TOC2"/>
        <w:tabs>
          <w:tab w:val="left" w:pos="880"/>
          <w:tab w:val="right" w:leader="dot" w:pos="9061"/>
        </w:tabs>
        <w:rPr>
          <w:rFonts w:eastAsiaTheme="minorEastAsia"/>
          <w:bCs/>
          <w:noProof/>
          <w:lang w:eastAsia="en-NZ"/>
        </w:rPr>
      </w:pPr>
      <w:hyperlink w:anchor="_Toc112768113" w:history="1">
        <w:r w:rsidRPr="008234C5">
          <w:rPr>
            <w:rStyle w:val="Hyperlink"/>
            <w:bCs/>
            <w:noProof/>
          </w:rPr>
          <w:t>7.1</w:t>
        </w:r>
        <w:r w:rsidRPr="008234C5">
          <w:rPr>
            <w:rFonts w:eastAsiaTheme="minorEastAsia"/>
            <w:bCs/>
            <w:noProof/>
            <w:lang w:eastAsia="en-NZ"/>
          </w:rPr>
          <w:tab/>
        </w:r>
        <w:r w:rsidRPr="008234C5">
          <w:rPr>
            <w:rStyle w:val="Hyperlink"/>
            <w:bCs/>
            <w:noProof/>
          </w:rPr>
          <w:t>4-Stroke engines</w:t>
        </w:r>
        <w:r w:rsidRPr="008234C5">
          <w:rPr>
            <w:bCs/>
            <w:noProof/>
            <w:webHidden/>
          </w:rPr>
          <w:tab/>
        </w:r>
        <w:r w:rsidRPr="008234C5">
          <w:rPr>
            <w:bCs/>
            <w:noProof/>
            <w:webHidden/>
          </w:rPr>
          <w:fldChar w:fldCharType="begin"/>
        </w:r>
        <w:r w:rsidRPr="008234C5">
          <w:rPr>
            <w:bCs/>
            <w:noProof/>
            <w:webHidden/>
          </w:rPr>
          <w:instrText xml:space="preserve"> PAGEREF _Toc112768113 \h </w:instrText>
        </w:r>
        <w:r w:rsidRPr="008234C5">
          <w:rPr>
            <w:bCs/>
            <w:noProof/>
            <w:webHidden/>
          </w:rPr>
        </w:r>
        <w:r w:rsidRPr="008234C5">
          <w:rPr>
            <w:bCs/>
            <w:noProof/>
            <w:webHidden/>
          </w:rPr>
          <w:fldChar w:fldCharType="separate"/>
        </w:r>
        <w:r w:rsidRPr="008234C5">
          <w:rPr>
            <w:bCs/>
            <w:noProof/>
            <w:webHidden/>
          </w:rPr>
          <w:t>41</w:t>
        </w:r>
        <w:r w:rsidRPr="008234C5">
          <w:rPr>
            <w:bCs/>
            <w:noProof/>
            <w:webHidden/>
          </w:rPr>
          <w:fldChar w:fldCharType="end"/>
        </w:r>
      </w:hyperlink>
    </w:p>
    <w:p w14:paraId="0108BB4F" w14:textId="30C6EAA5" w:rsidR="003E6DEE" w:rsidRPr="008234C5" w:rsidRDefault="003E6DEE">
      <w:pPr>
        <w:pStyle w:val="TOC2"/>
        <w:tabs>
          <w:tab w:val="left" w:pos="880"/>
          <w:tab w:val="right" w:leader="dot" w:pos="9061"/>
        </w:tabs>
        <w:rPr>
          <w:rFonts w:eastAsiaTheme="minorEastAsia"/>
          <w:bCs/>
          <w:noProof/>
          <w:lang w:eastAsia="en-NZ"/>
        </w:rPr>
      </w:pPr>
      <w:hyperlink w:anchor="_Toc112768114" w:history="1">
        <w:r w:rsidRPr="008234C5">
          <w:rPr>
            <w:rStyle w:val="Hyperlink"/>
            <w:bCs/>
            <w:noProof/>
          </w:rPr>
          <w:t>7.2</w:t>
        </w:r>
        <w:r w:rsidRPr="008234C5">
          <w:rPr>
            <w:rFonts w:eastAsiaTheme="minorEastAsia"/>
            <w:bCs/>
            <w:noProof/>
            <w:lang w:eastAsia="en-NZ"/>
          </w:rPr>
          <w:tab/>
        </w:r>
        <w:r w:rsidRPr="008234C5">
          <w:rPr>
            <w:rStyle w:val="Hyperlink"/>
            <w:bCs/>
            <w:noProof/>
          </w:rPr>
          <w:t>2-Stroke engines</w:t>
        </w:r>
        <w:r w:rsidRPr="008234C5">
          <w:rPr>
            <w:bCs/>
            <w:noProof/>
            <w:webHidden/>
          </w:rPr>
          <w:tab/>
        </w:r>
        <w:r w:rsidRPr="008234C5">
          <w:rPr>
            <w:bCs/>
            <w:noProof/>
            <w:webHidden/>
          </w:rPr>
          <w:fldChar w:fldCharType="begin"/>
        </w:r>
        <w:r w:rsidRPr="008234C5">
          <w:rPr>
            <w:bCs/>
            <w:noProof/>
            <w:webHidden/>
          </w:rPr>
          <w:instrText xml:space="preserve"> PAGEREF _Toc112768114 \h </w:instrText>
        </w:r>
        <w:r w:rsidRPr="008234C5">
          <w:rPr>
            <w:bCs/>
            <w:noProof/>
            <w:webHidden/>
          </w:rPr>
        </w:r>
        <w:r w:rsidRPr="008234C5">
          <w:rPr>
            <w:bCs/>
            <w:noProof/>
            <w:webHidden/>
          </w:rPr>
          <w:fldChar w:fldCharType="separate"/>
        </w:r>
        <w:r w:rsidRPr="008234C5">
          <w:rPr>
            <w:bCs/>
            <w:noProof/>
            <w:webHidden/>
          </w:rPr>
          <w:t>42</w:t>
        </w:r>
        <w:r w:rsidRPr="008234C5">
          <w:rPr>
            <w:bCs/>
            <w:noProof/>
            <w:webHidden/>
          </w:rPr>
          <w:fldChar w:fldCharType="end"/>
        </w:r>
      </w:hyperlink>
    </w:p>
    <w:p w14:paraId="47066A57" w14:textId="121B530B" w:rsidR="003E6DEE" w:rsidRPr="008234C5" w:rsidRDefault="003E6DEE">
      <w:pPr>
        <w:pStyle w:val="TOC2"/>
        <w:tabs>
          <w:tab w:val="left" w:pos="880"/>
          <w:tab w:val="right" w:leader="dot" w:pos="9061"/>
        </w:tabs>
        <w:rPr>
          <w:rFonts w:eastAsiaTheme="minorEastAsia"/>
          <w:bCs/>
          <w:noProof/>
          <w:lang w:eastAsia="en-NZ"/>
        </w:rPr>
      </w:pPr>
      <w:hyperlink w:anchor="_Toc112768115" w:history="1">
        <w:r w:rsidRPr="008234C5">
          <w:rPr>
            <w:rStyle w:val="Hyperlink"/>
            <w:bCs/>
            <w:noProof/>
          </w:rPr>
          <w:t>7.3</w:t>
        </w:r>
        <w:r w:rsidRPr="008234C5">
          <w:rPr>
            <w:rFonts w:eastAsiaTheme="minorEastAsia"/>
            <w:bCs/>
            <w:noProof/>
            <w:lang w:eastAsia="en-NZ"/>
          </w:rPr>
          <w:tab/>
        </w:r>
        <w:r w:rsidRPr="008234C5">
          <w:rPr>
            <w:rStyle w:val="Hyperlink"/>
            <w:bCs/>
            <w:noProof/>
          </w:rPr>
          <w:t>Diesel engines</w:t>
        </w:r>
        <w:r w:rsidRPr="008234C5">
          <w:rPr>
            <w:bCs/>
            <w:noProof/>
            <w:webHidden/>
          </w:rPr>
          <w:tab/>
        </w:r>
        <w:r w:rsidRPr="008234C5">
          <w:rPr>
            <w:bCs/>
            <w:noProof/>
            <w:webHidden/>
          </w:rPr>
          <w:fldChar w:fldCharType="begin"/>
        </w:r>
        <w:r w:rsidRPr="008234C5">
          <w:rPr>
            <w:bCs/>
            <w:noProof/>
            <w:webHidden/>
          </w:rPr>
          <w:instrText xml:space="preserve"> PAGEREF _Toc112768115 \h </w:instrText>
        </w:r>
        <w:r w:rsidRPr="008234C5">
          <w:rPr>
            <w:bCs/>
            <w:noProof/>
            <w:webHidden/>
          </w:rPr>
        </w:r>
        <w:r w:rsidRPr="008234C5">
          <w:rPr>
            <w:bCs/>
            <w:noProof/>
            <w:webHidden/>
          </w:rPr>
          <w:fldChar w:fldCharType="separate"/>
        </w:r>
        <w:r w:rsidRPr="008234C5">
          <w:rPr>
            <w:bCs/>
            <w:noProof/>
            <w:webHidden/>
          </w:rPr>
          <w:t>43</w:t>
        </w:r>
        <w:r w:rsidRPr="008234C5">
          <w:rPr>
            <w:bCs/>
            <w:noProof/>
            <w:webHidden/>
          </w:rPr>
          <w:fldChar w:fldCharType="end"/>
        </w:r>
      </w:hyperlink>
    </w:p>
    <w:p w14:paraId="5C2A5EA0" w14:textId="4D468BBA" w:rsidR="003E6DEE" w:rsidRPr="008234C5" w:rsidRDefault="003E6DEE">
      <w:pPr>
        <w:pStyle w:val="TOC2"/>
        <w:tabs>
          <w:tab w:val="left" w:pos="880"/>
          <w:tab w:val="right" w:leader="dot" w:pos="9061"/>
        </w:tabs>
        <w:rPr>
          <w:rFonts w:eastAsiaTheme="minorEastAsia"/>
          <w:bCs/>
          <w:noProof/>
          <w:lang w:eastAsia="en-NZ"/>
        </w:rPr>
      </w:pPr>
      <w:hyperlink w:anchor="_Toc112768116" w:history="1">
        <w:r w:rsidRPr="008234C5">
          <w:rPr>
            <w:rStyle w:val="Hyperlink"/>
            <w:bCs/>
            <w:noProof/>
          </w:rPr>
          <w:t>7.4</w:t>
        </w:r>
        <w:r w:rsidRPr="008234C5">
          <w:rPr>
            <w:rFonts w:eastAsiaTheme="minorEastAsia"/>
            <w:bCs/>
            <w:noProof/>
            <w:lang w:eastAsia="en-NZ"/>
          </w:rPr>
          <w:tab/>
        </w:r>
        <w:r w:rsidRPr="008234C5">
          <w:rPr>
            <w:rStyle w:val="Hyperlink"/>
            <w:bCs/>
            <w:noProof/>
          </w:rPr>
          <w:t>Heavy oil-fired engines</w:t>
        </w:r>
        <w:r w:rsidRPr="008234C5">
          <w:rPr>
            <w:bCs/>
            <w:noProof/>
            <w:webHidden/>
          </w:rPr>
          <w:tab/>
        </w:r>
        <w:r w:rsidRPr="008234C5">
          <w:rPr>
            <w:bCs/>
            <w:noProof/>
            <w:webHidden/>
          </w:rPr>
          <w:fldChar w:fldCharType="begin"/>
        </w:r>
        <w:r w:rsidRPr="008234C5">
          <w:rPr>
            <w:bCs/>
            <w:noProof/>
            <w:webHidden/>
          </w:rPr>
          <w:instrText xml:space="preserve"> PAGEREF _Toc112768116 \h </w:instrText>
        </w:r>
        <w:r w:rsidRPr="008234C5">
          <w:rPr>
            <w:bCs/>
            <w:noProof/>
            <w:webHidden/>
          </w:rPr>
        </w:r>
        <w:r w:rsidRPr="008234C5">
          <w:rPr>
            <w:bCs/>
            <w:noProof/>
            <w:webHidden/>
          </w:rPr>
          <w:fldChar w:fldCharType="separate"/>
        </w:r>
        <w:r w:rsidRPr="008234C5">
          <w:rPr>
            <w:bCs/>
            <w:noProof/>
            <w:webHidden/>
          </w:rPr>
          <w:t>44</w:t>
        </w:r>
        <w:r w:rsidRPr="008234C5">
          <w:rPr>
            <w:bCs/>
            <w:noProof/>
            <w:webHidden/>
          </w:rPr>
          <w:fldChar w:fldCharType="end"/>
        </w:r>
      </w:hyperlink>
    </w:p>
    <w:p w14:paraId="607D0F51" w14:textId="096A3184" w:rsidR="003E6DEE" w:rsidRPr="008234C5" w:rsidRDefault="003E6DEE">
      <w:pPr>
        <w:pStyle w:val="TOC2"/>
        <w:tabs>
          <w:tab w:val="left" w:pos="880"/>
          <w:tab w:val="right" w:leader="dot" w:pos="9061"/>
        </w:tabs>
        <w:rPr>
          <w:rFonts w:eastAsiaTheme="minorEastAsia"/>
          <w:bCs/>
          <w:noProof/>
          <w:lang w:eastAsia="en-NZ"/>
        </w:rPr>
      </w:pPr>
      <w:hyperlink w:anchor="_Toc112768117" w:history="1">
        <w:r w:rsidRPr="008234C5">
          <w:rPr>
            <w:rStyle w:val="Hyperlink"/>
            <w:bCs/>
            <w:noProof/>
          </w:rPr>
          <w:t>7.5</w:t>
        </w:r>
        <w:r w:rsidRPr="008234C5">
          <w:rPr>
            <w:rFonts w:eastAsiaTheme="minorEastAsia"/>
            <w:bCs/>
            <w:noProof/>
            <w:lang w:eastAsia="en-NZ"/>
          </w:rPr>
          <w:tab/>
        </w:r>
        <w:r w:rsidRPr="008234C5">
          <w:rPr>
            <w:rStyle w:val="Hyperlink"/>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_Toc112768117 \h </w:instrText>
        </w:r>
        <w:r w:rsidRPr="008234C5">
          <w:rPr>
            <w:bCs/>
            <w:noProof/>
            <w:webHidden/>
          </w:rPr>
        </w:r>
        <w:r w:rsidRPr="008234C5">
          <w:rPr>
            <w:bCs/>
            <w:noProof/>
            <w:webHidden/>
          </w:rPr>
          <w:fldChar w:fldCharType="separate"/>
        </w:r>
        <w:r w:rsidRPr="008234C5">
          <w:rPr>
            <w:bCs/>
            <w:noProof/>
            <w:webHidden/>
          </w:rPr>
          <w:t>44</w:t>
        </w:r>
        <w:r w:rsidRPr="008234C5">
          <w:rPr>
            <w:bCs/>
            <w:noProof/>
            <w:webHidden/>
          </w:rPr>
          <w:fldChar w:fldCharType="end"/>
        </w:r>
      </w:hyperlink>
    </w:p>
    <w:p w14:paraId="38C1858C" w14:textId="00379316" w:rsidR="003E6DEE" w:rsidRPr="008234C5" w:rsidRDefault="003E6DEE" w:rsidP="008234C5">
      <w:pPr>
        <w:pStyle w:val="TOC1"/>
        <w:rPr>
          <w:rFonts w:eastAsiaTheme="minorEastAsia"/>
          <w:lang w:val="en-NZ" w:eastAsia="en-NZ"/>
        </w:rPr>
      </w:pPr>
      <w:hyperlink w:anchor="_Toc112768118" w:history="1">
        <w:r w:rsidRPr="008234C5">
          <w:rPr>
            <w:rStyle w:val="Hyperlink"/>
            <w:rFonts w:ascii="Times New Roman" w:hAnsi="Times New Roman" w:cs="Times New Roman"/>
            <w:b w:val="0"/>
            <w:bCs/>
          </w:rPr>
          <w:t>8</w:t>
        </w:r>
        <w:r w:rsidRPr="008234C5">
          <w:rPr>
            <w:rFonts w:eastAsiaTheme="minorEastAsia"/>
            <w:lang w:val="en-NZ" w:eastAsia="en-NZ"/>
          </w:rPr>
          <w:tab/>
        </w:r>
        <w:r w:rsidRPr="008234C5">
          <w:rPr>
            <w:rStyle w:val="Hyperlink"/>
            <w:rFonts w:ascii="Times New Roman" w:hAnsi="Times New Roman" w:cs="Times New Roman"/>
            <w:b w:val="0"/>
            <w:bCs/>
          </w:rPr>
          <w:t>Open burning processes</w:t>
        </w:r>
        <w:r w:rsidRPr="008234C5">
          <w:rPr>
            <w:webHidden/>
          </w:rPr>
          <w:tab/>
        </w:r>
        <w:r w:rsidRPr="008234C5">
          <w:rPr>
            <w:webHidden/>
          </w:rPr>
          <w:fldChar w:fldCharType="begin"/>
        </w:r>
        <w:r w:rsidRPr="008234C5">
          <w:rPr>
            <w:webHidden/>
          </w:rPr>
          <w:instrText xml:space="preserve"> PAGEREF _Toc112768118 \h </w:instrText>
        </w:r>
        <w:r w:rsidRPr="008234C5">
          <w:rPr>
            <w:webHidden/>
          </w:rPr>
        </w:r>
        <w:r w:rsidRPr="008234C5">
          <w:rPr>
            <w:webHidden/>
          </w:rPr>
          <w:fldChar w:fldCharType="separate"/>
        </w:r>
        <w:r w:rsidRPr="008234C5">
          <w:rPr>
            <w:webHidden/>
          </w:rPr>
          <w:t>45</w:t>
        </w:r>
        <w:r w:rsidRPr="008234C5">
          <w:rPr>
            <w:webHidden/>
          </w:rPr>
          <w:fldChar w:fldCharType="end"/>
        </w:r>
      </w:hyperlink>
    </w:p>
    <w:p w14:paraId="732D0DA5" w14:textId="6954E399" w:rsidR="003E6DEE" w:rsidRPr="008234C5" w:rsidRDefault="003E6DEE">
      <w:pPr>
        <w:pStyle w:val="TOC2"/>
        <w:tabs>
          <w:tab w:val="left" w:pos="880"/>
          <w:tab w:val="right" w:leader="dot" w:pos="9061"/>
        </w:tabs>
        <w:rPr>
          <w:rFonts w:eastAsiaTheme="minorEastAsia"/>
          <w:bCs/>
          <w:noProof/>
          <w:lang w:eastAsia="en-NZ"/>
        </w:rPr>
      </w:pPr>
      <w:hyperlink w:anchor="_Toc112768119" w:history="1">
        <w:r w:rsidRPr="008234C5">
          <w:rPr>
            <w:rStyle w:val="Hyperlink"/>
            <w:bCs/>
            <w:noProof/>
          </w:rPr>
          <w:t>8.1</w:t>
        </w:r>
        <w:r w:rsidRPr="008234C5">
          <w:rPr>
            <w:rFonts w:eastAsiaTheme="minorEastAsia"/>
            <w:bCs/>
            <w:noProof/>
            <w:lang w:eastAsia="en-NZ"/>
          </w:rPr>
          <w:tab/>
        </w:r>
        <w:r w:rsidRPr="008234C5">
          <w:rPr>
            <w:rStyle w:val="Hyperlink"/>
            <w:bCs/>
            <w:noProof/>
          </w:rPr>
          <w:t>Biomass burning</w:t>
        </w:r>
        <w:r w:rsidRPr="008234C5">
          <w:rPr>
            <w:bCs/>
            <w:noProof/>
            <w:webHidden/>
          </w:rPr>
          <w:tab/>
        </w:r>
        <w:r w:rsidRPr="008234C5">
          <w:rPr>
            <w:bCs/>
            <w:noProof/>
            <w:webHidden/>
          </w:rPr>
          <w:fldChar w:fldCharType="begin"/>
        </w:r>
        <w:r w:rsidRPr="008234C5">
          <w:rPr>
            <w:bCs/>
            <w:noProof/>
            <w:webHidden/>
          </w:rPr>
          <w:instrText xml:space="preserve"> PAGEREF _Toc112768119 \h </w:instrText>
        </w:r>
        <w:r w:rsidRPr="008234C5">
          <w:rPr>
            <w:bCs/>
            <w:noProof/>
            <w:webHidden/>
          </w:rPr>
        </w:r>
        <w:r w:rsidRPr="008234C5">
          <w:rPr>
            <w:bCs/>
            <w:noProof/>
            <w:webHidden/>
          </w:rPr>
          <w:fldChar w:fldCharType="separate"/>
        </w:r>
        <w:r w:rsidRPr="008234C5">
          <w:rPr>
            <w:bCs/>
            <w:noProof/>
            <w:webHidden/>
          </w:rPr>
          <w:t>45</w:t>
        </w:r>
        <w:r w:rsidRPr="008234C5">
          <w:rPr>
            <w:bCs/>
            <w:noProof/>
            <w:webHidden/>
          </w:rPr>
          <w:fldChar w:fldCharType="end"/>
        </w:r>
      </w:hyperlink>
    </w:p>
    <w:p w14:paraId="22715F37" w14:textId="02A8B594" w:rsidR="003E6DEE" w:rsidRPr="008234C5" w:rsidRDefault="003E6DEE">
      <w:pPr>
        <w:pStyle w:val="TOC3"/>
        <w:rPr>
          <w:bCs/>
          <w:sz w:val="20"/>
          <w:szCs w:val="20"/>
        </w:rPr>
      </w:pPr>
      <w:hyperlink w:anchor="_Toc112768120" w:history="1">
        <w:r w:rsidRPr="008234C5">
          <w:rPr>
            <w:rStyle w:val="Hyperlink"/>
            <w:bCs/>
            <w:sz w:val="20"/>
            <w:szCs w:val="20"/>
          </w:rPr>
          <w:t>8.1.1</w:t>
        </w:r>
        <w:r w:rsidRPr="008234C5">
          <w:rPr>
            <w:bCs/>
            <w:sz w:val="20"/>
            <w:szCs w:val="20"/>
          </w:rPr>
          <w:tab/>
        </w:r>
        <w:r w:rsidRPr="008234C5">
          <w:rPr>
            <w:rStyle w:val="Hyperlink"/>
            <w:bCs/>
            <w:sz w:val="20"/>
            <w:szCs w:val="20"/>
          </w:rPr>
          <w:t>Agricultural residue burning</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_Toc112768120 \h </w:instrText>
        </w:r>
        <w:r w:rsidRPr="008234C5">
          <w:rPr>
            <w:bCs/>
            <w:webHidden/>
            <w:sz w:val="20"/>
            <w:szCs w:val="20"/>
          </w:rPr>
        </w:r>
        <w:r w:rsidRPr="008234C5">
          <w:rPr>
            <w:bCs/>
            <w:webHidden/>
            <w:sz w:val="20"/>
            <w:szCs w:val="20"/>
          </w:rPr>
          <w:fldChar w:fldCharType="separate"/>
        </w:r>
        <w:r w:rsidRPr="008234C5">
          <w:rPr>
            <w:bCs/>
            <w:webHidden/>
            <w:sz w:val="20"/>
            <w:szCs w:val="20"/>
          </w:rPr>
          <w:t>45</w:t>
        </w:r>
        <w:r w:rsidRPr="008234C5">
          <w:rPr>
            <w:bCs/>
            <w:webHidden/>
            <w:sz w:val="20"/>
            <w:szCs w:val="20"/>
          </w:rPr>
          <w:fldChar w:fldCharType="end"/>
        </w:r>
      </w:hyperlink>
    </w:p>
    <w:p w14:paraId="725E8696" w14:textId="1687A5E6" w:rsidR="003E6DEE" w:rsidRPr="008234C5" w:rsidRDefault="003E6DEE">
      <w:pPr>
        <w:pStyle w:val="TOC3"/>
        <w:rPr>
          <w:bCs/>
          <w:sz w:val="20"/>
          <w:szCs w:val="20"/>
        </w:rPr>
      </w:pPr>
      <w:hyperlink w:anchor="_Toc112768121" w:history="1">
        <w:r w:rsidRPr="008234C5">
          <w:rPr>
            <w:rStyle w:val="Hyperlink"/>
            <w:bCs/>
            <w:sz w:val="20"/>
            <w:szCs w:val="20"/>
          </w:rPr>
          <w:t>8.1.2</w:t>
        </w:r>
        <w:r w:rsidRPr="008234C5">
          <w:rPr>
            <w:bCs/>
            <w:sz w:val="20"/>
            <w:szCs w:val="20"/>
          </w:rPr>
          <w:tab/>
        </w:r>
        <w:r w:rsidRPr="008234C5">
          <w:rPr>
            <w:rStyle w:val="Hyperlink"/>
            <w:bCs/>
            <w:sz w:val="20"/>
            <w:szCs w:val="20"/>
          </w:rPr>
          <w:t>Sugarcane burning</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_Toc112768121 \h </w:instrText>
        </w:r>
        <w:r w:rsidRPr="008234C5">
          <w:rPr>
            <w:bCs/>
            <w:webHidden/>
            <w:sz w:val="20"/>
            <w:szCs w:val="20"/>
          </w:rPr>
        </w:r>
        <w:r w:rsidRPr="008234C5">
          <w:rPr>
            <w:bCs/>
            <w:webHidden/>
            <w:sz w:val="20"/>
            <w:szCs w:val="20"/>
          </w:rPr>
          <w:fldChar w:fldCharType="separate"/>
        </w:r>
        <w:r w:rsidRPr="008234C5">
          <w:rPr>
            <w:bCs/>
            <w:webHidden/>
            <w:sz w:val="20"/>
            <w:szCs w:val="20"/>
          </w:rPr>
          <w:t>46</w:t>
        </w:r>
        <w:r w:rsidRPr="008234C5">
          <w:rPr>
            <w:bCs/>
            <w:webHidden/>
            <w:sz w:val="20"/>
            <w:szCs w:val="20"/>
          </w:rPr>
          <w:fldChar w:fldCharType="end"/>
        </w:r>
      </w:hyperlink>
    </w:p>
    <w:p w14:paraId="2F5E1EE1" w14:textId="460372DF" w:rsidR="003E6DEE" w:rsidRPr="008234C5" w:rsidRDefault="003E6DEE">
      <w:pPr>
        <w:pStyle w:val="TOC3"/>
        <w:rPr>
          <w:bCs/>
          <w:sz w:val="20"/>
          <w:szCs w:val="20"/>
        </w:rPr>
      </w:pPr>
      <w:hyperlink w:anchor="_Toc112768122" w:history="1">
        <w:r w:rsidRPr="008234C5">
          <w:rPr>
            <w:rStyle w:val="Hyperlink"/>
            <w:bCs/>
            <w:sz w:val="20"/>
            <w:szCs w:val="20"/>
          </w:rPr>
          <w:t>8.1.3</w:t>
        </w:r>
        <w:r w:rsidRPr="008234C5">
          <w:rPr>
            <w:bCs/>
            <w:sz w:val="20"/>
            <w:szCs w:val="20"/>
          </w:rPr>
          <w:tab/>
        </w:r>
        <w:r w:rsidRPr="008234C5">
          <w:rPr>
            <w:rStyle w:val="Hyperlink"/>
            <w:bCs/>
            <w:sz w:val="20"/>
            <w:szCs w:val="20"/>
          </w:rPr>
          <w:t>Forest fires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_Toc112768122 \h </w:instrText>
        </w:r>
        <w:r w:rsidRPr="008234C5">
          <w:rPr>
            <w:bCs/>
            <w:webHidden/>
            <w:sz w:val="20"/>
            <w:szCs w:val="20"/>
          </w:rPr>
        </w:r>
        <w:r w:rsidRPr="008234C5">
          <w:rPr>
            <w:bCs/>
            <w:webHidden/>
            <w:sz w:val="20"/>
            <w:szCs w:val="20"/>
          </w:rPr>
          <w:fldChar w:fldCharType="separate"/>
        </w:r>
        <w:r w:rsidRPr="008234C5">
          <w:rPr>
            <w:bCs/>
            <w:webHidden/>
            <w:sz w:val="20"/>
            <w:szCs w:val="20"/>
          </w:rPr>
          <w:t>46</w:t>
        </w:r>
        <w:r w:rsidRPr="008234C5">
          <w:rPr>
            <w:bCs/>
            <w:webHidden/>
            <w:sz w:val="20"/>
            <w:szCs w:val="20"/>
          </w:rPr>
          <w:fldChar w:fldCharType="end"/>
        </w:r>
      </w:hyperlink>
    </w:p>
    <w:p w14:paraId="48D37747" w14:textId="6DC1EE52" w:rsidR="003E6DEE" w:rsidRPr="008234C5" w:rsidRDefault="003E6DEE">
      <w:pPr>
        <w:pStyle w:val="TOC3"/>
        <w:rPr>
          <w:bCs/>
          <w:sz w:val="20"/>
          <w:szCs w:val="20"/>
        </w:rPr>
      </w:pPr>
      <w:hyperlink w:anchor="_Toc112768123" w:history="1">
        <w:r w:rsidRPr="008234C5">
          <w:rPr>
            <w:rStyle w:val="Hyperlink"/>
            <w:bCs/>
            <w:sz w:val="20"/>
            <w:szCs w:val="20"/>
          </w:rPr>
          <w:t>8.1.4</w:t>
        </w:r>
        <w:r w:rsidRPr="008234C5">
          <w:rPr>
            <w:bCs/>
            <w:sz w:val="20"/>
            <w:szCs w:val="20"/>
          </w:rPr>
          <w:tab/>
        </w:r>
        <w:r w:rsidRPr="008234C5">
          <w:rPr>
            <w:rStyle w:val="Hyperlink"/>
            <w:bCs/>
            <w:sz w:val="20"/>
            <w:szCs w:val="20"/>
          </w:rPr>
          <w:t>Grassland and savannah fires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_Toc112768123 \h </w:instrText>
        </w:r>
        <w:r w:rsidRPr="008234C5">
          <w:rPr>
            <w:bCs/>
            <w:webHidden/>
            <w:sz w:val="20"/>
            <w:szCs w:val="20"/>
          </w:rPr>
        </w:r>
        <w:r w:rsidRPr="008234C5">
          <w:rPr>
            <w:bCs/>
            <w:webHidden/>
            <w:sz w:val="20"/>
            <w:szCs w:val="20"/>
          </w:rPr>
          <w:fldChar w:fldCharType="separate"/>
        </w:r>
        <w:r w:rsidRPr="008234C5">
          <w:rPr>
            <w:bCs/>
            <w:webHidden/>
            <w:sz w:val="20"/>
            <w:szCs w:val="20"/>
          </w:rPr>
          <w:t>47</w:t>
        </w:r>
        <w:r w:rsidRPr="008234C5">
          <w:rPr>
            <w:bCs/>
            <w:webHidden/>
            <w:sz w:val="20"/>
            <w:szCs w:val="20"/>
          </w:rPr>
          <w:fldChar w:fldCharType="end"/>
        </w:r>
      </w:hyperlink>
    </w:p>
    <w:p w14:paraId="7393BAF4" w14:textId="6B8D9A7E" w:rsidR="003E6DEE" w:rsidRPr="008234C5" w:rsidRDefault="003E6DEE">
      <w:pPr>
        <w:pStyle w:val="TOC2"/>
        <w:tabs>
          <w:tab w:val="left" w:pos="880"/>
          <w:tab w:val="right" w:leader="dot" w:pos="9061"/>
        </w:tabs>
        <w:rPr>
          <w:rFonts w:eastAsiaTheme="minorEastAsia"/>
          <w:bCs/>
          <w:noProof/>
          <w:lang w:eastAsia="en-NZ"/>
        </w:rPr>
      </w:pPr>
      <w:hyperlink w:anchor="_Toc112768124" w:history="1">
        <w:r w:rsidRPr="008234C5">
          <w:rPr>
            <w:rStyle w:val="Hyperlink"/>
            <w:bCs/>
            <w:noProof/>
          </w:rPr>
          <w:t>8.2</w:t>
        </w:r>
        <w:r w:rsidRPr="008234C5">
          <w:rPr>
            <w:rFonts w:eastAsiaTheme="minorEastAsia"/>
            <w:bCs/>
            <w:noProof/>
            <w:lang w:eastAsia="en-NZ"/>
          </w:rPr>
          <w:tab/>
        </w:r>
        <w:r w:rsidRPr="008234C5">
          <w:rPr>
            <w:rStyle w:val="Hyperlink"/>
            <w:bCs/>
            <w:noProof/>
          </w:rPr>
          <w:t>Waste burning and accidental fires</w:t>
        </w:r>
        <w:r w:rsidRPr="008234C5">
          <w:rPr>
            <w:bCs/>
            <w:noProof/>
            <w:webHidden/>
          </w:rPr>
          <w:tab/>
        </w:r>
        <w:r w:rsidRPr="008234C5">
          <w:rPr>
            <w:bCs/>
            <w:noProof/>
            <w:webHidden/>
          </w:rPr>
          <w:fldChar w:fldCharType="begin"/>
        </w:r>
        <w:r w:rsidRPr="008234C5">
          <w:rPr>
            <w:bCs/>
            <w:noProof/>
            <w:webHidden/>
          </w:rPr>
          <w:instrText xml:space="preserve"> PAGEREF _Toc112768124 \h </w:instrText>
        </w:r>
        <w:r w:rsidRPr="008234C5">
          <w:rPr>
            <w:bCs/>
            <w:noProof/>
            <w:webHidden/>
          </w:rPr>
        </w:r>
        <w:r w:rsidRPr="008234C5">
          <w:rPr>
            <w:bCs/>
            <w:noProof/>
            <w:webHidden/>
          </w:rPr>
          <w:fldChar w:fldCharType="separate"/>
        </w:r>
        <w:r w:rsidRPr="008234C5">
          <w:rPr>
            <w:bCs/>
            <w:noProof/>
            <w:webHidden/>
          </w:rPr>
          <w:t>47</w:t>
        </w:r>
        <w:r w:rsidRPr="008234C5">
          <w:rPr>
            <w:bCs/>
            <w:noProof/>
            <w:webHidden/>
          </w:rPr>
          <w:fldChar w:fldCharType="end"/>
        </w:r>
      </w:hyperlink>
    </w:p>
    <w:p w14:paraId="05780C85" w14:textId="37B79CC0" w:rsidR="003E6DEE" w:rsidRPr="008234C5" w:rsidRDefault="003E6DEE">
      <w:pPr>
        <w:pStyle w:val="TOC3"/>
        <w:rPr>
          <w:bCs/>
          <w:sz w:val="20"/>
          <w:szCs w:val="20"/>
        </w:rPr>
      </w:pPr>
      <w:hyperlink w:anchor="_Toc112768125" w:history="1">
        <w:r w:rsidRPr="008234C5">
          <w:rPr>
            <w:rStyle w:val="Hyperlink"/>
            <w:bCs/>
            <w:sz w:val="20"/>
            <w:szCs w:val="20"/>
          </w:rPr>
          <w:t>8.2.1</w:t>
        </w:r>
        <w:r w:rsidRPr="008234C5">
          <w:rPr>
            <w:bCs/>
            <w:sz w:val="20"/>
            <w:szCs w:val="20"/>
          </w:rPr>
          <w:tab/>
        </w:r>
        <w:r w:rsidRPr="008234C5">
          <w:rPr>
            <w:rStyle w:val="Hyperlink"/>
            <w:bCs/>
            <w:sz w:val="20"/>
            <w:szCs w:val="20"/>
          </w:rPr>
          <w:t>Fires at waste dumps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_Toc112768125 \h </w:instrText>
        </w:r>
        <w:r w:rsidRPr="008234C5">
          <w:rPr>
            <w:bCs/>
            <w:webHidden/>
            <w:sz w:val="20"/>
            <w:szCs w:val="20"/>
          </w:rPr>
        </w:r>
        <w:r w:rsidRPr="008234C5">
          <w:rPr>
            <w:bCs/>
            <w:webHidden/>
            <w:sz w:val="20"/>
            <w:szCs w:val="20"/>
          </w:rPr>
          <w:fldChar w:fldCharType="separate"/>
        </w:r>
        <w:r w:rsidRPr="008234C5">
          <w:rPr>
            <w:bCs/>
            <w:webHidden/>
            <w:sz w:val="20"/>
            <w:szCs w:val="20"/>
          </w:rPr>
          <w:t>48</w:t>
        </w:r>
        <w:r w:rsidRPr="008234C5">
          <w:rPr>
            <w:bCs/>
            <w:webHidden/>
            <w:sz w:val="20"/>
            <w:szCs w:val="20"/>
          </w:rPr>
          <w:fldChar w:fldCharType="end"/>
        </w:r>
      </w:hyperlink>
    </w:p>
    <w:p w14:paraId="6984F0C1" w14:textId="043294A1" w:rsidR="003E6DEE" w:rsidRPr="008234C5" w:rsidRDefault="003E6DEE">
      <w:pPr>
        <w:pStyle w:val="TOC3"/>
        <w:rPr>
          <w:bCs/>
          <w:sz w:val="20"/>
          <w:szCs w:val="20"/>
        </w:rPr>
      </w:pPr>
      <w:hyperlink w:anchor="_Toc112768126" w:history="1">
        <w:r w:rsidRPr="008234C5">
          <w:rPr>
            <w:rStyle w:val="Hyperlink"/>
            <w:bCs/>
            <w:sz w:val="20"/>
            <w:szCs w:val="20"/>
          </w:rPr>
          <w:t>8.2.2</w:t>
        </w:r>
        <w:r w:rsidRPr="008234C5">
          <w:rPr>
            <w:bCs/>
            <w:sz w:val="20"/>
            <w:szCs w:val="20"/>
          </w:rPr>
          <w:tab/>
        </w:r>
        <w:r w:rsidRPr="008234C5">
          <w:rPr>
            <w:rStyle w:val="Hyperlink"/>
            <w:bCs/>
            <w:sz w:val="20"/>
            <w:szCs w:val="20"/>
          </w:rPr>
          <w:t>Accidental fires in houses, factories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_Toc112768126 \h </w:instrText>
        </w:r>
        <w:r w:rsidRPr="008234C5">
          <w:rPr>
            <w:bCs/>
            <w:webHidden/>
            <w:sz w:val="20"/>
            <w:szCs w:val="20"/>
          </w:rPr>
        </w:r>
        <w:r w:rsidRPr="008234C5">
          <w:rPr>
            <w:bCs/>
            <w:webHidden/>
            <w:sz w:val="20"/>
            <w:szCs w:val="20"/>
          </w:rPr>
          <w:fldChar w:fldCharType="separate"/>
        </w:r>
        <w:r w:rsidRPr="008234C5">
          <w:rPr>
            <w:bCs/>
            <w:webHidden/>
            <w:sz w:val="20"/>
            <w:szCs w:val="20"/>
          </w:rPr>
          <w:t>48</w:t>
        </w:r>
        <w:r w:rsidRPr="008234C5">
          <w:rPr>
            <w:bCs/>
            <w:webHidden/>
            <w:sz w:val="20"/>
            <w:szCs w:val="20"/>
          </w:rPr>
          <w:fldChar w:fldCharType="end"/>
        </w:r>
      </w:hyperlink>
    </w:p>
    <w:p w14:paraId="2C14FCEC" w14:textId="1B2CCD56" w:rsidR="003E6DEE" w:rsidRPr="008234C5" w:rsidRDefault="003E6DEE">
      <w:pPr>
        <w:pStyle w:val="TOC3"/>
        <w:rPr>
          <w:bCs/>
          <w:sz w:val="20"/>
          <w:szCs w:val="20"/>
        </w:rPr>
      </w:pPr>
      <w:hyperlink w:anchor="_Toc112768127" w:history="1">
        <w:r w:rsidRPr="008234C5">
          <w:rPr>
            <w:rStyle w:val="Hyperlink"/>
            <w:bCs/>
            <w:sz w:val="20"/>
            <w:szCs w:val="20"/>
          </w:rPr>
          <w:t>8.2.3</w:t>
        </w:r>
        <w:r w:rsidRPr="008234C5">
          <w:rPr>
            <w:bCs/>
            <w:sz w:val="20"/>
            <w:szCs w:val="20"/>
          </w:rPr>
          <w:tab/>
        </w:r>
        <w:r w:rsidRPr="008234C5">
          <w:rPr>
            <w:rStyle w:val="Hyperlink"/>
            <w:bCs/>
            <w:sz w:val="20"/>
            <w:szCs w:val="20"/>
          </w:rPr>
          <w:t>Open burning of domestic waste</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_Toc112768127 \h </w:instrText>
        </w:r>
        <w:r w:rsidRPr="008234C5">
          <w:rPr>
            <w:bCs/>
            <w:webHidden/>
            <w:sz w:val="20"/>
            <w:szCs w:val="20"/>
          </w:rPr>
        </w:r>
        <w:r w:rsidRPr="008234C5">
          <w:rPr>
            <w:bCs/>
            <w:webHidden/>
            <w:sz w:val="20"/>
            <w:szCs w:val="20"/>
          </w:rPr>
          <w:fldChar w:fldCharType="separate"/>
        </w:r>
        <w:r w:rsidRPr="008234C5">
          <w:rPr>
            <w:bCs/>
            <w:webHidden/>
            <w:sz w:val="20"/>
            <w:szCs w:val="20"/>
          </w:rPr>
          <w:t>49</w:t>
        </w:r>
        <w:r w:rsidRPr="008234C5">
          <w:rPr>
            <w:bCs/>
            <w:webHidden/>
            <w:sz w:val="20"/>
            <w:szCs w:val="20"/>
          </w:rPr>
          <w:fldChar w:fldCharType="end"/>
        </w:r>
      </w:hyperlink>
    </w:p>
    <w:p w14:paraId="3C37B749" w14:textId="50239AD4" w:rsidR="003E6DEE" w:rsidRPr="008234C5" w:rsidRDefault="003E6DEE">
      <w:pPr>
        <w:pStyle w:val="TOC3"/>
        <w:rPr>
          <w:bCs/>
          <w:sz w:val="20"/>
          <w:szCs w:val="20"/>
        </w:rPr>
      </w:pPr>
      <w:hyperlink w:anchor="_Toc112768128" w:history="1">
        <w:r w:rsidRPr="008234C5">
          <w:rPr>
            <w:rStyle w:val="Hyperlink"/>
            <w:bCs/>
            <w:sz w:val="20"/>
            <w:szCs w:val="20"/>
          </w:rPr>
          <w:t>8.2.4</w:t>
        </w:r>
        <w:r w:rsidRPr="008234C5">
          <w:rPr>
            <w:bCs/>
            <w:sz w:val="20"/>
            <w:szCs w:val="20"/>
          </w:rPr>
          <w:tab/>
        </w:r>
        <w:r w:rsidRPr="008234C5">
          <w:rPr>
            <w:rStyle w:val="Hyperlink"/>
            <w:bCs/>
            <w:sz w:val="20"/>
            <w:szCs w:val="20"/>
          </w:rPr>
          <w:t>Accidental fires in vehicles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_Toc112768128 \h </w:instrText>
        </w:r>
        <w:r w:rsidRPr="008234C5">
          <w:rPr>
            <w:bCs/>
            <w:webHidden/>
            <w:sz w:val="20"/>
            <w:szCs w:val="20"/>
          </w:rPr>
        </w:r>
        <w:r w:rsidRPr="008234C5">
          <w:rPr>
            <w:bCs/>
            <w:webHidden/>
            <w:sz w:val="20"/>
            <w:szCs w:val="20"/>
          </w:rPr>
          <w:fldChar w:fldCharType="separate"/>
        </w:r>
        <w:r w:rsidRPr="008234C5">
          <w:rPr>
            <w:bCs/>
            <w:webHidden/>
            <w:sz w:val="20"/>
            <w:szCs w:val="20"/>
          </w:rPr>
          <w:t>51</w:t>
        </w:r>
        <w:r w:rsidRPr="008234C5">
          <w:rPr>
            <w:bCs/>
            <w:webHidden/>
            <w:sz w:val="20"/>
            <w:szCs w:val="20"/>
          </w:rPr>
          <w:fldChar w:fldCharType="end"/>
        </w:r>
      </w:hyperlink>
    </w:p>
    <w:p w14:paraId="407F4549" w14:textId="600C4E93" w:rsidR="003E6DEE" w:rsidRPr="008234C5" w:rsidRDefault="003E6DEE">
      <w:pPr>
        <w:pStyle w:val="TOC3"/>
        <w:rPr>
          <w:bCs/>
          <w:sz w:val="20"/>
          <w:szCs w:val="20"/>
        </w:rPr>
      </w:pPr>
      <w:hyperlink w:anchor="_Toc112768129" w:history="1">
        <w:r w:rsidRPr="008234C5">
          <w:rPr>
            <w:rStyle w:val="Hyperlink"/>
            <w:bCs/>
            <w:sz w:val="20"/>
            <w:szCs w:val="20"/>
          </w:rPr>
          <w:t>8.2.5</w:t>
        </w:r>
        <w:r w:rsidRPr="008234C5">
          <w:rPr>
            <w:bCs/>
            <w:sz w:val="20"/>
            <w:szCs w:val="20"/>
          </w:rPr>
          <w:tab/>
        </w:r>
        <w:r w:rsidRPr="008234C5">
          <w:rPr>
            <w:rStyle w:val="Hyperlink"/>
            <w:bCs/>
            <w:sz w:val="20"/>
            <w:szCs w:val="20"/>
          </w:rPr>
          <w:t>Open burning of wood (construction/demolition)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_Toc112768129 \h </w:instrText>
        </w:r>
        <w:r w:rsidRPr="008234C5">
          <w:rPr>
            <w:bCs/>
            <w:webHidden/>
            <w:sz w:val="20"/>
            <w:szCs w:val="20"/>
          </w:rPr>
        </w:r>
        <w:r w:rsidRPr="008234C5">
          <w:rPr>
            <w:bCs/>
            <w:webHidden/>
            <w:sz w:val="20"/>
            <w:szCs w:val="20"/>
          </w:rPr>
          <w:fldChar w:fldCharType="separate"/>
        </w:r>
        <w:r w:rsidRPr="008234C5">
          <w:rPr>
            <w:bCs/>
            <w:webHidden/>
            <w:sz w:val="20"/>
            <w:szCs w:val="20"/>
          </w:rPr>
          <w:t>51</w:t>
        </w:r>
        <w:r w:rsidRPr="008234C5">
          <w:rPr>
            <w:bCs/>
            <w:webHidden/>
            <w:sz w:val="20"/>
            <w:szCs w:val="20"/>
          </w:rPr>
          <w:fldChar w:fldCharType="end"/>
        </w:r>
      </w:hyperlink>
    </w:p>
    <w:p w14:paraId="6D91CC38" w14:textId="486C8CA7" w:rsidR="003E6DEE" w:rsidRPr="008234C5" w:rsidRDefault="003E6DEE">
      <w:pPr>
        <w:pStyle w:val="TOC2"/>
        <w:tabs>
          <w:tab w:val="left" w:pos="880"/>
          <w:tab w:val="right" w:leader="dot" w:pos="9061"/>
        </w:tabs>
        <w:rPr>
          <w:rFonts w:eastAsiaTheme="minorEastAsia"/>
          <w:bCs/>
          <w:noProof/>
          <w:lang w:eastAsia="en-NZ"/>
        </w:rPr>
      </w:pPr>
      <w:hyperlink w:anchor="_Toc112768130" w:history="1">
        <w:r w:rsidRPr="008234C5">
          <w:rPr>
            <w:rStyle w:val="Hyperlink"/>
            <w:rFonts w:eastAsia="Calibri"/>
            <w:bCs/>
            <w:noProof/>
          </w:rPr>
          <w:t>8.3</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_Toc112768130 \h </w:instrText>
        </w:r>
        <w:r w:rsidRPr="008234C5">
          <w:rPr>
            <w:bCs/>
            <w:noProof/>
            <w:webHidden/>
          </w:rPr>
        </w:r>
        <w:r w:rsidRPr="008234C5">
          <w:rPr>
            <w:bCs/>
            <w:noProof/>
            <w:webHidden/>
          </w:rPr>
          <w:fldChar w:fldCharType="separate"/>
        </w:r>
        <w:r w:rsidRPr="008234C5">
          <w:rPr>
            <w:bCs/>
            <w:noProof/>
            <w:webHidden/>
          </w:rPr>
          <w:t>52</w:t>
        </w:r>
        <w:r w:rsidRPr="008234C5">
          <w:rPr>
            <w:bCs/>
            <w:noProof/>
            <w:webHidden/>
          </w:rPr>
          <w:fldChar w:fldCharType="end"/>
        </w:r>
      </w:hyperlink>
    </w:p>
    <w:p w14:paraId="0D548439" w14:textId="46EB0C6F" w:rsidR="003E6DEE" w:rsidRPr="008234C5" w:rsidRDefault="003E6DEE" w:rsidP="008234C5">
      <w:pPr>
        <w:pStyle w:val="TOC1"/>
        <w:rPr>
          <w:rFonts w:eastAsiaTheme="minorEastAsia"/>
          <w:lang w:val="en-NZ" w:eastAsia="en-NZ"/>
        </w:rPr>
      </w:pPr>
      <w:hyperlink w:anchor="_Toc112768131" w:history="1">
        <w:r w:rsidRPr="008234C5">
          <w:rPr>
            <w:rStyle w:val="Hyperlink"/>
            <w:rFonts w:ascii="Times New Roman" w:hAnsi="Times New Roman" w:cs="Times New Roman"/>
            <w:b w:val="0"/>
            <w:bCs/>
          </w:rPr>
          <w:t>9</w:t>
        </w:r>
        <w:r w:rsidRPr="008234C5">
          <w:rPr>
            <w:rFonts w:eastAsiaTheme="minorEastAsia"/>
            <w:lang w:val="en-NZ" w:eastAsia="en-NZ"/>
          </w:rPr>
          <w:tab/>
        </w:r>
        <w:r w:rsidRPr="008234C5">
          <w:rPr>
            <w:rStyle w:val="Hyperlink"/>
            <w:rFonts w:ascii="Times New Roman" w:hAnsi="Times New Roman" w:cs="Times New Roman"/>
            <w:b w:val="0"/>
            <w:bCs/>
          </w:rPr>
          <w:t>Production of chemicals and consumer goods</w:t>
        </w:r>
        <w:r w:rsidRPr="008234C5">
          <w:rPr>
            <w:webHidden/>
          </w:rPr>
          <w:tab/>
        </w:r>
        <w:r w:rsidRPr="008234C5">
          <w:rPr>
            <w:webHidden/>
          </w:rPr>
          <w:fldChar w:fldCharType="begin"/>
        </w:r>
        <w:r w:rsidRPr="008234C5">
          <w:rPr>
            <w:webHidden/>
          </w:rPr>
          <w:instrText xml:space="preserve"> PAGEREF _Toc112768131 \h </w:instrText>
        </w:r>
        <w:r w:rsidRPr="008234C5">
          <w:rPr>
            <w:webHidden/>
          </w:rPr>
        </w:r>
        <w:r w:rsidRPr="008234C5">
          <w:rPr>
            <w:webHidden/>
          </w:rPr>
          <w:fldChar w:fldCharType="separate"/>
        </w:r>
        <w:r w:rsidRPr="008234C5">
          <w:rPr>
            <w:webHidden/>
          </w:rPr>
          <w:t>53</w:t>
        </w:r>
        <w:r w:rsidRPr="008234C5">
          <w:rPr>
            <w:webHidden/>
          </w:rPr>
          <w:fldChar w:fldCharType="end"/>
        </w:r>
      </w:hyperlink>
    </w:p>
    <w:p w14:paraId="7E612631" w14:textId="5F83E463" w:rsidR="003E6DEE" w:rsidRPr="008234C5" w:rsidRDefault="003E6DEE">
      <w:pPr>
        <w:pStyle w:val="TOC2"/>
        <w:tabs>
          <w:tab w:val="left" w:pos="880"/>
          <w:tab w:val="right" w:leader="dot" w:pos="9061"/>
        </w:tabs>
        <w:rPr>
          <w:rFonts w:eastAsiaTheme="minorEastAsia"/>
          <w:bCs/>
          <w:noProof/>
          <w:lang w:eastAsia="en-NZ"/>
        </w:rPr>
      </w:pPr>
      <w:hyperlink w:anchor="_Toc112768132" w:history="1">
        <w:r w:rsidRPr="008234C5">
          <w:rPr>
            <w:rStyle w:val="Hyperlink"/>
            <w:bCs/>
            <w:noProof/>
          </w:rPr>
          <w:t>9.1</w:t>
        </w:r>
        <w:r w:rsidRPr="008234C5">
          <w:rPr>
            <w:rFonts w:eastAsiaTheme="minorEastAsia"/>
            <w:bCs/>
            <w:noProof/>
            <w:lang w:eastAsia="en-NZ"/>
          </w:rPr>
          <w:tab/>
        </w:r>
        <w:r w:rsidRPr="008234C5">
          <w:rPr>
            <w:rStyle w:val="Hyperlink"/>
            <w:bCs/>
            <w:noProof/>
          </w:rPr>
          <w:t>Pulp and paper production</w:t>
        </w:r>
        <w:r w:rsidRPr="008234C5">
          <w:rPr>
            <w:bCs/>
            <w:noProof/>
            <w:webHidden/>
          </w:rPr>
          <w:tab/>
        </w:r>
        <w:r w:rsidRPr="008234C5">
          <w:rPr>
            <w:bCs/>
            <w:noProof/>
            <w:webHidden/>
          </w:rPr>
          <w:fldChar w:fldCharType="begin"/>
        </w:r>
        <w:r w:rsidRPr="008234C5">
          <w:rPr>
            <w:bCs/>
            <w:noProof/>
            <w:webHidden/>
          </w:rPr>
          <w:instrText xml:space="preserve"> PAGEREF _Toc112768132 \h </w:instrText>
        </w:r>
        <w:r w:rsidRPr="008234C5">
          <w:rPr>
            <w:bCs/>
            <w:noProof/>
            <w:webHidden/>
          </w:rPr>
        </w:r>
        <w:r w:rsidRPr="008234C5">
          <w:rPr>
            <w:bCs/>
            <w:noProof/>
            <w:webHidden/>
          </w:rPr>
          <w:fldChar w:fldCharType="separate"/>
        </w:r>
        <w:r w:rsidRPr="008234C5">
          <w:rPr>
            <w:bCs/>
            <w:noProof/>
            <w:webHidden/>
          </w:rPr>
          <w:t>53</w:t>
        </w:r>
        <w:r w:rsidRPr="008234C5">
          <w:rPr>
            <w:bCs/>
            <w:noProof/>
            <w:webHidden/>
          </w:rPr>
          <w:fldChar w:fldCharType="end"/>
        </w:r>
      </w:hyperlink>
    </w:p>
    <w:p w14:paraId="70031B70" w14:textId="63080D6E" w:rsidR="003E6DEE" w:rsidRPr="008234C5" w:rsidRDefault="003E6DEE">
      <w:pPr>
        <w:pStyle w:val="TOC2"/>
        <w:tabs>
          <w:tab w:val="left" w:pos="880"/>
          <w:tab w:val="right" w:leader="dot" w:pos="9061"/>
        </w:tabs>
        <w:rPr>
          <w:rFonts w:eastAsiaTheme="minorEastAsia"/>
          <w:bCs/>
          <w:noProof/>
          <w:lang w:eastAsia="en-NZ"/>
        </w:rPr>
      </w:pPr>
      <w:hyperlink w:anchor="_Toc112768133" w:history="1">
        <w:r w:rsidRPr="008234C5">
          <w:rPr>
            <w:rStyle w:val="Hyperlink"/>
            <w:bCs/>
            <w:noProof/>
          </w:rPr>
          <w:t>9.2</w:t>
        </w:r>
        <w:r w:rsidRPr="008234C5">
          <w:rPr>
            <w:rFonts w:eastAsiaTheme="minorEastAsia"/>
            <w:bCs/>
            <w:noProof/>
            <w:lang w:eastAsia="en-NZ"/>
          </w:rPr>
          <w:tab/>
        </w:r>
        <w:r w:rsidRPr="008234C5">
          <w:rPr>
            <w:rStyle w:val="Hyperlink"/>
            <w:bCs/>
            <w:noProof/>
          </w:rPr>
          <w:t>Chlorinated inorganic chemicals</w:t>
        </w:r>
        <w:r w:rsidRPr="008234C5">
          <w:rPr>
            <w:bCs/>
            <w:noProof/>
            <w:webHidden/>
          </w:rPr>
          <w:tab/>
        </w:r>
        <w:r w:rsidRPr="008234C5">
          <w:rPr>
            <w:bCs/>
            <w:noProof/>
            <w:webHidden/>
          </w:rPr>
          <w:fldChar w:fldCharType="begin"/>
        </w:r>
        <w:r w:rsidRPr="008234C5">
          <w:rPr>
            <w:bCs/>
            <w:noProof/>
            <w:webHidden/>
          </w:rPr>
          <w:instrText xml:space="preserve"> PAGEREF _Toc112768133 \h </w:instrText>
        </w:r>
        <w:r w:rsidRPr="008234C5">
          <w:rPr>
            <w:bCs/>
            <w:noProof/>
            <w:webHidden/>
          </w:rPr>
        </w:r>
        <w:r w:rsidRPr="008234C5">
          <w:rPr>
            <w:bCs/>
            <w:noProof/>
            <w:webHidden/>
          </w:rPr>
          <w:fldChar w:fldCharType="separate"/>
        </w:r>
        <w:r w:rsidRPr="008234C5">
          <w:rPr>
            <w:bCs/>
            <w:noProof/>
            <w:webHidden/>
          </w:rPr>
          <w:t>55</w:t>
        </w:r>
        <w:r w:rsidRPr="008234C5">
          <w:rPr>
            <w:bCs/>
            <w:noProof/>
            <w:webHidden/>
          </w:rPr>
          <w:fldChar w:fldCharType="end"/>
        </w:r>
      </w:hyperlink>
    </w:p>
    <w:p w14:paraId="4240786C" w14:textId="10846D65" w:rsidR="003E6DEE" w:rsidRPr="008234C5" w:rsidRDefault="003E6DEE">
      <w:pPr>
        <w:pStyle w:val="TOC2"/>
        <w:tabs>
          <w:tab w:val="left" w:pos="880"/>
          <w:tab w:val="right" w:leader="dot" w:pos="9061"/>
        </w:tabs>
        <w:rPr>
          <w:rFonts w:eastAsiaTheme="minorEastAsia"/>
          <w:bCs/>
          <w:noProof/>
          <w:lang w:eastAsia="en-NZ"/>
        </w:rPr>
      </w:pPr>
      <w:hyperlink w:anchor="_Toc112768134" w:history="1">
        <w:r w:rsidRPr="008234C5">
          <w:rPr>
            <w:rStyle w:val="Hyperlink"/>
            <w:bCs/>
            <w:noProof/>
          </w:rPr>
          <w:t>9.3</w:t>
        </w:r>
        <w:r w:rsidRPr="008234C5">
          <w:rPr>
            <w:rFonts w:eastAsiaTheme="minorEastAsia"/>
            <w:bCs/>
            <w:noProof/>
            <w:lang w:eastAsia="en-NZ"/>
          </w:rPr>
          <w:tab/>
        </w:r>
        <w:r w:rsidRPr="008234C5">
          <w:rPr>
            <w:rStyle w:val="Hyperlink"/>
            <w:bCs/>
            <w:noProof/>
          </w:rPr>
          <w:t>Chlorinated aliphatic chemicals</w:t>
        </w:r>
        <w:r w:rsidRPr="008234C5">
          <w:rPr>
            <w:bCs/>
            <w:noProof/>
            <w:webHidden/>
          </w:rPr>
          <w:tab/>
        </w:r>
        <w:r w:rsidRPr="008234C5">
          <w:rPr>
            <w:bCs/>
            <w:noProof/>
            <w:webHidden/>
          </w:rPr>
          <w:fldChar w:fldCharType="begin"/>
        </w:r>
        <w:r w:rsidRPr="008234C5">
          <w:rPr>
            <w:bCs/>
            <w:noProof/>
            <w:webHidden/>
          </w:rPr>
          <w:instrText xml:space="preserve"> PAGEREF _Toc112768134 \h </w:instrText>
        </w:r>
        <w:r w:rsidRPr="008234C5">
          <w:rPr>
            <w:bCs/>
            <w:noProof/>
            <w:webHidden/>
          </w:rPr>
        </w:r>
        <w:r w:rsidRPr="008234C5">
          <w:rPr>
            <w:bCs/>
            <w:noProof/>
            <w:webHidden/>
          </w:rPr>
          <w:fldChar w:fldCharType="separate"/>
        </w:r>
        <w:r w:rsidRPr="008234C5">
          <w:rPr>
            <w:bCs/>
            <w:noProof/>
            <w:webHidden/>
          </w:rPr>
          <w:t>55</w:t>
        </w:r>
        <w:r w:rsidRPr="008234C5">
          <w:rPr>
            <w:bCs/>
            <w:noProof/>
            <w:webHidden/>
          </w:rPr>
          <w:fldChar w:fldCharType="end"/>
        </w:r>
      </w:hyperlink>
    </w:p>
    <w:p w14:paraId="3E588DE4" w14:textId="6BA0A415" w:rsidR="003E6DEE" w:rsidRPr="008234C5" w:rsidRDefault="003E6DEE">
      <w:pPr>
        <w:pStyle w:val="TOC2"/>
        <w:tabs>
          <w:tab w:val="left" w:pos="880"/>
          <w:tab w:val="right" w:leader="dot" w:pos="9061"/>
        </w:tabs>
        <w:rPr>
          <w:rFonts w:eastAsiaTheme="minorEastAsia"/>
          <w:bCs/>
          <w:noProof/>
          <w:lang w:eastAsia="en-NZ"/>
        </w:rPr>
      </w:pPr>
      <w:hyperlink w:anchor="_Toc112768135" w:history="1">
        <w:r w:rsidRPr="008234C5">
          <w:rPr>
            <w:rStyle w:val="Hyperlink"/>
            <w:bCs/>
            <w:noProof/>
          </w:rPr>
          <w:t>9.4</w:t>
        </w:r>
        <w:r w:rsidRPr="008234C5">
          <w:rPr>
            <w:rFonts w:eastAsiaTheme="minorEastAsia"/>
            <w:bCs/>
            <w:noProof/>
            <w:lang w:eastAsia="en-NZ"/>
          </w:rPr>
          <w:tab/>
        </w:r>
        <w:r w:rsidRPr="008234C5">
          <w:rPr>
            <w:rStyle w:val="Hyperlink"/>
            <w:bCs/>
            <w:noProof/>
          </w:rPr>
          <w:t>Chlorinated aromatic chemicals</w:t>
        </w:r>
        <w:r w:rsidRPr="008234C5">
          <w:rPr>
            <w:bCs/>
            <w:noProof/>
            <w:webHidden/>
          </w:rPr>
          <w:tab/>
        </w:r>
        <w:r w:rsidRPr="008234C5">
          <w:rPr>
            <w:bCs/>
            <w:noProof/>
            <w:webHidden/>
          </w:rPr>
          <w:fldChar w:fldCharType="begin"/>
        </w:r>
        <w:r w:rsidRPr="008234C5">
          <w:rPr>
            <w:bCs/>
            <w:noProof/>
            <w:webHidden/>
          </w:rPr>
          <w:instrText xml:space="preserve"> PAGEREF _Toc112768135 \h </w:instrText>
        </w:r>
        <w:r w:rsidRPr="008234C5">
          <w:rPr>
            <w:bCs/>
            <w:noProof/>
            <w:webHidden/>
          </w:rPr>
        </w:r>
        <w:r w:rsidRPr="008234C5">
          <w:rPr>
            <w:bCs/>
            <w:noProof/>
            <w:webHidden/>
          </w:rPr>
          <w:fldChar w:fldCharType="separate"/>
        </w:r>
        <w:r w:rsidRPr="008234C5">
          <w:rPr>
            <w:bCs/>
            <w:noProof/>
            <w:webHidden/>
          </w:rPr>
          <w:t>55</w:t>
        </w:r>
        <w:r w:rsidRPr="008234C5">
          <w:rPr>
            <w:bCs/>
            <w:noProof/>
            <w:webHidden/>
          </w:rPr>
          <w:fldChar w:fldCharType="end"/>
        </w:r>
      </w:hyperlink>
    </w:p>
    <w:p w14:paraId="664848AE" w14:textId="1BE45991" w:rsidR="003E6DEE" w:rsidRPr="008234C5" w:rsidRDefault="003E6DEE">
      <w:pPr>
        <w:pStyle w:val="TOC3"/>
        <w:rPr>
          <w:bCs/>
          <w:sz w:val="20"/>
          <w:szCs w:val="20"/>
        </w:rPr>
      </w:pPr>
      <w:hyperlink w:anchor="_Toc112768136" w:history="1">
        <w:r w:rsidRPr="008234C5">
          <w:rPr>
            <w:rStyle w:val="Hyperlink"/>
            <w:bCs/>
            <w:sz w:val="20"/>
            <w:szCs w:val="20"/>
          </w:rPr>
          <w:t>9.4.1</w:t>
        </w:r>
        <w:r w:rsidRPr="008234C5">
          <w:rPr>
            <w:bCs/>
            <w:sz w:val="20"/>
            <w:szCs w:val="20"/>
          </w:rPr>
          <w:tab/>
        </w:r>
        <w:r w:rsidRPr="008234C5">
          <w:rPr>
            <w:rStyle w:val="Hyperlink"/>
            <w:bCs/>
            <w:sz w:val="20"/>
            <w:szCs w:val="20"/>
          </w:rPr>
          <w:t>1,4-dichlorobenzene</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_Toc112768136 \h </w:instrText>
        </w:r>
        <w:r w:rsidRPr="008234C5">
          <w:rPr>
            <w:bCs/>
            <w:webHidden/>
            <w:sz w:val="20"/>
            <w:szCs w:val="20"/>
          </w:rPr>
        </w:r>
        <w:r w:rsidRPr="008234C5">
          <w:rPr>
            <w:bCs/>
            <w:webHidden/>
            <w:sz w:val="20"/>
            <w:szCs w:val="20"/>
          </w:rPr>
          <w:fldChar w:fldCharType="separate"/>
        </w:r>
        <w:r w:rsidRPr="008234C5">
          <w:rPr>
            <w:bCs/>
            <w:webHidden/>
            <w:sz w:val="20"/>
            <w:szCs w:val="20"/>
          </w:rPr>
          <w:t>56</w:t>
        </w:r>
        <w:r w:rsidRPr="008234C5">
          <w:rPr>
            <w:bCs/>
            <w:webHidden/>
            <w:sz w:val="20"/>
            <w:szCs w:val="20"/>
          </w:rPr>
          <w:fldChar w:fldCharType="end"/>
        </w:r>
      </w:hyperlink>
    </w:p>
    <w:p w14:paraId="7E1927C7" w14:textId="13671280" w:rsidR="003E6DEE" w:rsidRPr="008234C5" w:rsidRDefault="003E6DEE">
      <w:pPr>
        <w:pStyle w:val="TOC3"/>
        <w:rPr>
          <w:bCs/>
          <w:sz w:val="20"/>
          <w:szCs w:val="20"/>
        </w:rPr>
      </w:pPr>
      <w:hyperlink w:anchor="_Toc112768137" w:history="1">
        <w:r w:rsidRPr="008234C5">
          <w:rPr>
            <w:rStyle w:val="Hyperlink"/>
            <w:bCs/>
            <w:sz w:val="20"/>
            <w:szCs w:val="20"/>
          </w:rPr>
          <w:t>9.4.2</w:t>
        </w:r>
        <w:r w:rsidRPr="008234C5">
          <w:rPr>
            <w:bCs/>
            <w:sz w:val="20"/>
            <w:szCs w:val="20"/>
          </w:rPr>
          <w:tab/>
        </w:r>
        <w:r w:rsidRPr="008234C5">
          <w:rPr>
            <w:rStyle w:val="Hyperlink"/>
            <w:bCs/>
            <w:sz w:val="20"/>
            <w:szCs w:val="20"/>
          </w:rPr>
          <w:t>Polychlorinated biphenyls (PCBs)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_Toc112768137 \h </w:instrText>
        </w:r>
        <w:r w:rsidRPr="008234C5">
          <w:rPr>
            <w:bCs/>
            <w:webHidden/>
            <w:sz w:val="20"/>
            <w:szCs w:val="20"/>
          </w:rPr>
        </w:r>
        <w:r w:rsidRPr="008234C5">
          <w:rPr>
            <w:bCs/>
            <w:webHidden/>
            <w:sz w:val="20"/>
            <w:szCs w:val="20"/>
          </w:rPr>
          <w:fldChar w:fldCharType="separate"/>
        </w:r>
        <w:r w:rsidRPr="008234C5">
          <w:rPr>
            <w:bCs/>
            <w:webHidden/>
            <w:sz w:val="20"/>
            <w:szCs w:val="20"/>
          </w:rPr>
          <w:t>56</w:t>
        </w:r>
        <w:r w:rsidRPr="008234C5">
          <w:rPr>
            <w:bCs/>
            <w:webHidden/>
            <w:sz w:val="20"/>
            <w:szCs w:val="20"/>
          </w:rPr>
          <w:fldChar w:fldCharType="end"/>
        </w:r>
      </w:hyperlink>
    </w:p>
    <w:p w14:paraId="26180511" w14:textId="128BA2CA" w:rsidR="003E6DEE" w:rsidRPr="008234C5" w:rsidRDefault="003E6DEE">
      <w:pPr>
        <w:pStyle w:val="TOC3"/>
        <w:rPr>
          <w:bCs/>
          <w:sz w:val="20"/>
          <w:szCs w:val="20"/>
        </w:rPr>
      </w:pPr>
      <w:hyperlink w:anchor="_Toc112768138" w:history="1">
        <w:r w:rsidRPr="008234C5">
          <w:rPr>
            <w:rStyle w:val="Hyperlink"/>
            <w:bCs/>
            <w:sz w:val="20"/>
            <w:szCs w:val="20"/>
          </w:rPr>
          <w:t>9.4.3</w:t>
        </w:r>
        <w:r w:rsidRPr="008234C5">
          <w:rPr>
            <w:bCs/>
            <w:sz w:val="20"/>
            <w:szCs w:val="20"/>
          </w:rPr>
          <w:tab/>
        </w:r>
        <w:r w:rsidRPr="008234C5">
          <w:rPr>
            <w:rStyle w:val="Hyperlink"/>
            <w:bCs/>
            <w:sz w:val="20"/>
            <w:szCs w:val="20"/>
          </w:rPr>
          <w:t>Pentachlorophenol and sodium pentachlorophenate</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_Toc112768138 \h </w:instrText>
        </w:r>
        <w:r w:rsidRPr="008234C5">
          <w:rPr>
            <w:bCs/>
            <w:webHidden/>
            <w:sz w:val="20"/>
            <w:szCs w:val="20"/>
          </w:rPr>
        </w:r>
        <w:r w:rsidRPr="008234C5">
          <w:rPr>
            <w:bCs/>
            <w:webHidden/>
            <w:sz w:val="20"/>
            <w:szCs w:val="20"/>
          </w:rPr>
          <w:fldChar w:fldCharType="separate"/>
        </w:r>
        <w:r w:rsidRPr="008234C5">
          <w:rPr>
            <w:bCs/>
            <w:webHidden/>
            <w:sz w:val="20"/>
            <w:szCs w:val="20"/>
          </w:rPr>
          <w:t>56</w:t>
        </w:r>
        <w:r w:rsidRPr="008234C5">
          <w:rPr>
            <w:bCs/>
            <w:webHidden/>
            <w:sz w:val="20"/>
            <w:szCs w:val="20"/>
          </w:rPr>
          <w:fldChar w:fldCharType="end"/>
        </w:r>
      </w:hyperlink>
    </w:p>
    <w:p w14:paraId="028715C0" w14:textId="6A95DD1F" w:rsidR="003E6DEE" w:rsidRPr="008234C5" w:rsidRDefault="003E6DEE">
      <w:pPr>
        <w:pStyle w:val="TOC3"/>
        <w:rPr>
          <w:bCs/>
          <w:sz w:val="20"/>
          <w:szCs w:val="20"/>
        </w:rPr>
      </w:pPr>
      <w:hyperlink w:anchor="_Toc112768139" w:history="1">
        <w:r w:rsidRPr="008234C5">
          <w:rPr>
            <w:rStyle w:val="Hyperlink"/>
            <w:bCs/>
            <w:sz w:val="20"/>
            <w:szCs w:val="20"/>
          </w:rPr>
          <w:t>9.4.4</w:t>
        </w:r>
        <w:r w:rsidRPr="008234C5">
          <w:rPr>
            <w:bCs/>
            <w:sz w:val="20"/>
            <w:szCs w:val="20"/>
          </w:rPr>
          <w:tab/>
        </w:r>
        <w:r w:rsidRPr="008234C5">
          <w:rPr>
            <w:rStyle w:val="Hyperlink"/>
            <w:bCs/>
            <w:sz w:val="20"/>
            <w:szCs w:val="20"/>
          </w:rPr>
          <w:t>2,4,5-Trichlorophenoxyacetic acid (2,4,5-T) and 2,4,6-trichlorophenol</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_Toc112768139 \h </w:instrText>
        </w:r>
        <w:r w:rsidRPr="008234C5">
          <w:rPr>
            <w:bCs/>
            <w:webHidden/>
            <w:sz w:val="20"/>
            <w:szCs w:val="20"/>
          </w:rPr>
        </w:r>
        <w:r w:rsidRPr="008234C5">
          <w:rPr>
            <w:bCs/>
            <w:webHidden/>
            <w:sz w:val="20"/>
            <w:szCs w:val="20"/>
          </w:rPr>
          <w:fldChar w:fldCharType="separate"/>
        </w:r>
        <w:r w:rsidRPr="008234C5">
          <w:rPr>
            <w:bCs/>
            <w:webHidden/>
            <w:sz w:val="20"/>
            <w:szCs w:val="20"/>
          </w:rPr>
          <w:t>56</w:t>
        </w:r>
        <w:r w:rsidRPr="008234C5">
          <w:rPr>
            <w:bCs/>
            <w:webHidden/>
            <w:sz w:val="20"/>
            <w:szCs w:val="20"/>
          </w:rPr>
          <w:fldChar w:fldCharType="end"/>
        </w:r>
      </w:hyperlink>
    </w:p>
    <w:p w14:paraId="135A1F8C" w14:textId="38D31B2E" w:rsidR="003E6DEE" w:rsidRPr="008234C5" w:rsidRDefault="003E6DEE">
      <w:pPr>
        <w:pStyle w:val="TOC3"/>
        <w:rPr>
          <w:bCs/>
          <w:sz w:val="20"/>
          <w:szCs w:val="20"/>
        </w:rPr>
      </w:pPr>
      <w:hyperlink w:anchor="_Toc112768140" w:history="1">
        <w:r w:rsidRPr="008234C5">
          <w:rPr>
            <w:rStyle w:val="Hyperlink"/>
            <w:bCs/>
            <w:sz w:val="20"/>
            <w:szCs w:val="20"/>
          </w:rPr>
          <w:t>9.4.5</w:t>
        </w:r>
        <w:r w:rsidRPr="008234C5">
          <w:rPr>
            <w:bCs/>
            <w:sz w:val="20"/>
            <w:szCs w:val="20"/>
          </w:rPr>
          <w:tab/>
        </w:r>
        <w:r w:rsidRPr="008234C5">
          <w:rPr>
            <w:rStyle w:val="Hyperlink"/>
            <w:bCs/>
            <w:sz w:val="20"/>
            <w:szCs w:val="20"/>
          </w:rPr>
          <w:t>Chloronitrofen, chlornitrofen, or 2,4,6 trichlorophenyl-4-nitrophenylether (CNP)</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_Toc112768140 \h </w:instrText>
        </w:r>
        <w:r w:rsidRPr="008234C5">
          <w:rPr>
            <w:bCs/>
            <w:webHidden/>
            <w:sz w:val="20"/>
            <w:szCs w:val="20"/>
          </w:rPr>
        </w:r>
        <w:r w:rsidRPr="008234C5">
          <w:rPr>
            <w:bCs/>
            <w:webHidden/>
            <w:sz w:val="20"/>
            <w:szCs w:val="20"/>
          </w:rPr>
          <w:fldChar w:fldCharType="separate"/>
        </w:r>
        <w:r w:rsidRPr="008234C5">
          <w:rPr>
            <w:bCs/>
            <w:webHidden/>
            <w:sz w:val="20"/>
            <w:szCs w:val="20"/>
          </w:rPr>
          <w:t>56</w:t>
        </w:r>
        <w:r w:rsidRPr="008234C5">
          <w:rPr>
            <w:bCs/>
            <w:webHidden/>
            <w:sz w:val="20"/>
            <w:szCs w:val="20"/>
          </w:rPr>
          <w:fldChar w:fldCharType="end"/>
        </w:r>
      </w:hyperlink>
    </w:p>
    <w:p w14:paraId="03790B91" w14:textId="7F154D22" w:rsidR="003E6DEE" w:rsidRPr="008234C5" w:rsidRDefault="003E6DEE">
      <w:pPr>
        <w:pStyle w:val="TOC3"/>
        <w:rPr>
          <w:bCs/>
          <w:sz w:val="20"/>
          <w:szCs w:val="20"/>
        </w:rPr>
      </w:pPr>
      <w:hyperlink w:anchor="_Toc112768141" w:history="1">
        <w:r w:rsidRPr="008234C5">
          <w:rPr>
            <w:rStyle w:val="Hyperlink"/>
            <w:bCs/>
            <w:sz w:val="20"/>
            <w:szCs w:val="20"/>
          </w:rPr>
          <w:t>9.4.6</w:t>
        </w:r>
        <w:r w:rsidRPr="008234C5">
          <w:rPr>
            <w:bCs/>
            <w:sz w:val="20"/>
            <w:szCs w:val="20"/>
          </w:rPr>
          <w:tab/>
        </w:r>
        <w:r w:rsidRPr="008234C5">
          <w:rPr>
            <w:rStyle w:val="Hyperlink"/>
            <w:bCs/>
            <w:sz w:val="20"/>
            <w:szCs w:val="20"/>
          </w:rPr>
          <w:t>Pentachloronitrobenzene (PCNB - Quintozene)</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_Toc112768141 \h </w:instrText>
        </w:r>
        <w:r w:rsidRPr="008234C5">
          <w:rPr>
            <w:bCs/>
            <w:webHidden/>
            <w:sz w:val="20"/>
            <w:szCs w:val="20"/>
          </w:rPr>
        </w:r>
        <w:r w:rsidRPr="008234C5">
          <w:rPr>
            <w:bCs/>
            <w:webHidden/>
            <w:sz w:val="20"/>
            <w:szCs w:val="20"/>
          </w:rPr>
          <w:fldChar w:fldCharType="separate"/>
        </w:r>
        <w:r w:rsidRPr="008234C5">
          <w:rPr>
            <w:bCs/>
            <w:webHidden/>
            <w:sz w:val="20"/>
            <w:szCs w:val="20"/>
          </w:rPr>
          <w:t>57</w:t>
        </w:r>
        <w:r w:rsidRPr="008234C5">
          <w:rPr>
            <w:bCs/>
            <w:webHidden/>
            <w:sz w:val="20"/>
            <w:szCs w:val="20"/>
          </w:rPr>
          <w:fldChar w:fldCharType="end"/>
        </w:r>
      </w:hyperlink>
    </w:p>
    <w:p w14:paraId="55BD6BA7" w14:textId="60C6B88E" w:rsidR="003E6DEE" w:rsidRPr="008234C5" w:rsidRDefault="003E6DEE">
      <w:pPr>
        <w:pStyle w:val="TOC3"/>
        <w:rPr>
          <w:bCs/>
          <w:sz w:val="20"/>
          <w:szCs w:val="20"/>
        </w:rPr>
      </w:pPr>
      <w:hyperlink w:anchor="_Toc112768142" w:history="1">
        <w:r w:rsidRPr="008234C5">
          <w:rPr>
            <w:rStyle w:val="Hyperlink"/>
            <w:bCs/>
            <w:sz w:val="20"/>
            <w:szCs w:val="20"/>
          </w:rPr>
          <w:t>9.4.7</w:t>
        </w:r>
        <w:r w:rsidRPr="008234C5">
          <w:rPr>
            <w:bCs/>
            <w:sz w:val="20"/>
            <w:szCs w:val="20"/>
          </w:rPr>
          <w:tab/>
        </w:r>
        <w:r w:rsidRPr="008234C5">
          <w:rPr>
            <w:rStyle w:val="Hyperlink"/>
            <w:bCs/>
            <w:sz w:val="20"/>
            <w:szCs w:val="20"/>
          </w:rPr>
          <w:t>2,4-Dichlorophenoxyacetic acid (2,4-D) and derivatives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_Toc112768142 \h </w:instrText>
        </w:r>
        <w:r w:rsidRPr="008234C5">
          <w:rPr>
            <w:bCs/>
            <w:webHidden/>
            <w:sz w:val="20"/>
            <w:szCs w:val="20"/>
          </w:rPr>
        </w:r>
        <w:r w:rsidRPr="008234C5">
          <w:rPr>
            <w:bCs/>
            <w:webHidden/>
            <w:sz w:val="20"/>
            <w:szCs w:val="20"/>
          </w:rPr>
          <w:fldChar w:fldCharType="separate"/>
        </w:r>
        <w:r w:rsidRPr="008234C5">
          <w:rPr>
            <w:bCs/>
            <w:webHidden/>
            <w:sz w:val="20"/>
            <w:szCs w:val="20"/>
          </w:rPr>
          <w:t>57</w:t>
        </w:r>
        <w:r w:rsidRPr="008234C5">
          <w:rPr>
            <w:bCs/>
            <w:webHidden/>
            <w:sz w:val="20"/>
            <w:szCs w:val="20"/>
          </w:rPr>
          <w:fldChar w:fldCharType="end"/>
        </w:r>
      </w:hyperlink>
    </w:p>
    <w:p w14:paraId="5ED7C56D" w14:textId="385DB215" w:rsidR="003E6DEE" w:rsidRPr="008234C5" w:rsidRDefault="003E6DEE">
      <w:pPr>
        <w:pStyle w:val="TOC3"/>
        <w:rPr>
          <w:bCs/>
          <w:sz w:val="20"/>
          <w:szCs w:val="20"/>
        </w:rPr>
      </w:pPr>
      <w:hyperlink w:anchor="_Toc112768143" w:history="1">
        <w:r w:rsidRPr="008234C5">
          <w:rPr>
            <w:rStyle w:val="Hyperlink"/>
            <w:bCs/>
            <w:sz w:val="20"/>
            <w:szCs w:val="20"/>
          </w:rPr>
          <w:t>9.4.8</w:t>
        </w:r>
        <w:r w:rsidRPr="008234C5">
          <w:rPr>
            <w:bCs/>
            <w:sz w:val="20"/>
            <w:szCs w:val="20"/>
          </w:rPr>
          <w:tab/>
        </w:r>
        <w:r w:rsidRPr="008234C5">
          <w:rPr>
            <w:rStyle w:val="Hyperlink"/>
            <w:bCs/>
            <w:sz w:val="20"/>
            <w:szCs w:val="20"/>
          </w:rPr>
          <w:t>Chlorinated Paraffins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_Toc112768143 \h </w:instrText>
        </w:r>
        <w:r w:rsidRPr="008234C5">
          <w:rPr>
            <w:bCs/>
            <w:webHidden/>
            <w:sz w:val="20"/>
            <w:szCs w:val="20"/>
          </w:rPr>
        </w:r>
        <w:r w:rsidRPr="008234C5">
          <w:rPr>
            <w:bCs/>
            <w:webHidden/>
            <w:sz w:val="20"/>
            <w:szCs w:val="20"/>
          </w:rPr>
          <w:fldChar w:fldCharType="separate"/>
        </w:r>
        <w:r w:rsidRPr="008234C5">
          <w:rPr>
            <w:bCs/>
            <w:webHidden/>
            <w:sz w:val="20"/>
            <w:szCs w:val="20"/>
          </w:rPr>
          <w:t>57</w:t>
        </w:r>
        <w:r w:rsidRPr="008234C5">
          <w:rPr>
            <w:bCs/>
            <w:webHidden/>
            <w:sz w:val="20"/>
            <w:szCs w:val="20"/>
          </w:rPr>
          <w:fldChar w:fldCharType="end"/>
        </w:r>
      </w:hyperlink>
    </w:p>
    <w:p w14:paraId="16BDC5AF" w14:textId="419EA39C" w:rsidR="003E6DEE" w:rsidRPr="008234C5" w:rsidRDefault="003E6DEE">
      <w:pPr>
        <w:pStyle w:val="TOC3"/>
        <w:rPr>
          <w:bCs/>
          <w:sz w:val="20"/>
          <w:szCs w:val="20"/>
        </w:rPr>
      </w:pPr>
      <w:hyperlink w:anchor="_Toc112768144" w:history="1">
        <w:r w:rsidRPr="008234C5">
          <w:rPr>
            <w:rStyle w:val="Hyperlink"/>
            <w:bCs/>
            <w:sz w:val="20"/>
            <w:szCs w:val="20"/>
          </w:rPr>
          <w:t>9.4.9</w:t>
        </w:r>
        <w:r w:rsidRPr="008234C5">
          <w:rPr>
            <w:bCs/>
            <w:sz w:val="20"/>
            <w:szCs w:val="20"/>
          </w:rPr>
          <w:tab/>
        </w:r>
        <w:r w:rsidRPr="008234C5">
          <w:rPr>
            <w:rStyle w:val="Hyperlink"/>
            <w:bCs/>
            <w:sz w:val="20"/>
            <w:szCs w:val="20"/>
          </w:rPr>
          <w:t>p-Chloranil</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_Toc112768144 \h </w:instrText>
        </w:r>
        <w:r w:rsidRPr="008234C5">
          <w:rPr>
            <w:bCs/>
            <w:webHidden/>
            <w:sz w:val="20"/>
            <w:szCs w:val="20"/>
          </w:rPr>
        </w:r>
        <w:r w:rsidRPr="008234C5">
          <w:rPr>
            <w:bCs/>
            <w:webHidden/>
            <w:sz w:val="20"/>
            <w:szCs w:val="20"/>
          </w:rPr>
          <w:fldChar w:fldCharType="separate"/>
        </w:r>
        <w:r w:rsidRPr="008234C5">
          <w:rPr>
            <w:bCs/>
            <w:webHidden/>
            <w:sz w:val="20"/>
            <w:szCs w:val="20"/>
          </w:rPr>
          <w:t>58</w:t>
        </w:r>
        <w:r w:rsidRPr="008234C5">
          <w:rPr>
            <w:bCs/>
            <w:webHidden/>
            <w:sz w:val="20"/>
            <w:szCs w:val="20"/>
          </w:rPr>
          <w:fldChar w:fldCharType="end"/>
        </w:r>
      </w:hyperlink>
    </w:p>
    <w:p w14:paraId="0955914F" w14:textId="2C4DFFEC" w:rsidR="003E6DEE" w:rsidRPr="008234C5" w:rsidRDefault="003E6DEE">
      <w:pPr>
        <w:pStyle w:val="TOC3"/>
        <w:rPr>
          <w:bCs/>
          <w:sz w:val="20"/>
          <w:szCs w:val="20"/>
        </w:rPr>
      </w:pPr>
      <w:hyperlink w:anchor="_Toc112768145" w:history="1">
        <w:r w:rsidRPr="008234C5">
          <w:rPr>
            <w:rStyle w:val="Hyperlink"/>
            <w:bCs/>
            <w:sz w:val="20"/>
            <w:szCs w:val="20"/>
          </w:rPr>
          <w:t>9.4.10</w:t>
        </w:r>
        <w:r w:rsidRPr="008234C5">
          <w:rPr>
            <w:bCs/>
            <w:sz w:val="20"/>
            <w:szCs w:val="20"/>
          </w:rPr>
          <w:tab/>
        </w:r>
        <w:r w:rsidRPr="008234C5">
          <w:rPr>
            <w:rStyle w:val="Hyperlink"/>
            <w:bCs/>
            <w:sz w:val="20"/>
            <w:szCs w:val="20"/>
          </w:rPr>
          <w:t>Phthalocyanine dyes and pigments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_Toc112768145 \h </w:instrText>
        </w:r>
        <w:r w:rsidRPr="008234C5">
          <w:rPr>
            <w:bCs/>
            <w:webHidden/>
            <w:sz w:val="20"/>
            <w:szCs w:val="20"/>
          </w:rPr>
        </w:r>
        <w:r w:rsidRPr="008234C5">
          <w:rPr>
            <w:bCs/>
            <w:webHidden/>
            <w:sz w:val="20"/>
            <w:szCs w:val="20"/>
          </w:rPr>
          <w:fldChar w:fldCharType="separate"/>
        </w:r>
        <w:r w:rsidRPr="008234C5">
          <w:rPr>
            <w:bCs/>
            <w:webHidden/>
            <w:sz w:val="20"/>
            <w:szCs w:val="20"/>
          </w:rPr>
          <w:t>58</w:t>
        </w:r>
        <w:r w:rsidRPr="008234C5">
          <w:rPr>
            <w:bCs/>
            <w:webHidden/>
            <w:sz w:val="20"/>
            <w:szCs w:val="20"/>
          </w:rPr>
          <w:fldChar w:fldCharType="end"/>
        </w:r>
      </w:hyperlink>
    </w:p>
    <w:p w14:paraId="32B44929" w14:textId="3522A8E3" w:rsidR="003E6DEE" w:rsidRPr="008234C5" w:rsidRDefault="003E6DEE">
      <w:pPr>
        <w:pStyle w:val="TOC3"/>
        <w:rPr>
          <w:bCs/>
          <w:sz w:val="20"/>
          <w:szCs w:val="20"/>
        </w:rPr>
      </w:pPr>
      <w:hyperlink w:anchor="_Toc112768146" w:history="1">
        <w:r w:rsidRPr="008234C5">
          <w:rPr>
            <w:rStyle w:val="Hyperlink"/>
            <w:bCs/>
            <w:sz w:val="20"/>
            <w:szCs w:val="20"/>
          </w:rPr>
          <w:t>9.4.11</w:t>
        </w:r>
        <w:r w:rsidRPr="008234C5">
          <w:rPr>
            <w:bCs/>
            <w:sz w:val="20"/>
            <w:szCs w:val="20"/>
          </w:rPr>
          <w:tab/>
        </w:r>
        <w:r w:rsidRPr="008234C5">
          <w:rPr>
            <w:rStyle w:val="Hyperlink"/>
            <w:bCs/>
            <w:sz w:val="20"/>
            <w:szCs w:val="20"/>
          </w:rPr>
          <w:t>Tetrachlorophthalic acid (TCPA) and related pigments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_Toc112768146 \h </w:instrText>
        </w:r>
        <w:r w:rsidRPr="008234C5">
          <w:rPr>
            <w:bCs/>
            <w:webHidden/>
            <w:sz w:val="20"/>
            <w:szCs w:val="20"/>
          </w:rPr>
        </w:r>
        <w:r w:rsidRPr="008234C5">
          <w:rPr>
            <w:bCs/>
            <w:webHidden/>
            <w:sz w:val="20"/>
            <w:szCs w:val="20"/>
          </w:rPr>
          <w:fldChar w:fldCharType="separate"/>
        </w:r>
        <w:r w:rsidRPr="008234C5">
          <w:rPr>
            <w:bCs/>
            <w:webHidden/>
            <w:sz w:val="20"/>
            <w:szCs w:val="20"/>
          </w:rPr>
          <w:t>58</w:t>
        </w:r>
        <w:r w:rsidRPr="008234C5">
          <w:rPr>
            <w:bCs/>
            <w:webHidden/>
            <w:sz w:val="20"/>
            <w:szCs w:val="20"/>
          </w:rPr>
          <w:fldChar w:fldCharType="end"/>
        </w:r>
      </w:hyperlink>
    </w:p>
    <w:p w14:paraId="49676BFB" w14:textId="1E99B225" w:rsidR="003E6DEE" w:rsidRPr="008234C5" w:rsidRDefault="003E6DEE">
      <w:pPr>
        <w:pStyle w:val="TOC3"/>
        <w:rPr>
          <w:bCs/>
          <w:sz w:val="20"/>
          <w:szCs w:val="20"/>
        </w:rPr>
      </w:pPr>
      <w:hyperlink w:anchor="_Toc112768147" w:history="1">
        <w:r w:rsidRPr="008234C5">
          <w:rPr>
            <w:rStyle w:val="Hyperlink"/>
            <w:bCs/>
            <w:sz w:val="20"/>
            <w:szCs w:val="20"/>
          </w:rPr>
          <w:t>9.4.12</w:t>
        </w:r>
        <w:r w:rsidRPr="008234C5">
          <w:rPr>
            <w:bCs/>
            <w:sz w:val="20"/>
            <w:szCs w:val="20"/>
          </w:rPr>
          <w:tab/>
        </w:r>
        <w:r w:rsidRPr="008234C5">
          <w:rPr>
            <w:rStyle w:val="Hyperlink"/>
            <w:bCs/>
            <w:sz w:val="20"/>
            <w:szCs w:val="20"/>
          </w:rPr>
          <w:t>Dioxazine dyes and pigments</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_Toc112768147 \h </w:instrText>
        </w:r>
        <w:r w:rsidRPr="008234C5">
          <w:rPr>
            <w:bCs/>
            <w:webHidden/>
            <w:sz w:val="20"/>
            <w:szCs w:val="20"/>
          </w:rPr>
        </w:r>
        <w:r w:rsidRPr="008234C5">
          <w:rPr>
            <w:bCs/>
            <w:webHidden/>
            <w:sz w:val="20"/>
            <w:szCs w:val="20"/>
          </w:rPr>
          <w:fldChar w:fldCharType="separate"/>
        </w:r>
        <w:r w:rsidRPr="008234C5">
          <w:rPr>
            <w:bCs/>
            <w:webHidden/>
            <w:sz w:val="20"/>
            <w:szCs w:val="20"/>
          </w:rPr>
          <w:t>58</w:t>
        </w:r>
        <w:r w:rsidRPr="008234C5">
          <w:rPr>
            <w:bCs/>
            <w:webHidden/>
            <w:sz w:val="20"/>
            <w:szCs w:val="20"/>
          </w:rPr>
          <w:fldChar w:fldCharType="end"/>
        </w:r>
      </w:hyperlink>
    </w:p>
    <w:p w14:paraId="1FA65DF8" w14:textId="34C0F3D8" w:rsidR="003E6DEE" w:rsidRPr="008234C5" w:rsidRDefault="003E6DEE">
      <w:pPr>
        <w:pStyle w:val="TOC3"/>
        <w:rPr>
          <w:bCs/>
          <w:sz w:val="20"/>
          <w:szCs w:val="20"/>
        </w:rPr>
      </w:pPr>
      <w:hyperlink w:anchor="_Toc112768148" w:history="1">
        <w:r w:rsidRPr="008234C5">
          <w:rPr>
            <w:rStyle w:val="Hyperlink"/>
            <w:bCs/>
            <w:sz w:val="20"/>
            <w:szCs w:val="20"/>
          </w:rPr>
          <w:t>9.4.13</w:t>
        </w:r>
        <w:r w:rsidRPr="008234C5">
          <w:rPr>
            <w:bCs/>
            <w:sz w:val="20"/>
            <w:szCs w:val="20"/>
          </w:rPr>
          <w:tab/>
        </w:r>
        <w:r w:rsidRPr="008234C5">
          <w:rPr>
            <w:rStyle w:val="Hyperlink"/>
            <w:bCs/>
            <w:sz w:val="20"/>
            <w:szCs w:val="20"/>
          </w:rPr>
          <w:t>Triclosan</w:t>
        </w:r>
        <w:r w:rsidRPr="008234C5">
          <w:rPr>
            <w:bCs/>
            <w:webHidden/>
            <w:sz w:val="20"/>
            <w:szCs w:val="20"/>
          </w:rPr>
          <w:tab/>
        </w:r>
        <w:r w:rsidRPr="008234C5">
          <w:rPr>
            <w:bCs/>
            <w:webHidden/>
            <w:sz w:val="20"/>
            <w:szCs w:val="20"/>
          </w:rPr>
          <w:fldChar w:fldCharType="begin"/>
        </w:r>
        <w:r w:rsidRPr="008234C5">
          <w:rPr>
            <w:bCs/>
            <w:webHidden/>
            <w:sz w:val="20"/>
            <w:szCs w:val="20"/>
          </w:rPr>
          <w:instrText xml:space="preserve"> PAGEREF _Toc112768148 \h </w:instrText>
        </w:r>
        <w:r w:rsidRPr="008234C5">
          <w:rPr>
            <w:bCs/>
            <w:webHidden/>
            <w:sz w:val="20"/>
            <w:szCs w:val="20"/>
          </w:rPr>
        </w:r>
        <w:r w:rsidRPr="008234C5">
          <w:rPr>
            <w:bCs/>
            <w:webHidden/>
            <w:sz w:val="20"/>
            <w:szCs w:val="20"/>
          </w:rPr>
          <w:fldChar w:fldCharType="separate"/>
        </w:r>
        <w:r w:rsidRPr="008234C5">
          <w:rPr>
            <w:bCs/>
            <w:webHidden/>
            <w:sz w:val="20"/>
            <w:szCs w:val="20"/>
          </w:rPr>
          <w:t>59</w:t>
        </w:r>
        <w:r w:rsidRPr="008234C5">
          <w:rPr>
            <w:bCs/>
            <w:webHidden/>
            <w:sz w:val="20"/>
            <w:szCs w:val="20"/>
          </w:rPr>
          <w:fldChar w:fldCharType="end"/>
        </w:r>
      </w:hyperlink>
    </w:p>
    <w:p w14:paraId="4C6FA824" w14:textId="0C139D82" w:rsidR="003E6DEE" w:rsidRPr="008234C5" w:rsidRDefault="003E6DEE">
      <w:pPr>
        <w:pStyle w:val="TOC2"/>
        <w:tabs>
          <w:tab w:val="left" w:pos="880"/>
          <w:tab w:val="right" w:leader="dot" w:pos="9061"/>
        </w:tabs>
        <w:rPr>
          <w:rFonts w:eastAsiaTheme="minorEastAsia"/>
          <w:bCs/>
          <w:noProof/>
          <w:lang w:eastAsia="en-NZ"/>
        </w:rPr>
      </w:pPr>
      <w:hyperlink w:anchor="_Toc112768149" w:history="1">
        <w:r w:rsidRPr="008234C5">
          <w:rPr>
            <w:rStyle w:val="Hyperlink"/>
            <w:bCs/>
            <w:noProof/>
          </w:rPr>
          <w:t>9.5</w:t>
        </w:r>
        <w:r w:rsidRPr="008234C5">
          <w:rPr>
            <w:rFonts w:eastAsiaTheme="minorEastAsia"/>
            <w:bCs/>
            <w:noProof/>
            <w:lang w:eastAsia="en-NZ"/>
          </w:rPr>
          <w:tab/>
        </w:r>
        <w:r w:rsidRPr="008234C5">
          <w:rPr>
            <w:rStyle w:val="Hyperlink"/>
            <w:bCs/>
            <w:noProof/>
          </w:rPr>
          <w:t>Other chlorinated and non-chlorinated chemicals</w:t>
        </w:r>
        <w:r w:rsidRPr="008234C5">
          <w:rPr>
            <w:bCs/>
            <w:noProof/>
            <w:webHidden/>
          </w:rPr>
          <w:tab/>
        </w:r>
        <w:r w:rsidRPr="008234C5">
          <w:rPr>
            <w:bCs/>
            <w:noProof/>
            <w:webHidden/>
          </w:rPr>
          <w:fldChar w:fldCharType="begin"/>
        </w:r>
        <w:r w:rsidRPr="008234C5">
          <w:rPr>
            <w:bCs/>
            <w:noProof/>
            <w:webHidden/>
          </w:rPr>
          <w:instrText xml:space="preserve"> PAGEREF _Toc112768149 \h </w:instrText>
        </w:r>
        <w:r w:rsidRPr="008234C5">
          <w:rPr>
            <w:bCs/>
            <w:noProof/>
            <w:webHidden/>
          </w:rPr>
        </w:r>
        <w:r w:rsidRPr="008234C5">
          <w:rPr>
            <w:bCs/>
            <w:noProof/>
            <w:webHidden/>
          </w:rPr>
          <w:fldChar w:fldCharType="separate"/>
        </w:r>
        <w:r w:rsidRPr="008234C5">
          <w:rPr>
            <w:bCs/>
            <w:noProof/>
            <w:webHidden/>
          </w:rPr>
          <w:t>59</w:t>
        </w:r>
        <w:r w:rsidRPr="008234C5">
          <w:rPr>
            <w:bCs/>
            <w:noProof/>
            <w:webHidden/>
          </w:rPr>
          <w:fldChar w:fldCharType="end"/>
        </w:r>
      </w:hyperlink>
    </w:p>
    <w:p w14:paraId="72925DFE" w14:textId="357D697F" w:rsidR="003E6DEE" w:rsidRPr="008234C5" w:rsidRDefault="003E6DEE">
      <w:pPr>
        <w:pStyle w:val="TOC2"/>
        <w:tabs>
          <w:tab w:val="left" w:pos="880"/>
          <w:tab w:val="right" w:leader="dot" w:pos="9061"/>
        </w:tabs>
        <w:rPr>
          <w:rFonts w:eastAsiaTheme="minorEastAsia"/>
          <w:bCs/>
          <w:noProof/>
          <w:lang w:eastAsia="en-NZ"/>
        </w:rPr>
      </w:pPr>
      <w:hyperlink w:anchor="_Toc112768150" w:history="1">
        <w:r w:rsidRPr="008234C5">
          <w:rPr>
            <w:rStyle w:val="Hyperlink"/>
            <w:bCs/>
            <w:noProof/>
          </w:rPr>
          <w:t>9.6</w:t>
        </w:r>
        <w:r w:rsidRPr="008234C5">
          <w:rPr>
            <w:rFonts w:eastAsiaTheme="minorEastAsia"/>
            <w:bCs/>
            <w:noProof/>
            <w:lang w:eastAsia="en-NZ"/>
          </w:rPr>
          <w:tab/>
        </w:r>
        <w:r w:rsidRPr="008234C5">
          <w:rPr>
            <w:rStyle w:val="Hyperlink"/>
            <w:bCs/>
            <w:noProof/>
          </w:rPr>
          <w:t>Petroleum production</w:t>
        </w:r>
        <w:r w:rsidRPr="008234C5">
          <w:rPr>
            <w:bCs/>
            <w:noProof/>
            <w:webHidden/>
          </w:rPr>
          <w:tab/>
        </w:r>
        <w:r w:rsidRPr="008234C5">
          <w:rPr>
            <w:bCs/>
            <w:noProof/>
            <w:webHidden/>
          </w:rPr>
          <w:fldChar w:fldCharType="begin"/>
        </w:r>
        <w:r w:rsidRPr="008234C5">
          <w:rPr>
            <w:bCs/>
            <w:noProof/>
            <w:webHidden/>
          </w:rPr>
          <w:instrText xml:space="preserve"> PAGEREF _Toc112768150 \h </w:instrText>
        </w:r>
        <w:r w:rsidRPr="008234C5">
          <w:rPr>
            <w:bCs/>
            <w:noProof/>
            <w:webHidden/>
          </w:rPr>
        </w:r>
        <w:r w:rsidRPr="008234C5">
          <w:rPr>
            <w:bCs/>
            <w:noProof/>
            <w:webHidden/>
          </w:rPr>
          <w:fldChar w:fldCharType="separate"/>
        </w:r>
        <w:r w:rsidRPr="008234C5">
          <w:rPr>
            <w:bCs/>
            <w:noProof/>
            <w:webHidden/>
          </w:rPr>
          <w:t>59</w:t>
        </w:r>
        <w:r w:rsidRPr="008234C5">
          <w:rPr>
            <w:bCs/>
            <w:noProof/>
            <w:webHidden/>
          </w:rPr>
          <w:fldChar w:fldCharType="end"/>
        </w:r>
      </w:hyperlink>
    </w:p>
    <w:p w14:paraId="742CCF35" w14:textId="22A965F2" w:rsidR="003E6DEE" w:rsidRPr="008234C5" w:rsidRDefault="003E6DEE">
      <w:pPr>
        <w:pStyle w:val="TOC2"/>
        <w:tabs>
          <w:tab w:val="left" w:pos="880"/>
          <w:tab w:val="right" w:leader="dot" w:pos="9061"/>
        </w:tabs>
        <w:rPr>
          <w:rFonts w:eastAsiaTheme="minorEastAsia"/>
          <w:bCs/>
          <w:noProof/>
          <w:lang w:eastAsia="en-NZ"/>
        </w:rPr>
      </w:pPr>
      <w:hyperlink w:anchor="_Toc112768151" w:history="1">
        <w:r w:rsidRPr="008234C5">
          <w:rPr>
            <w:rStyle w:val="Hyperlink"/>
            <w:bCs/>
            <w:noProof/>
          </w:rPr>
          <w:t>9.7</w:t>
        </w:r>
        <w:r w:rsidRPr="008234C5">
          <w:rPr>
            <w:rFonts w:eastAsiaTheme="minorEastAsia"/>
            <w:bCs/>
            <w:noProof/>
            <w:lang w:eastAsia="en-NZ"/>
          </w:rPr>
          <w:tab/>
        </w:r>
        <w:r w:rsidRPr="008234C5">
          <w:rPr>
            <w:rStyle w:val="Hyperlink"/>
            <w:bCs/>
            <w:noProof/>
          </w:rPr>
          <w:t>Textile (and leather) production</w:t>
        </w:r>
        <w:r w:rsidRPr="008234C5">
          <w:rPr>
            <w:bCs/>
            <w:noProof/>
            <w:webHidden/>
          </w:rPr>
          <w:tab/>
        </w:r>
        <w:r w:rsidRPr="008234C5">
          <w:rPr>
            <w:bCs/>
            <w:noProof/>
            <w:webHidden/>
          </w:rPr>
          <w:fldChar w:fldCharType="begin"/>
        </w:r>
        <w:r w:rsidRPr="008234C5">
          <w:rPr>
            <w:bCs/>
            <w:noProof/>
            <w:webHidden/>
          </w:rPr>
          <w:instrText xml:space="preserve"> PAGEREF _Toc112768151 \h </w:instrText>
        </w:r>
        <w:r w:rsidRPr="008234C5">
          <w:rPr>
            <w:bCs/>
            <w:noProof/>
            <w:webHidden/>
          </w:rPr>
        </w:r>
        <w:r w:rsidRPr="008234C5">
          <w:rPr>
            <w:bCs/>
            <w:noProof/>
            <w:webHidden/>
          </w:rPr>
          <w:fldChar w:fldCharType="separate"/>
        </w:r>
        <w:r w:rsidRPr="008234C5">
          <w:rPr>
            <w:bCs/>
            <w:noProof/>
            <w:webHidden/>
          </w:rPr>
          <w:t>60</w:t>
        </w:r>
        <w:r w:rsidRPr="008234C5">
          <w:rPr>
            <w:bCs/>
            <w:noProof/>
            <w:webHidden/>
          </w:rPr>
          <w:fldChar w:fldCharType="end"/>
        </w:r>
      </w:hyperlink>
    </w:p>
    <w:p w14:paraId="761620DB" w14:textId="2C9A0156" w:rsidR="003E6DEE" w:rsidRPr="008234C5" w:rsidRDefault="003E6DEE">
      <w:pPr>
        <w:pStyle w:val="TOC2"/>
        <w:tabs>
          <w:tab w:val="left" w:pos="880"/>
          <w:tab w:val="right" w:leader="dot" w:pos="9061"/>
        </w:tabs>
        <w:rPr>
          <w:rFonts w:eastAsiaTheme="minorEastAsia"/>
          <w:bCs/>
          <w:noProof/>
          <w:lang w:eastAsia="en-NZ"/>
        </w:rPr>
      </w:pPr>
      <w:hyperlink w:anchor="_Toc112768152" w:history="1">
        <w:r w:rsidRPr="008234C5">
          <w:rPr>
            <w:rStyle w:val="Hyperlink"/>
            <w:bCs/>
            <w:noProof/>
          </w:rPr>
          <w:t>9.8</w:t>
        </w:r>
        <w:r w:rsidRPr="008234C5">
          <w:rPr>
            <w:rFonts w:eastAsiaTheme="minorEastAsia"/>
            <w:bCs/>
            <w:noProof/>
            <w:lang w:eastAsia="en-NZ"/>
          </w:rPr>
          <w:tab/>
        </w:r>
        <w:r w:rsidRPr="008234C5">
          <w:rPr>
            <w:rStyle w:val="Hyperlink"/>
            <w:bCs/>
            <w:noProof/>
          </w:rPr>
          <w:t>Leather refining</w:t>
        </w:r>
        <w:r w:rsidRPr="008234C5">
          <w:rPr>
            <w:bCs/>
            <w:noProof/>
            <w:webHidden/>
          </w:rPr>
          <w:tab/>
        </w:r>
        <w:r w:rsidRPr="008234C5">
          <w:rPr>
            <w:bCs/>
            <w:noProof/>
            <w:webHidden/>
          </w:rPr>
          <w:fldChar w:fldCharType="begin"/>
        </w:r>
        <w:r w:rsidRPr="008234C5">
          <w:rPr>
            <w:bCs/>
            <w:noProof/>
            <w:webHidden/>
          </w:rPr>
          <w:instrText xml:space="preserve"> PAGEREF _Toc112768152 \h </w:instrText>
        </w:r>
        <w:r w:rsidRPr="008234C5">
          <w:rPr>
            <w:bCs/>
            <w:noProof/>
            <w:webHidden/>
          </w:rPr>
        </w:r>
        <w:r w:rsidRPr="008234C5">
          <w:rPr>
            <w:bCs/>
            <w:noProof/>
            <w:webHidden/>
          </w:rPr>
          <w:fldChar w:fldCharType="separate"/>
        </w:r>
        <w:r w:rsidRPr="008234C5">
          <w:rPr>
            <w:bCs/>
            <w:noProof/>
            <w:webHidden/>
          </w:rPr>
          <w:t>61</w:t>
        </w:r>
        <w:r w:rsidRPr="008234C5">
          <w:rPr>
            <w:bCs/>
            <w:noProof/>
            <w:webHidden/>
          </w:rPr>
          <w:fldChar w:fldCharType="end"/>
        </w:r>
      </w:hyperlink>
    </w:p>
    <w:p w14:paraId="49F77475" w14:textId="683D6257" w:rsidR="003E6DEE" w:rsidRPr="008234C5" w:rsidRDefault="003E6DEE">
      <w:pPr>
        <w:pStyle w:val="TOC2"/>
        <w:tabs>
          <w:tab w:val="left" w:pos="880"/>
          <w:tab w:val="right" w:leader="dot" w:pos="9061"/>
        </w:tabs>
        <w:rPr>
          <w:rFonts w:eastAsiaTheme="minorEastAsia"/>
          <w:bCs/>
          <w:noProof/>
          <w:lang w:eastAsia="en-NZ"/>
        </w:rPr>
      </w:pPr>
      <w:hyperlink w:anchor="_Toc112768153" w:history="1">
        <w:r w:rsidRPr="008234C5">
          <w:rPr>
            <w:rStyle w:val="Hyperlink"/>
            <w:rFonts w:eastAsia="Calibri"/>
            <w:bCs/>
            <w:noProof/>
          </w:rPr>
          <w:t>9.9</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_Toc112768153 \h </w:instrText>
        </w:r>
        <w:r w:rsidRPr="008234C5">
          <w:rPr>
            <w:bCs/>
            <w:noProof/>
            <w:webHidden/>
          </w:rPr>
        </w:r>
        <w:r w:rsidRPr="008234C5">
          <w:rPr>
            <w:bCs/>
            <w:noProof/>
            <w:webHidden/>
          </w:rPr>
          <w:fldChar w:fldCharType="separate"/>
        </w:r>
        <w:r w:rsidRPr="008234C5">
          <w:rPr>
            <w:bCs/>
            <w:noProof/>
            <w:webHidden/>
          </w:rPr>
          <w:t>61</w:t>
        </w:r>
        <w:r w:rsidRPr="008234C5">
          <w:rPr>
            <w:bCs/>
            <w:noProof/>
            <w:webHidden/>
          </w:rPr>
          <w:fldChar w:fldCharType="end"/>
        </w:r>
      </w:hyperlink>
    </w:p>
    <w:p w14:paraId="353B92EF" w14:textId="42C814E6" w:rsidR="003E6DEE" w:rsidRPr="008234C5" w:rsidRDefault="003E6DEE" w:rsidP="008234C5">
      <w:pPr>
        <w:pStyle w:val="TOC1"/>
        <w:rPr>
          <w:rFonts w:eastAsiaTheme="minorEastAsia"/>
          <w:lang w:val="en-NZ" w:eastAsia="en-NZ"/>
        </w:rPr>
      </w:pPr>
      <w:hyperlink w:anchor="_Toc112768154" w:history="1">
        <w:r w:rsidRPr="008234C5">
          <w:rPr>
            <w:rStyle w:val="Hyperlink"/>
            <w:rFonts w:ascii="Times New Roman" w:hAnsi="Times New Roman" w:cs="Times New Roman"/>
            <w:b w:val="0"/>
            <w:bCs/>
          </w:rPr>
          <w:t>10</w:t>
        </w:r>
        <w:r w:rsidRPr="008234C5">
          <w:rPr>
            <w:rFonts w:eastAsiaTheme="minorEastAsia"/>
            <w:lang w:val="en-NZ" w:eastAsia="en-NZ"/>
          </w:rPr>
          <w:tab/>
        </w:r>
        <w:r w:rsidRPr="008234C5">
          <w:rPr>
            <w:rStyle w:val="Hyperlink"/>
            <w:rFonts w:ascii="Times New Roman" w:hAnsi="Times New Roman" w:cs="Times New Roman"/>
            <w:b w:val="0"/>
            <w:bCs/>
          </w:rPr>
          <w:t>Miscellaneous sources</w:t>
        </w:r>
        <w:r w:rsidRPr="008234C5">
          <w:rPr>
            <w:webHidden/>
          </w:rPr>
          <w:tab/>
        </w:r>
        <w:r w:rsidRPr="008234C5">
          <w:rPr>
            <w:webHidden/>
          </w:rPr>
          <w:fldChar w:fldCharType="begin"/>
        </w:r>
        <w:r w:rsidRPr="008234C5">
          <w:rPr>
            <w:webHidden/>
          </w:rPr>
          <w:instrText xml:space="preserve"> PAGEREF _Toc112768154 \h </w:instrText>
        </w:r>
        <w:r w:rsidRPr="008234C5">
          <w:rPr>
            <w:webHidden/>
          </w:rPr>
        </w:r>
        <w:r w:rsidRPr="008234C5">
          <w:rPr>
            <w:webHidden/>
          </w:rPr>
          <w:fldChar w:fldCharType="separate"/>
        </w:r>
        <w:r w:rsidRPr="008234C5">
          <w:rPr>
            <w:webHidden/>
          </w:rPr>
          <w:t>62</w:t>
        </w:r>
        <w:r w:rsidRPr="008234C5">
          <w:rPr>
            <w:webHidden/>
          </w:rPr>
          <w:fldChar w:fldCharType="end"/>
        </w:r>
      </w:hyperlink>
    </w:p>
    <w:p w14:paraId="498099EA" w14:textId="799B04D4" w:rsidR="003E6DEE" w:rsidRPr="008234C5" w:rsidRDefault="003E6DEE">
      <w:pPr>
        <w:pStyle w:val="TOC2"/>
        <w:tabs>
          <w:tab w:val="left" w:pos="880"/>
          <w:tab w:val="right" w:leader="dot" w:pos="9061"/>
        </w:tabs>
        <w:rPr>
          <w:rFonts w:eastAsiaTheme="minorEastAsia"/>
          <w:bCs/>
          <w:noProof/>
          <w:lang w:eastAsia="en-NZ"/>
        </w:rPr>
      </w:pPr>
      <w:hyperlink w:anchor="_Toc112768155" w:history="1">
        <w:r w:rsidRPr="008234C5">
          <w:rPr>
            <w:rStyle w:val="Hyperlink"/>
            <w:bCs/>
            <w:noProof/>
          </w:rPr>
          <w:t>10.1</w:t>
        </w:r>
        <w:r w:rsidRPr="008234C5">
          <w:rPr>
            <w:rFonts w:eastAsiaTheme="minorEastAsia"/>
            <w:bCs/>
            <w:noProof/>
            <w:lang w:eastAsia="en-NZ"/>
          </w:rPr>
          <w:tab/>
        </w:r>
        <w:r w:rsidRPr="008234C5">
          <w:rPr>
            <w:rStyle w:val="Hyperlink"/>
            <w:bCs/>
            <w:noProof/>
          </w:rPr>
          <w:t>Drying of Biomass</w:t>
        </w:r>
        <w:r w:rsidRPr="008234C5">
          <w:rPr>
            <w:bCs/>
            <w:noProof/>
            <w:webHidden/>
          </w:rPr>
          <w:tab/>
        </w:r>
        <w:r w:rsidRPr="008234C5">
          <w:rPr>
            <w:bCs/>
            <w:noProof/>
            <w:webHidden/>
          </w:rPr>
          <w:fldChar w:fldCharType="begin"/>
        </w:r>
        <w:r w:rsidRPr="008234C5">
          <w:rPr>
            <w:bCs/>
            <w:noProof/>
            <w:webHidden/>
          </w:rPr>
          <w:instrText xml:space="preserve"> PAGEREF _Toc112768155 \h </w:instrText>
        </w:r>
        <w:r w:rsidRPr="008234C5">
          <w:rPr>
            <w:bCs/>
            <w:noProof/>
            <w:webHidden/>
          </w:rPr>
        </w:r>
        <w:r w:rsidRPr="008234C5">
          <w:rPr>
            <w:bCs/>
            <w:noProof/>
            <w:webHidden/>
          </w:rPr>
          <w:fldChar w:fldCharType="separate"/>
        </w:r>
        <w:r w:rsidRPr="008234C5">
          <w:rPr>
            <w:bCs/>
            <w:noProof/>
            <w:webHidden/>
          </w:rPr>
          <w:t>62</w:t>
        </w:r>
        <w:r w:rsidRPr="008234C5">
          <w:rPr>
            <w:bCs/>
            <w:noProof/>
            <w:webHidden/>
          </w:rPr>
          <w:fldChar w:fldCharType="end"/>
        </w:r>
      </w:hyperlink>
    </w:p>
    <w:p w14:paraId="659D7D99" w14:textId="56005237" w:rsidR="003E6DEE" w:rsidRPr="008234C5" w:rsidRDefault="003E6DEE">
      <w:pPr>
        <w:pStyle w:val="TOC2"/>
        <w:tabs>
          <w:tab w:val="left" w:pos="880"/>
          <w:tab w:val="right" w:leader="dot" w:pos="9061"/>
        </w:tabs>
        <w:rPr>
          <w:rFonts w:eastAsiaTheme="minorEastAsia"/>
          <w:bCs/>
          <w:noProof/>
          <w:lang w:eastAsia="en-NZ"/>
        </w:rPr>
      </w:pPr>
      <w:hyperlink w:anchor="_Toc112768156" w:history="1">
        <w:r w:rsidRPr="008234C5">
          <w:rPr>
            <w:rStyle w:val="Hyperlink"/>
            <w:bCs/>
            <w:noProof/>
          </w:rPr>
          <w:t>10.2</w:t>
        </w:r>
        <w:r w:rsidRPr="008234C5">
          <w:rPr>
            <w:rFonts w:eastAsiaTheme="minorEastAsia"/>
            <w:bCs/>
            <w:noProof/>
            <w:lang w:eastAsia="en-NZ"/>
          </w:rPr>
          <w:tab/>
        </w:r>
        <w:r w:rsidRPr="008234C5">
          <w:rPr>
            <w:rStyle w:val="Hyperlink"/>
            <w:bCs/>
            <w:noProof/>
          </w:rPr>
          <w:t>Crematoria</w:t>
        </w:r>
        <w:r w:rsidRPr="008234C5">
          <w:rPr>
            <w:bCs/>
            <w:noProof/>
            <w:webHidden/>
          </w:rPr>
          <w:tab/>
        </w:r>
        <w:r w:rsidRPr="008234C5">
          <w:rPr>
            <w:bCs/>
            <w:noProof/>
            <w:webHidden/>
          </w:rPr>
          <w:fldChar w:fldCharType="begin"/>
        </w:r>
        <w:r w:rsidRPr="008234C5">
          <w:rPr>
            <w:bCs/>
            <w:noProof/>
            <w:webHidden/>
          </w:rPr>
          <w:instrText xml:space="preserve"> PAGEREF _Toc112768156 \h </w:instrText>
        </w:r>
        <w:r w:rsidRPr="008234C5">
          <w:rPr>
            <w:bCs/>
            <w:noProof/>
            <w:webHidden/>
          </w:rPr>
        </w:r>
        <w:r w:rsidRPr="008234C5">
          <w:rPr>
            <w:bCs/>
            <w:noProof/>
            <w:webHidden/>
          </w:rPr>
          <w:fldChar w:fldCharType="separate"/>
        </w:r>
        <w:r w:rsidRPr="008234C5">
          <w:rPr>
            <w:bCs/>
            <w:noProof/>
            <w:webHidden/>
          </w:rPr>
          <w:t>62</w:t>
        </w:r>
        <w:r w:rsidRPr="008234C5">
          <w:rPr>
            <w:bCs/>
            <w:noProof/>
            <w:webHidden/>
          </w:rPr>
          <w:fldChar w:fldCharType="end"/>
        </w:r>
      </w:hyperlink>
    </w:p>
    <w:p w14:paraId="65E83D62" w14:textId="2BF35F39" w:rsidR="003E6DEE" w:rsidRPr="008234C5" w:rsidRDefault="003E6DEE">
      <w:pPr>
        <w:pStyle w:val="TOC2"/>
        <w:tabs>
          <w:tab w:val="left" w:pos="880"/>
          <w:tab w:val="right" w:leader="dot" w:pos="9061"/>
        </w:tabs>
        <w:rPr>
          <w:rFonts w:eastAsiaTheme="minorEastAsia"/>
          <w:bCs/>
          <w:noProof/>
          <w:lang w:eastAsia="en-NZ"/>
        </w:rPr>
      </w:pPr>
      <w:hyperlink w:anchor="_Toc112768157" w:history="1">
        <w:r w:rsidRPr="008234C5">
          <w:rPr>
            <w:rStyle w:val="Hyperlink"/>
            <w:bCs/>
            <w:noProof/>
          </w:rPr>
          <w:t>10.3</w:t>
        </w:r>
        <w:r w:rsidRPr="008234C5">
          <w:rPr>
            <w:rFonts w:eastAsiaTheme="minorEastAsia"/>
            <w:bCs/>
            <w:noProof/>
            <w:lang w:eastAsia="en-NZ"/>
          </w:rPr>
          <w:tab/>
        </w:r>
        <w:r w:rsidRPr="008234C5">
          <w:rPr>
            <w:rStyle w:val="Hyperlink"/>
            <w:bCs/>
            <w:noProof/>
          </w:rPr>
          <w:t>Smokehouses</w:t>
        </w:r>
        <w:r w:rsidRPr="008234C5">
          <w:rPr>
            <w:bCs/>
            <w:noProof/>
            <w:webHidden/>
          </w:rPr>
          <w:tab/>
        </w:r>
        <w:r w:rsidRPr="008234C5">
          <w:rPr>
            <w:bCs/>
            <w:noProof/>
            <w:webHidden/>
          </w:rPr>
          <w:fldChar w:fldCharType="begin"/>
        </w:r>
        <w:r w:rsidRPr="008234C5">
          <w:rPr>
            <w:bCs/>
            <w:noProof/>
            <w:webHidden/>
          </w:rPr>
          <w:instrText xml:space="preserve"> PAGEREF _Toc112768157 \h </w:instrText>
        </w:r>
        <w:r w:rsidRPr="008234C5">
          <w:rPr>
            <w:bCs/>
            <w:noProof/>
            <w:webHidden/>
          </w:rPr>
        </w:r>
        <w:r w:rsidRPr="008234C5">
          <w:rPr>
            <w:bCs/>
            <w:noProof/>
            <w:webHidden/>
          </w:rPr>
          <w:fldChar w:fldCharType="separate"/>
        </w:r>
        <w:r w:rsidRPr="008234C5">
          <w:rPr>
            <w:bCs/>
            <w:noProof/>
            <w:webHidden/>
          </w:rPr>
          <w:t>63</w:t>
        </w:r>
        <w:r w:rsidRPr="008234C5">
          <w:rPr>
            <w:bCs/>
            <w:noProof/>
            <w:webHidden/>
          </w:rPr>
          <w:fldChar w:fldCharType="end"/>
        </w:r>
      </w:hyperlink>
    </w:p>
    <w:p w14:paraId="1987BA89" w14:textId="29CCE059" w:rsidR="003E6DEE" w:rsidRPr="008234C5" w:rsidRDefault="003E6DEE">
      <w:pPr>
        <w:pStyle w:val="TOC2"/>
        <w:tabs>
          <w:tab w:val="left" w:pos="880"/>
          <w:tab w:val="right" w:leader="dot" w:pos="9061"/>
        </w:tabs>
        <w:rPr>
          <w:rFonts w:eastAsiaTheme="minorEastAsia"/>
          <w:bCs/>
          <w:noProof/>
          <w:lang w:eastAsia="en-NZ"/>
        </w:rPr>
      </w:pPr>
      <w:hyperlink w:anchor="_Toc112768158" w:history="1">
        <w:r w:rsidRPr="008234C5">
          <w:rPr>
            <w:rStyle w:val="Hyperlink"/>
            <w:bCs/>
            <w:noProof/>
          </w:rPr>
          <w:t>10.4</w:t>
        </w:r>
        <w:r w:rsidRPr="008234C5">
          <w:rPr>
            <w:rFonts w:eastAsiaTheme="minorEastAsia"/>
            <w:bCs/>
            <w:noProof/>
            <w:lang w:eastAsia="en-NZ"/>
          </w:rPr>
          <w:tab/>
        </w:r>
        <w:r w:rsidRPr="008234C5">
          <w:rPr>
            <w:rStyle w:val="Hyperlink"/>
            <w:bCs/>
            <w:noProof/>
          </w:rPr>
          <w:t>Dry cleaning</w:t>
        </w:r>
        <w:r w:rsidRPr="008234C5">
          <w:rPr>
            <w:bCs/>
            <w:noProof/>
            <w:webHidden/>
          </w:rPr>
          <w:tab/>
        </w:r>
        <w:r w:rsidRPr="008234C5">
          <w:rPr>
            <w:bCs/>
            <w:noProof/>
            <w:webHidden/>
          </w:rPr>
          <w:fldChar w:fldCharType="begin"/>
        </w:r>
        <w:r w:rsidRPr="008234C5">
          <w:rPr>
            <w:bCs/>
            <w:noProof/>
            <w:webHidden/>
          </w:rPr>
          <w:instrText xml:space="preserve"> PAGEREF _Toc112768158 \h </w:instrText>
        </w:r>
        <w:r w:rsidRPr="008234C5">
          <w:rPr>
            <w:bCs/>
            <w:noProof/>
            <w:webHidden/>
          </w:rPr>
        </w:r>
        <w:r w:rsidRPr="008234C5">
          <w:rPr>
            <w:bCs/>
            <w:noProof/>
            <w:webHidden/>
          </w:rPr>
          <w:fldChar w:fldCharType="separate"/>
        </w:r>
        <w:r w:rsidRPr="008234C5">
          <w:rPr>
            <w:bCs/>
            <w:noProof/>
            <w:webHidden/>
          </w:rPr>
          <w:t>63</w:t>
        </w:r>
        <w:r w:rsidRPr="008234C5">
          <w:rPr>
            <w:bCs/>
            <w:noProof/>
            <w:webHidden/>
          </w:rPr>
          <w:fldChar w:fldCharType="end"/>
        </w:r>
      </w:hyperlink>
    </w:p>
    <w:p w14:paraId="070BDCC2" w14:textId="0162DE84" w:rsidR="003E6DEE" w:rsidRPr="008234C5" w:rsidRDefault="003E6DEE">
      <w:pPr>
        <w:pStyle w:val="TOC2"/>
        <w:tabs>
          <w:tab w:val="left" w:pos="880"/>
          <w:tab w:val="right" w:leader="dot" w:pos="9061"/>
        </w:tabs>
        <w:rPr>
          <w:rFonts w:eastAsiaTheme="minorEastAsia"/>
          <w:bCs/>
          <w:noProof/>
          <w:lang w:eastAsia="en-NZ"/>
        </w:rPr>
      </w:pPr>
      <w:hyperlink w:anchor="_Toc112768159" w:history="1">
        <w:r w:rsidRPr="008234C5">
          <w:rPr>
            <w:rStyle w:val="Hyperlink"/>
            <w:bCs/>
            <w:noProof/>
          </w:rPr>
          <w:t>10.5</w:t>
        </w:r>
        <w:r w:rsidRPr="008234C5">
          <w:rPr>
            <w:rFonts w:eastAsiaTheme="minorEastAsia"/>
            <w:bCs/>
            <w:noProof/>
            <w:lang w:eastAsia="en-NZ"/>
          </w:rPr>
          <w:tab/>
        </w:r>
        <w:r w:rsidRPr="008234C5">
          <w:rPr>
            <w:rStyle w:val="Hyperlink"/>
            <w:bCs/>
            <w:noProof/>
          </w:rPr>
          <w:t>Tobacco smoking</w:t>
        </w:r>
        <w:r w:rsidRPr="008234C5">
          <w:rPr>
            <w:bCs/>
            <w:noProof/>
            <w:webHidden/>
          </w:rPr>
          <w:tab/>
        </w:r>
        <w:r w:rsidRPr="008234C5">
          <w:rPr>
            <w:bCs/>
            <w:noProof/>
            <w:webHidden/>
          </w:rPr>
          <w:fldChar w:fldCharType="begin"/>
        </w:r>
        <w:r w:rsidRPr="008234C5">
          <w:rPr>
            <w:bCs/>
            <w:noProof/>
            <w:webHidden/>
          </w:rPr>
          <w:instrText xml:space="preserve"> PAGEREF _Toc112768159 \h </w:instrText>
        </w:r>
        <w:r w:rsidRPr="008234C5">
          <w:rPr>
            <w:bCs/>
            <w:noProof/>
            <w:webHidden/>
          </w:rPr>
        </w:r>
        <w:r w:rsidRPr="008234C5">
          <w:rPr>
            <w:bCs/>
            <w:noProof/>
            <w:webHidden/>
          </w:rPr>
          <w:fldChar w:fldCharType="separate"/>
        </w:r>
        <w:r w:rsidRPr="008234C5">
          <w:rPr>
            <w:bCs/>
            <w:noProof/>
            <w:webHidden/>
          </w:rPr>
          <w:t>64</w:t>
        </w:r>
        <w:r w:rsidRPr="008234C5">
          <w:rPr>
            <w:bCs/>
            <w:noProof/>
            <w:webHidden/>
          </w:rPr>
          <w:fldChar w:fldCharType="end"/>
        </w:r>
      </w:hyperlink>
    </w:p>
    <w:p w14:paraId="6D20C0C9" w14:textId="5E0440F9" w:rsidR="003E6DEE" w:rsidRPr="008234C5" w:rsidRDefault="003E6DEE">
      <w:pPr>
        <w:pStyle w:val="TOC2"/>
        <w:tabs>
          <w:tab w:val="left" w:pos="880"/>
          <w:tab w:val="right" w:leader="dot" w:pos="9061"/>
        </w:tabs>
        <w:rPr>
          <w:rFonts w:eastAsiaTheme="minorEastAsia"/>
          <w:bCs/>
          <w:noProof/>
          <w:lang w:eastAsia="en-NZ"/>
        </w:rPr>
      </w:pPr>
      <w:hyperlink w:anchor="_Toc112768160" w:history="1">
        <w:r w:rsidRPr="008234C5">
          <w:rPr>
            <w:rStyle w:val="Hyperlink"/>
            <w:rFonts w:eastAsia="Calibri"/>
            <w:bCs/>
            <w:noProof/>
          </w:rPr>
          <w:t>10.6</w:t>
        </w:r>
        <w:r w:rsidRPr="008234C5">
          <w:rPr>
            <w:rFonts w:eastAsiaTheme="minorEastAsia"/>
            <w:bCs/>
            <w:noProof/>
            <w:lang w:eastAsia="en-NZ"/>
          </w:rPr>
          <w:tab/>
        </w:r>
        <w:r w:rsidRPr="008234C5">
          <w:rPr>
            <w:rStyle w:val="Hyperlink"/>
            <w:rFonts w:eastAsia="Calibri"/>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_Toc112768160 \h </w:instrText>
        </w:r>
        <w:r w:rsidRPr="008234C5">
          <w:rPr>
            <w:bCs/>
            <w:noProof/>
            <w:webHidden/>
          </w:rPr>
        </w:r>
        <w:r w:rsidRPr="008234C5">
          <w:rPr>
            <w:bCs/>
            <w:noProof/>
            <w:webHidden/>
          </w:rPr>
          <w:fldChar w:fldCharType="separate"/>
        </w:r>
        <w:r w:rsidRPr="008234C5">
          <w:rPr>
            <w:bCs/>
            <w:noProof/>
            <w:webHidden/>
          </w:rPr>
          <w:t>64</w:t>
        </w:r>
        <w:r w:rsidRPr="008234C5">
          <w:rPr>
            <w:bCs/>
            <w:noProof/>
            <w:webHidden/>
          </w:rPr>
          <w:fldChar w:fldCharType="end"/>
        </w:r>
      </w:hyperlink>
    </w:p>
    <w:p w14:paraId="1C90D5B5" w14:textId="60B4112F" w:rsidR="003E6DEE" w:rsidRPr="008234C5" w:rsidRDefault="003E6DEE" w:rsidP="008234C5">
      <w:pPr>
        <w:pStyle w:val="TOC1"/>
        <w:rPr>
          <w:rFonts w:eastAsiaTheme="minorEastAsia"/>
          <w:lang w:val="en-NZ" w:eastAsia="en-NZ"/>
        </w:rPr>
      </w:pPr>
      <w:hyperlink w:anchor="_Toc112768161" w:history="1">
        <w:r w:rsidRPr="008234C5">
          <w:rPr>
            <w:rStyle w:val="Hyperlink"/>
            <w:rFonts w:ascii="Times New Roman" w:hAnsi="Times New Roman" w:cs="Times New Roman"/>
            <w:b w:val="0"/>
            <w:bCs/>
          </w:rPr>
          <w:t>11</w:t>
        </w:r>
        <w:r w:rsidRPr="008234C5">
          <w:rPr>
            <w:rFonts w:eastAsiaTheme="minorEastAsia"/>
            <w:lang w:val="en-NZ" w:eastAsia="en-NZ"/>
          </w:rPr>
          <w:tab/>
        </w:r>
        <w:r w:rsidRPr="008234C5">
          <w:rPr>
            <w:rStyle w:val="Hyperlink"/>
            <w:rFonts w:ascii="Times New Roman" w:hAnsi="Times New Roman" w:cs="Times New Roman"/>
            <w:b w:val="0"/>
            <w:bCs/>
          </w:rPr>
          <w:t>Disposal and landfill</w:t>
        </w:r>
        <w:r w:rsidRPr="008234C5">
          <w:rPr>
            <w:webHidden/>
          </w:rPr>
          <w:tab/>
        </w:r>
        <w:r w:rsidRPr="008234C5">
          <w:rPr>
            <w:webHidden/>
          </w:rPr>
          <w:fldChar w:fldCharType="begin"/>
        </w:r>
        <w:r w:rsidRPr="008234C5">
          <w:rPr>
            <w:webHidden/>
          </w:rPr>
          <w:instrText xml:space="preserve"> PAGEREF _Toc112768161 \h </w:instrText>
        </w:r>
        <w:r w:rsidRPr="008234C5">
          <w:rPr>
            <w:webHidden/>
          </w:rPr>
        </w:r>
        <w:r w:rsidRPr="008234C5">
          <w:rPr>
            <w:webHidden/>
          </w:rPr>
          <w:fldChar w:fldCharType="separate"/>
        </w:r>
        <w:r w:rsidRPr="008234C5">
          <w:rPr>
            <w:webHidden/>
          </w:rPr>
          <w:t>65</w:t>
        </w:r>
        <w:r w:rsidRPr="008234C5">
          <w:rPr>
            <w:webHidden/>
          </w:rPr>
          <w:fldChar w:fldCharType="end"/>
        </w:r>
      </w:hyperlink>
    </w:p>
    <w:p w14:paraId="7B634FCD" w14:textId="44F1C530" w:rsidR="003E6DEE" w:rsidRPr="008234C5" w:rsidRDefault="003E6DEE">
      <w:pPr>
        <w:pStyle w:val="TOC2"/>
        <w:tabs>
          <w:tab w:val="left" w:pos="880"/>
          <w:tab w:val="right" w:leader="dot" w:pos="9061"/>
        </w:tabs>
        <w:rPr>
          <w:rFonts w:eastAsiaTheme="minorEastAsia"/>
          <w:bCs/>
          <w:noProof/>
          <w:lang w:eastAsia="en-NZ"/>
        </w:rPr>
      </w:pPr>
      <w:hyperlink w:anchor="_Toc112768162" w:history="1">
        <w:r w:rsidRPr="008234C5">
          <w:rPr>
            <w:rStyle w:val="Hyperlink"/>
            <w:bCs/>
            <w:noProof/>
          </w:rPr>
          <w:t>11.1</w:t>
        </w:r>
        <w:r w:rsidRPr="008234C5">
          <w:rPr>
            <w:rFonts w:eastAsiaTheme="minorEastAsia"/>
            <w:bCs/>
            <w:noProof/>
            <w:lang w:eastAsia="en-NZ"/>
          </w:rPr>
          <w:tab/>
        </w:r>
        <w:r w:rsidRPr="008234C5">
          <w:rPr>
            <w:rStyle w:val="Hyperlink"/>
            <w:bCs/>
            <w:noProof/>
          </w:rPr>
          <w:t>Landfills, waste dumps and landfill mining</w:t>
        </w:r>
        <w:r w:rsidRPr="008234C5">
          <w:rPr>
            <w:bCs/>
            <w:noProof/>
            <w:webHidden/>
          </w:rPr>
          <w:tab/>
        </w:r>
        <w:r w:rsidRPr="008234C5">
          <w:rPr>
            <w:bCs/>
            <w:noProof/>
            <w:webHidden/>
          </w:rPr>
          <w:fldChar w:fldCharType="begin"/>
        </w:r>
        <w:r w:rsidRPr="008234C5">
          <w:rPr>
            <w:bCs/>
            <w:noProof/>
            <w:webHidden/>
          </w:rPr>
          <w:instrText xml:space="preserve"> PAGEREF _Toc112768162 \h </w:instrText>
        </w:r>
        <w:r w:rsidRPr="008234C5">
          <w:rPr>
            <w:bCs/>
            <w:noProof/>
            <w:webHidden/>
          </w:rPr>
        </w:r>
        <w:r w:rsidRPr="008234C5">
          <w:rPr>
            <w:bCs/>
            <w:noProof/>
            <w:webHidden/>
          </w:rPr>
          <w:fldChar w:fldCharType="separate"/>
        </w:r>
        <w:r w:rsidRPr="008234C5">
          <w:rPr>
            <w:bCs/>
            <w:noProof/>
            <w:webHidden/>
          </w:rPr>
          <w:t>65</w:t>
        </w:r>
        <w:r w:rsidRPr="008234C5">
          <w:rPr>
            <w:bCs/>
            <w:noProof/>
            <w:webHidden/>
          </w:rPr>
          <w:fldChar w:fldCharType="end"/>
        </w:r>
      </w:hyperlink>
    </w:p>
    <w:p w14:paraId="2BF95D84" w14:textId="26B3E29B" w:rsidR="003E6DEE" w:rsidRPr="008234C5" w:rsidRDefault="003E6DEE">
      <w:pPr>
        <w:pStyle w:val="TOC2"/>
        <w:tabs>
          <w:tab w:val="left" w:pos="880"/>
          <w:tab w:val="right" w:leader="dot" w:pos="9061"/>
        </w:tabs>
        <w:rPr>
          <w:rFonts w:eastAsiaTheme="minorEastAsia"/>
          <w:bCs/>
          <w:noProof/>
          <w:lang w:eastAsia="en-NZ"/>
        </w:rPr>
      </w:pPr>
      <w:hyperlink w:anchor="_Toc112768163" w:history="1">
        <w:r w:rsidRPr="008234C5">
          <w:rPr>
            <w:rStyle w:val="Hyperlink"/>
            <w:bCs/>
            <w:noProof/>
          </w:rPr>
          <w:t>11.2</w:t>
        </w:r>
        <w:r w:rsidRPr="008234C5">
          <w:rPr>
            <w:rFonts w:eastAsiaTheme="minorEastAsia"/>
            <w:bCs/>
            <w:noProof/>
            <w:lang w:eastAsia="en-NZ"/>
          </w:rPr>
          <w:tab/>
        </w:r>
        <w:r w:rsidRPr="008234C5">
          <w:rPr>
            <w:rStyle w:val="Hyperlink"/>
            <w:bCs/>
            <w:noProof/>
          </w:rPr>
          <w:t>Sewage/sewage treatment</w:t>
        </w:r>
        <w:r w:rsidRPr="008234C5">
          <w:rPr>
            <w:bCs/>
            <w:noProof/>
            <w:webHidden/>
          </w:rPr>
          <w:tab/>
        </w:r>
        <w:r w:rsidRPr="008234C5">
          <w:rPr>
            <w:bCs/>
            <w:noProof/>
            <w:webHidden/>
          </w:rPr>
          <w:fldChar w:fldCharType="begin"/>
        </w:r>
        <w:r w:rsidRPr="008234C5">
          <w:rPr>
            <w:bCs/>
            <w:noProof/>
            <w:webHidden/>
          </w:rPr>
          <w:instrText xml:space="preserve"> PAGEREF _Toc112768163 \h </w:instrText>
        </w:r>
        <w:r w:rsidRPr="008234C5">
          <w:rPr>
            <w:bCs/>
            <w:noProof/>
            <w:webHidden/>
          </w:rPr>
        </w:r>
        <w:r w:rsidRPr="008234C5">
          <w:rPr>
            <w:bCs/>
            <w:noProof/>
            <w:webHidden/>
          </w:rPr>
          <w:fldChar w:fldCharType="separate"/>
        </w:r>
        <w:r w:rsidRPr="008234C5">
          <w:rPr>
            <w:bCs/>
            <w:noProof/>
            <w:webHidden/>
          </w:rPr>
          <w:t>66</w:t>
        </w:r>
        <w:r w:rsidRPr="008234C5">
          <w:rPr>
            <w:bCs/>
            <w:noProof/>
            <w:webHidden/>
          </w:rPr>
          <w:fldChar w:fldCharType="end"/>
        </w:r>
      </w:hyperlink>
    </w:p>
    <w:p w14:paraId="1885561D" w14:textId="05305CD3" w:rsidR="003E6DEE" w:rsidRPr="008234C5" w:rsidRDefault="003E6DEE">
      <w:pPr>
        <w:pStyle w:val="TOC2"/>
        <w:tabs>
          <w:tab w:val="left" w:pos="880"/>
          <w:tab w:val="right" w:leader="dot" w:pos="9061"/>
        </w:tabs>
        <w:rPr>
          <w:rFonts w:eastAsiaTheme="minorEastAsia"/>
          <w:bCs/>
          <w:noProof/>
          <w:lang w:eastAsia="en-NZ"/>
        </w:rPr>
      </w:pPr>
      <w:hyperlink w:anchor="_Toc112768164" w:history="1">
        <w:r w:rsidRPr="008234C5">
          <w:rPr>
            <w:rStyle w:val="Hyperlink"/>
            <w:bCs/>
            <w:noProof/>
          </w:rPr>
          <w:t>11.3</w:t>
        </w:r>
        <w:r w:rsidRPr="008234C5">
          <w:rPr>
            <w:rFonts w:eastAsiaTheme="minorEastAsia"/>
            <w:bCs/>
            <w:noProof/>
            <w:lang w:eastAsia="en-NZ"/>
          </w:rPr>
          <w:tab/>
        </w:r>
        <w:r w:rsidRPr="008234C5">
          <w:rPr>
            <w:rStyle w:val="Hyperlink"/>
            <w:bCs/>
            <w:noProof/>
          </w:rPr>
          <w:t>Open water dumping</w:t>
        </w:r>
        <w:r w:rsidRPr="008234C5">
          <w:rPr>
            <w:bCs/>
            <w:noProof/>
            <w:webHidden/>
          </w:rPr>
          <w:tab/>
        </w:r>
        <w:r w:rsidRPr="008234C5">
          <w:rPr>
            <w:bCs/>
            <w:noProof/>
            <w:webHidden/>
          </w:rPr>
          <w:fldChar w:fldCharType="begin"/>
        </w:r>
        <w:r w:rsidRPr="008234C5">
          <w:rPr>
            <w:bCs/>
            <w:noProof/>
            <w:webHidden/>
          </w:rPr>
          <w:instrText xml:space="preserve"> PAGEREF _Toc112768164 \h </w:instrText>
        </w:r>
        <w:r w:rsidRPr="008234C5">
          <w:rPr>
            <w:bCs/>
            <w:noProof/>
            <w:webHidden/>
          </w:rPr>
        </w:r>
        <w:r w:rsidRPr="008234C5">
          <w:rPr>
            <w:bCs/>
            <w:noProof/>
            <w:webHidden/>
          </w:rPr>
          <w:fldChar w:fldCharType="separate"/>
        </w:r>
        <w:r w:rsidRPr="008234C5">
          <w:rPr>
            <w:bCs/>
            <w:noProof/>
            <w:webHidden/>
          </w:rPr>
          <w:t>69</w:t>
        </w:r>
        <w:r w:rsidRPr="008234C5">
          <w:rPr>
            <w:bCs/>
            <w:noProof/>
            <w:webHidden/>
          </w:rPr>
          <w:fldChar w:fldCharType="end"/>
        </w:r>
      </w:hyperlink>
    </w:p>
    <w:p w14:paraId="4E45631C" w14:textId="6D545448" w:rsidR="003E6DEE" w:rsidRPr="008234C5" w:rsidRDefault="003E6DEE">
      <w:pPr>
        <w:pStyle w:val="TOC2"/>
        <w:tabs>
          <w:tab w:val="left" w:pos="880"/>
          <w:tab w:val="right" w:leader="dot" w:pos="9061"/>
        </w:tabs>
        <w:rPr>
          <w:rFonts w:eastAsiaTheme="minorEastAsia"/>
          <w:bCs/>
          <w:noProof/>
          <w:lang w:eastAsia="en-NZ"/>
        </w:rPr>
      </w:pPr>
      <w:hyperlink w:anchor="_Toc112768165" w:history="1">
        <w:r w:rsidRPr="008234C5">
          <w:rPr>
            <w:rStyle w:val="Hyperlink"/>
            <w:bCs/>
            <w:noProof/>
          </w:rPr>
          <w:t>11.4</w:t>
        </w:r>
        <w:r w:rsidRPr="008234C5">
          <w:rPr>
            <w:rFonts w:eastAsiaTheme="minorEastAsia"/>
            <w:bCs/>
            <w:noProof/>
            <w:lang w:eastAsia="en-NZ"/>
          </w:rPr>
          <w:tab/>
        </w:r>
        <w:r w:rsidRPr="008234C5">
          <w:rPr>
            <w:rStyle w:val="Hyperlink"/>
            <w:bCs/>
            <w:noProof/>
          </w:rPr>
          <w:t>Composting</w:t>
        </w:r>
        <w:r w:rsidRPr="008234C5">
          <w:rPr>
            <w:bCs/>
            <w:noProof/>
            <w:webHidden/>
          </w:rPr>
          <w:tab/>
        </w:r>
        <w:r w:rsidRPr="008234C5">
          <w:rPr>
            <w:bCs/>
            <w:noProof/>
            <w:webHidden/>
          </w:rPr>
          <w:fldChar w:fldCharType="begin"/>
        </w:r>
        <w:r w:rsidRPr="008234C5">
          <w:rPr>
            <w:bCs/>
            <w:noProof/>
            <w:webHidden/>
          </w:rPr>
          <w:instrText xml:space="preserve"> PAGEREF _Toc112768165 \h </w:instrText>
        </w:r>
        <w:r w:rsidRPr="008234C5">
          <w:rPr>
            <w:bCs/>
            <w:noProof/>
            <w:webHidden/>
          </w:rPr>
        </w:r>
        <w:r w:rsidRPr="008234C5">
          <w:rPr>
            <w:bCs/>
            <w:noProof/>
            <w:webHidden/>
          </w:rPr>
          <w:fldChar w:fldCharType="separate"/>
        </w:r>
        <w:r w:rsidRPr="008234C5">
          <w:rPr>
            <w:bCs/>
            <w:noProof/>
            <w:webHidden/>
          </w:rPr>
          <w:t>69</w:t>
        </w:r>
        <w:r w:rsidRPr="008234C5">
          <w:rPr>
            <w:bCs/>
            <w:noProof/>
            <w:webHidden/>
          </w:rPr>
          <w:fldChar w:fldCharType="end"/>
        </w:r>
      </w:hyperlink>
    </w:p>
    <w:p w14:paraId="56F81B70" w14:textId="31367E5C" w:rsidR="003E6DEE" w:rsidRPr="008234C5" w:rsidRDefault="003E6DEE">
      <w:pPr>
        <w:pStyle w:val="TOC2"/>
        <w:tabs>
          <w:tab w:val="left" w:pos="880"/>
          <w:tab w:val="right" w:leader="dot" w:pos="9061"/>
        </w:tabs>
        <w:rPr>
          <w:rFonts w:eastAsiaTheme="minorEastAsia"/>
          <w:bCs/>
          <w:noProof/>
          <w:lang w:eastAsia="en-NZ"/>
        </w:rPr>
      </w:pPr>
      <w:hyperlink w:anchor="_Toc112768166" w:history="1">
        <w:r w:rsidRPr="008234C5">
          <w:rPr>
            <w:rStyle w:val="Hyperlink"/>
            <w:bCs/>
            <w:noProof/>
          </w:rPr>
          <w:t>11.5</w:t>
        </w:r>
        <w:r w:rsidRPr="008234C5">
          <w:rPr>
            <w:rFonts w:eastAsiaTheme="minorEastAsia"/>
            <w:bCs/>
            <w:noProof/>
            <w:lang w:eastAsia="en-NZ"/>
          </w:rPr>
          <w:tab/>
        </w:r>
        <w:r w:rsidRPr="008234C5">
          <w:rPr>
            <w:rStyle w:val="Hyperlink"/>
            <w:bCs/>
            <w:noProof/>
          </w:rPr>
          <w:t>Waste oil disposal</w:t>
        </w:r>
        <w:r w:rsidRPr="008234C5">
          <w:rPr>
            <w:bCs/>
            <w:noProof/>
            <w:webHidden/>
          </w:rPr>
          <w:tab/>
        </w:r>
        <w:r w:rsidRPr="008234C5">
          <w:rPr>
            <w:bCs/>
            <w:noProof/>
            <w:webHidden/>
          </w:rPr>
          <w:fldChar w:fldCharType="begin"/>
        </w:r>
        <w:r w:rsidRPr="008234C5">
          <w:rPr>
            <w:bCs/>
            <w:noProof/>
            <w:webHidden/>
          </w:rPr>
          <w:instrText xml:space="preserve"> PAGEREF _Toc112768166 \h </w:instrText>
        </w:r>
        <w:r w:rsidRPr="008234C5">
          <w:rPr>
            <w:bCs/>
            <w:noProof/>
            <w:webHidden/>
          </w:rPr>
        </w:r>
        <w:r w:rsidRPr="008234C5">
          <w:rPr>
            <w:bCs/>
            <w:noProof/>
            <w:webHidden/>
          </w:rPr>
          <w:fldChar w:fldCharType="separate"/>
        </w:r>
        <w:r w:rsidRPr="008234C5">
          <w:rPr>
            <w:bCs/>
            <w:noProof/>
            <w:webHidden/>
          </w:rPr>
          <w:t>69</w:t>
        </w:r>
        <w:r w:rsidRPr="008234C5">
          <w:rPr>
            <w:bCs/>
            <w:noProof/>
            <w:webHidden/>
          </w:rPr>
          <w:fldChar w:fldCharType="end"/>
        </w:r>
      </w:hyperlink>
    </w:p>
    <w:p w14:paraId="0741719B" w14:textId="33141AF8" w:rsidR="003E6DEE" w:rsidRPr="008234C5" w:rsidRDefault="003E6DEE">
      <w:pPr>
        <w:pStyle w:val="TOC2"/>
        <w:tabs>
          <w:tab w:val="left" w:pos="880"/>
          <w:tab w:val="right" w:leader="dot" w:pos="9061"/>
        </w:tabs>
        <w:rPr>
          <w:rFonts w:eastAsiaTheme="minorEastAsia"/>
          <w:bCs/>
          <w:noProof/>
          <w:lang w:eastAsia="en-NZ"/>
        </w:rPr>
      </w:pPr>
      <w:hyperlink w:anchor="_Toc112768167" w:history="1">
        <w:r w:rsidRPr="008234C5">
          <w:rPr>
            <w:rStyle w:val="Hyperlink"/>
            <w:bCs/>
            <w:noProof/>
          </w:rPr>
          <w:t>11.6</w:t>
        </w:r>
        <w:r w:rsidRPr="008234C5">
          <w:rPr>
            <w:rFonts w:eastAsiaTheme="minorEastAsia"/>
            <w:bCs/>
            <w:noProof/>
            <w:lang w:eastAsia="en-NZ"/>
          </w:rPr>
          <w:tab/>
        </w:r>
        <w:r w:rsidRPr="008234C5">
          <w:rPr>
            <w:rStyle w:val="Hyperlink"/>
            <w:bCs/>
            <w:noProof/>
          </w:rPr>
          <w:t>Summary for this category</w:t>
        </w:r>
        <w:r w:rsidRPr="008234C5">
          <w:rPr>
            <w:bCs/>
            <w:noProof/>
            <w:webHidden/>
          </w:rPr>
          <w:tab/>
        </w:r>
        <w:r w:rsidRPr="008234C5">
          <w:rPr>
            <w:bCs/>
            <w:noProof/>
            <w:webHidden/>
          </w:rPr>
          <w:fldChar w:fldCharType="begin"/>
        </w:r>
        <w:r w:rsidRPr="008234C5">
          <w:rPr>
            <w:bCs/>
            <w:noProof/>
            <w:webHidden/>
          </w:rPr>
          <w:instrText xml:space="preserve"> PAGEREF _Toc112768167 \h </w:instrText>
        </w:r>
        <w:r w:rsidRPr="008234C5">
          <w:rPr>
            <w:bCs/>
            <w:noProof/>
            <w:webHidden/>
          </w:rPr>
        </w:r>
        <w:r w:rsidRPr="008234C5">
          <w:rPr>
            <w:bCs/>
            <w:noProof/>
            <w:webHidden/>
          </w:rPr>
          <w:fldChar w:fldCharType="separate"/>
        </w:r>
        <w:r w:rsidRPr="008234C5">
          <w:rPr>
            <w:bCs/>
            <w:noProof/>
            <w:webHidden/>
          </w:rPr>
          <w:t>70</w:t>
        </w:r>
        <w:r w:rsidRPr="008234C5">
          <w:rPr>
            <w:bCs/>
            <w:noProof/>
            <w:webHidden/>
          </w:rPr>
          <w:fldChar w:fldCharType="end"/>
        </w:r>
      </w:hyperlink>
    </w:p>
    <w:p w14:paraId="74AFF995" w14:textId="26D6ECB0" w:rsidR="003E6DEE" w:rsidRPr="008234C5" w:rsidRDefault="003E6DEE" w:rsidP="008234C5">
      <w:pPr>
        <w:pStyle w:val="TOC1"/>
        <w:rPr>
          <w:rFonts w:eastAsiaTheme="minorEastAsia"/>
          <w:lang w:val="en-NZ" w:eastAsia="en-NZ"/>
        </w:rPr>
      </w:pPr>
      <w:hyperlink w:anchor="_Toc112768168" w:history="1">
        <w:r w:rsidRPr="008234C5">
          <w:rPr>
            <w:rStyle w:val="Hyperlink"/>
            <w:rFonts w:ascii="Times New Roman" w:hAnsi="Times New Roman" w:cs="Times New Roman"/>
            <w:b w:val="0"/>
            <w:bCs/>
          </w:rPr>
          <w:t>12</w:t>
        </w:r>
        <w:r w:rsidRPr="008234C5">
          <w:rPr>
            <w:rFonts w:eastAsiaTheme="minorEastAsia"/>
            <w:lang w:val="en-NZ" w:eastAsia="en-NZ"/>
          </w:rPr>
          <w:tab/>
        </w:r>
        <w:r w:rsidRPr="008234C5">
          <w:rPr>
            <w:rStyle w:val="Hyperlink"/>
            <w:rFonts w:ascii="Times New Roman" w:hAnsi="Times New Roman" w:cs="Times New Roman"/>
            <w:b w:val="0"/>
            <w:bCs/>
          </w:rPr>
          <w:t>Contaminated sites and hotspots</w:t>
        </w:r>
        <w:r w:rsidRPr="008234C5">
          <w:rPr>
            <w:webHidden/>
          </w:rPr>
          <w:tab/>
        </w:r>
        <w:r w:rsidRPr="008234C5">
          <w:rPr>
            <w:webHidden/>
          </w:rPr>
          <w:fldChar w:fldCharType="begin"/>
        </w:r>
        <w:r w:rsidRPr="008234C5">
          <w:rPr>
            <w:webHidden/>
          </w:rPr>
          <w:instrText xml:space="preserve"> PAGEREF _Toc112768168 \h </w:instrText>
        </w:r>
        <w:r w:rsidRPr="008234C5">
          <w:rPr>
            <w:webHidden/>
          </w:rPr>
        </w:r>
        <w:r w:rsidRPr="008234C5">
          <w:rPr>
            <w:webHidden/>
          </w:rPr>
          <w:fldChar w:fldCharType="separate"/>
        </w:r>
        <w:r w:rsidRPr="008234C5">
          <w:rPr>
            <w:webHidden/>
          </w:rPr>
          <w:t>71</w:t>
        </w:r>
        <w:r w:rsidRPr="008234C5">
          <w:rPr>
            <w:webHidden/>
          </w:rPr>
          <w:fldChar w:fldCharType="end"/>
        </w:r>
      </w:hyperlink>
    </w:p>
    <w:p w14:paraId="1E06C4C3" w14:textId="087ED98F" w:rsidR="003E6DEE" w:rsidRPr="008234C5" w:rsidRDefault="003E6DEE">
      <w:pPr>
        <w:pStyle w:val="TOC2"/>
        <w:tabs>
          <w:tab w:val="left" w:pos="880"/>
          <w:tab w:val="right" w:leader="dot" w:pos="9061"/>
        </w:tabs>
        <w:rPr>
          <w:rFonts w:eastAsiaTheme="minorEastAsia"/>
          <w:bCs/>
          <w:noProof/>
          <w:lang w:eastAsia="en-NZ"/>
        </w:rPr>
      </w:pPr>
      <w:hyperlink w:anchor="_Toc112768169" w:history="1">
        <w:r w:rsidRPr="008234C5">
          <w:rPr>
            <w:rStyle w:val="Hyperlink"/>
            <w:bCs/>
            <w:noProof/>
            <w:lang w:val="en-US"/>
          </w:rPr>
          <w:t>12.1</w:t>
        </w:r>
        <w:r w:rsidRPr="008234C5">
          <w:rPr>
            <w:rFonts w:eastAsiaTheme="minorEastAsia"/>
            <w:bCs/>
            <w:noProof/>
            <w:lang w:eastAsia="en-NZ"/>
          </w:rPr>
          <w:tab/>
        </w:r>
        <w:r w:rsidRPr="008234C5">
          <w:rPr>
            <w:rStyle w:val="Hyperlink"/>
            <w:bCs/>
            <w:noProof/>
            <w:lang w:val="en-US"/>
          </w:rPr>
          <w:t>Pesticide manufacture</w:t>
        </w:r>
        <w:r w:rsidRPr="008234C5">
          <w:rPr>
            <w:bCs/>
            <w:noProof/>
            <w:webHidden/>
          </w:rPr>
          <w:tab/>
        </w:r>
        <w:r w:rsidRPr="008234C5">
          <w:rPr>
            <w:bCs/>
            <w:noProof/>
            <w:webHidden/>
          </w:rPr>
          <w:fldChar w:fldCharType="begin"/>
        </w:r>
        <w:r w:rsidRPr="008234C5">
          <w:rPr>
            <w:bCs/>
            <w:noProof/>
            <w:webHidden/>
          </w:rPr>
          <w:instrText xml:space="preserve"> PAGEREF _Toc112768169 \h </w:instrText>
        </w:r>
        <w:r w:rsidRPr="008234C5">
          <w:rPr>
            <w:bCs/>
            <w:noProof/>
            <w:webHidden/>
          </w:rPr>
        </w:r>
        <w:r w:rsidRPr="008234C5">
          <w:rPr>
            <w:bCs/>
            <w:noProof/>
            <w:webHidden/>
          </w:rPr>
          <w:fldChar w:fldCharType="separate"/>
        </w:r>
        <w:r w:rsidRPr="008234C5">
          <w:rPr>
            <w:bCs/>
            <w:noProof/>
            <w:webHidden/>
          </w:rPr>
          <w:t>71</w:t>
        </w:r>
        <w:r w:rsidRPr="008234C5">
          <w:rPr>
            <w:bCs/>
            <w:noProof/>
            <w:webHidden/>
          </w:rPr>
          <w:fldChar w:fldCharType="end"/>
        </w:r>
      </w:hyperlink>
    </w:p>
    <w:p w14:paraId="04B73B98" w14:textId="6B5A308C" w:rsidR="003E6DEE" w:rsidRPr="008234C5" w:rsidRDefault="003E6DEE">
      <w:pPr>
        <w:pStyle w:val="TOC2"/>
        <w:tabs>
          <w:tab w:val="left" w:pos="880"/>
          <w:tab w:val="right" w:leader="dot" w:pos="9061"/>
        </w:tabs>
        <w:rPr>
          <w:rFonts w:eastAsiaTheme="minorEastAsia"/>
          <w:bCs/>
          <w:noProof/>
          <w:lang w:eastAsia="en-NZ"/>
        </w:rPr>
      </w:pPr>
      <w:hyperlink w:anchor="_Toc112768170" w:history="1">
        <w:r w:rsidRPr="008234C5">
          <w:rPr>
            <w:rStyle w:val="Hyperlink"/>
            <w:bCs/>
            <w:noProof/>
            <w:lang w:val="en-US"/>
          </w:rPr>
          <w:t>12.2</w:t>
        </w:r>
        <w:r w:rsidRPr="008234C5">
          <w:rPr>
            <w:rFonts w:eastAsiaTheme="minorEastAsia"/>
            <w:bCs/>
            <w:noProof/>
            <w:lang w:eastAsia="en-NZ"/>
          </w:rPr>
          <w:tab/>
        </w:r>
        <w:r w:rsidRPr="008234C5">
          <w:rPr>
            <w:rStyle w:val="Hyperlink"/>
            <w:bCs/>
            <w:noProof/>
            <w:lang w:val="en-US"/>
          </w:rPr>
          <w:t>Historical use of 2,4,5-T</w:t>
        </w:r>
        <w:r w:rsidRPr="008234C5">
          <w:rPr>
            <w:bCs/>
            <w:noProof/>
            <w:webHidden/>
          </w:rPr>
          <w:tab/>
        </w:r>
        <w:r w:rsidRPr="008234C5">
          <w:rPr>
            <w:bCs/>
            <w:noProof/>
            <w:webHidden/>
          </w:rPr>
          <w:fldChar w:fldCharType="begin"/>
        </w:r>
        <w:r w:rsidRPr="008234C5">
          <w:rPr>
            <w:bCs/>
            <w:noProof/>
            <w:webHidden/>
          </w:rPr>
          <w:instrText xml:space="preserve"> PAGEREF _Toc112768170 \h </w:instrText>
        </w:r>
        <w:r w:rsidRPr="008234C5">
          <w:rPr>
            <w:bCs/>
            <w:noProof/>
            <w:webHidden/>
          </w:rPr>
        </w:r>
        <w:r w:rsidRPr="008234C5">
          <w:rPr>
            <w:bCs/>
            <w:noProof/>
            <w:webHidden/>
          </w:rPr>
          <w:fldChar w:fldCharType="separate"/>
        </w:r>
        <w:r w:rsidRPr="008234C5">
          <w:rPr>
            <w:bCs/>
            <w:noProof/>
            <w:webHidden/>
          </w:rPr>
          <w:t>71</w:t>
        </w:r>
        <w:r w:rsidRPr="008234C5">
          <w:rPr>
            <w:bCs/>
            <w:noProof/>
            <w:webHidden/>
          </w:rPr>
          <w:fldChar w:fldCharType="end"/>
        </w:r>
      </w:hyperlink>
    </w:p>
    <w:p w14:paraId="0475E607" w14:textId="7CF1391B" w:rsidR="003E6DEE" w:rsidRPr="008234C5" w:rsidRDefault="003E6DEE">
      <w:pPr>
        <w:pStyle w:val="TOC2"/>
        <w:tabs>
          <w:tab w:val="left" w:pos="880"/>
          <w:tab w:val="right" w:leader="dot" w:pos="9061"/>
        </w:tabs>
        <w:rPr>
          <w:rFonts w:eastAsiaTheme="minorEastAsia"/>
          <w:bCs/>
          <w:noProof/>
          <w:lang w:eastAsia="en-NZ"/>
        </w:rPr>
      </w:pPr>
      <w:hyperlink w:anchor="_Toc112768171" w:history="1">
        <w:r w:rsidRPr="008234C5">
          <w:rPr>
            <w:rStyle w:val="Hyperlink"/>
            <w:bCs/>
            <w:noProof/>
            <w:lang w:val="en-US"/>
          </w:rPr>
          <w:t>12.3</w:t>
        </w:r>
        <w:r w:rsidRPr="008234C5">
          <w:rPr>
            <w:rFonts w:eastAsiaTheme="minorEastAsia"/>
            <w:bCs/>
            <w:noProof/>
            <w:lang w:eastAsia="en-NZ"/>
          </w:rPr>
          <w:tab/>
        </w:r>
        <w:r w:rsidRPr="008234C5">
          <w:rPr>
            <w:rStyle w:val="Hyperlink"/>
            <w:bCs/>
            <w:noProof/>
            <w:lang w:val="en-US"/>
          </w:rPr>
          <w:t>Historical use of pentachlorophenol for timber treatment</w:t>
        </w:r>
        <w:r w:rsidRPr="008234C5">
          <w:rPr>
            <w:bCs/>
            <w:noProof/>
            <w:webHidden/>
          </w:rPr>
          <w:tab/>
        </w:r>
        <w:r w:rsidRPr="008234C5">
          <w:rPr>
            <w:bCs/>
            <w:noProof/>
            <w:webHidden/>
          </w:rPr>
          <w:fldChar w:fldCharType="begin"/>
        </w:r>
        <w:r w:rsidRPr="008234C5">
          <w:rPr>
            <w:bCs/>
            <w:noProof/>
            <w:webHidden/>
          </w:rPr>
          <w:instrText xml:space="preserve"> PAGEREF _Toc112768171 \h </w:instrText>
        </w:r>
        <w:r w:rsidRPr="008234C5">
          <w:rPr>
            <w:bCs/>
            <w:noProof/>
            <w:webHidden/>
          </w:rPr>
        </w:r>
        <w:r w:rsidRPr="008234C5">
          <w:rPr>
            <w:bCs/>
            <w:noProof/>
            <w:webHidden/>
          </w:rPr>
          <w:fldChar w:fldCharType="separate"/>
        </w:r>
        <w:r w:rsidRPr="008234C5">
          <w:rPr>
            <w:bCs/>
            <w:noProof/>
            <w:webHidden/>
          </w:rPr>
          <w:t>72</w:t>
        </w:r>
        <w:r w:rsidRPr="008234C5">
          <w:rPr>
            <w:bCs/>
            <w:noProof/>
            <w:webHidden/>
          </w:rPr>
          <w:fldChar w:fldCharType="end"/>
        </w:r>
      </w:hyperlink>
    </w:p>
    <w:p w14:paraId="3A0649AC" w14:textId="60BC7363" w:rsidR="003E6DEE" w:rsidRPr="008234C5" w:rsidRDefault="003E6DEE">
      <w:pPr>
        <w:pStyle w:val="TOC2"/>
        <w:tabs>
          <w:tab w:val="left" w:pos="880"/>
          <w:tab w:val="right" w:leader="dot" w:pos="9061"/>
        </w:tabs>
        <w:rPr>
          <w:rFonts w:eastAsiaTheme="minorEastAsia"/>
          <w:bCs/>
          <w:noProof/>
          <w:lang w:eastAsia="en-NZ"/>
        </w:rPr>
      </w:pPr>
      <w:hyperlink w:anchor="_Toc112768172" w:history="1">
        <w:r w:rsidRPr="008234C5">
          <w:rPr>
            <w:rStyle w:val="Hyperlink"/>
            <w:bCs/>
            <w:noProof/>
            <w:lang w:val="en-US"/>
          </w:rPr>
          <w:t>12.4</w:t>
        </w:r>
        <w:r w:rsidRPr="008234C5">
          <w:rPr>
            <w:rFonts w:eastAsiaTheme="minorEastAsia"/>
            <w:bCs/>
            <w:noProof/>
            <w:lang w:eastAsia="en-NZ"/>
          </w:rPr>
          <w:tab/>
        </w:r>
        <w:r w:rsidRPr="008234C5">
          <w:rPr>
            <w:rStyle w:val="Hyperlink"/>
            <w:bCs/>
            <w:noProof/>
            <w:lang w:val="en-US"/>
          </w:rPr>
          <w:t>Gasworks sites</w:t>
        </w:r>
        <w:r w:rsidRPr="008234C5">
          <w:rPr>
            <w:bCs/>
            <w:noProof/>
            <w:webHidden/>
          </w:rPr>
          <w:tab/>
        </w:r>
        <w:r w:rsidRPr="008234C5">
          <w:rPr>
            <w:bCs/>
            <w:noProof/>
            <w:webHidden/>
          </w:rPr>
          <w:fldChar w:fldCharType="begin"/>
        </w:r>
        <w:r w:rsidRPr="008234C5">
          <w:rPr>
            <w:bCs/>
            <w:noProof/>
            <w:webHidden/>
          </w:rPr>
          <w:instrText xml:space="preserve"> PAGEREF _Toc112768172 \h </w:instrText>
        </w:r>
        <w:r w:rsidRPr="008234C5">
          <w:rPr>
            <w:bCs/>
            <w:noProof/>
            <w:webHidden/>
          </w:rPr>
        </w:r>
        <w:r w:rsidRPr="008234C5">
          <w:rPr>
            <w:bCs/>
            <w:noProof/>
            <w:webHidden/>
          </w:rPr>
          <w:fldChar w:fldCharType="separate"/>
        </w:r>
        <w:r w:rsidRPr="008234C5">
          <w:rPr>
            <w:bCs/>
            <w:noProof/>
            <w:webHidden/>
          </w:rPr>
          <w:t>72</w:t>
        </w:r>
        <w:r w:rsidRPr="008234C5">
          <w:rPr>
            <w:bCs/>
            <w:noProof/>
            <w:webHidden/>
          </w:rPr>
          <w:fldChar w:fldCharType="end"/>
        </w:r>
      </w:hyperlink>
    </w:p>
    <w:p w14:paraId="1E452EFE" w14:textId="35FCD329" w:rsidR="003E6DEE" w:rsidRPr="008234C5" w:rsidRDefault="003E6DEE">
      <w:pPr>
        <w:pStyle w:val="TOC2"/>
        <w:tabs>
          <w:tab w:val="left" w:pos="880"/>
          <w:tab w:val="right" w:leader="dot" w:pos="9061"/>
        </w:tabs>
        <w:rPr>
          <w:rFonts w:eastAsiaTheme="minorEastAsia"/>
          <w:bCs/>
          <w:noProof/>
          <w:lang w:eastAsia="en-NZ"/>
        </w:rPr>
      </w:pPr>
      <w:hyperlink w:anchor="_Toc112768173" w:history="1">
        <w:r w:rsidRPr="008234C5">
          <w:rPr>
            <w:rStyle w:val="Hyperlink"/>
            <w:bCs/>
            <w:noProof/>
            <w:lang w:val="en-US"/>
          </w:rPr>
          <w:t>12.5</w:t>
        </w:r>
        <w:r w:rsidRPr="008234C5">
          <w:rPr>
            <w:rFonts w:eastAsiaTheme="minorEastAsia"/>
            <w:bCs/>
            <w:noProof/>
            <w:lang w:eastAsia="en-NZ"/>
          </w:rPr>
          <w:tab/>
        </w:r>
        <w:r w:rsidRPr="008234C5">
          <w:rPr>
            <w:rStyle w:val="Hyperlink"/>
            <w:bCs/>
            <w:noProof/>
            <w:lang w:val="en-US"/>
          </w:rPr>
          <w:t>Landfills</w:t>
        </w:r>
        <w:r w:rsidRPr="008234C5">
          <w:rPr>
            <w:bCs/>
            <w:noProof/>
            <w:webHidden/>
          </w:rPr>
          <w:tab/>
        </w:r>
        <w:r w:rsidRPr="008234C5">
          <w:rPr>
            <w:bCs/>
            <w:noProof/>
            <w:webHidden/>
          </w:rPr>
          <w:fldChar w:fldCharType="begin"/>
        </w:r>
        <w:r w:rsidRPr="008234C5">
          <w:rPr>
            <w:bCs/>
            <w:noProof/>
            <w:webHidden/>
          </w:rPr>
          <w:instrText xml:space="preserve"> PAGEREF _Toc112768173 \h </w:instrText>
        </w:r>
        <w:r w:rsidRPr="008234C5">
          <w:rPr>
            <w:bCs/>
            <w:noProof/>
            <w:webHidden/>
          </w:rPr>
        </w:r>
        <w:r w:rsidRPr="008234C5">
          <w:rPr>
            <w:bCs/>
            <w:noProof/>
            <w:webHidden/>
          </w:rPr>
          <w:fldChar w:fldCharType="separate"/>
        </w:r>
        <w:r w:rsidRPr="008234C5">
          <w:rPr>
            <w:bCs/>
            <w:noProof/>
            <w:webHidden/>
          </w:rPr>
          <w:t>72</w:t>
        </w:r>
        <w:r w:rsidRPr="008234C5">
          <w:rPr>
            <w:bCs/>
            <w:noProof/>
            <w:webHidden/>
          </w:rPr>
          <w:fldChar w:fldCharType="end"/>
        </w:r>
      </w:hyperlink>
    </w:p>
    <w:p w14:paraId="5F288224" w14:textId="31B25CDC" w:rsidR="003E6DEE" w:rsidRPr="008234C5" w:rsidRDefault="003E6DEE" w:rsidP="008234C5">
      <w:pPr>
        <w:pStyle w:val="TOC1"/>
        <w:rPr>
          <w:rFonts w:eastAsiaTheme="minorEastAsia"/>
          <w:lang w:val="en-NZ" w:eastAsia="en-NZ"/>
        </w:rPr>
      </w:pPr>
      <w:hyperlink w:anchor="_Toc112768174" w:history="1">
        <w:r w:rsidRPr="008234C5">
          <w:rPr>
            <w:rStyle w:val="Hyperlink"/>
            <w:rFonts w:ascii="Times New Roman" w:hAnsi="Times New Roman" w:cs="Times New Roman"/>
            <w:b w:val="0"/>
            <w:bCs/>
          </w:rPr>
          <w:t>13</w:t>
        </w:r>
        <w:r w:rsidRPr="008234C5">
          <w:rPr>
            <w:rFonts w:eastAsiaTheme="minorEastAsia"/>
            <w:lang w:val="en-NZ" w:eastAsia="en-NZ"/>
          </w:rPr>
          <w:tab/>
        </w:r>
        <w:r w:rsidRPr="008234C5">
          <w:rPr>
            <w:rStyle w:val="Hyperlink"/>
            <w:rFonts w:ascii="Times New Roman" w:hAnsi="Times New Roman" w:cs="Times New Roman"/>
            <w:b w:val="0"/>
            <w:bCs/>
          </w:rPr>
          <w:t>Summary and discussion</w:t>
        </w:r>
        <w:r w:rsidRPr="008234C5">
          <w:rPr>
            <w:webHidden/>
          </w:rPr>
          <w:tab/>
        </w:r>
        <w:r w:rsidRPr="008234C5">
          <w:rPr>
            <w:webHidden/>
          </w:rPr>
          <w:fldChar w:fldCharType="begin"/>
        </w:r>
        <w:r w:rsidRPr="008234C5">
          <w:rPr>
            <w:webHidden/>
          </w:rPr>
          <w:instrText xml:space="preserve"> PAGEREF _Toc112768174 \h </w:instrText>
        </w:r>
        <w:r w:rsidRPr="008234C5">
          <w:rPr>
            <w:webHidden/>
          </w:rPr>
        </w:r>
        <w:r w:rsidRPr="008234C5">
          <w:rPr>
            <w:webHidden/>
          </w:rPr>
          <w:fldChar w:fldCharType="separate"/>
        </w:r>
        <w:r w:rsidRPr="008234C5">
          <w:rPr>
            <w:webHidden/>
          </w:rPr>
          <w:t>73</w:t>
        </w:r>
        <w:r w:rsidRPr="008234C5">
          <w:rPr>
            <w:webHidden/>
          </w:rPr>
          <w:fldChar w:fldCharType="end"/>
        </w:r>
      </w:hyperlink>
    </w:p>
    <w:p w14:paraId="30157DF0" w14:textId="7D6B544A" w:rsidR="003E6DEE" w:rsidRPr="008234C5" w:rsidRDefault="003E6DEE">
      <w:pPr>
        <w:pStyle w:val="TOC2"/>
        <w:tabs>
          <w:tab w:val="left" w:pos="880"/>
          <w:tab w:val="right" w:leader="dot" w:pos="9061"/>
        </w:tabs>
        <w:rPr>
          <w:rFonts w:eastAsiaTheme="minorEastAsia"/>
          <w:bCs/>
          <w:noProof/>
          <w:lang w:eastAsia="en-NZ"/>
        </w:rPr>
      </w:pPr>
      <w:hyperlink w:anchor="_Toc112768175" w:history="1">
        <w:r w:rsidRPr="008234C5">
          <w:rPr>
            <w:rStyle w:val="Hyperlink"/>
            <w:bCs/>
            <w:noProof/>
          </w:rPr>
          <w:t>13.1</w:t>
        </w:r>
        <w:r w:rsidRPr="008234C5">
          <w:rPr>
            <w:rFonts w:eastAsiaTheme="minorEastAsia"/>
            <w:bCs/>
            <w:noProof/>
            <w:lang w:eastAsia="en-NZ"/>
          </w:rPr>
          <w:tab/>
        </w:r>
        <w:r w:rsidRPr="008234C5">
          <w:rPr>
            <w:rStyle w:val="Hyperlink"/>
            <w:bCs/>
            <w:noProof/>
          </w:rPr>
          <w:t>Dioxin Release Estimates for 2020</w:t>
        </w:r>
        <w:r w:rsidRPr="008234C5">
          <w:rPr>
            <w:bCs/>
            <w:noProof/>
            <w:webHidden/>
          </w:rPr>
          <w:tab/>
        </w:r>
        <w:r w:rsidRPr="008234C5">
          <w:rPr>
            <w:bCs/>
            <w:noProof/>
            <w:webHidden/>
          </w:rPr>
          <w:fldChar w:fldCharType="begin"/>
        </w:r>
        <w:r w:rsidRPr="008234C5">
          <w:rPr>
            <w:bCs/>
            <w:noProof/>
            <w:webHidden/>
          </w:rPr>
          <w:instrText xml:space="preserve"> PAGEREF _Toc112768175 \h </w:instrText>
        </w:r>
        <w:r w:rsidRPr="008234C5">
          <w:rPr>
            <w:bCs/>
            <w:noProof/>
            <w:webHidden/>
          </w:rPr>
        </w:r>
        <w:r w:rsidRPr="008234C5">
          <w:rPr>
            <w:bCs/>
            <w:noProof/>
            <w:webHidden/>
          </w:rPr>
          <w:fldChar w:fldCharType="separate"/>
        </w:r>
        <w:r w:rsidRPr="008234C5">
          <w:rPr>
            <w:bCs/>
            <w:noProof/>
            <w:webHidden/>
          </w:rPr>
          <w:t>73</w:t>
        </w:r>
        <w:r w:rsidRPr="008234C5">
          <w:rPr>
            <w:bCs/>
            <w:noProof/>
            <w:webHidden/>
          </w:rPr>
          <w:fldChar w:fldCharType="end"/>
        </w:r>
      </w:hyperlink>
    </w:p>
    <w:p w14:paraId="438D3861" w14:textId="7B11526F" w:rsidR="003E6DEE" w:rsidRPr="008234C5" w:rsidRDefault="003E6DEE">
      <w:pPr>
        <w:pStyle w:val="TOC2"/>
        <w:tabs>
          <w:tab w:val="left" w:pos="880"/>
          <w:tab w:val="right" w:leader="dot" w:pos="9061"/>
        </w:tabs>
        <w:rPr>
          <w:rFonts w:eastAsiaTheme="minorEastAsia"/>
          <w:bCs/>
          <w:noProof/>
          <w:lang w:eastAsia="en-NZ"/>
        </w:rPr>
      </w:pPr>
      <w:hyperlink w:anchor="_Toc112768176" w:history="1">
        <w:r w:rsidRPr="008234C5">
          <w:rPr>
            <w:rStyle w:val="Hyperlink"/>
            <w:bCs/>
            <w:noProof/>
          </w:rPr>
          <w:t>13.2</w:t>
        </w:r>
        <w:r w:rsidRPr="008234C5">
          <w:rPr>
            <w:rFonts w:eastAsiaTheme="minorEastAsia"/>
            <w:bCs/>
            <w:noProof/>
            <w:lang w:eastAsia="en-NZ"/>
          </w:rPr>
          <w:tab/>
        </w:r>
        <w:r w:rsidRPr="008234C5">
          <w:rPr>
            <w:rStyle w:val="Hyperlink"/>
            <w:bCs/>
            <w:noProof/>
          </w:rPr>
          <w:t>Changes in the dioxin release estimates over time</w:t>
        </w:r>
        <w:r w:rsidRPr="008234C5">
          <w:rPr>
            <w:bCs/>
            <w:noProof/>
            <w:webHidden/>
          </w:rPr>
          <w:tab/>
        </w:r>
        <w:r w:rsidRPr="008234C5">
          <w:rPr>
            <w:bCs/>
            <w:noProof/>
            <w:webHidden/>
          </w:rPr>
          <w:fldChar w:fldCharType="begin"/>
        </w:r>
        <w:r w:rsidRPr="008234C5">
          <w:rPr>
            <w:bCs/>
            <w:noProof/>
            <w:webHidden/>
          </w:rPr>
          <w:instrText xml:space="preserve"> PAGEREF _Toc112768176 \h </w:instrText>
        </w:r>
        <w:r w:rsidRPr="008234C5">
          <w:rPr>
            <w:bCs/>
            <w:noProof/>
            <w:webHidden/>
          </w:rPr>
        </w:r>
        <w:r w:rsidRPr="008234C5">
          <w:rPr>
            <w:bCs/>
            <w:noProof/>
            <w:webHidden/>
          </w:rPr>
          <w:fldChar w:fldCharType="separate"/>
        </w:r>
        <w:r w:rsidRPr="008234C5">
          <w:rPr>
            <w:bCs/>
            <w:noProof/>
            <w:webHidden/>
          </w:rPr>
          <w:t>75</w:t>
        </w:r>
        <w:r w:rsidRPr="008234C5">
          <w:rPr>
            <w:bCs/>
            <w:noProof/>
            <w:webHidden/>
          </w:rPr>
          <w:fldChar w:fldCharType="end"/>
        </w:r>
      </w:hyperlink>
    </w:p>
    <w:p w14:paraId="1BB8B310" w14:textId="460C6685" w:rsidR="003E6DEE" w:rsidRPr="008234C5" w:rsidRDefault="003E6DEE">
      <w:pPr>
        <w:pStyle w:val="TOC2"/>
        <w:tabs>
          <w:tab w:val="left" w:pos="880"/>
          <w:tab w:val="right" w:leader="dot" w:pos="9061"/>
        </w:tabs>
        <w:rPr>
          <w:rFonts w:eastAsiaTheme="minorEastAsia"/>
          <w:bCs/>
          <w:noProof/>
          <w:lang w:eastAsia="en-NZ"/>
        </w:rPr>
      </w:pPr>
      <w:hyperlink w:anchor="_Toc112768177" w:history="1">
        <w:r w:rsidRPr="008234C5">
          <w:rPr>
            <w:rStyle w:val="Hyperlink"/>
            <w:bCs/>
            <w:noProof/>
          </w:rPr>
          <w:t>13.3</w:t>
        </w:r>
        <w:r w:rsidRPr="008234C5">
          <w:rPr>
            <w:rFonts w:eastAsiaTheme="minorEastAsia"/>
            <w:bCs/>
            <w:noProof/>
            <w:lang w:eastAsia="en-NZ"/>
          </w:rPr>
          <w:tab/>
        </w:r>
        <w:r w:rsidRPr="008234C5">
          <w:rPr>
            <w:rStyle w:val="Hyperlink"/>
            <w:bCs/>
            <w:noProof/>
          </w:rPr>
          <w:t>New Zealand Initiatives Leading to Reductions in Dioxin Releases</w:t>
        </w:r>
        <w:r w:rsidRPr="008234C5">
          <w:rPr>
            <w:bCs/>
            <w:noProof/>
            <w:webHidden/>
          </w:rPr>
          <w:tab/>
        </w:r>
        <w:r w:rsidRPr="008234C5">
          <w:rPr>
            <w:bCs/>
            <w:noProof/>
            <w:webHidden/>
          </w:rPr>
          <w:fldChar w:fldCharType="begin"/>
        </w:r>
        <w:r w:rsidRPr="008234C5">
          <w:rPr>
            <w:bCs/>
            <w:noProof/>
            <w:webHidden/>
          </w:rPr>
          <w:instrText xml:space="preserve"> PAGEREF _Toc112768177 \h </w:instrText>
        </w:r>
        <w:r w:rsidRPr="008234C5">
          <w:rPr>
            <w:bCs/>
            <w:noProof/>
            <w:webHidden/>
          </w:rPr>
        </w:r>
        <w:r w:rsidRPr="008234C5">
          <w:rPr>
            <w:bCs/>
            <w:noProof/>
            <w:webHidden/>
          </w:rPr>
          <w:fldChar w:fldCharType="separate"/>
        </w:r>
        <w:r w:rsidRPr="008234C5">
          <w:rPr>
            <w:bCs/>
            <w:noProof/>
            <w:webHidden/>
          </w:rPr>
          <w:t>80</w:t>
        </w:r>
        <w:r w:rsidRPr="008234C5">
          <w:rPr>
            <w:bCs/>
            <w:noProof/>
            <w:webHidden/>
          </w:rPr>
          <w:fldChar w:fldCharType="end"/>
        </w:r>
      </w:hyperlink>
    </w:p>
    <w:p w14:paraId="17BA2DC7" w14:textId="75AF9B52" w:rsidR="003E6DEE" w:rsidRPr="008234C5" w:rsidRDefault="003E6DEE">
      <w:pPr>
        <w:pStyle w:val="TOC2"/>
        <w:tabs>
          <w:tab w:val="left" w:pos="880"/>
          <w:tab w:val="right" w:leader="dot" w:pos="9061"/>
        </w:tabs>
        <w:rPr>
          <w:rFonts w:eastAsiaTheme="minorEastAsia"/>
          <w:bCs/>
          <w:noProof/>
          <w:lang w:eastAsia="en-NZ"/>
        </w:rPr>
      </w:pPr>
      <w:hyperlink w:anchor="_Toc112768178" w:history="1">
        <w:r w:rsidRPr="008234C5">
          <w:rPr>
            <w:rStyle w:val="Hyperlink"/>
            <w:bCs/>
            <w:noProof/>
          </w:rPr>
          <w:t>13.4</w:t>
        </w:r>
        <w:r w:rsidRPr="008234C5">
          <w:rPr>
            <w:rFonts w:eastAsiaTheme="minorEastAsia"/>
            <w:bCs/>
            <w:noProof/>
            <w:lang w:eastAsia="en-NZ"/>
          </w:rPr>
          <w:tab/>
        </w:r>
        <w:r w:rsidRPr="008234C5">
          <w:rPr>
            <w:rStyle w:val="Hyperlink"/>
            <w:bCs/>
            <w:noProof/>
          </w:rPr>
          <w:t>Global Perspective</w:t>
        </w:r>
        <w:r w:rsidRPr="008234C5">
          <w:rPr>
            <w:bCs/>
            <w:noProof/>
            <w:webHidden/>
          </w:rPr>
          <w:tab/>
        </w:r>
        <w:r w:rsidRPr="008234C5">
          <w:rPr>
            <w:bCs/>
            <w:noProof/>
            <w:webHidden/>
          </w:rPr>
          <w:fldChar w:fldCharType="begin"/>
        </w:r>
        <w:r w:rsidRPr="008234C5">
          <w:rPr>
            <w:bCs/>
            <w:noProof/>
            <w:webHidden/>
          </w:rPr>
          <w:instrText xml:space="preserve"> PAGEREF _Toc112768178 \h </w:instrText>
        </w:r>
        <w:r w:rsidRPr="008234C5">
          <w:rPr>
            <w:bCs/>
            <w:noProof/>
            <w:webHidden/>
          </w:rPr>
        </w:r>
        <w:r w:rsidRPr="008234C5">
          <w:rPr>
            <w:bCs/>
            <w:noProof/>
            <w:webHidden/>
          </w:rPr>
          <w:fldChar w:fldCharType="separate"/>
        </w:r>
        <w:r w:rsidRPr="008234C5">
          <w:rPr>
            <w:bCs/>
            <w:noProof/>
            <w:webHidden/>
          </w:rPr>
          <w:t>80</w:t>
        </w:r>
        <w:r w:rsidRPr="008234C5">
          <w:rPr>
            <w:bCs/>
            <w:noProof/>
            <w:webHidden/>
          </w:rPr>
          <w:fldChar w:fldCharType="end"/>
        </w:r>
      </w:hyperlink>
    </w:p>
    <w:p w14:paraId="5C7AF146" w14:textId="41690D79" w:rsidR="003E6DEE" w:rsidRPr="008234C5" w:rsidRDefault="003E6DEE">
      <w:pPr>
        <w:pStyle w:val="TOC2"/>
        <w:tabs>
          <w:tab w:val="left" w:pos="880"/>
          <w:tab w:val="right" w:leader="dot" w:pos="9061"/>
        </w:tabs>
        <w:rPr>
          <w:rFonts w:eastAsiaTheme="minorEastAsia"/>
          <w:bCs/>
          <w:noProof/>
          <w:lang w:eastAsia="en-NZ"/>
        </w:rPr>
      </w:pPr>
      <w:hyperlink w:anchor="_Toc112768179" w:history="1">
        <w:r w:rsidRPr="008234C5">
          <w:rPr>
            <w:rStyle w:val="Hyperlink"/>
            <w:bCs/>
            <w:noProof/>
          </w:rPr>
          <w:t>13.5</w:t>
        </w:r>
        <w:r w:rsidRPr="008234C5">
          <w:rPr>
            <w:rFonts w:eastAsiaTheme="minorEastAsia"/>
            <w:bCs/>
            <w:noProof/>
            <w:lang w:eastAsia="en-NZ"/>
          </w:rPr>
          <w:tab/>
        </w:r>
        <w:r w:rsidRPr="008234C5">
          <w:rPr>
            <w:rStyle w:val="Hyperlink"/>
            <w:bCs/>
            <w:noProof/>
          </w:rPr>
          <w:t>Other New Zealand Studies</w:t>
        </w:r>
        <w:r w:rsidRPr="008234C5">
          <w:rPr>
            <w:bCs/>
            <w:noProof/>
            <w:webHidden/>
          </w:rPr>
          <w:tab/>
        </w:r>
        <w:r w:rsidRPr="008234C5">
          <w:rPr>
            <w:bCs/>
            <w:noProof/>
            <w:webHidden/>
          </w:rPr>
          <w:fldChar w:fldCharType="begin"/>
        </w:r>
        <w:r w:rsidRPr="008234C5">
          <w:rPr>
            <w:bCs/>
            <w:noProof/>
            <w:webHidden/>
          </w:rPr>
          <w:instrText xml:space="preserve"> PAGEREF _Toc112768179 \h </w:instrText>
        </w:r>
        <w:r w:rsidRPr="008234C5">
          <w:rPr>
            <w:bCs/>
            <w:noProof/>
            <w:webHidden/>
          </w:rPr>
        </w:r>
        <w:r w:rsidRPr="008234C5">
          <w:rPr>
            <w:bCs/>
            <w:noProof/>
            <w:webHidden/>
          </w:rPr>
          <w:fldChar w:fldCharType="separate"/>
        </w:r>
        <w:r w:rsidRPr="008234C5">
          <w:rPr>
            <w:bCs/>
            <w:noProof/>
            <w:webHidden/>
          </w:rPr>
          <w:t>81</w:t>
        </w:r>
        <w:r w:rsidRPr="008234C5">
          <w:rPr>
            <w:bCs/>
            <w:noProof/>
            <w:webHidden/>
          </w:rPr>
          <w:fldChar w:fldCharType="end"/>
        </w:r>
      </w:hyperlink>
    </w:p>
    <w:p w14:paraId="7386FD4B" w14:textId="4BF5C09F" w:rsidR="003E6DEE" w:rsidRPr="008234C5" w:rsidRDefault="003E6DEE" w:rsidP="008234C5">
      <w:pPr>
        <w:pStyle w:val="TOC1"/>
        <w:rPr>
          <w:rFonts w:eastAsiaTheme="minorEastAsia"/>
          <w:lang w:val="en-NZ" w:eastAsia="en-NZ"/>
        </w:rPr>
      </w:pPr>
      <w:hyperlink w:anchor="_Toc112768180" w:history="1">
        <w:r w:rsidRPr="008234C5">
          <w:rPr>
            <w:rStyle w:val="Hyperlink"/>
            <w:rFonts w:ascii="Times New Roman" w:hAnsi="Times New Roman" w:cs="Times New Roman"/>
            <w:b w:val="0"/>
            <w:bCs/>
          </w:rPr>
          <w:t>14</w:t>
        </w:r>
        <w:r w:rsidRPr="008234C5">
          <w:rPr>
            <w:rFonts w:eastAsiaTheme="minorEastAsia"/>
            <w:lang w:val="en-NZ" w:eastAsia="en-NZ"/>
          </w:rPr>
          <w:tab/>
        </w:r>
        <w:r w:rsidRPr="008234C5">
          <w:rPr>
            <w:rStyle w:val="Hyperlink"/>
            <w:rFonts w:ascii="Times New Roman" w:hAnsi="Times New Roman" w:cs="Times New Roman"/>
            <w:b w:val="0"/>
            <w:bCs/>
          </w:rPr>
          <w:t>List of References</w:t>
        </w:r>
        <w:r w:rsidRPr="008234C5">
          <w:rPr>
            <w:webHidden/>
          </w:rPr>
          <w:tab/>
        </w:r>
        <w:r w:rsidRPr="008234C5">
          <w:rPr>
            <w:webHidden/>
          </w:rPr>
          <w:fldChar w:fldCharType="begin"/>
        </w:r>
        <w:r w:rsidRPr="008234C5">
          <w:rPr>
            <w:webHidden/>
          </w:rPr>
          <w:instrText xml:space="preserve"> PAGEREF _Toc112768180 \h </w:instrText>
        </w:r>
        <w:r w:rsidRPr="008234C5">
          <w:rPr>
            <w:webHidden/>
          </w:rPr>
        </w:r>
        <w:r w:rsidRPr="008234C5">
          <w:rPr>
            <w:webHidden/>
          </w:rPr>
          <w:fldChar w:fldCharType="separate"/>
        </w:r>
        <w:r w:rsidRPr="008234C5">
          <w:rPr>
            <w:webHidden/>
          </w:rPr>
          <w:t>83</w:t>
        </w:r>
        <w:r w:rsidRPr="008234C5">
          <w:rPr>
            <w:webHidden/>
          </w:rPr>
          <w:fldChar w:fldCharType="end"/>
        </w:r>
      </w:hyperlink>
    </w:p>
    <w:p w14:paraId="1CB0118C" w14:textId="2FC0C825" w:rsidR="003E6DEE" w:rsidRPr="008234C5" w:rsidRDefault="003E6DEE" w:rsidP="008234C5">
      <w:pPr>
        <w:pStyle w:val="TOC1"/>
        <w:rPr>
          <w:rFonts w:eastAsiaTheme="minorEastAsia"/>
          <w:lang w:val="en-NZ" w:eastAsia="en-NZ"/>
        </w:rPr>
      </w:pPr>
      <w:hyperlink w:anchor="_Toc112768181" w:history="1">
        <w:r w:rsidRPr="008234C5">
          <w:rPr>
            <w:rStyle w:val="Hyperlink"/>
            <w:rFonts w:ascii="Times New Roman" w:hAnsi="Times New Roman" w:cs="Times New Roman"/>
            <w:b w:val="0"/>
            <w:bCs/>
          </w:rPr>
          <w:t>Appendix 1: Summary of release estimates</w:t>
        </w:r>
        <w:r w:rsidRPr="008234C5">
          <w:rPr>
            <w:rStyle w:val="Hyperlink"/>
            <w:rFonts w:ascii="Times New Roman" w:hAnsi="Times New Roman" w:cs="Times New Roman"/>
            <w:b w:val="0"/>
            <w:bCs/>
            <w:vertAlign w:val="superscript"/>
          </w:rPr>
          <w:t>1</w:t>
        </w:r>
        <w:r w:rsidRPr="008234C5">
          <w:rPr>
            <w:webHidden/>
          </w:rPr>
          <w:tab/>
        </w:r>
        <w:r w:rsidRPr="008234C5">
          <w:rPr>
            <w:webHidden/>
          </w:rPr>
          <w:fldChar w:fldCharType="begin"/>
        </w:r>
        <w:r w:rsidRPr="008234C5">
          <w:rPr>
            <w:webHidden/>
          </w:rPr>
          <w:instrText xml:space="preserve"> PAGEREF _Toc112768181 \h </w:instrText>
        </w:r>
        <w:r w:rsidRPr="008234C5">
          <w:rPr>
            <w:webHidden/>
          </w:rPr>
        </w:r>
        <w:r w:rsidRPr="008234C5">
          <w:rPr>
            <w:webHidden/>
          </w:rPr>
          <w:fldChar w:fldCharType="separate"/>
        </w:r>
        <w:r w:rsidRPr="008234C5">
          <w:rPr>
            <w:webHidden/>
          </w:rPr>
          <w:t>87</w:t>
        </w:r>
        <w:r w:rsidRPr="008234C5">
          <w:rPr>
            <w:webHidden/>
          </w:rPr>
          <w:fldChar w:fldCharType="end"/>
        </w:r>
      </w:hyperlink>
    </w:p>
    <w:p w14:paraId="299DDF88" w14:textId="3CE9E4A9" w:rsidR="003E6DEE" w:rsidRPr="008234C5" w:rsidRDefault="003E6DEE" w:rsidP="008234C5">
      <w:pPr>
        <w:pStyle w:val="TOC1"/>
        <w:rPr>
          <w:rFonts w:eastAsiaTheme="minorEastAsia"/>
          <w:lang w:val="en-NZ" w:eastAsia="en-NZ"/>
        </w:rPr>
      </w:pPr>
      <w:hyperlink w:anchor="_Toc112768182" w:history="1">
        <w:r w:rsidRPr="008234C5">
          <w:rPr>
            <w:rStyle w:val="Hyperlink"/>
            <w:rFonts w:ascii="Times New Roman" w:hAnsi="Times New Roman" w:cs="Times New Roman"/>
            <w:b w:val="0"/>
            <w:bCs/>
          </w:rPr>
          <w:t>Appendix 2: Total dioxin releases</w:t>
        </w:r>
        <w:r w:rsidRPr="008234C5">
          <w:rPr>
            <w:webHidden/>
          </w:rPr>
          <w:tab/>
        </w:r>
        <w:r w:rsidRPr="008234C5">
          <w:rPr>
            <w:webHidden/>
          </w:rPr>
          <w:fldChar w:fldCharType="begin"/>
        </w:r>
        <w:r w:rsidRPr="008234C5">
          <w:rPr>
            <w:webHidden/>
          </w:rPr>
          <w:instrText xml:space="preserve"> PAGEREF _Toc112768182 \h </w:instrText>
        </w:r>
        <w:r w:rsidRPr="008234C5">
          <w:rPr>
            <w:webHidden/>
          </w:rPr>
        </w:r>
        <w:r w:rsidRPr="008234C5">
          <w:rPr>
            <w:webHidden/>
          </w:rPr>
          <w:fldChar w:fldCharType="separate"/>
        </w:r>
        <w:r w:rsidRPr="008234C5">
          <w:rPr>
            <w:webHidden/>
          </w:rPr>
          <w:t>91</w:t>
        </w:r>
        <w:r w:rsidRPr="008234C5">
          <w:rPr>
            <w:webHidden/>
          </w:rPr>
          <w:fldChar w:fldCharType="end"/>
        </w:r>
      </w:hyperlink>
    </w:p>
    <w:p w14:paraId="73228E9B" w14:textId="28953CAC" w:rsidR="009C7E33" w:rsidRPr="008234C5" w:rsidRDefault="00B162C0" w:rsidP="00A51E44">
      <w:pPr>
        <w:spacing w:after="0" w:line="260" w:lineRule="atLeast"/>
        <w:jc w:val="both"/>
        <w:rPr>
          <w:rFonts w:asciiTheme="minorHAnsi" w:hAnsiTheme="minorHAnsi" w:cs="Arial"/>
          <w:bCs/>
          <w:szCs w:val="22"/>
        </w:rPr>
      </w:pPr>
      <w:r w:rsidRPr="008234C5">
        <w:rPr>
          <w:bCs/>
          <w:sz w:val="22"/>
          <w:szCs w:val="22"/>
        </w:rPr>
        <w:fldChar w:fldCharType="end"/>
      </w:r>
    </w:p>
    <w:p w14:paraId="0FC5C81F" w14:textId="77777777" w:rsidR="009C7E33" w:rsidRDefault="009C7E33">
      <w:pPr>
        <w:spacing w:after="0"/>
        <w:rPr>
          <w:rFonts w:asciiTheme="minorHAnsi" w:hAnsiTheme="minorHAnsi" w:cs="Arial"/>
          <w:szCs w:val="22"/>
        </w:rPr>
      </w:pPr>
      <w:r>
        <w:rPr>
          <w:rFonts w:asciiTheme="minorHAnsi" w:hAnsiTheme="minorHAnsi" w:cs="Arial"/>
          <w:szCs w:val="22"/>
        </w:rPr>
        <w:br w:type="page"/>
      </w:r>
    </w:p>
    <w:p w14:paraId="319B11D3" w14:textId="77777777" w:rsidR="00577315" w:rsidRPr="00577315" w:rsidRDefault="00577315" w:rsidP="00577315">
      <w:pPr>
        <w:widowControl w:val="0"/>
        <w:tabs>
          <w:tab w:val="left" w:pos="1134"/>
        </w:tabs>
        <w:ind w:left="720"/>
        <w:outlineLvl w:val="0"/>
        <w:rPr>
          <w:rFonts w:ascii="Arial" w:hAnsi="Arial"/>
          <w:b/>
          <w:sz w:val="28"/>
          <w:lang w:val="en-US"/>
        </w:rPr>
      </w:pPr>
      <w:bookmarkStart w:id="17" w:name="_Toc476462699"/>
      <w:bookmarkStart w:id="18" w:name="_Toc476463075"/>
      <w:bookmarkStart w:id="19" w:name="_Toc275531156"/>
      <w:bookmarkStart w:id="20" w:name="_Toc275532171"/>
      <w:bookmarkStart w:id="21" w:name="_Toc381172052"/>
      <w:bookmarkStart w:id="22" w:name="_Toc112768051"/>
      <w:r w:rsidRPr="00577315">
        <w:rPr>
          <w:rFonts w:ascii="Arial" w:hAnsi="Arial"/>
          <w:b/>
          <w:sz w:val="28"/>
          <w:lang w:val="en-US"/>
        </w:rPr>
        <w:lastRenderedPageBreak/>
        <w:t>Units and abbreviations</w:t>
      </w:r>
      <w:bookmarkEnd w:id="17"/>
      <w:bookmarkEnd w:id="18"/>
      <w:bookmarkEnd w:id="19"/>
      <w:bookmarkEnd w:id="20"/>
      <w:bookmarkEnd w:id="21"/>
      <w:bookmarkEnd w:id="22"/>
    </w:p>
    <w:tbl>
      <w:tblPr>
        <w:tblW w:w="0" w:type="auto"/>
        <w:tblInd w:w="687" w:type="dxa"/>
        <w:tblLayout w:type="fixed"/>
        <w:tblLook w:val="0000" w:firstRow="0" w:lastRow="0" w:firstColumn="0" w:lastColumn="0" w:noHBand="0" w:noVBand="0"/>
      </w:tblPr>
      <w:tblGrid>
        <w:gridCol w:w="1818"/>
        <w:gridCol w:w="6261"/>
      </w:tblGrid>
      <w:tr w:rsidR="00577315" w:rsidRPr="00577315" w14:paraId="128BC422" w14:textId="77777777" w:rsidTr="0C34660A">
        <w:trPr>
          <w:cantSplit/>
        </w:trPr>
        <w:tc>
          <w:tcPr>
            <w:tcW w:w="1818" w:type="dxa"/>
          </w:tcPr>
          <w:p w14:paraId="250786D9" w14:textId="77777777" w:rsidR="00577315" w:rsidRPr="00577315" w:rsidRDefault="00577315" w:rsidP="00577315">
            <w:pPr>
              <w:rPr>
                <w:rFonts w:ascii="Arial" w:hAnsi="Arial" w:cs="Arial"/>
                <w:b/>
                <w:sz w:val="22"/>
                <w:szCs w:val="22"/>
                <w:lang w:val="en-US"/>
              </w:rPr>
            </w:pPr>
          </w:p>
          <w:p w14:paraId="2CCCF957" w14:textId="77777777" w:rsidR="00577315" w:rsidRPr="00577315" w:rsidRDefault="00577315" w:rsidP="00577315">
            <w:pPr>
              <w:rPr>
                <w:rFonts w:ascii="Arial" w:hAnsi="Arial" w:cs="Arial"/>
                <w:b/>
                <w:sz w:val="22"/>
                <w:szCs w:val="22"/>
                <w:lang w:val="en-US"/>
              </w:rPr>
            </w:pPr>
            <w:r w:rsidRPr="00577315">
              <w:rPr>
                <w:rFonts w:ascii="Arial" w:hAnsi="Arial" w:cs="Arial"/>
                <w:b/>
                <w:sz w:val="22"/>
                <w:szCs w:val="22"/>
                <w:lang w:val="en-US"/>
              </w:rPr>
              <w:t>Units</w:t>
            </w:r>
          </w:p>
        </w:tc>
        <w:tc>
          <w:tcPr>
            <w:tcW w:w="6261" w:type="dxa"/>
          </w:tcPr>
          <w:p w14:paraId="4E865586" w14:textId="77777777" w:rsidR="00577315" w:rsidRPr="00577315" w:rsidRDefault="00577315" w:rsidP="00577315">
            <w:pPr>
              <w:rPr>
                <w:rFonts w:ascii="Arial" w:hAnsi="Arial" w:cs="Arial"/>
                <w:b/>
                <w:sz w:val="22"/>
                <w:szCs w:val="22"/>
                <w:lang w:val="en-US"/>
              </w:rPr>
            </w:pPr>
          </w:p>
        </w:tc>
      </w:tr>
      <w:tr w:rsidR="00577315" w:rsidRPr="00577315" w14:paraId="3E579261" w14:textId="77777777" w:rsidTr="0C34660A">
        <w:trPr>
          <w:cantSplit/>
        </w:trPr>
        <w:tc>
          <w:tcPr>
            <w:tcW w:w="1818" w:type="dxa"/>
          </w:tcPr>
          <w:p w14:paraId="16F006A6" w14:textId="77777777" w:rsidR="00577315" w:rsidRPr="00577315" w:rsidRDefault="00577315" w:rsidP="00577315">
            <w:pPr>
              <w:rPr>
                <w:lang w:val="en-US"/>
              </w:rPr>
            </w:pPr>
            <w:r w:rsidRPr="00577315">
              <w:rPr>
                <w:lang w:val="en-US"/>
              </w:rPr>
              <w:t>g</w:t>
            </w:r>
          </w:p>
        </w:tc>
        <w:tc>
          <w:tcPr>
            <w:tcW w:w="6261" w:type="dxa"/>
          </w:tcPr>
          <w:p w14:paraId="113BCDEC" w14:textId="77777777" w:rsidR="00577315" w:rsidRPr="00577315" w:rsidRDefault="00577315" w:rsidP="00577315">
            <w:pPr>
              <w:rPr>
                <w:lang w:val="en-US"/>
              </w:rPr>
            </w:pPr>
            <w:r w:rsidRPr="00577315">
              <w:rPr>
                <w:lang w:val="en-US"/>
              </w:rPr>
              <w:t>gram</w:t>
            </w:r>
          </w:p>
        </w:tc>
      </w:tr>
      <w:tr w:rsidR="00577315" w:rsidRPr="00577315" w14:paraId="4BDD44C2" w14:textId="77777777" w:rsidTr="0C34660A">
        <w:trPr>
          <w:cantSplit/>
        </w:trPr>
        <w:tc>
          <w:tcPr>
            <w:tcW w:w="1818" w:type="dxa"/>
          </w:tcPr>
          <w:p w14:paraId="40975D31" w14:textId="77777777" w:rsidR="00577315" w:rsidRPr="00577315" w:rsidRDefault="00577315" w:rsidP="00577315">
            <w:pPr>
              <w:rPr>
                <w:lang w:val="en-US"/>
              </w:rPr>
            </w:pPr>
            <w:r w:rsidRPr="00577315">
              <w:rPr>
                <w:lang w:val="en-US"/>
              </w:rPr>
              <w:t>kg</w:t>
            </w:r>
          </w:p>
        </w:tc>
        <w:tc>
          <w:tcPr>
            <w:tcW w:w="6261" w:type="dxa"/>
          </w:tcPr>
          <w:p w14:paraId="09DF055C" w14:textId="77777777" w:rsidR="00577315" w:rsidRPr="00577315" w:rsidRDefault="00577315" w:rsidP="00577315">
            <w:pPr>
              <w:rPr>
                <w:lang w:val="en-US"/>
              </w:rPr>
            </w:pPr>
            <w:r w:rsidRPr="00577315">
              <w:rPr>
                <w:lang w:val="en-US"/>
              </w:rPr>
              <w:t>kilogram (10</w:t>
            </w:r>
            <w:r w:rsidRPr="00577315">
              <w:rPr>
                <w:vertAlign w:val="superscript"/>
                <w:lang w:val="en-US"/>
              </w:rPr>
              <w:t>3</w:t>
            </w:r>
            <w:r w:rsidRPr="00577315">
              <w:rPr>
                <w:lang w:val="en-US"/>
              </w:rPr>
              <w:t xml:space="preserve"> grams)</w:t>
            </w:r>
          </w:p>
        </w:tc>
      </w:tr>
      <w:tr w:rsidR="00577315" w:rsidRPr="00577315" w14:paraId="208F385C" w14:textId="77777777" w:rsidTr="0C34660A">
        <w:trPr>
          <w:cantSplit/>
        </w:trPr>
        <w:tc>
          <w:tcPr>
            <w:tcW w:w="1818" w:type="dxa"/>
          </w:tcPr>
          <w:p w14:paraId="02A39202" w14:textId="77777777" w:rsidR="00577315" w:rsidRPr="00577315" w:rsidRDefault="00577315" w:rsidP="00577315">
            <w:pPr>
              <w:rPr>
                <w:lang w:val="en-US"/>
              </w:rPr>
            </w:pPr>
            <w:r w:rsidRPr="00577315">
              <w:rPr>
                <w:lang w:val="en-US"/>
              </w:rPr>
              <w:t>tonne</w:t>
            </w:r>
          </w:p>
        </w:tc>
        <w:tc>
          <w:tcPr>
            <w:tcW w:w="6261" w:type="dxa"/>
          </w:tcPr>
          <w:p w14:paraId="58250DCC" w14:textId="1843311B" w:rsidR="00577315" w:rsidRPr="00577315" w:rsidRDefault="778572ED" w:rsidP="00577315">
            <w:pPr>
              <w:rPr>
                <w:lang w:val="en-US"/>
              </w:rPr>
            </w:pPr>
            <w:bookmarkStart w:id="23" w:name="_Int_yGk2whsg"/>
            <w:r w:rsidRPr="0C34660A">
              <w:rPr>
                <w:lang w:val="en-US"/>
              </w:rPr>
              <w:t>10</w:t>
            </w:r>
            <w:r w:rsidRPr="0C34660A">
              <w:rPr>
                <w:vertAlign w:val="superscript"/>
                <w:lang w:val="en-US"/>
              </w:rPr>
              <w:t>3</w:t>
            </w:r>
            <w:r w:rsidRPr="0C34660A">
              <w:rPr>
                <w:lang w:val="en-US"/>
              </w:rPr>
              <w:t xml:space="preserve"> kilograms</w:t>
            </w:r>
            <w:bookmarkEnd w:id="23"/>
            <w:r w:rsidRPr="0C34660A">
              <w:rPr>
                <w:lang w:val="en-US"/>
              </w:rPr>
              <w:t xml:space="preserve"> or </w:t>
            </w:r>
            <w:r w:rsidR="3F211E17" w:rsidRPr="0C34660A">
              <w:rPr>
                <w:lang w:val="en-US"/>
              </w:rPr>
              <w:t>10</w:t>
            </w:r>
            <w:r w:rsidR="3F211E17" w:rsidRPr="0C34660A">
              <w:rPr>
                <w:vertAlign w:val="superscript"/>
                <w:lang w:val="en-US"/>
              </w:rPr>
              <w:t>6</w:t>
            </w:r>
            <w:r w:rsidR="3F211E17" w:rsidRPr="0C34660A">
              <w:rPr>
                <w:lang w:val="en-US"/>
              </w:rPr>
              <w:t xml:space="preserve"> grams</w:t>
            </w:r>
          </w:p>
        </w:tc>
      </w:tr>
      <w:tr w:rsidR="00577315" w:rsidRPr="00577315" w14:paraId="3AC5ED4C" w14:textId="77777777" w:rsidTr="0C34660A">
        <w:trPr>
          <w:cantSplit/>
        </w:trPr>
        <w:tc>
          <w:tcPr>
            <w:tcW w:w="1818" w:type="dxa"/>
          </w:tcPr>
          <w:p w14:paraId="3171E575" w14:textId="77777777" w:rsidR="00577315" w:rsidRPr="00577315" w:rsidRDefault="00577315" w:rsidP="00577315">
            <w:pPr>
              <w:rPr>
                <w:lang w:val="en-US"/>
              </w:rPr>
            </w:pPr>
            <w:r w:rsidRPr="00577315">
              <w:rPr>
                <w:lang w:val="en-US"/>
              </w:rPr>
              <w:t>ktonne</w:t>
            </w:r>
          </w:p>
        </w:tc>
        <w:tc>
          <w:tcPr>
            <w:tcW w:w="6261" w:type="dxa"/>
          </w:tcPr>
          <w:p w14:paraId="797C90A4" w14:textId="09AE34BA" w:rsidR="00577315" w:rsidRPr="00577315" w:rsidRDefault="00577315" w:rsidP="00577315">
            <w:pPr>
              <w:rPr>
                <w:lang w:val="en-US"/>
              </w:rPr>
            </w:pPr>
            <w:r w:rsidRPr="00577315">
              <w:rPr>
                <w:lang w:val="en-US"/>
              </w:rPr>
              <w:t>kilotonne (10</w:t>
            </w:r>
            <w:r w:rsidR="00BD4B6C">
              <w:rPr>
                <w:vertAlign w:val="superscript"/>
                <w:lang w:val="en-US"/>
              </w:rPr>
              <w:t>3</w:t>
            </w:r>
            <w:r w:rsidRPr="00577315">
              <w:rPr>
                <w:lang w:val="en-US"/>
              </w:rPr>
              <w:t xml:space="preserve"> tonnes</w:t>
            </w:r>
            <w:r w:rsidR="00BD4B6C">
              <w:rPr>
                <w:lang w:val="en-US"/>
              </w:rPr>
              <w:t xml:space="preserve"> or 10</w:t>
            </w:r>
            <w:r w:rsidR="00BD4B6C" w:rsidRPr="00BD4B6C">
              <w:rPr>
                <w:vertAlign w:val="superscript"/>
                <w:lang w:val="en-US"/>
              </w:rPr>
              <w:t>6</w:t>
            </w:r>
            <w:r w:rsidR="00BD4B6C">
              <w:rPr>
                <w:lang w:val="en-US"/>
              </w:rPr>
              <w:t xml:space="preserve"> kilograms</w:t>
            </w:r>
            <w:r w:rsidRPr="00577315">
              <w:rPr>
                <w:lang w:val="en-US"/>
              </w:rPr>
              <w:t>)</w:t>
            </w:r>
          </w:p>
        </w:tc>
      </w:tr>
      <w:tr w:rsidR="00577315" w:rsidRPr="00577315" w14:paraId="333F8C0A" w14:textId="77777777" w:rsidTr="0C34660A">
        <w:trPr>
          <w:cantSplit/>
        </w:trPr>
        <w:tc>
          <w:tcPr>
            <w:tcW w:w="1818" w:type="dxa"/>
          </w:tcPr>
          <w:p w14:paraId="562D510D" w14:textId="77777777" w:rsidR="00577315" w:rsidRPr="00577315" w:rsidRDefault="00577315" w:rsidP="00577315">
            <w:pPr>
              <w:rPr>
                <w:lang w:val="en-US"/>
              </w:rPr>
            </w:pPr>
            <w:r w:rsidRPr="00577315">
              <w:rPr>
                <w:lang w:val="en-US"/>
              </w:rPr>
              <w:fldChar w:fldCharType="begin"/>
            </w:r>
            <w:r w:rsidRPr="00577315">
              <w:rPr>
                <w:lang w:val="en-US"/>
              </w:rPr>
              <w:instrText>symbol 109 \f "Symbol" \s 10</w:instrText>
            </w:r>
            <w:r w:rsidRPr="00577315">
              <w:rPr>
                <w:lang w:val="en-US"/>
              </w:rPr>
              <w:fldChar w:fldCharType="separate"/>
            </w:r>
            <w:r w:rsidRPr="00577315">
              <w:rPr>
                <w:rFonts w:ascii="Symbol" w:hAnsi="Symbol"/>
                <w:lang w:val="en-US"/>
              </w:rPr>
              <w:t>m</w:t>
            </w:r>
            <w:r w:rsidRPr="00577315">
              <w:rPr>
                <w:lang w:val="en-US"/>
              </w:rPr>
              <w:fldChar w:fldCharType="end"/>
            </w:r>
            <w:r w:rsidRPr="00577315">
              <w:rPr>
                <w:lang w:val="en-US"/>
              </w:rPr>
              <w:t>g</w:t>
            </w:r>
          </w:p>
        </w:tc>
        <w:tc>
          <w:tcPr>
            <w:tcW w:w="6261" w:type="dxa"/>
          </w:tcPr>
          <w:p w14:paraId="238B54C3" w14:textId="77777777" w:rsidR="00577315" w:rsidRPr="00577315" w:rsidRDefault="00577315" w:rsidP="00577315">
            <w:pPr>
              <w:rPr>
                <w:lang w:val="en-US"/>
              </w:rPr>
            </w:pPr>
            <w:r w:rsidRPr="00577315">
              <w:rPr>
                <w:lang w:val="en-US"/>
              </w:rPr>
              <w:t>microgram (10</w:t>
            </w:r>
            <w:r w:rsidRPr="00577315">
              <w:rPr>
                <w:vertAlign w:val="superscript"/>
                <w:lang w:val="en-US"/>
              </w:rPr>
              <w:t>-6</w:t>
            </w:r>
            <w:r w:rsidRPr="00577315">
              <w:rPr>
                <w:lang w:val="en-US"/>
              </w:rPr>
              <w:t xml:space="preserve"> grams)</w:t>
            </w:r>
          </w:p>
        </w:tc>
      </w:tr>
      <w:tr w:rsidR="00577315" w:rsidRPr="00577315" w14:paraId="0938A036" w14:textId="77777777" w:rsidTr="0C34660A">
        <w:trPr>
          <w:cantSplit/>
        </w:trPr>
        <w:tc>
          <w:tcPr>
            <w:tcW w:w="1818" w:type="dxa"/>
          </w:tcPr>
          <w:p w14:paraId="27EC3540" w14:textId="77777777" w:rsidR="00577315" w:rsidRPr="00577315" w:rsidRDefault="00577315" w:rsidP="00577315">
            <w:pPr>
              <w:rPr>
                <w:lang w:val="en-US"/>
              </w:rPr>
            </w:pPr>
            <w:r w:rsidRPr="00577315">
              <w:rPr>
                <w:lang w:val="en-US"/>
              </w:rPr>
              <w:t>ng</w:t>
            </w:r>
          </w:p>
        </w:tc>
        <w:tc>
          <w:tcPr>
            <w:tcW w:w="6261" w:type="dxa"/>
          </w:tcPr>
          <w:p w14:paraId="2BC39505" w14:textId="77777777" w:rsidR="00577315" w:rsidRPr="00577315" w:rsidRDefault="00577315" w:rsidP="00577315">
            <w:pPr>
              <w:rPr>
                <w:lang w:val="en-US"/>
              </w:rPr>
            </w:pPr>
            <w:r w:rsidRPr="00577315">
              <w:rPr>
                <w:lang w:val="en-US"/>
              </w:rPr>
              <w:t>nanogram (10</w:t>
            </w:r>
            <w:r w:rsidRPr="00577315">
              <w:rPr>
                <w:vertAlign w:val="superscript"/>
                <w:lang w:val="en-US"/>
              </w:rPr>
              <w:t>-9</w:t>
            </w:r>
            <w:r w:rsidRPr="00577315">
              <w:rPr>
                <w:lang w:val="en-US"/>
              </w:rPr>
              <w:t xml:space="preserve"> grams)</w:t>
            </w:r>
          </w:p>
        </w:tc>
      </w:tr>
      <w:tr w:rsidR="00577315" w:rsidRPr="00577315" w14:paraId="0259894F" w14:textId="77777777" w:rsidTr="0C34660A">
        <w:trPr>
          <w:cantSplit/>
        </w:trPr>
        <w:tc>
          <w:tcPr>
            <w:tcW w:w="1818" w:type="dxa"/>
          </w:tcPr>
          <w:p w14:paraId="5C66DE5B" w14:textId="77777777" w:rsidR="00577315" w:rsidRPr="00577315" w:rsidRDefault="00577315" w:rsidP="00577315">
            <w:pPr>
              <w:rPr>
                <w:lang w:val="en-US"/>
              </w:rPr>
            </w:pPr>
            <w:r w:rsidRPr="00577315">
              <w:rPr>
                <w:lang w:val="en-US"/>
              </w:rPr>
              <w:t>pg</w:t>
            </w:r>
          </w:p>
        </w:tc>
        <w:tc>
          <w:tcPr>
            <w:tcW w:w="6261" w:type="dxa"/>
          </w:tcPr>
          <w:p w14:paraId="716D1F60" w14:textId="77777777" w:rsidR="00577315" w:rsidRPr="00577315" w:rsidRDefault="00577315" w:rsidP="00577315">
            <w:pPr>
              <w:rPr>
                <w:lang w:val="en-US"/>
              </w:rPr>
            </w:pPr>
            <w:r w:rsidRPr="00577315">
              <w:rPr>
                <w:lang w:val="en-US"/>
              </w:rPr>
              <w:t>picogram (10</w:t>
            </w:r>
            <w:r w:rsidRPr="00577315">
              <w:rPr>
                <w:vertAlign w:val="superscript"/>
                <w:lang w:val="en-US"/>
              </w:rPr>
              <w:t>-12</w:t>
            </w:r>
            <w:r w:rsidRPr="00577315">
              <w:rPr>
                <w:lang w:val="en-US"/>
              </w:rPr>
              <w:t xml:space="preserve"> grams)</w:t>
            </w:r>
          </w:p>
        </w:tc>
      </w:tr>
      <w:tr w:rsidR="00577315" w:rsidRPr="00577315" w14:paraId="39F74D06" w14:textId="77777777" w:rsidTr="0C34660A">
        <w:trPr>
          <w:cantSplit/>
        </w:trPr>
        <w:tc>
          <w:tcPr>
            <w:tcW w:w="1818" w:type="dxa"/>
          </w:tcPr>
          <w:p w14:paraId="3FF550AD" w14:textId="77777777" w:rsidR="00577315" w:rsidRPr="00577315" w:rsidRDefault="00577315" w:rsidP="00577315">
            <w:pPr>
              <w:rPr>
                <w:lang w:val="en-US"/>
              </w:rPr>
            </w:pPr>
            <w:r w:rsidRPr="00577315">
              <w:rPr>
                <w:lang w:val="en-US"/>
              </w:rPr>
              <w:t>MJ</w:t>
            </w:r>
          </w:p>
        </w:tc>
        <w:tc>
          <w:tcPr>
            <w:tcW w:w="6261" w:type="dxa"/>
          </w:tcPr>
          <w:p w14:paraId="4124C070" w14:textId="77777777" w:rsidR="00577315" w:rsidRPr="00577315" w:rsidRDefault="00577315" w:rsidP="00577315">
            <w:pPr>
              <w:rPr>
                <w:lang w:val="en-US"/>
              </w:rPr>
            </w:pPr>
            <w:r w:rsidRPr="00577315">
              <w:rPr>
                <w:lang w:val="en-US"/>
              </w:rPr>
              <w:t>megajoule (10</w:t>
            </w:r>
            <w:r w:rsidRPr="00577315">
              <w:rPr>
                <w:vertAlign w:val="superscript"/>
                <w:lang w:val="en-US"/>
              </w:rPr>
              <w:t>6</w:t>
            </w:r>
            <w:r w:rsidRPr="00577315">
              <w:rPr>
                <w:lang w:val="en-US"/>
              </w:rPr>
              <w:t xml:space="preserve"> joules)</w:t>
            </w:r>
          </w:p>
        </w:tc>
      </w:tr>
      <w:tr w:rsidR="00577315" w:rsidRPr="00577315" w14:paraId="13B2B60C" w14:textId="77777777" w:rsidTr="0C34660A">
        <w:trPr>
          <w:cantSplit/>
        </w:trPr>
        <w:tc>
          <w:tcPr>
            <w:tcW w:w="1818" w:type="dxa"/>
          </w:tcPr>
          <w:p w14:paraId="5F52ABD4" w14:textId="77777777" w:rsidR="00577315" w:rsidRPr="00577315" w:rsidRDefault="00577315" w:rsidP="00577315">
            <w:pPr>
              <w:rPr>
                <w:lang w:val="en-US"/>
              </w:rPr>
            </w:pPr>
            <w:r w:rsidRPr="00577315">
              <w:rPr>
                <w:lang w:val="en-US"/>
              </w:rPr>
              <w:t>GJ</w:t>
            </w:r>
          </w:p>
        </w:tc>
        <w:tc>
          <w:tcPr>
            <w:tcW w:w="6261" w:type="dxa"/>
          </w:tcPr>
          <w:p w14:paraId="0196DD41" w14:textId="77777777" w:rsidR="00577315" w:rsidRPr="00577315" w:rsidRDefault="00577315" w:rsidP="00577315">
            <w:pPr>
              <w:rPr>
                <w:lang w:val="en-US"/>
              </w:rPr>
            </w:pPr>
            <w:r w:rsidRPr="00577315">
              <w:rPr>
                <w:lang w:val="en-US"/>
              </w:rPr>
              <w:t>gigajoule (10</w:t>
            </w:r>
            <w:r w:rsidRPr="00577315">
              <w:rPr>
                <w:vertAlign w:val="superscript"/>
                <w:lang w:val="en-US"/>
              </w:rPr>
              <w:t>9</w:t>
            </w:r>
            <w:r w:rsidRPr="00577315">
              <w:rPr>
                <w:lang w:val="en-US"/>
              </w:rPr>
              <w:t xml:space="preserve"> joules)</w:t>
            </w:r>
          </w:p>
        </w:tc>
      </w:tr>
      <w:tr w:rsidR="00577315" w:rsidRPr="00577315" w14:paraId="1EA2274A" w14:textId="77777777" w:rsidTr="0C34660A">
        <w:trPr>
          <w:cantSplit/>
        </w:trPr>
        <w:tc>
          <w:tcPr>
            <w:tcW w:w="1818" w:type="dxa"/>
          </w:tcPr>
          <w:p w14:paraId="49FE9D03" w14:textId="77777777" w:rsidR="00577315" w:rsidRPr="00577315" w:rsidRDefault="00577315" w:rsidP="00577315">
            <w:pPr>
              <w:rPr>
                <w:lang w:val="en-US"/>
              </w:rPr>
            </w:pPr>
            <w:r w:rsidRPr="00577315">
              <w:rPr>
                <w:lang w:val="en-US"/>
              </w:rPr>
              <w:t>TJ</w:t>
            </w:r>
          </w:p>
        </w:tc>
        <w:tc>
          <w:tcPr>
            <w:tcW w:w="6261" w:type="dxa"/>
          </w:tcPr>
          <w:p w14:paraId="47DA5957" w14:textId="77777777" w:rsidR="00577315" w:rsidRPr="00577315" w:rsidRDefault="00577315" w:rsidP="00577315">
            <w:pPr>
              <w:rPr>
                <w:lang w:val="en-US"/>
              </w:rPr>
            </w:pPr>
            <w:r w:rsidRPr="00577315">
              <w:rPr>
                <w:lang w:val="en-US"/>
              </w:rPr>
              <w:t>terajoule (10</w:t>
            </w:r>
            <w:r w:rsidRPr="00577315">
              <w:rPr>
                <w:vertAlign w:val="superscript"/>
                <w:lang w:val="en-US"/>
              </w:rPr>
              <w:t>12</w:t>
            </w:r>
            <w:r w:rsidRPr="00577315">
              <w:rPr>
                <w:lang w:val="en-US"/>
              </w:rPr>
              <w:t xml:space="preserve"> joules)</w:t>
            </w:r>
          </w:p>
        </w:tc>
      </w:tr>
      <w:tr w:rsidR="00577315" w:rsidRPr="00577315" w14:paraId="1623A765" w14:textId="77777777" w:rsidTr="0C34660A">
        <w:trPr>
          <w:cantSplit/>
        </w:trPr>
        <w:tc>
          <w:tcPr>
            <w:tcW w:w="1818" w:type="dxa"/>
          </w:tcPr>
          <w:p w14:paraId="4DC9FCB3" w14:textId="77777777" w:rsidR="00577315" w:rsidRPr="00577315" w:rsidRDefault="00577315" w:rsidP="00577315">
            <w:pPr>
              <w:rPr>
                <w:lang w:val="en-US"/>
              </w:rPr>
            </w:pPr>
            <w:r w:rsidRPr="00577315">
              <w:rPr>
                <w:lang w:val="en-US"/>
              </w:rPr>
              <w:t>PJ</w:t>
            </w:r>
          </w:p>
        </w:tc>
        <w:tc>
          <w:tcPr>
            <w:tcW w:w="6261" w:type="dxa"/>
          </w:tcPr>
          <w:p w14:paraId="58F04F6B" w14:textId="77777777" w:rsidR="00577315" w:rsidRPr="00577315" w:rsidRDefault="00577315" w:rsidP="00577315">
            <w:pPr>
              <w:rPr>
                <w:lang w:val="en-US"/>
              </w:rPr>
            </w:pPr>
            <w:r w:rsidRPr="00577315">
              <w:rPr>
                <w:lang w:val="en-US"/>
              </w:rPr>
              <w:t>petajoule (10</w:t>
            </w:r>
            <w:r w:rsidRPr="00577315">
              <w:rPr>
                <w:vertAlign w:val="superscript"/>
                <w:lang w:val="en-US"/>
              </w:rPr>
              <w:t>15</w:t>
            </w:r>
            <w:r w:rsidRPr="00577315">
              <w:rPr>
                <w:lang w:val="en-US"/>
              </w:rPr>
              <w:t xml:space="preserve"> joules)</w:t>
            </w:r>
          </w:p>
        </w:tc>
      </w:tr>
      <w:tr w:rsidR="00577315" w:rsidRPr="00577315" w14:paraId="09314816" w14:textId="77777777" w:rsidTr="0C34660A">
        <w:trPr>
          <w:cantSplit/>
        </w:trPr>
        <w:tc>
          <w:tcPr>
            <w:tcW w:w="1818" w:type="dxa"/>
          </w:tcPr>
          <w:p w14:paraId="70D99A44" w14:textId="77777777" w:rsidR="00577315" w:rsidRPr="00577315" w:rsidRDefault="00577315" w:rsidP="00577315">
            <w:pPr>
              <w:rPr>
                <w:lang w:val="en-US"/>
              </w:rPr>
            </w:pPr>
            <w:r w:rsidRPr="00577315">
              <w:rPr>
                <w:lang w:val="en-US"/>
              </w:rPr>
              <w:t>L</w:t>
            </w:r>
          </w:p>
        </w:tc>
        <w:tc>
          <w:tcPr>
            <w:tcW w:w="6261" w:type="dxa"/>
          </w:tcPr>
          <w:p w14:paraId="670014F7" w14:textId="77777777" w:rsidR="00577315" w:rsidRPr="00577315" w:rsidRDefault="00577315" w:rsidP="00577315">
            <w:pPr>
              <w:rPr>
                <w:lang w:val="en-US"/>
              </w:rPr>
            </w:pPr>
            <w:r w:rsidRPr="00577315">
              <w:rPr>
                <w:lang w:val="en-US"/>
              </w:rPr>
              <w:t>litre</w:t>
            </w:r>
          </w:p>
        </w:tc>
      </w:tr>
      <w:tr w:rsidR="00577315" w:rsidRPr="00577315" w14:paraId="08EBFBAD" w14:textId="77777777" w:rsidTr="0C34660A">
        <w:trPr>
          <w:cantSplit/>
        </w:trPr>
        <w:tc>
          <w:tcPr>
            <w:tcW w:w="1818" w:type="dxa"/>
          </w:tcPr>
          <w:p w14:paraId="42A72D3D" w14:textId="77777777" w:rsidR="00577315" w:rsidRPr="00577315" w:rsidRDefault="00577315" w:rsidP="00577315">
            <w:pPr>
              <w:rPr>
                <w:lang w:val="en-US"/>
              </w:rPr>
            </w:pPr>
            <w:r w:rsidRPr="00577315">
              <w:rPr>
                <w:lang w:val="en-US"/>
              </w:rPr>
              <w:t>m</w:t>
            </w:r>
            <w:r w:rsidRPr="00577315">
              <w:rPr>
                <w:vertAlign w:val="superscript"/>
                <w:lang w:val="en-US"/>
              </w:rPr>
              <w:t>3</w:t>
            </w:r>
          </w:p>
        </w:tc>
        <w:tc>
          <w:tcPr>
            <w:tcW w:w="6261" w:type="dxa"/>
          </w:tcPr>
          <w:p w14:paraId="227F4E4F" w14:textId="77777777" w:rsidR="00577315" w:rsidRPr="00577315" w:rsidRDefault="00577315" w:rsidP="00577315">
            <w:pPr>
              <w:rPr>
                <w:lang w:val="en-US"/>
              </w:rPr>
            </w:pPr>
            <w:r w:rsidRPr="00577315">
              <w:rPr>
                <w:lang w:val="en-US"/>
              </w:rPr>
              <w:t>cubic metre</w:t>
            </w:r>
          </w:p>
        </w:tc>
      </w:tr>
      <w:tr w:rsidR="00577315" w:rsidRPr="00577315" w14:paraId="6569BEE4" w14:textId="77777777" w:rsidTr="0C34660A">
        <w:trPr>
          <w:cantSplit/>
        </w:trPr>
        <w:tc>
          <w:tcPr>
            <w:tcW w:w="1818" w:type="dxa"/>
          </w:tcPr>
          <w:p w14:paraId="6022E08E" w14:textId="77777777" w:rsidR="00577315" w:rsidRPr="00577315" w:rsidRDefault="00577315" w:rsidP="00577315">
            <w:pPr>
              <w:rPr>
                <w:lang w:val="en-US"/>
              </w:rPr>
            </w:pPr>
            <w:r w:rsidRPr="00577315">
              <w:rPr>
                <w:lang w:val="en-US"/>
              </w:rPr>
              <w:t>Nm</w:t>
            </w:r>
            <w:r w:rsidRPr="00577315">
              <w:rPr>
                <w:vertAlign w:val="superscript"/>
                <w:lang w:val="en-US"/>
              </w:rPr>
              <w:t>3</w:t>
            </w:r>
          </w:p>
        </w:tc>
        <w:tc>
          <w:tcPr>
            <w:tcW w:w="6261" w:type="dxa"/>
          </w:tcPr>
          <w:p w14:paraId="350D9715" w14:textId="77777777" w:rsidR="00577315" w:rsidRPr="00577315" w:rsidRDefault="00577315" w:rsidP="00577315">
            <w:pPr>
              <w:rPr>
                <w:lang w:val="en-US"/>
              </w:rPr>
            </w:pPr>
            <w:r w:rsidRPr="00577315">
              <w:rPr>
                <w:lang w:val="en-US"/>
              </w:rPr>
              <w:t>normal cubic metre of dry gas at 0°C and 101.3 kilopascals</w:t>
            </w:r>
          </w:p>
        </w:tc>
      </w:tr>
      <w:tr w:rsidR="00577315" w:rsidRPr="00577315" w14:paraId="7720F553" w14:textId="77777777" w:rsidTr="0C34660A">
        <w:trPr>
          <w:cantSplit/>
        </w:trPr>
        <w:tc>
          <w:tcPr>
            <w:tcW w:w="1818" w:type="dxa"/>
          </w:tcPr>
          <w:p w14:paraId="24CD2EDC" w14:textId="77777777" w:rsidR="00577315" w:rsidRPr="00577315" w:rsidRDefault="00577315" w:rsidP="00577315">
            <w:pPr>
              <w:rPr>
                <w:lang w:val="en-US"/>
              </w:rPr>
            </w:pPr>
            <w:r w:rsidRPr="00577315">
              <w:rPr>
                <w:lang w:val="en-US"/>
              </w:rPr>
              <w:t>kW</w:t>
            </w:r>
          </w:p>
        </w:tc>
        <w:tc>
          <w:tcPr>
            <w:tcW w:w="6261" w:type="dxa"/>
          </w:tcPr>
          <w:p w14:paraId="6E8B7553" w14:textId="77777777" w:rsidR="00577315" w:rsidRPr="00577315" w:rsidRDefault="00577315" w:rsidP="00577315">
            <w:pPr>
              <w:rPr>
                <w:lang w:val="en-US"/>
              </w:rPr>
            </w:pPr>
            <w:r w:rsidRPr="00577315">
              <w:rPr>
                <w:lang w:val="en-US"/>
              </w:rPr>
              <w:t>kilowatt (10</w:t>
            </w:r>
            <w:r w:rsidRPr="00577315">
              <w:rPr>
                <w:vertAlign w:val="superscript"/>
                <w:lang w:val="en-US"/>
              </w:rPr>
              <w:t>3</w:t>
            </w:r>
            <w:r w:rsidRPr="00577315">
              <w:rPr>
                <w:lang w:val="en-US"/>
              </w:rPr>
              <w:t xml:space="preserve"> watts)</w:t>
            </w:r>
          </w:p>
        </w:tc>
      </w:tr>
      <w:tr w:rsidR="00577315" w:rsidRPr="00577315" w14:paraId="473184FF" w14:textId="77777777" w:rsidTr="0C34660A">
        <w:trPr>
          <w:cantSplit/>
        </w:trPr>
        <w:tc>
          <w:tcPr>
            <w:tcW w:w="1818" w:type="dxa"/>
          </w:tcPr>
          <w:p w14:paraId="46705AE0" w14:textId="77777777" w:rsidR="00577315" w:rsidRPr="00577315" w:rsidRDefault="00577315" w:rsidP="00577315">
            <w:pPr>
              <w:rPr>
                <w:lang w:val="en-US"/>
              </w:rPr>
            </w:pPr>
            <w:r w:rsidRPr="00577315">
              <w:rPr>
                <w:lang w:val="en-US"/>
              </w:rPr>
              <w:t>kWh</w:t>
            </w:r>
          </w:p>
        </w:tc>
        <w:tc>
          <w:tcPr>
            <w:tcW w:w="6261" w:type="dxa"/>
          </w:tcPr>
          <w:p w14:paraId="5F5B289A" w14:textId="77777777" w:rsidR="00577315" w:rsidRPr="00577315" w:rsidRDefault="00577315" w:rsidP="00577315">
            <w:pPr>
              <w:rPr>
                <w:lang w:val="en-US"/>
              </w:rPr>
            </w:pPr>
            <w:r w:rsidRPr="00577315">
              <w:rPr>
                <w:lang w:val="en-US"/>
              </w:rPr>
              <w:t>kilowatt-hour</w:t>
            </w:r>
          </w:p>
        </w:tc>
      </w:tr>
      <w:tr w:rsidR="00577315" w:rsidRPr="00577315" w14:paraId="7C5829AF" w14:textId="77777777" w:rsidTr="0C34660A">
        <w:trPr>
          <w:cantSplit/>
        </w:trPr>
        <w:tc>
          <w:tcPr>
            <w:tcW w:w="1818" w:type="dxa"/>
          </w:tcPr>
          <w:p w14:paraId="51C7F770" w14:textId="77777777" w:rsidR="00577315" w:rsidRPr="00577315" w:rsidRDefault="00577315" w:rsidP="00577315">
            <w:pPr>
              <w:rPr>
                <w:lang w:val="en-US"/>
              </w:rPr>
            </w:pPr>
            <w:r w:rsidRPr="00577315">
              <w:rPr>
                <w:lang w:val="en-US"/>
              </w:rPr>
              <w:t>MW</w:t>
            </w:r>
          </w:p>
        </w:tc>
        <w:tc>
          <w:tcPr>
            <w:tcW w:w="6261" w:type="dxa"/>
          </w:tcPr>
          <w:p w14:paraId="7F6C647E" w14:textId="77777777" w:rsidR="00577315" w:rsidRPr="00577315" w:rsidRDefault="00577315" w:rsidP="00577315">
            <w:pPr>
              <w:rPr>
                <w:lang w:val="en-US"/>
              </w:rPr>
            </w:pPr>
            <w:r w:rsidRPr="00577315">
              <w:rPr>
                <w:lang w:val="en-US"/>
              </w:rPr>
              <w:t>megawatt (10</w:t>
            </w:r>
            <w:r w:rsidRPr="00577315">
              <w:rPr>
                <w:vertAlign w:val="superscript"/>
                <w:lang w:val="en-US"/>
              </w:rPr>
              <w:t>6</w:t>
            </w:r>
            <w:r w:rsidRPr="00577315">
              <w:rPr>
                <w:lang w:val="en-US"/>
              </w:rPr>
              <w:t xml:space="preserve"> watts)</w:t>
            </w:r>
          </w:p>
        </w:tc>
      </w:tr>
      <w:tr w:rsidR="00577315" w:rsidRPr="00577315" w14:paraId="348581FE" w14:textId="77777777" w:rsidTr="0C34660A">
        <w:trPr>
          <w:cantSplit/>
        </w:trPr>
        <w:tc>
          <w:tcPr>
            <w:tcW w:w="1818" w:type="dxa"/>
          </w:tcPr>
          <w:p w14:paraId="5D441EC6" w14:textId="77777777" w:rsidR="00577315" w:rsidRPr="00577315" w:rsidRDefault="00577315" w:rsidP="00577315">
            <w:pPr>
              <w:rPr>
                <w:lang w:val="en-US"/>
              </w:rPr>
            </w:pPr>
            <w:r w:rsidRPr="00577315">
              <w:rPr>
                <w:lang w:val="en-US"/>
              </w:rPr>
              <w:t>GWh</w:t>
            </w:r>
          </w:p>
        </w:tc>
        <w:tc>
          <w:tcPr>
            <w:tcW w:w="6261" w:type="dxa"/>
          </w:tcPr>
          <w:p w14:paraId="195D8A0B" w14:textId="77777777" w:rsidR="00577315" w:rsidRPr="00577315" w:rsidRDefault="00577315" w:rsidP="00577315">
            <w:pPr>
              <w:rPr>
                <w:lang w:val="en-US"/>
              </w:rPr>
            </w:pPr>
            <w:r w:rsidRPr="00577315">
              <w:rPr>
                <w:lang w:val="en-US"/>
              </w:rPr>
              <w:t>gigawatt-hour</w:t>
            </w:r>
          </w:p>
        </w:tc>
      </w:tr>
      <w:tr w:rsidR="00577315" w:rsidRPr="00577315" w14:paraId="34E96E9B" w14:textId="77777777" w:rsidTr="0C34660A">
        <w:trPr>
          <w:cantSplit/>
          <w:trHeight w:val="422"/>
        </w:trPr>
        <w:tc>
          <w:tcPr>
            <w:tcW w:w="1818" w:type="dxa"/>
          </w:tcPr>
          <w:p w14:paraId="00D8B762" w14:textId="77777777" w:rsidR="00577315" w:rsidRPr="00577315" w:rsidRDefault="00577315" w:rsidP="00577315">
            <w:pPr>
              <w:spacing w:before="240"/>
              <w:rPr>
                <w:rFonts w:ascii="Arial" w:hAnsi="Arial" w:cs="Arial"/>
                <w:b/>
                <w:sz w:val="22"/>
                <w:szCs w:val="22"/>
                <w:lang w:val="en-US"/>
              </w:rPr>
            </w:pPr>
            <w:r w:rsidRPr="00577315">
              <w:rPr>
                <w:rFonts w:ascii="Arial" w:hAnsi="Arial" w:cs="Arial"/>
                <w:b/>
                <w:sz w:val="22"/>
                <w:szCs w:val="22"/>
                <w:lang w:val="en-US"/>
              </w:rPr>
              <w:t>Abbreviations</w:t>
            </w:r>
          </w:p>
        </w:tc>
        <w:tc>
          <w:tcPr>
            <w:tcW w:w="6261" w:type="dxa"/>
          </w:tcPr>
          <w:p w14:paraId="14FFD05E" w14:textId="77777777" w:rsidR="00577315" w:rsidRPr="00577315" w:rsidRDefault="00577315" w:rsidP="00577315">
            <w:pPr>
              <w:rPr>
                <w:rFonts w:ascii="Arial" w:hAnsi="Arial" w:cs="Arial"/>
                <w:b/>
                <w:sz w:val="22"/>
                <w:szCs w:val="22"/>
                <w:lang w:val="en-US"/>
              </w:rPr>
            </w:pPr>
          </w:p>
        </w:tc>
      </w:tr>
      <w:tr w:rsidR="00577315" w:rsidRPr="00577315" w14:paraId="465132D4" w14:textId="77777777" w:rsidTr="0C34660A">
        <w:trPr>
          <w:cantSplit/>
        </w:trPr>
        <w:tc>
          <w:tcPr>
            <w:tcW w:w="1818" w:type="dxa"/>
          </w:tcPr>
          <w:p w14:paraId="7A450815" w14:textId="77777777" w:rsidR="00577315" w:rsidRPr="00577315" w:rsidRDefault="00577315" w:rsidP="00577315">
            <w:pPr>
              <w:rPr>
                <w:lang w:val="en-US"/>
              </w:rPr>
            </w:pPr>
            <w:r w:rsidRPr="00577315">
              <w:rPr>
                <w:lang w:val="en-US"/>
              </w:rPr>
              <w:t>BAT/BEP</w:t>
            </w:r>
          </w:p>
        </w:tc>
        <w:tc>
          <w:tcPr>
            <w:tcW w:w="6261" w:type="dxa"/>
          </w:tcPr>
          <w:p w14:paraId="45541908" w14:textId="77777777" w:rsidR="00577315" w:rsidRPr="00577315" w:rsidRDefault="00577315" w:rsidP="00577315">
            <w:pPr>
              <w:rPr>
                <w:lang w:val="en-US"/>
              </w:rPr>
            </w:pPr>
            <w:r w:rsidRPr="00577315">
              <w:rPr>
                <w:lang w:val="en-US"/>
              </w:rPr>
              <w:t>best available techniques / best environmental practices</w:t>
            </w:r>
          </w:p>
        </w:tc>
      </w:tr>
      <w:tr w:rsidR="00F52EC4" w:rsidRPr="00577315" w14:paraId="4C848A90" w14:textId="77777777" w:rsidTr="0C34660A">
        <w:trPr>
          <w:cantSplit/>
        </w:trPr>
        <w:tc>
          <w:tcPr>
            <w:tcW w:w="1818" w:type="dxa"/>
          </w:tcPr>
          <w:p w14:paraId="3417D093" w14:textId="77777777" w:rsidR="00F52EC4" w:rsidRPr="00577315" w:rsidRDefault="00F52EC4" w:rsidP="00577315">
            <w:pPr>
              <w:rPr>
                <w:lang w:val="en-US"/>
              </w:rPr>
            </w:pPr>
            <w:r>
              <w:rPr>
                <w:lang w:val="en-US"/>
              </w:rPr>
              <w:t>BLS</w:t>
            </w:r>
          </w:p>
        </w:tc>
        <w:tc>
          <w:tcPr>
            <w:tcW w:w="6261" w:type="dxa"/>
          </w:tcPr>
          <w:p w14:paraId="10A95DEA" w14:textId="77777777" w:rsidR="00F52EC4" w:rsidRPr="00577315" w:rsidRDefault="00F52EC4" w:rsidP="00577315">
            <w:pPr>
              <w:rPr>
                <w:lang w:val="en-US"/>
              </w:rPr>
            </w:pPr>
            <w:r>
              <w:rPr>
                <w:lang w:val="en-US"/>
              </w:rPr>
              <w:t>black liquor solids</w:t>
            </w:r>
          </w:p>
        </w:tc>
      </w:tr>
      <w:tr w:rsidR="00577315" w:rsidRPr="00577315" w14:paraId="4FE0A71D" w14:textId="77777777" w:rsidTr="0C34660A">
        <w:trPr>
          <w:cantSplit/>
        </w:trPr>
        <w:tc>
          <w:tcPr>
            <w:tcW w:w="1818" w:type="dxa"/>
          </w:tcPr>
          <w:p w14:paraId="13C484C4" w14:textId="77777777" w:rsidR="00577315" w:rsidRPr="00577315" w:rsidRDefault="00577315" w:rsidP="00577315">
            <w:pPr>
              <w:rPr>
                <w:lang w:val="en-US"/>
              </w:rPr>
            </w:pPr>
            <w:r w:rsidRPr="00577315">
              <w:rPr>
                <w:lang w:val="en-US"/>
              </w:rPr>
              <w:t>CKD</w:t>
            </w:r>
          </w:p>
        </w:tc>
        <w:tc>
          <w:tcPr>
            <w:tcW w:w="6261" w:type="dxa"/>
          </w:tcPr>
          <w:p w14:paraId="75260D7F" w14:textId="77777777" w:rsidR="00577315" w:rsidRPr="00577315" w:rsidRDefault="00577315" w:rsidP="00577315">
            <w:pPr>
              <w:rPr>
                <w:lang w:val="en-US"/>
              </w:rPr>
            </w:pPr>
            <w:r w:rsidRPr="00577315">
              <w:rPr>
                <w:lang w:val="en-US"/>
              </w:rPr>
              <w:t>cement kiln dust</w:t>
            </w:r>
          </w:p>
        </w:tc>
      </w:tr>
      <w:tr w:rsidR="00577315" w:rsidRPr="00577315" w14:paraId="5742BD38" w14:textId="77777777" w:rsidTr="0C34660A">
        <w:trPr>
          <w:cantSplit/>
        </w:trPr>
        <w:tc>
          <w:tcPr>
            <w:tcW w:w="1818" w:type="dxa"/>
          </w:tcPr>
          <w:p w14:paraId="7877E59D" w14:textId="77777777" w:rsidR="00577315" w:rsidRPr="00577315" w:rsidRDefault="00577315" w:rsidP="00577315">
            <w:pPr>
              <w:rPr>
                <w:lang w:val="en-US"/>
              </w:rPr>
            </w:pPr>
            <w:r w:rsidRPr="00577315">
              <w:rPr>
                <w:lang w:val="en-US"/>
              </w:rPr>
              <w:t>dioxins</w:t>
            </w:r>
          </w:p>
        </w:tc>
        <w:tc>
          <w:tcPr>
            <w:tcW w:w="6261" w:type="dxa"/>
          </w:tcPr>
          <w:p w14:paraId="2AB0AF53" w14:textId="77777777" w:rsidR="00577315" w:rsidRPr="00577315" w:rsidRDefault="00577315" w:rsidP="00577315">
            <w:pPr>
              <w:rPr>
                <w:lang w:val="en-US"/>
              </w:rPr>
            </w:pPr>
            <w:r w:rsidRPr="00577315">
              <w:rPr>
                <w:lang w:val="en-US"/>
              </w:rPr>
              <w:t>generic name for the PCDDs and PCDFs</w:t>
            </w:r>
          </w:p>
        </w:tc>
      </w:tr>
      <w:tr w:rsidR="0002415D" w:rsidRPr="00577315" w14:paraId="56C7EB11" w14:textId="77777777" w:rsidTr="0C34660A">
        <w:trPr>
          <w:cantSplit/>
        </w:trPr>
        <w:tc>
          <w:tcPr>
            <w:tcW w:w="1818" w:type="dxa"/>
          </w:tcPr>
          <w:p w14:paraId="53D5BACD" w14:textId="4E91D1AD" w:rsidR="0002415D" w:rsidRPr="00577315" w:rsidRDefault="0002415D" w:rsidP="00577315">
            <w:pPr>
              <w:rPr>
                <w:lang w:val="en-US"/>
              </w:rPr>
            </w:pPr>
            <w:r>
              <w:rPr>
                <w:lang w:val="en-US"/>
              </w:rPr>
              <w:t>FAO</w:t>
            </w:r>
          </w:p>
        </w:tc>
        <w:tc>
          <w:tcPr>
            <w:tcW w:w="6261" w:type="dxa"/>
          </w:tcPr>
          <w:p w14:paraId="496C3206" w14:textId="0334188A" w:rsidR="0002415D" w:rsidRPr="00577315" w:rsidRDefault="0002415D" w:rsidP="0002415D">
            <w:pPr>
              <w:rPr>
                <w:lang w:val="en-US"/>
              </w:rPr>
            </w:pPr>
            <w:r>
              <w:rPr>
                <w:lang w:val="en-US"/>
              </w:rPr>
              <w:t>Food and Agriculture Organization</w:t>
            </w:r>
          </w:p>
        </w:tc>
      </w:tr>
      <w:tr w:rsidR="00577315" w:rsidRPr="00577315" w14:paraId="645A6333" w14:textId="77777777" w:rsidTr="0C34660A">
        <w:trPr>
          <w:cantSplit/>
        </w:trPr>
        <w:tc>
          <w:tcPr>
            <w:tcW w:w="1818" w:type="dxa"/>
          </w:tcPr>
          <w:p w14:paraId="7FA848D8" w14:textId="77777777" w:rsidR="00577315" w:rsidRPr="00577315" w:rsidRDefault="00577315" w:rsidP="00577315">
            <w:pPr>
              <w:rPr>
                <w:lang w:val="en-US"/>
              </w:rPr>
            </w:pPr>
            <w:r w:rsidRPr="00577315">
              <w:rPr>
                <w:lang w:val="en-US"/>
              </w:rPr>
              <w:t>LPG</w:t>
            </w:r>
          </w:p>
        </w:tc>
        <w:tc>
          <w:tcPr>
            <w:tcW w:w="6261" w:type="dxa"/>
          </w:tcPr>
          <w:p w14:paraId="75FF75E2" w14:textId="77777777" w:rsidR="00577315" w:rsidRPr="00577315" w:rsidRDefault="00577315" w:rsidP="00577315">
            <w:pPr>
              <w:rPr>
                <w:lang w:val="en-US"/>
              </w:rPr>
            </w:pPr>
            <w:r w:rsidRPr="00577315">
              <w:rPr>
                <w:lang w:val="en-US"/>
              </w:rPr>
              <w:t>liquefied petroleum gas</w:t>
            </w:r>
          </w:p>
        </w:tc>
      </w:tr>
      <w:tr w:rsidR="00577315" w:rsidRPr="00577315" w14:paraId="60D1A234" w14:textId="77777777" w:rsidTr="0C34660A">
        <w:trPr>
          <w:cantSplit/>
        </w:trPr>
        <w:tc>
          <w:tcPr>
            <w:tcW w:w="1818" w:type="dxa"/>
          </w:tcPr>
          <w:p w14:paraId="27324E83" w14:textId="77777777" w:rsidR="00577315" w:rsidRPr="00577315" w:rsidRDefault="00577315" w:rsidP="00577315">
            <w:pPr>
              <w:rPr>
                <w:lang w:val="en-US"/>
              </w:rPr>
            </w:pPr>
            <w:r w:rsidRPr="00577315">
              <w:rPr>
                <w:lang w:val="en-US"/>
              </w:rPr>
              <w:t>MDF</w:t>
            </w:r>
          </w:p>
        </w:tc>
        <w:tc>
          <w:tcPr>
            <w:tcW w:w="6261" w:type="dxa"/>
          </w:tcPr>
          <w:p w14:paraId="4FFABA80" w14:textId="77777777" w:rsidR="00577315" w:rsidRPr="00577315" w:rsidRDefault="00577315" w:rsidP="00577315">
            <w:pPr>
              <w:rPr>
                <w:lang w:val="en-US"/>
              </w:rPr>
            </w:pPr>
            <w:r w:rsidRPr="00577315">
              <w:rPr>
                <w:lang w:val="en-US"/>
              </w:rPr>
              <w:t>medium density fibreboard</w:t>
            </w:r>
          </w:p>
        </w:tc>
      </w:tr>
      <w:tr w:rsidR="00577315" w:rsidRPr="00577315" w14:paraId="1EDB1C98" w14:textId="77777777" w:rsidTr="0C34660A">
        <w:trPr>
          <w:cantSplit/>
        </w:trPr>
        <w:tc>
          <w:tcPr>
            <w:tcW w:w="1818" w:type="dxa"/>
          </w:tcPr>
          <w:p w14:paraId="65489FB2" w14:textId="77777777" w:rsidR="00577315" w:rsidRPr="00577315" w:rsidRDefault="00577315" w:rsidP="00577315">
            <w:pPr>
              <w:rPr>
                <w:lang w:val="en-US"/>
              </w:rPr>
            </w:pPr>
            <w:r w:rsidRPr="00577315">
              <w:rPr>
                <w:lang w:val="en-US"/>
              </w:rPr>
              <w:t>PCDD</w:t>
            </w:r>
          </w:p>
        </w:tc>
        <w:tc>
          <w:tcPr>
            <w:tcW w:w="6261" w:type="dxa"/>
          </w:tcPr>
          <w:p w14:paraId="2E2364B4" w14:textId="77777777" w:rsidR="00577315" w:rsidRPr="00577315" w:rsidRDefault="00577315" w:rsidP="00577315">
            <w:pPr>
              <w:rPr>
                <w:lang w:val="en-US"/>
              </w:rPr>
            </w:pPr>
            <w:r w:rsidRPr="00577315">
              <w:rPr>
                <w:lang w:val="en-US"/>
              </w:rPr>
              <w:t>polychlorinated dibenzo-</w:t>
            </w:r>
            <w:r w:rsidRPr="00577315">
              <w:rPr>
                <w:i/>
                <w:lang w:val="en-US"/>
              </w:rPr>
              <w:t>p</w:t>
            </w:r>
            <w:r w:rsidRPr="00577315">
              <w:rPr>
                <w:lang w:val="en-US"/>
              </w:rPr>
              <w:t>-dioxin</w:t>
            </w:r>
          </w:p>
        </w:tc>
      </w:tr>
      <w:tr w:rsidR="00577315" w:rsidRPr="00577315" w14:paraId="6C679AF5" w14:textId="77777777" w:rsidTr="0C34660A">
        <w:trPr>
          <w:cantSplit/>
        </w:trPr>
        <w:tc>
          <w:tcPr>
            <w:tcW w:w="1818" w:type="dxa"/>
          </w:tcPr>
          <w:p w14:paraId="56E4A678" w14:textId="77777777" w:rsidR="00577315" w:rsidRPr="00577315" w:rsidRDefault="3F211E17" w:rsidP="00577315">
            <w:pPr>
              <w:rPr>
                <w:lang w:val="en-US"/>
              </w:rPr>
            </w:pPr>
            <w:bookmarkStart w:id="24" w:name="_Int_AWJ0UHkJ"/>
            <w:r w:rsidRPr="0C34660A">
              <w:rPr>
                <w:lang w:val="en-US"/>
              </w:rPr>
              <w:t>PCDF</w:t>
            </w:r>
            <w:bookmarkEnd w:id="24"/>
          </w:p>
        </w:tc>
        <w:tc>
          <w:tcPr>
            <w:tcW w:w="6261" w:type="dxa"/>
          </w:tcPr>
          <w:p w14:paraId="1CD32CBA" w14:textId="77777777" w:rsidR="00577315" w:rsidRPr="00577315" w:rsidRDefault="00577315" w:rsidP="00577315">
            <w:pPr>
              <w:rPr>
                <w:lang w:val="en-US"/>
              </w:rPr>
            </w:pPr>
            <w:r w:rsidRPr="00577315">
              <w:rPr>
                <w:lang w:val="en-US"/>
              </w:rPr>
              <w:t>polychlorinated dibenzofuran</w:t>
            </w:r>
          </w:p>
        </w:tc>
      </w:tr>
      <w:tr w:rsidR="00664203" w:rsidRPr="00577315" w14:paraId="1642C359" w14:textId="77777777" w:rsidTr="0C34660A">
        <w:trPr>
          <w:cantSplit/>
        </w:trPr>
        <w:tc>
          <w:tcPr>
            <w:tcW w:w="1818" w:type="dxa"/>
          </w:tcPr>
          <w:p w14:paraId="28D34200" w14:textId="1A4CE070" w:rsidR="00664203" w:rsidRDefault="00664203" w:rsidP="00BD0A15">
            <w:pPr>
              <w:rPr>
                <w:lang w:val="en-US"/>
              </w:rPr>
            </w:pPr>
            <w:r>
              <w:rPr>
                <w:lang w:val="en-US"/>
              </w:rPr>
              <w:t>POPs</w:t>
            </w:r>
          </w:p>
        </w:tc>
        <w:tc>
          <w:tcPr>
            <w:tcW w:w="6261" w:type="dxa"/>
          </w:tcPr>
          <w:p w14:paraId="4B97B68B" w14:textId="4F773FB5" w:rsidR="00664203" w:rsidRPr="00577315" w:rsidRDefault="00664203" w:rsidP="00BD0A15">
            <w:pPr>
              <w:rPr>
                <w:lang w:val="en-US"/>
              </w:rPr>
            </w:pPr>
            <w:r>
              <w:rPr>
                <w:lang w:val="en-US"/>
              </w:rPr>
              <w:t>persistent organic pollutants</w:t>
            </w:r>
          </w:p>
        </w:tc>
      </w:tr>
      <w:tr w:rsidR="0048095D" w:rsidRPr="00577315" w14:paraId="5445A437" w14:textId="77777777" w:rsidTr="0C34660A">
        <w:trPr>
          <w:cantSplit/>
        </w:trPr>
        <w:tc>
          <w:tcPr>
            <w:tcW w:w="1818" w:type="dxa"/>
          </w:tcPr>
          <w:p w14:paraId="246A412B" w14:textId="77777777" w:rsidR="0048095D" w:rsidRPr="00577315" w:rsidRDefault="0048095D" w:rsidP="00BD0A15">
            <w:pPr>
              <w:rPr>
                <w:lang w:val="en-US"/>
              </w:rPr>
            </w:pPr>
            <w:r>
              <w:rPr>
                <w:lang w:val="en-US"/>
              </w:rPr>
              <w:t>TEQ</w:t>
            </w:r>
          </w:p>
        </w:tc>
        <w:tc>
          <w:tcPr>
            <w:tcW w:w="6261" w:type="dxa"/>
          </w:tcPr>
          <w:p w14:paraId="1B52D86E" w14:textId="1EA44712" w:rsidR="0048095D" w:rsidRPr="00577315" w:rsidRDefault="0048095D" w:rsidP="00BD0A15">
            <w:pPr>
              <w:rPr>
                <w:lang w:val="en-US"/>
              </w:rPr>
            </w:pPr>
            <w:r w:rsidRPr="00577315">
              <w:rPr>
                <w:lang w:val="en-US"/>
              </w:rPr>
              <w:t>toxic equivalents</w:t>
            </w:r>
          </w:p>
        </w:tc>
      </w:tr>
      <w:tr w:rsidR="00577315" w:rsidRPr="00577315" w14:paraId="5F4116F2" w14:textId="77777777" w:rsidTr="0C34660A">
        <w:trPr>
          <w:cantSplit/>
        </w:trPr>
        <w:tc>
          <w:tcPr>
            <w:tcW w:w="1818" w:type="dxa"/>
          </w:tcPr>
          <w:p w14:paraId="5DB09C78" w14:textId="77777777" w:rsidR="00577315" w:rsidRPr="00577315" w:rsidRDefault="00577315" w:rsidP="00577315">
            <w:pPr>
              <w:rPr>
                <w:lang w:val="en-US"/>
              </w:rPr>
            </w:pPr>
            <w:r w:rsidRPr="00577315">
              <w:rPr>
                <w:lang w:val="en-US"/>
              </w:rPr>
              <w:t>UNEP</w:t>
            </w:r>
          </w:p>
        </w:tc>
        <w:tc>
          <w:tcPr>
            <w:tcW w:w="6261" w:type="dxa"/>
          </w:tcPr>
          <w:p w14:paraId="5B6F7DFC" w14:textId="77777777" w:rsidR="00577315" w:rsidRPr="00577315" w:rsidRDefault="00577315" w:rsidP="00577315">
            <w:pPr>
              <w:rPr>
                <w:lang w:val="en-US"/>
              </w:rPr>
            </w:pPr>
            <w:r w:rsidRPr="00577315">
              <w:rPr>
                <w:lang w:val="en-US"/>
              </w:rPr>
              <w:t>United Nations Environment Programme</w:t>
            </w:r>
          </w:p>
        </w:tc>
      </w:tr>
      <w:tr w:rsidR="00577315" w:rsidRPr="00577315" w14:paraId="3FE9F058" w14:textId="77777777" w:rsidTr="0C34660A">
        <w:trPr>
          <w:cantSplit/>
        </w:trPr>
        <w:tc>
          <w:tcPr>
            <w:tcW w:w="1818" w:type="dxa"/>
          </w:tcPr>
          <w:p w14:paraId="5F1A190E" w14:textId="77777777" w:rsidR="00577315" w:rsidRPr="00577315" w:rsidRDefault="00577315" w:rsidP="00577315">
            <w:pPr>
              <w:rPr>
                <w:lang w:val="en-US"/>
              </w:rPr>
            </w:pPr>
            <w:r w:rsidRPr="00577315">
              <w:rPr>
                <w:lang w:val="en-US"/>
              </w:rPr>
              <w:t>USA</w:t>
            </w:r>
          </w:p>
        </w:tc>
        <w:tc>
          <w:tcPr>
            <w:tcW w:w="6261" w:type="dxa"/>
          </w:tcPr>
          <w:p w14:paraId="07401172" w14:textId="77777777" w:rsidR="00577315" w:rsidRPr="00577315" w:rsidRDefault="00577315" w:rsidP="00577315">
            <w:pPr>
              <w:rPr>
                <w:lang w:val="en-US"/>
              </w:rPr>
            </w:pPr>
            <w:r w:rsidRPr="00577315">
              <w:rPr>
                <w:lang w:val="en-US"/>
              </w:rPr>
              <w:t>United States of America</w:t>
            </w:r>
          </w:p>
        </w:tc>
      </w:tr>
      <w:tr w:rsidR="00577315" w:rsidRPr="00577315" w14:paraId="44B5FA0C" w14:textId="77777777" w:rsidTr="0C34660A">
        <w:trPr>
          <w:cantSplit/>
        </w:trPr>
        <w:tc>
          <w:tcPr>
            <w:tcW w:w="1818" w:type="dxa"/>
          </w:tcPr>
          <w:p w14:paraId="0CB64713" w14:textId="77777777" w:rsidR="00577315" w:rsidRPr="00577315" w:rsidRDefault="00577315" w:rsidP="00577315">
            <w:pPr>
              <w:rPr>
                <w:lang w:val="en-US"/>
              </w:rPr>
            </w:pPr>
            <w:r w:rsidRPr="00577315">
              <w:rPr>
                <w:lang w:val="en-US"/>
              </w:rPr>
              <w:t>US EPA</w:t>
            </w:r>
          </w:p>
        </w:tc>
        <w:tc>
          <w:tcPr>
            <w:tcW w:w="6261" w:type="dxa"/>
          </w:tcPr>
          <w:p w14:paraId="47D154FB" w14:textId="77777777" w:rsidR="00577315" w:rsidRPr="00577315" w:rsidRDefault="00577315" w:rsidP="00577315">
            <w:pPr>
              <w:rPr>
                <w:lang w:val="en-US"/>
              </w:rPr>
            </w:pPr>
            <w:r w:rsidRPr="00577315">
              <w:rPr>
                <w:lang w:val="en-US"/>
              </w:rPr>
              <w:t>United States Environmental Protection Agency</w:t>
            </w:r>
          </w:p>
        </w:tc>
      </w:tr>
      <w:tr w:rsidR="00577315" w:rsidRPr="00577315" w14:paraId="5CE9C014" w14:textId="77777777" w:rsidTr="0C34660A">
        <w:trPr>
          <w:cantSplit/>
        </w:trPr>
        <w:tc>
          <w:tcPr>
            <w:tcW w:w="1818" w:type="dxa"/>
          </w:tcPr>
          <w:p w14:paraId="14468889" w14:textId="77777777" w:rsidR="00577315" w:rsidRPr="00577315" w:rsidRDefault="00577315" w:rsidP="00577315">
            <w:pPr>
              <w:rPr>
                <w:lang w:val="en-US"/>
              </w:rPr>
            </w:pPr>
            <w:r w:rsidRPr="00577315">
              <w:rPr>
                <w:lang w:val="en-US"/>
              </w:rPr>
              <w:t>WHO</w:t>
            </w:r>
          </w:p>
        </w:tc>
        <w:tc>
          <w:tcPr>
            <w:tcW w:w="6261" w:type="dxa"/>
          </w:tcPr>
          <w:p w14:paraId="70F0B201" w14:textId="77777777" w:rsidR="00577315" w:rsidRPr="00577315" w:rsidRDefault="00577315" w:rsidP="00577315">
            <w:pPr>
              <w:rPr>
                <w:lang w:val="en-US"/>
              </w:rPr>
            </w:pPr>
            <w:r w:rsidRPr="00577315">
              <w:rPr>
                <w:lang w:val="en-US"/>
              </w:rPr>
              <w:t>World Health Organization</w:t>
            </w:r>
          </w:p>
        </w:tc>
      </w:tr>
    </w:tbl>
    <w:p w14:paraId="3F942A0B" w14:textId="77777777" w:rsidR="00261F78" w:rsidRDefault="00261F78" w:rsidP="00270CD3">
      <w:pPr>
        <w:spacing w:line="360" w:lineRule="auto"/>
        <w:jc w:val="both"/>
      </w:pPr>
    </w:p>
    <w:p w14:paraId="321DAC68" w14:textId="77777777" w:rsidR="00261F78" w:rsidRPr="00270CD3" w:rsidRDefault="00261F78" w:rsidP="00270CD3">
      <w:pPr>
        <w:spacing w:line="360" w:lineRule="auto"/>
        <w:jc w:val="both"/>
        <w:sectPr w:rsidR="00261F78" w:rsidRPr="00270CD3" w:rsidSect="0007373D">
          <w:headerReference w:type="even" r:id="rId22"/>
          <w:headerReference w:type="default" r:id="rId23"/>
          <w:footerReference w:type="default" r:id="rId24"/>
          <w:headerReference w:type="first" r:id="rId25"/>
          <w:pgSz w:w="11907" w:h="16840" w:code="9"/>
          <w:pgMar w:top="1418" w:right="1418" w:bottom="1440" w:left="1418" w:header="720" w:footer="720" w:gutter="0"/>
          <w:pgNumType w:fmt="lowerRoman" w:start="1"/>
          <w:cols w:space="720"/>
          <w:docGrid w:linePitch="272"/>
        </w:sectPr>
      </w:pPr>
    </w:p>
    <w:p w14:paraId="1DE413B7" w14:textId="77777777" w:rsidR="00394F37" w:rsidRPr="00270CD3" w:rsidRDefault="0021351F" w:rsidP="00394F37">
      <w:pPr>
        <w:jc w:val="center"/>
        <w:rPr>
          <w:rFonts w:ascii="Arial" w:hAnsi="Arial" w:cs="Arial"/>
          <w:b/>
          <w:sz w:val="28"/>
          <w:szCs w:val="28"/>
        </w:rPr>
      </w:pPr>
      <w:r w:rsidRPr="0021351F">
        <w:rPr>
          <w:rFonts w:ascii="Arial" w:hAnsi="Arial" w:cs="Arial"/>
          <w:b/>
          <w:sz w:val="28"/>
          <w:szCs w:val="28"/>
        </w:rPr>
        <w:lastRenderedPageBreak/>
        <w:t>Update of the New Zealand Inventory of Dioxin Emissions to Air, Land an</w:t>
      </w:r>
      <w:r w:rsidR="007B61C3">
        <w:rPr>
          <w:rFonts w:ascii="Arial" w:hAnsi="Arial" w:cs="Arial"/>
          <w:b/>
          <w:sz w:val="28"/>
          <w:szCs w:val="28"/>
        </w:rPr>
        <w:t>d</w:t>
      </w:r>
      <w:r w:rsidR="00717712">
        <w:rPr>
          <w:rFonts w:ascii="Arial" w:hAnsi="Arial" w:cs="Arial"/>
          <w:b/>
          <w:sz w:val="28"/>
          <w:szCs w:val="28"/>
        </w:rPr>
        <w:t xml:space="preserve"> Water, and Reservoir Sources</w:t>
      </w:r>
    </w:p>
    <w:p w14:paraId="51D5271A" w14:textId="77777777" w:rsidR="00A62C53" w:rsidRPr="00270CD3" w:rsidRDefault="00A62C53" w:rsidP="003833D6">
      <w:pPr>
        <w:spacing w:line="300" w:lineRule="atLeast"/>
        <w:jc w:val="both"/>
        <w:rPr>
          <w:szCs w:val="18"/>
        </w:rPr>
      </w:pPr>
    </w:p>
    <w:p w14:paraId="7949DF31" w14:textId="77777777" w:rsidR="00F13B43" w:rsidRPr="00F0772D" w:rsidRDefault="00E721F0" w:rsidP="00261F78">
      <w:pPr>
        <w:pStyle w:val="Heading1"/>
      </w:pPr>
      <w:bookmarkStart w:id="25" w:name="_Toc313528452"/>
      <w:bookmarkStart w:id="26" w:name="_Toc348266173"/>
      <w:bookmarkStart w:id="27" w:name="_Toc358573494"/>
      <w:bookmarkStart w:id="28" w:name="_Toc112768052"/>
      <w:r w:rsidRPr="00261F78">
        <w:t>Introduction</w:t>
      </w:r>
      <w:bookmarkEnd w:id="25"/>
      <w:bookmarkEnd w:id="26"/>
      <w:bookmarkEnd w:id="27"/>
      <w:bookmarkEnd w:id="28"/>
    </w:p>
    <w:p w14:paraId="22045755" w14:textId="4B56A86B" w:rsidR="00154F33" w:rsidRPr="00270CD3" w:rsidRDefault="6CA6E577" w:rsidP="009E5987">
      <w:pPr>
        <w:spacing w:line="300" w:lineRule="atLeast"/>
        <w:jc w:val="both"/>
      </w:pPr>
      <w:r>
        <w:t>This report provides a</w:t>
      </w:r>
      <w:r w:rsidR="5E0AE17A">
        <w:t>n</w:t>
      </w:r>
      <w:r>
        <w:t xml:space="preserve"> update of the</w:t>
      </w:r>
      <w:r w:rsidR="2F1FAF55" w:rsidRPr="0C34660A">
        <w:rPr>
          <w:i/>
          <w:iCs/>
        </w:rPr>
        <w:t xml:space="preserve"> New Zealand Inventory of Dioxin Emissions to Air, Land and Water, and Reservoir Sources 201</w:t>
      </w:r>
      <w:r w:rsidR="4AB48A48" w:rsidRPr="0C34660A">
        <w:rPr>
          <w:i/>
          <w:iCs/>
        </w:rPr>
        <w:t>8</w:t>
      </w:r>
      <w:r>
        <w:t xml:space="preserve"> </w:t>
      </w:r>
      <w:r w:rsidR="4AB48A48" w:rsidRPr="0C34660A">
        <w:rPr>
          <w:noProof/>
        </w:rPr>
        <w:t>(Ministry for the Environment, 2019)</w:t>
      </w:r>
      <w:r w:rsidR="2F1FAF55" w:rsidRPr="0C34660A">
        <w:rPr>
          <w:i/>
          <w:iCs/>
        </w:rPr>
        <w:t xml:space="preserve"> – </w:t>
      </w:r>
      <w:r w:rsidR="2F1FAF55">
        <w:t xml:space="preserve">the </w:t>
      </w:r>
      <w:r w:rsidR="4AB48A48">
        <w:t xml:space="preserve">2016 </w:t>
      </w:r>
      <w:r w:rsidR="2F1FAF55">
        <w:t>Inventory</w:t>
      </w:r>
      <w:r w:rsidR="75E36889">
        <w:t xml:space="preserve">. </w:t>
      </w:r>
      <w:r>
        <w:t xml:space="preserve">It has been prepared under contract to the New Zealand Ministry for the </w:t>
      </w:r>
      <w:r w:rsidR="4B79CFA8">
        <w:t xml:space="preserve">Environment and covers </w:t>
      </w:r>
      <w:bookmarkStart w:id="29" w:name="_Int_f3AkXGGV"/>
      <w:proofErr w:type="gramStart"/>
      <w:r w:rsidR="0667B9B7">
        <w:t>all</w:t>
      </w:r>
      <w:r w:rsidR="7BF65856">
        <w:t xml:space="preserve"> of</w:t>
      </w:r>
      <w:bookmarkEnd w:id="29"/>
      <w:proofErr w:type="gramEnd"/>
      <w:r w:rsidR="7BF65856">
        <w:t xml:space="preserve"> the 4</w:t>
      </w:r>
      <w:r w:rsidR="0011DF77">
        <w:t>9</w:t>
      </w:r>
      <w:r w:rsidR="7BF65856">
        <w:t xml:space="preserve"> </w:t>
      </w:r>
      <w:bookmarkStart w:id="30" w:name="_Int_SnZ161GA"/>
      <w:r w:rsidR="7BF65856">
        <w:t>different</w:t>
      </w:r>
      <w:r w:rsidR="4B79CFA8">
        <w:t xml:space="preserve"> sources</w:t>
      </w:r>
      <w:bookmarkEnd w:id="30"/>
      <w:r w:rsidR="7BF65856">
        <w:t xml:space="preserve"> co</w:t>
      </w:r>
      <w:r w:rsidR="2FB77E07">
        <w:t>nside</w:t>
      </w:r>
      <w:r w:rsidR="7BF65856">
        <w:t xml:space="preserve">red in the </w:t>
      </w:r>
      <w:r w:rsidR="35EF1656">
        <w:t>20</w:t>
      </w:r>
      <w:r w:rsidR="4AB48A48">
        <w:t>16</w:t>
      </w:r>
      <w:r w:rsidR="35EF1656">
        <w:t xml:space="preserve"> Inventory</w:t>
      </w:r>
      <w:r w:rsidR="0011DF77">
        <w:t>.</w:t>
      </w:r>
    </w:p>
    <w:p w14:paraId="1B972D86" w14:textId="77777777" w:rsidR="005A7C86" w:rsidRPr="00F0772D" w:rsidRDefault="000E7152" w:rsidP="00261F78">
      <w:pPr>
        <w:pStyle w:val="Heading2"/>
      </w:pPr>
      <w:bookmarkStart w:id="31" w:name="_Toc348266174"/>
      <w:bookmarkStart w:id="32" w:name="_Toc358573495"/>
      <w:bookmarkStart w:id="33" w:name="_Toc112768053"/>
      <w:r w:rsidRPr="00F0772D">
        <w:t>Background</w:t>
      </w:r>
      <w:bookmarkEnd w:id="31"/>
      <w:bookmarkEnd w:id="32"/>
      <w:bookmarkEnd w:id="33"/>
    </w:p>
    <w:p w14:paraId="11BA38C3" w14:textId="77777777" w:rsidR="00CC3B06" w:rsidRDefault="18E24793" w:rsidP="00CC3B06">
      <w:pPr>
        <w:spacing w:line="300" w:lineRule="atLeast"/>
        <w:jc w:val="both"/>
      </w:pPr>
      <w:r>
        <w:t xml:space="preserve">New Zealand has an obligation under the Stockholm Convention on Persistent Organic Pollutants to </w:t>
      </w:r>
      <w:r w:rsidR="3E726D29">
        <w:t xml:space="preserve">periodically </w:t>
      </w:r>
      <w:r>
        <w:t xml:space="preserve">prepare inventories of the unintentional releases of two specific groups of persistent organic pollutants: the polychlorinated dibenzo-p-dioxins (PCDDs) and the polychlorinated dibenzofurans (PCDFs). </w:t>
      </w:r>
      <w:r w:rsidR="671DDF25">
        <w:t xml:space="preserve">For convenience, these are </w:t>
      </w:r>
      <w:bookmarkStart w:id="34" w:name="_Int_Q8rmjeES"/>
      <w:r w:rsidR="671DDF25">
        <w:t>generally referred</w:t>
      </w:r>
      <w:bookmarkEnd w:id="34"/>
      <w:r w:rsidR="671DDF25">
        <w:t xml:space="preserve"> to using the collective term ‘dioxins</w:t>
      </w:r>
      <w:bookmarkStart w:id="35" w:name="_Int_xD9Oe1Ut"/>
      <w:r w:rsidR="671DDF25">
        <w:t>’,</w:t>
      </w:r>
      <w:bookmarkEnd w:id="35"/>
      <w:r w:rsidR="671DDF25">
        <w:t xml:space="preserve"> or the abbreviations PCDDs and PCDFs</w:t>
      </w:r>
      <w:r w:rsidR="4158D485">
        <w:t>.</w:t>
      </w:r>
    </w:p>
    <w:p w14:paraId="30204477" w14:textId="6ED945CC" w:rsidR="000E7152" w:rsidRPr="003833D6" w:rsidRDefault="00CC3B06" w:rsidP="003833D6">
      <w:pPr>
        <w:spacing w:line="300" w:lineRule="atLeast"/>
        <w:jc w:val="both"/>
      </w:pPr>
      <w:r>
        <w:t>The</w:t>
      </w:r>
      <w:r w:rsidR="009E5987">
        <w:t xml:space="preserve">re have been </w:t>
      </w:r>
      <w:r w:rsidR="003E7591">
        <w:t>four</w:t>
      </w:r>
      <w:r w:rsidR="009E5987">
        <w:t xml:space="preserve"> </w:t>
      </w:r>
      <w:r>
        <w:t xml:space="preserve">previous </w:t>
      </w:r>
      <w:r w:rsidR="009E5987">
        <w:t>reports on</w:t>
      </w:r>
      <w:r>
        <w:t xml:space="preserve"> </w:t>
      </w:r>
      <w:r w:rsidR="009E5987">
        <w:t>dioxin</w:t>
      </w:r>
      <w:r>
        <w:t xml:space="preserve"> releases to air, land and water, and reservoir sources</w:t>
      </w:r>
      <w:r w:rsidR="009E5987">
        <w:t xml:space="preserve"> in</w:t>
      </w:r>
      <w:r w:rsidR="00B862BB">
        <w:t xml:space="preserve"> New Zealand. </w:t>
      </w:r>
      <w:r w:rsidR="009E5987">
        <w:t>The first</w:t>
      </w:r>
      <w:r>
        <w:t xml:space="preserve"> was publis</w:t>
      </w:r>
      <w:r w:rsidR="00154F33">
        <w:t>hed in 2000, based on 1998 data</w:t>
      </w:r>
      <w:sdt>
        <w:sdtPr>
          <w:id w:val="-1526017011"/>
          <w:citation/>
        </w:sdtPr>
        <w:sdtEndPr/>
        <w:sdtContent>
          <w:r w:rsidR="00154F33">
            <w:fldChar w:fldCharType="begin"/>
          </w:r>
          <w:r w:rsidR="002F51F9">
            <w:instrText xml:space="preserve">CITATION MfE00 \l 5129 </w:instrText>
          </w:r>
          <w:r w:rsidR="00154F33">
            <w:fldChar w:fldCharType="separate"/>
          </w:r>
          <w:r w:rsidR="00F1175E">
            <w:rPr>
              <w:noProof/>
            </w:rPr>
            <w:t xml:space="preserve"> (Ministry for the Environment, 2000)</w:t>
          </w:r>
          <w:r w:rsidR="00154F33">
            <w:fldChar w:fldCharType="end"/>
          </w:r>
        </w:sdtContent>
      </w:sdt>
      <w:r w:rsidR="00B862BB">
        <w:t xml:space="preserve">. </w:t>
      </w:r>
      <w:r w:rsidR="004A2584">
        <w:t>This study pre-dated the Toolkit and used emission factors derived from the best information available to the compilers at</w:t>
      </w:r>
      <w:r w:rsidR="00B862BB">
        <w:t xml:space="preserve"> the time. </w:t>
      </w:r>
      <w:r w:rsidR="004A2584">
        <w:t>There were also fewer source categories investigated</w:t>
      </w:r>
      <w:r w:rsidR="00B862BB">
        <w:t xml:space="preserve"> than in the later inventories.</w:t>
      </w:r>
      <w:r w:rsidR="009E5987">
        <w:t xml:space="preserve"> </w:t>
      </w:r>
      <w:r w:rsidR="004A2584">
        <w:t>T</w:t>
      </w:r>
      <w:r w:rsidR="009E5987">
        <w:t>he second was published in 2011</w:t>
      </w:r>
      <w:r w:rsidR="00B862BB">
        <w:t xml:space="preserve"> </w:t>
      </w:r>
      <w:r w:rsidR="009E5987">
        <w:t>based on 2008 data</w:t>
      </w:r>
      <w:r w:rsidR="00154F33">
        <w:t xml:space="preserve"> </w:t>
      </w:r>
      <w:sdt>
        <w:sdtPr>
          <w:id w:val="-1466035072"/>
          <w:citation/>
        </w:sdtPr>
        <w:sdtEndPr/>
        <w:sdtContent>
          <w:r w:rsidR="00154F33">
            <w:fldChar w:fldCharType="begin"/>
          </w:r>
          <w:r w:rsidR="00E7081F">
            <w:instrText xml:space="preserve">CITATION MfE2011 \l 5129 </w:instrText>
          </w:r>
          <w:r w:rsidR="00154F33">
            <w:fldChar w:fldCharType="separate"/>
          </w:r>
          <w:r w:rsidR="00F1175E">
            <w:rPr>
              <w:noProof/>
            </w:rPr>
            <w:t>(Ministry for the Environment, 2011a)</w:t>
          </w:r>
          <w:r w:rsidR="00154F33">
            <w:fldChar w:fldCharType="end"/>
          </w:r>
        </w:sdtContent>
      </w:sdt>
      <w:r w:rsidR="003E7591">
        <w:t xml:space="preserve">, </w:t>
      </w:r>
      <w:r w:rsidR="004A2584">
        <w:t>the third published in 2014 based on 2012 data (Ministry for the Environment</w:t>
      </w:r>
      <w:r w:rsidR="00F5479A">
        <w:t>,</w:t>
      </w:r>
      <w:r w:rsidR="004A2584">
        <w:t xml:space="preserve"> 2014)</w:t>
      </w:r>
      <w:r w:rsidR="00641987">
        <w:t xml:space="preserve"> and the fourth published in 2018 on 2016 data (Ministry for the Environment</w:t>
      </w:r>
      <w:r w:rsidR="00F5479A">
        <w:t>,</w:t>
      </w:r>
      <w:r w:rsidR="00641987">
        <w:t xml:space="preserve"> 2019)</w:t>
      </w:r>
      <w:r>
        <w:t>. This report provides an update of th</w:t>
      </w:r>
      <w:r w:rsidR="00717712">
        <w:t>e 201</w:t>
      </w:r>
      <w:r w:rsidR="00641987">
        <w:t>8</w:t>
      </w:r>
      <w:r>
        <w:t xml:space="preserve"> inventory </w:t>
      </w:r>
      <w:r w:rsidR="00717712">
        <w:t>report (herein referred to as the 20</w:t>
      </w:r>
      <w:r w:rsidR="004A2584">
        <w:t>1</w:t>
      </w:r>
      <w:r w:rsidR="00641987">
        <w:t>6</w:t>
      </w:r>
      <w:r w:rsidR="00717712">
        <w:t xml:space="preserve"> Inventory) </w:t>
      </w:r>
      <w:r w:rsidR="00664203">
        <w:t>for the</w:t>
      </w:r>
      <w:r>
        <w:t xml:space="preserve"> reference year of 20</w:t>
      </w:r>
      <w:r w:rsidR="00641987">
        <w:t>20</w:t>
      </w:r>
      <w:r>
        <w:t xml:space="preserve">. </w:t>
      </w:r>
    </w:p>
    <w:p w14:paraId="60EF68D6" w14:textId="77777777" w:rsidR="00EB0BD0" w:rsidRPr="00F0772D" w:rsidRDefault="00EB0BD0" w:rsidP="00261F78">
      <w:pPr>
        <w:pStyle w:val="Heading2"/>
      </w:pPr>
      <w:bookmarkStart w:id="36" w:name="_Toc348266176"/>
      <w:bookmarkStart w:id="37" w:name="_Toc358573497"/>
      <w:bookmarkStart w:id="38" w:name="_Toc112768054"/>
      <w:r w:rsidRPr="00F0772D">
        <w:t>Methodology</w:t>
      </w:r>
      <w:bookmarkEnd w:id="36"/>
      <w:bookmarkEnd w:id="37"/>
      <w:bookmarkEnd w:id="38"/>
    </w:p>
    <w:p w14:paraId="5B95D140" w14:textId="5DC0A868" w:rsidR="00D800A7" w:rsidRDefault="033B37E7" w:rsidP="009F5662">
      <w:pPr>
        <w:spacing w:line="300" w:lineRule="atLeast"/>
        <w:rPr>
          <w:lang w:val="en-US"/>
        </w:rPr>
      </w:pPr>
      <w:r>
        <w:t xml:space="preserve">The methodology used for the inventory update </w:t>
      </w:r>
      <w:r w:rsidR="24614F67">
        <w:t xml:space="preserve">is summarised in Section 2 of this report. It has been based on the use of the latest version </w:t>
      </w:r>
      <w:r w:rsidR="25C5DC39">
        <w:t xml:space="preserve">(v3) </w:t>
      </w:r>
      <w:r w:rsidR="24614F67">
        <w:t xml:space="preserve">of </w:t>
      </w:r>
      <w:r w:rsidR="04291B68" w:rsidRPr="00B16DB2">
        <w:rPr>
          <w:lang w:val="en-US"/>
        </w:rPr>
        <w:t xml:space="preserve">the </w:t>
      </w:r>
      <w:r w:rsidR="04291B68" w:rsidRPr="0C34660A">
        <w:rPr>
          <w:i/>
          <w:iCs/>
          <w:lang w:val="en-US"/>
        </w:rPr>
        <w:t>Standardised Toolkit for Identification and Quantification of Dioxin and Furan Releases</w:t>
      </w:r>
      <w:sdt>
        <w:sdtPr>
          <w:rPr>
            <w:lang w:val="en-US"/>
          </w:rPr>
          <w:id w:val="-245102347"/>
          <w:lock w:val="contentLocked"/>
          <w:placeholder>
            <w:docPart w:val="DefaultPlaceholder_1081868574"/>
          </w:placeholder>
          <w:citation/>
        </w:sdtPr>
        <w:sdtEndPr/>
        <w:sdtContent>
          <w:r w:rsidR="009F5662">
            <w:rPr>
              <w:lang w:val="en-US"/>
            </w:rPr>
            <w:fldChar w:fldCharType="begin"/>
          </w:r>
          <w:r w:rsidR="009F5662">
            <w:instrText xml:space="preserve"> CITATION UNEP13 \l 5129 </w:instrText>
          </w:r>
          <w:r w:rsidR="009F5662">
            <w:rPr>
              <w:lang w:val="en-US"/>
            </w:rPr>
            <w:fldChar w:fldCharType="separate"/>
          </w:r>
          <w:r w:rsidR="25EC959F">
            <w:rPr>
              <w:noProof/>
            </w:rPr>
            <w:t xml:space="preserve"> (United Nations Environment Programme, 2013)</w:t>
          </w:r>
          <w:r w:rsidR="009F5662">
            <w:rPr>
              <w:lang w:val="en-US"/>
            </w:rPr>
            <w:fldChar w:fldCharType="end"/>
          </w:r>
        </w:sdtContent>
      </w:sdt>
      <w:r w:rsidR="3D40E0FD">
        <w:rPr>
          <w:lang w:val="en-US"/>
        </w:rPr>
        <w:t xml:space="preserve"> (</w:t>
      </w:r>
      <w:bookmarkStart w:id="39" w:name="_Int_931WuISm"/>
      <w:r w:rsidR="04291B68" w:rsidRPr="00B16DB2">
        <w:rPr>
          <w:lang w:val="en-US"/>
        </w:rPr>
        <w:t>herein</w:t>
      </w:r>
      <w:bookmarkEnd w:id="39"/>
      <w:r w:rsidR="04291B68" w:rsidRPr="00B16DB2">
        <w:rPr>
          <w:lang w:val="en-US"/>
        </w:rPr>
        <w:t xml:space="preserve"> referred to as the UNEP Toolkit</w:t>
      </w:r>
      <w:r w:rsidR="04291B68">
        <w:rPr>
          <w:lang w:val="en-US"/>
        </w:rPr>
        <w:t xml:space="preserve">). </w:t>
      </w:r>
      <w:r w:rsidR="4B79CFA8">
        <w:rPr>
          <w:lang w:val="en-US"/>
        </w:rPr>
        <w:t xml:space="preserve">The methodology </w:t>
      </w:r>
      <w:r w:rsidR="28CAD0DB">
        <w:rPr>
          <w:lang w:val="en-US"/>
        </w:rPr>
        <w:t>involves</w:t>
      </w:r>
      <w:r w:rsidR="4B79CFA8" w:rsidRPr="00D73AA1">
        <w:rPr>
          <w:lang w:val="en-US"/>
        </w:rPr>
        <w:t xml:space="preserve"> </w:t>
      </w:r>
      <w:r w:rsidR="4B79CFA8">
        <w:rPr>
          <w:lang w:val="en-US"/>
        </w:rPr>
        <w:t>an</w:t>
      </w:r>
      <w:r w:rsidR="4B79CFA8" w:rsidRPr="00D73AA1">
        <w:rPr>
          <w:lang w:val="en-US"/>
        </w:rPr>
        <w:t xml:space="preserve"> emission factor approach, in which the annual releases from each source are estimated by multiplying an activity statistic by an emission factor. Activity statistics are chosen </w:t>
      </w:r>
      <w:bookmarkStart w:id="40" w:name="_Int_HkArwcJ4"/>
      <w:proofErr w:type="gramStart"/>
      <w:r w:rsidR="4B79CFA8" w:rsidRPr="00D73AA1">
        <w:rPr>
          <w:lang w:val="en-US"/>
        </w:rPr>
        <w:t>on the basis of</w:t>
      </w:r>
      <w:bookmarkEnd w:id="40"/>
      <w:proofErr w:type="gramEnd"/>
      <w:r w:rsidR="4B79CFA8" w:rsidRPr="00D73AA1">
        <w:rPr>
          <w:lang w:val="en-US"/>
        </w:rPr>
        <w:t xml:space="preserve"> fuel consumption, production rates or some other similar measure, while the emission factors are based on data for the average emissions to air, </w:t>
      </w:r>
      <w:bookmarkStart w:id="41" w:name="_Int_CYVO5iUO"/>
      <w:r w:rsidR="4B79CFA8" w:rsidRPr="00D73AA1">
        <w:rPr>
          <w:lang w:val="en-US"/>
        </w:rPr>
        <w:t>land,</w:t>
      </w:r>
      <w:bookmarkEnd w:id="41"/>
      <w:r w:rsidR="4B79CFA8" w:rsidRPr="00D73AA1">
        <w:rPr>
          <w:lang w:val="en-US"/>
        </w:rPr>
        <w:t xml:space="preserve"> or water, per unit of activity</w:t>
      </w:r>
      <w:r w:rsidR="3D40E0FD" w:rsidRPr="00340BB9">
        <w:rPr>
          <w:lang w:val="en-US"/>
        </w:rPr>
        <w:t>.</w:t>
      </w:r>
    </w:p>
    <w:p w14:paraId="1D897997" w14:textId="77777777" w:rsidR="00D73AA1" w:rsidRPr="003833D6" w:rsidRDefault="00D73AA1" w:rsidP="003833D6">
      <w:pPr>
        <w:spacing w:line="300" w:lineRule="atLeast"/>
        <w:jc w:val="both"/>
      </w:pPr>
      <w:r w:rsidRPr="00D73AA1">
        <w:t xml:space="preserve">The required activity data was obtained through published information sources and direct contact with government agencies, </w:t>
      </w:r>
      <w:r>
        <w:t xml:space="preserve">and specific </w:t>
      </w:r>
      <w:r w:rsidRPr="00D73AA1">
        <w:t>industr</w:t>
      </w:r>
      <w:r>
        <w:t>ies</w:t>
      </w:r>
      <w:r w:rsidRPr="00D73AA1">
        <w:t>.</w:t>
      </w:r>
      <w:r w:rsidR="00FF2E86">
        <w:t xml:space="preserve"> The emission factors were based on emissions data for the specific sources, where available, or the default factors given in the UNEP Toolkit.</w:t>
      </w:r>
    </w:p>
    <w:p w14:paraId="3E0A5A91" w14:textId="77777777" w:rsidR="005A7C86" w:rsidRPr="00F0772D" w:rsidRDefault="005A7C86" w:rsidP="00261F78">
      <w:pPr>
        <w:pStyle w:val="Heading2"/>
      </w:pPr>
      <w:bookmarkStart w:id="42" w:name="_Toc348266177"/>
      <w:bookmarkStart w:id="43" w:name="_Toc358573498"/>
      <w:bookmarkStart w:id="44" w:name="_Toc112768055"/>
      <w:r w:rsidRPr="00F0772D">
        <w:t>Re</w:t>
      </w:r>
      <w:r w:rsidR="000B300C" w:rsidRPr="00F0772D">
        <w:t xml:space="preserve">port </w:t>
      </w:r>
      <w:r w:rsidR="00A97D5C" w:rsidRPr="00F0772D">
        <w:t>layout and content</w:t>
      </w:r>
      <w:bookmarkEnd w:id="42"/>
      <w:bookmarkEnd w:id="43"/>
      <w:bookmarkEnd w:id="44"/>
    </w:p>
    <w:p w14:paraId="2E4135CF" w14:textId="66E06D85" w:rsidR="00D800A7" w:rsidRPr="003833D6" w:rsidRDefault="00D73AA1" w:rsidP="003833D6">
      <w:pPr>
        <w:spacing w:line="300" w:lineRule="atLeast"/>
        <w:jc w:val="both"/>
      </w:pPr>
      <w:r w:rsidRPr="00D73AA1">
        <w:t xml:space="preserve">Details of the UNEP Toolkit methodology and related aspects are presented in section 2. This is followed by individual sections covering </w:t>
      </w:r>
      <w:r w:rsidR="00E174A1">
        <w:t>each</w:t>
      </w:r>
      <w:r w:rsidR="00391A5B">
        <w:t xml:space="preserve"> of</w:t>
      </w:r>
      <w:r w:rsidRPr="00D73AA1">
        <w:t xml:space="preserve"> the 1</w:t>
      </w:r>
      <w:r>
        <w:t>0</w:t>
      </w:r>
      <w:r w:rsidRPr="00D73AA1">
        <w:t xml:space="preserve"> Toolkit source categories, </w:t>
      </w:r>
      <w:r>
        <w:t>and a summary and discussion section</w:t>
      </w:r>
      <w:r w:rsidR="0047174B">
        <w:t>.</w:t>
      </w:r>
    </w:p>
    <w:p w14:paraId="16BA0478" w14:textId="07EDE9A9" w:rsidR="002B5F06" w:rsidRPr="008D2EC9" w:rsidRDefault="00696CB4" w:rsidP="00261F78">
      <w:pPr>
        <w:pStyle w:val="Heading1"/>
      </w:pPr>
      <w:r>
        <w:rPr>
          <w:rFonts w:ascii="Verdana" w:hAnsi="Verdana"/>
        </w:rPr>
        <w:br w:type="page"/>
      </w:r>
      <w:bookmarkStart w:id="45" w:name="_Toc348266178"/>
      <w:bookmarkStart w:id="46" w:name="_Toc358573499"/>
      <w:bookmarkStart w:id="47" w:name="_Toc1046306"/>
      <w:bookmarkStart w:id="48" w:name="_Toc112768056"/>
      <w:r w:rsidR="002426D8" w:rsidRPr="008D2EC9">
        <w:lastRenderedPageBreak/>
        <w:t xml:space="preserve">Dioxin Formation and </w:t>
      </w:r>
      <w:bookmarkEnd w:id="45"/>
      <w:r w:rsidR="00A14971" w:rsidRPr="008D2EC9">
        <w:t xml:space="preserve">the UNEP </w:t>
      </w:r>
      <w:r w:rsidR="00A97D5C" w:rsidRPr="008D2EC9">
        <w:t>Toolkit</w:t>
      </w:r>
      <w:bookmarkEnd w:id="46"/>
      <w:bookmarkEnd w:id="47"/>
      <w:bookmarkEnd w:id="48"/>
    </w:p>
    <w:p w14:paraId="42A4B207" w14:textId="60D9DCB6" w:rsidR="002426D8" w:rsidRPr="003833D6" w:rsidRDefault="002426D8" w:rsidP="00261F78">
      <w:pPr>
        <w:pStyle w:val="Heading2"/>
      </w:pPr>
      <w:bookmarkStart w:id="49" w:name="_Toc112768057"/>
      <w:r>
        <w:t>Dioxin Formation</w:t>
      </w:r>
      <w:bookmarkEnd w:id="49"/>
    </w:p>
    <w:p w14:paraId="1C8201B3" w14:textId="48A0F382" w:rsidR="00FD2725" w:rsidRPr="00FD2725" w:rsidRDefault="00FD2725" w:rsidP="00FD2725">
      <w:pPr>
        <w:spacing w:line="300" w:lineRule="atLeast"/>
        <w:jc w:val="both"/>
        <w:rPr>
          <w:szCs w:val="24"/>
          <w:lang w:val="en-US"/>
        </w:rPr>
      </w:pPr>
      <w:r w:rsidRPr="00FD2725">
        <w:rPr>
          <w:szCs w:val="24"/>
          <w:lang w:val="en-US"/>
        </w:rPr>
        <w:t xml:space="preserve">The basic structures of </w:t>
      </w:r>
      <w:r>
        <w:rPr>
          <w:szCs w:val="24"/>
          <w:lang w:val="en-US"/>
        </w:rPr>
        <w:t>the polychlorinated dibenzo</w:t>
      </w:r>
      <w:r w:rsidR="00B862BB">
        <w:rPr>
          <w:szCs w:val="24"/>
          <w:lang w:val="en-US"/>
        </w:rPr>
        <w:t>-p-</w:t>
      </w:r>
      <w:r>
        <w:rPr>
          <w:szCs w:val="24"/>
          <w:lang w:val="en-US"/>
        </w:rPr>
        <w:t xml:space="preserve">dioxins </w:t>
      </w:r>
      <w:r w:rsidR="0086245D">
        <w:rPr>
          <w:szCs w:val="24"/>
          <w:lang w:val="en-US"/>
        </w:rPr>
        <w:t xml:space="preserve">(PCDDs) </w:t>
      </w:r>
      <w:r>
        <w:rPr>
          <w:szCs w:val="24"/>
          <w:lang w:val="en-US"/>
        </w:rPr>
        <w:t>and dibenzofurans</w:t>
      </w:r>
      <w:r w:rsidRPr="00FD2725">
        <w:rPr>
          <w:szCs w:val="24"/>
          <w:lang w:val="en-US"/>
        </w:rPr>
        <w:t xml:space="preserve"> </w:t>
      </w:r>
      <w:r w:rsidR="0086245D">
        <w:rPr>
          <w:szCs w:val="24"/>
          <w:lang w:val="en-US"/>
        </w:rPr>
        <w:t xml:space="preserve">(PCDFs) </w:t>
      </w:r>
      <w:r w:rsidRPr="00FD2725">
        <w:rPr>
          <w:szCs w:val="24"/>
          <w:lang w:val="en-US"/>
        </w:rPr>
        <w:t xml:space="preserve">are shown in </w:t>
      </w:r>
      <w:r w:rsidR="009F19C4">
        <w:rPr>
          <w:szCs w:val="24"/>
          <w:lang w:val="en-US"/>
        </w:rPr>
        <w:t>F</w:t>
      </w:r>
      <w:r w:rsidRPr="00FD2725">
        <w:rPr>
          <w:szCs w:val="24"/>
          <w:lang w:val="en-US"/>
        </w:rPr>
        <w:t xml:space="preserve">igure 2.1. </w:t>
      </w:r>
      <w:r w:rsidR="00886994">
        <w:rPr>
          <w:szCs w:val="24"/>
          <w:lang w:val="en-US"/>
        </w:rPr>
        <w:t xml:space="preserve">Although </w:t>
      </w:r>
      <w:r w:rsidR="00B316A7">
        <w:rPr>
          <w:szCs w:val="24"/>
          <w:lang w:val="en-US"/>
        </w:rPr>
        <w:t>dibenzofurans have a slightly different structure from the dibenzo-p-dioxins, their chlorinated derivatives have similar toxicities so th</w:t>
      </w:r>
      <w:r w:rsidR="0086245D">
        <w:rPr>
          <w:szCs w:val="24"/>
          <w:lang w:val="en-US"/>
        </w:rPr>
        <w:t xml:space="preserve">e two groups are </w:t>
      </w:r>
      <w:r w:rsidR="00B316A7">
        <w:rPr>
          <w:szCs w:val="24"/>
          <w:lang w:val="en-US"/>
        </w:rPr>
        <w:t xml:space="preserve">typically </w:t>
      </w:r>
      <w:r w:rsidR="0086245D">
        <w:rPr>
          <w:szCs w:val="24"/>
          <w:lang w:val="en-US"/>
        </w:rPr>
        <w:t xml:space="preserve">combined together under </w:t>
      </w:r>
      <w:r w:rsidR="00B316A7">
        <w:rPr>
          <w:szCs w:val="24"/>
          <w:lang w:val="en-US"/>
        </w:rPr>
        <w:t xml:space="preserve">the </w:t>
      </w:r>
      <w:r w:rsidR="0086245D">
        <w:rPr>
          <w:szCs w:val="24"/>
          <w:lang w:val="en-US"/>
        </w:rPr>
        <w:t>umbrella</w:t>
      </w:r>
      <w:r w:rsidR="00B316A7">
        <w:rPr>
          <w:szCs w:val="24"/>
          <w:lang w:val="en-US"/>
        </w:rPr>
        <w:t xml:space="preserve"> term</w:t>
      </w:r>
      <w:r w:rsidR="0086245D">
        <w:rPr>
          <w:szCs w:val="24"/>
          <w:lang w:val="en-US"/>
        </w:rPr>
        <w:t xml:space="preserve"> ‘dioxins’.</w:t>
      </w:r>
      <w:r w:rsidR="00B316A7">
        <w:rPr>
          <w:szCs w:val="24"/>
          <w:lang w:val="en-US"/>
        </w:rPr>
        <w:t xml:space="preserve"> </w:t>
      </w:r>
      <w:r w:rsidRPr="00FD2725">
        <w:rPr>
          <w:szCs w:val="24"/>
          <w:lang w:val="en-US"/>
        </w:rPr>
        <w:t>Both groups of chemicals can have up to eight chlorine atoms attached at positions 1 to 4 and 6 to 9</w:t>
      </w:r>
      <w:r>
        <w:rPr>
          <w:szCs w:val="24"/>
          <w:lang w:val="en-US"/>
        </w:rPr>
        <w:t xml:space="preserve"> of the ring structures</w:t>
      </w:r>
      <w:r w:rsidRPr="00FD2725">
        <w:rPr>
          <w:szCs w:val="24"/>
          <w:lang w:val="en-US"/>
        </w:rPr>
        <w:t>. Each individual compound resulting from this arrangement is referred to as a congener, and specific congeners are distinguished by the number and position of chlorine atoms around the core structure. In total there are 75 possible PCDD congeners a</w:t>
      </w:r>
      <w:r>
        <w:rPr>
          <w:szCs w:val="24"/>
          <w:lang w:val="en-US"/>
        </w:rPr>
        <w:t>nd 135 possible PCDF congeners.</w:t>
      </w:r>
    </w:p>
    <w:p w14:paraId="5C62BA05" w14:textId="4AD2E8E3" w:rsidR="00FD2725" w:rsidRPr="00FD2725" w:rsidRDefault="00D55869" w:rsidP="00D55869">
      <w:pPr>
        <w:pStyle w:val="Caption"/>
        <w:rPr>
          <w:lang w:val="en-US"/>
        </w:rPr>
      </w:pPr>
      <w:r w:rsidRPr="00D55869">
        <w:rPr>
          <w:rFonts w:cs="Arial"/>
        </w:rPr>
        <w:t xml:space="preserve">Figure </w:t>
      </w:r>
      <w:r w:rsidR="00E23EF2">
        <w:rPr>
          <w:rFonts w:cs="Arial"/>
        </w:rPr>
        <w:fldChar w:fldCharType="begin"/>
      </w:r>
      <w:r w:rsidR="00E23EF2">
        <w:rPr>
          <w:rFonts w:cs="Arial"/>
        </w:rPr>
        <w:instrText xml:space="preserve"> STYLEREF 1 \s </w:instrText>
      </w:r>
      <w:r w:rsidR="00E23EF2">
        <w:rPr>
          <w:rFonts w:cs="Arial"/>
        </w:rPr>
        <w:fldChar w:fldCharType="separate"/>
      </w:r>
      <w:r w:rsidR="00141D7F">
        <w:rPr>
          <w:rFonts w:cs="Arial"/>
          <w:noProof/>
        </w:rPr>
        <w:t>2</w:t>
      </w:r>
      <w:r w:rsidR="00E23EF2">
        <w:rPr>
          <w:rFonts w:cs="Arial"/>
        </w:rPr>
        <w:fldChar w:fldCharType="end"/>
      </w:r>
      <w:r w:rsidR="00E23EF2">
        <w:rPr>
          <w:rFonts w:cs="Arial"/>
        </w:rPr>
        <w:noBreakHyphen/>
      </w:r>
      <w:r w:rsidR="00E23EF2">
        <w:rPr>
          <w:rFonts w:cs="Arial"/>
        </w:rPr>
        <w:fldChar w:fldCharType="begin"/>
      </w:r>
      <w:r w:rsidR="00E23EF2">
        <w:rPr>
          <w:rFonts w:cs="Arial"/>
        </w:rPr>
        <w:instrText xml:space="preserve"> SEQ Figure \* ARABIC \s 1 </w:instrText>
      </w:r>
      <w:r w:rsidR="00E23EF2">
        <w:rPr>
          <w:rFonts w:cs="Arial"/>
        </w:rPr>
        <w:fldChar w:fldCharType="separate"/>
      </w:r>
      <w:r w:rsidR="00141D7F">
        <w:rPr>
          <w:rFonts w:cs="Arial"/>
          <w:noProof/>
        </w:rPr>
        <w:t>1</w:t>
      </w:r>
      <w:r w:rsidR="00E23EF2">
        <w:rPr>
          <w:rFonts w:cs="Arial"/>
        </w:rPr>
        <w:fldChar w:fldCharType="end"/>
      </w:r>
      <w:r w:rsidR="00FD2725" w:rsidRPr="00FD2725">
        <w:rPr>
          <w:lang w:val="en-US"/>
        </w:rPr>
        <w:t>:</w:t>
      </w:r>
      <w:r w:rsidR="00FD2725" w:rsidRPr="00FD2725">
        <w:rPr>
          <w:lang w:val="en-US"/>
        </w:rPr>
        <w:tab/>
        <w:t>Structures of dibenzo-p-dioxin and dibenzofuran</w:t>
      </w:r>
    </w:p>
    <w:p w14:paraId="5287364B" w14:textId="62496195" w:rsidR="00FD2725" w:rsidRPr="00FD2725" w:rsidRDefault="00FD2725" w:rsidP="00FD2725">
      <w:pPr>
        <w:spacing w:after="0"/>
        <w:rPr>
          <w:rFonts w:ascii="Garamond" w:hAnsi="Garamond"/>
          <w:sz w:val="24"/>
          <w:lang w:val="en-US"/>
        </w:rPr>
      </w:pPr>
      <w:r>
        <w:rPr>
          <w:noProof/>
          <w:lang w:eastAsia="en-NZ"/>
        </w:rPr>
        <w:drawing>
          <wp:anchor distT="0" distB="0" distL="114300" distR="114300" simplePos="0" relativeHeight="251658240" behindDoc="0" locked="1" layoutInCell="0" allowOverlap="0" wp14:anchorId="731A8B66" wp14:editId="1205C7AC">
            <wp:simplePos x="0" y="0"/>
            <wp:positionH relativeFrom="column">
              <wp:posOffset>971550</wp:posOffset>
            </wp:positionH>
            <wp:positionV relativeFrom="paragraph">
              <wp:posOffset>125095</wp:posOffset>
            </wp:positionV>
            <wp:extent cx="4448175" cy="1000125"/>
            <wp:effectExtent l="0" t="0" r="9525" b="9525"/>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1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ACB57" w14:textId="77777777" w:rsidR="00FD2725" w:rsidRPr="00FD2725" w:rsidRDefault="00FD2725" w:rsidP="00FD2725">
      <w:pPr>
        <w:tabs>
          <w:tab w:val="left" w:pos="2552"/>
          <w:tab w:val="left" w:pos="6379"/>
        </w:tabs>
        <w:rPr>
          <w:rFonts w:ascii="Arial" w:hAnsi="Arial"/>
          <w:sz w:val="17"/>
          <w:lang w:val="en-US"/>
        </w:rPr>
      </w:pPr>
      <w:r w:rsidRPr="00FD2725">
        <w:rPr>
          <w:rFonts w:ascii="Arial" w:hAnsi="Arial"/>
          <w:sz w:val="17"/>
          <w:lang w:val="en-US"/>
        </w:rPr>
        <w:tab/>
        <w:t>dibenzo-p-dioxin</w:t>
      </w:r>
      <w:r w:rsidRPr="00FD2725">
        <w:rPr>
          <w:rFonts w:ascii="Arial" w:hAnsi="Arial"/>
          <w:sz w:val="17"/>
          <w:lang w:val="en-US"/>
        </w:rPr>
        <w:tab/>
        <w:t>dibenzofuran</w:t>
      </w:r>
    </w:p>
    <w:p w14:paraId="5DB6EE14" w14:textId="3F1505A5" w:rsidR="00D55869" w:rsidRPr="00D55869" w:rsidRDefault="73B855E3" w:rsidP="0C34660A">
      <w:pPr>
        <w:spacing w:line="300" w:lineRule="atLeast"/>
        <w:jc w:val="both"/>
        <w:rPr>
          <w:lang w:val="en-US"/>
        </w:rPr>
      </w:pPr>
      <w:r w:rsidRPr="0C34660A">
        <w:rPr>
          <w:lang w:val="en-US"/>
        </w:rPr>
        <w:t>Dioxins are not produced intentionally but are released to the environment from a variety of industrial discharges, combustion processes</w:t>
      </w:r>
      <w:r w:rsidR="00DC159A">
        <w:rPr>
          <w:lang w:val="en-US"/>
        </w:rPr>
        <w:t>,</w:t>
      </w:r>
      <w:r w:rsidRPr="0C34660A">
        <w:rPr>
          <w:lang w:val="en-US"/>
        </w:rPr>
        <w:t xml:space="preserve"> and </w:t>
      </w:r>
      <w:bookmarkStart w:id="50" w:name="_Int_ZirPJjab"/>
      <w:proofErr w:type="gramStart"/>
      <w:r w:rsidRPr="0C34660A">
        <w:rPr>
          <w:lang w:val="en-US"/>
        </w:rPr>
        <w:t>as a result of</w:t>
      </w:r>
      <w:bookmarkEnd w:id="50"/>
      <w:proofErr w:type="gramEnd"/>
      <w:r w:rsidRPr="0C34660A">
        <w:rPr>
          <w:lang w:val="en-US"/>
        </w:rPr>
        <w:t xml:space="preserve"> their occurrence as unwanted by-products in various chemical products </w:t>
      </w:r>
      <w:sdt>
        <w:sdtPr>
          <w:rPr>
            <w:lang w:val="en-US"/>
          </w:rPr>
          <w:id w:val="1542327866"/>
          <w:lock w:val="contentLocked"/>
          <w:placeholder>
            <w:docPart w:val="DefaultPlaceholder_1081868574"/>
          </w:placeholder>
          <w:citation/>
        </w:sdtPr>
        <w:sdtEndPr/>
        <w:sdtContent>
          <w:r w:rsidR="00D55869" w:rsidRPr="0C34660A">
            <w:rPr>
              <w:lang w:val="en-US"/>
            </w:rPr>
            <w:fldChar w:fldCharType="begin"/>
          </w:r>
          <w:r w:rsidR="00D55869">
            <w:rPr>
              <w:szCs w:val="24"/>
            </w:rPr>
            <w:instrText xml:space="preserve"> CITATION UNEP13 \l 5129 </w:instrText>
          </w:r>
          <w:r w:rsidR="00D55869" w:rsidRPr="0C34660A">
            <w:rPr>
              <w:lang w:val="en-US"/>
            </w:rPr>
            <w:fldChar w:fldCharType="separate"/>
          </w:r>
          <w:r w:rsidR="25EC959F" w:rsidRPr="0C34660A">
            <w:rPr>
              <w:noProof/>
            </w:rPr>
            <w:t>(United Nations Environment Programme, 2013)</w:t>
          </w:r>
          <w:r w:rsidR="00D55869" w:rsidRPr="0C34660A">
            <w:rPr>
              <w:lang w:val="en-US"/>
            </w:rPr>
            <w:fldChar w:fldCharType="end"/>
          </w:r>
        </w:sdtContent>
      </w:sdt>
      <w:r w:rsidRPr="0C34660A">
        <w:rPr>
          <w:lang w:val="en-US"/>
        </w:rPr>
        <w:t xml:space="preserve">. </w:t>
      </w:r>
    </w:p>
    <w:p w14:paraId="4DD84AD5" w14:textId="23459A8F" w:rsidR="00D55869" w:rsidRPr="00D55869" w:rsidRDefault="00D55869" w:rsidP="00D55869">
      <w:pPr>
        <w:spacing w:line="300" w:lineRule="atLeast"/>
        <w:jc w:val="both"/>
        <w:rPr>
          <w:szCs w:val="24"/>
          <w:lang w:val="en-US"/>
        </w:rPr>
      </w:pPr>
      <w:r w:rsidRPr="00D55869">
        <w:rPr>
          <w:szCs w:val="24"/>
          <w:lang w:val="en-US"/>
        </w:rPr>
        <w:t>Historically</w:t>
      </w:r>
      <w:r w:rsidR="00DC159A">
        <w:rPr>
          <w:szCs w:val="24"/>
          <w:lang w:val="en-US"/>
        </w:rPr>
        <w:t>,</w:t>
      </w:r>
      <w:r w:rsidRPr="00D55869">
        <w:rPr>
          <w:szCs w:val="24"/>
          <w:lang w:val="en-US"/>
        </w:rPr>
        <w:t xml:space="preserve"> the manufacture and use of chlorinated aromatic chemicals ha</w:t>
      </w:r>
      <w:r w:rsidR="009F19C4">
        <w:rPr>
          <w:szCs w:val="24"/>
          <w:lang w:val="en-US"/>
        </w:rPr>
        <w:t>s</w:t>
      </w:r>
      <w:r w:rsidRPr="00D55869">
        <w:rPr>
          <w:szCs w:val="24"/>
          <w:lang w:val="en-US"/>
        </w:rPr>
        <w:t xml:space="preserve"> been </w:t>
      </w:r>
      <w:r w:rsidR="009F19C4">
        <w:rPr>
          <w:szCs w:val="24"/>
          <w:lang w:val="en-US"/>
        </w:rPr>
        <w:t xml:space="preserve">a </w:t>
      </w:r>
      <w:r w:rsidRPr="00D55869">
        <w:rPr>
          <w:szCs w:val="24"/>
          <w:lang w:val="en-US"/>
        </w:rPr>
        <w:t xml:space="preserve">major source of </w:t>
      </w:r>
      <w:r>
        <w:rPr>
          <w:szCs w:val="24"/>
          <w:lang w:val="en-US"/>
        </w:rPr>
        <w:t>dioxins</w:t>
      </w:r>
      <w:r w:rsidRPr="00D55869">
        <w:rPr>
          <w:szCs w:val="24"/>
          <w:lang w:val="en-US"/>
        </w:rPr>
        <w:t xml:space="preserve">. </w:t>
      </w:r>
      <w:r w:rsidR="004E176D">
        <w:rPr>
          <w:szCs w:val="24"/>
          <w:lang w:val="en-US"/>
        </w:rPr>
        <w:t>The m</w:t>
      </w:r>
      <w:r w:rsidRPr="00D55869">
        <w:rPr>
          <w:szCs w:val="24"/>
          <w:lang w:val="en-US"/>
        </w:rPr>
        <w:t>ost notable examples include the wood preservative and biocide</w:t>
      </w:r>
      <w:r w:rsidR="004E176D">
        <w:rPr>
          <w:szCs w:val="24"/>
          <w:lang w:val="en-US"/>
        </w:rPr>
        <w:t>,</w:t>
      </w:r>
      <w:r w:rsidRPr="00D55869">
        <w:rPr>
          <w:szCs w:val="24"/>
          <w:lang w:val="en-US"/>
        </w:rPr>
        <w:t xml:space="preserve"> </w:t>
      </w:r>
      <w:r>
        <w:rPr>
          <w:szCs w:val="24"/>
          <w:lang w:val="en-US"/>
        </w:rPr>
        <w:t>pentachlorophenol</w:t>
      </w:r>
      <w:r w:rsidRPr="00D55869">
        <w:rPr>
          <w:szCs w:val="24"/>
          <w:lang w:val="en-US"/>
        </w:rPr>
        <w:t xml:space="preserve">, </w:t>
      </w:r>
      <w:r>
        <w:rPr>
          <w:szCs w:val="24"/>
          <w:lang w:val="en-US"/>
        </w:rPr>
        <w:t xml:space="preserve">the herbicide </w:t>
      </w:r>
      <w:r w:rsidRPr="00D55869">
        <w:rPr>
          <w:szCs w:val="24"/>
          <w:lang w:val="en-US"/>
        </w:rPr>
        <w:t xml:space="preserve">2,4,5-T </w:t>
      </w:r>
      <w:r>
        <w:rPr>
          <w:szCs w:val="24"/>
          <w:lang w:val="en-US"/>
        </w:rPr>
        <w:t>(</w:t>
      </w:r>
      <w:r w:rsidRPr="00D55869">
        <w:rPr>
          <w:szCs w:val="24"/>
          <w:lang w:val="en-US"/>
        </w:rPr>
        <w:t>2,4,</w:t>
      </w:r>
      <w:r>
        <w:rPr>
          <w:szCs w:val="24"/>
          <w:lang w:val="en-US"/>
        </w:rPr>
        <w:t>5-trichlorophenoxy acetic acid</w:t>
      </w:r>
      <w:r w:rsidRPr="00D55869">
        <w:rPr>
          <w:szCs w:val="24"/>
          <w:lang w:val="en-US"/>
        </w:rPr>
        <w:t>)</w:t>
      </w:r>
      <w:r w:rsidR="004E176D">
        <w:rPr>
          <w:szCs w:val="24"/>
          <w:lang w:val="en-US"/>
        </w:rPr>
        <w:t>,</w:t>
      </w:r>
      <w:r w:rsidRPr="00D55869">
        <w:rPr>
          <w:szCs w:val="24"/>
          <w:lang w:val="en-US"/>
        </w:rPr>
        <w:t xml:space="preserve"> an</w:t>
      </w:r>
      <w:r>
        <w:rPr>
          <w:szCs w:val="24"/>
          <w:lang w:val="en-US"/>
        </w:rPr>
        <w:t>d the industrial chemicals known as PCBs (polychlorinated biphenyls)</w:t>
      </w:r>
      <w:r w:rsidRPr="00D55869">
        <w:rPr>
          <w:szCs w:val="24"/>
          <w:lang w:val="en-US"/>
        </w:rPr>
        <w:t>.</w:t>
      </w:r>
    </w:p>
    <w:p w14:paraId="7DBBB7D9" w14:textId="267F6BB3" w:rsidR="00D55869" w:rsidRPr="00D55869" w:rsidRDefault="00D55869" w:rsidP="00D55869">
      <w:pPr>
        <w:spacing w:line="300" w:lineRule="atLeast"/>
        <w:jc w:val="both"/>
        <w:rPr>
          <w:szCs w:val="24"/>
          <w:lang w:val="en-US"/>
        </w:rPr>
      </w:pPr>
      <w:r w:rsidRPr="00D55869">
        <w:rPr>
          <w:szCs w:val="24"/>
          <w:lang w:val="en-US"/>
        </w:rPr>
        <w:t xml:space="preserve">Other </w:t>
      </w:r>
      <w:r w:rsidR="009F19C4">
        <w:rPr>
          <w:szCs w:val="24"/>
          <w:lang w:val="en-US"/>
        </w:rPr>
        <w:t xml:space="preserve">chemical/industrial </w:t>
      </w:r>
      <w:r w:rsidRPr="00D55869">
        <w:rPr>
          <w:szCs w:val="24"/>
          <w:lang w:val="en-US"/>
        </w:rPr>
        <w:t xml:space="preserve">processes, such as the production of chlorine-bleached pulp, have led to environmental contamination by </w:t>
      </w:r>
      <w:r>
        <w:rPr>
          <w:szCs w:val="24"/>
          <w:lang w:val="en-US"/>
        </w:rPr>
        <w:t>dioxins</w:t>
      </w:r>
      <w:r w:rsidRPr="00D55869">
        <w:rPr>
          <w:szCs w:val="24"/>
          <w:lang w:val="en-US"/>
        </w:rPr>
        <w:t>, as well as the trace contamination of pulp and paper products.</w:t>
      </w:r>
    </w:p>
    <w:p w14:paraId="47CD5338" w14:textId="31A94D32" w:rsidR="00FD2725" w:rsidRDefault="73B855E3" w:rsidP="0C34660A">
      <w:pPr>
        <w:spacing w:line="300" w:lineRule="atLeast"/>
        <w:jc w:val="both"/>
        <w:rPr>
          <w:lang w:val="en-US"/>
        </w:rPr>
      </w:pPr>
      <w:r w:rsidRPr="0C34660A">
        <w:rPr>
          <w:lang w:val="en-US"/>
        </w:rPr>
        <w:t xml:space="preserve">Combustion processes are another important source of dioxins. Dioxins have been detected in </w:t>
      </w:r>
      <w:r w:rsidR="7BA8F1B1" w:rsidRPr="0C34660A">
        <w:rPr>
          <w:lang w:val="en-US"/>
        </w:rPr>
        <w:t xml:space="preserve">the </w:t>
      </w:r>
      <w:r w:rsidRPr="0C34660A">
        <w:rPr>
          <w:lang w:val="en-US"/>
        </w:rPr>
        <w:t xml:space="preserve">emissions from </w:t>
      </w:r>
      <w:r w:rsidR="7BA8F1B1" w:rsidRPr="0C34660A">
        <w:rPr>
          <w:lang w:val="en-US"/>
        </w:rPr>
        <w:t>waste</w:t>
      </w:r>
      <w:r w:rsidRPr="0C34660A">
        <w:rPr>
          <w:lang w:val="en-US"/>
        </w:rPr>
        <w:t xml:space="preserve"> incineration, particularly municipal, </w:t>
      </w:r>
      <w:bookmarkStart w:id="51" w:name="_Int_nvDs43Eb"/>
      <w:r w:rsidRPr="0C34660A">
        <w:rPr>
          <w:lang w:val="en-US"/>
        </w:rPr>
        <w:t>medical,</w:t>
      </w:r>
      <w:bookmarkEnd w:id="51"/>
      <w:r w:rsidRPr="0C34660A">
        <w:rPr>
          <w:lang w:val="en-US"/>
        </w:rPr>
        <w:t xml:space="preserve"> and hazardous wastes, from the production of iron and steel and other metals, including scrap metal reclamation, from fossil fuel plants, domestic coal and wood fires, </w:t>
      </w:r>
      <w:r w:rsidR="7BA8F1B1" w:rsidRPr="0C34660A">
        <w:rPr>
          <w:lang w:val="en-US"/>
        </w:rPr>
        <w:t xml:space="preserve">rubbish burning, </w:t>
      </w:r>
      <w:r w:rsidRPr="0C34660A">
        <w:rPr>
          <w:lang w:val="en-US"/>
        </w:rPr>
        <w:t>and motor vehicles (especially when using leaded fuels)</w:t>
      </w:r>
      <w:r w:rsidR="7BA8F1B1" w:rsidRPr="0C34660A">
        <w:rPr>
          <w:lang w:val="en-US"/>
        </w:rPr>
        <w:t>,</w:t>
      </w:r>
      <w:r w:rsidRPr="0C34660A">
        <w:rPr>
          <w:lang w:val="en-US"/>
        </w:rPr>
        <w:t xml:space="preserve"> as well as </w:t>
      </w:r>
      <w:r w:rsidR="7BA8F1B1" w:rsidRPr="0C34660A">
        <w:rPr>
          <w:lang w:val="en-US"/>
        </w:rPr>
        <w:t xml:space="preserve">from </w:t>
      </w:r>
      <w:r w:rsidRPr="0C34660A">
        <w:rPr>
          <w:lang w:val="en-US"/>
        </w:rPr>
        <w:t>accidental fires.</w:t>
      </w:r>
    </w:p>
    <w:p w14:paraId="2BDCDEF7" w14:textId="0C2BD106" w:rsidR="0010783B" w:rsidRPr="003833D6" w:rsidRDefault="002426D8" w:rsidP="00261F78">
      <w:pPr>
        <w:pStyle w:val="Heading2"/>
      </w:pPr>
      <w:bookmarkStart w:id="52" w:name="_Toc358573500"/>
      <w:bookmarkStart w:id="53" w:name="_Toc112768058"/>
      <w:bookmarkEnd w:id="52"/>
      <w:r>
        <w:t xml:space="preserve">The UNEP </w:t>
      </w:r>
      <w:r w:rsidR="005E4305">
        <w:t>Toolkit</w:t>
      </w:r>
      <w:bookmarkEnd w:id="53"/>
      <w:r w:rsidR="005E4305">
        <w:t xml:space="preserve"> </w:t>
      </w:r>
    </w:p>
    <w:p w14:paraId="53626140" w14:textId="34C3C86E" w:rsidR="00AC68B1" w:rsidRDefault="00AC68B1" w:rsidP="00AC68B1">
      <w:pPr>
        <w:spacing w:line="300" w:lineRule="atLeast"/>
        <w:jc w:val="both"/>
        <w:rPr>
          <w:szCs w:val="24"/>
        </w:rPr>
      </w:pPr>
      <w:r w:rsidRPr="00AC68B1">
        <w:rPr>
          <w:szCs w:val="24"/>
          <w:lang w:val="en-US"/>
        </w:rPr>
        <w:t>The UNEP Toolkit was developed by UNEP Chemicals with the aim of achieving an effective and standardised approach to compiling PCDD/PCDF emission inventories</w:t>
      </w:r>
      <w:r w:rsidR="009F5662">
        <w:rPr>
          <w:szCs w:val="24"/>
          <w:lang w:val="en-US"/>
        </w:rPr>
        <w:t xml:space="preserve"> </w:t>
      </w:r>
      <w:sdt>
        <w:sdtPr>
          <w:rPr>
            <w:szCs w:val="24"/>
            <w:lang w:val="en-US"/>
          </w:rPr>
          <w:id w:val="1629362276"/>
          <w:citation/>
        </w:sdtPr>
        <w:sdtEndPr/>
        <w:sdtContent>
          <w:r w:rsidR="009F5662">
            <w:rPr>
              <w:szCs w:val="24"/>
              <w:lang w:val="en-US"/>
            </w:rPr>
            <w:fldChar w:fldCharType="begin"/>
          </w:r>
          <w:r w:rsidR="009F5662">
            <w:rPr>
              <w:szCs w:val="24"/>
            </w:rPr>
            <w:instrText xml:space="preserve"> CITATION UNEP05 \l 5129 </w:instrText>
          </w:r>
          <w:r w:rsidR="009F5662">
            <w:rPr>
              <w:szCs w:val="24"/>
              <w:lang w:val="en-US"/>
            </w:rPr>
            <w:fldChar w:fldCharType="separate"/>
          </w:r>
          <w:r w:rsidR="00F1175E" w:rsidRPr="00F1175E">
            <w:rPr>
              <w:noProof/>
              <w:szCs w:val="24"/>
            </w:rPr>
            <w:t>(United Nations Environment Programme, 2005)</w:t>
          </w:r>
          <w:r w:rsidR="009F5662">
            <w:rPr>
              <w:szCs w:val="24"/>
              <w:lang w:val="en-US"/>
            </w:rPr>
            <w:fldChar w:fldCharType="end"/>
          </w:r>
        </w:sdtContent>
      </w:sdt>
      <w:r w:rsidRPr="00AC68B1">
        <w:rPr>
          <w:szCs w:val="24"/>
          <w:lang w:val="en-US"/>
        </w:rPr>
        <w:t>. This was intended to ensure a reasonable degree of consistency between the inventories reported by different countries, as part of their requirements under the Stockholm Convention, and should also help in comparing inventory results between countries or changes over time.</w:t>
      </w:r>
    </w:p>
    <w:p w14:paraId="17FDB3FD" w14:textId="0B40C1A5" w:rsidR="002426D8" w:rsidRPr="00103D12" w:rsidRDefault="4BDECF57" w:rsidP="002426D8">
      <w:pPr>
        <w:spacing w:line="300" w:lineRule="atLeast"/>
        <w:jc w:val="both"/>
      </w:pPr>
      <w:r w:rsidRPr="0C34660A">
        <w:rPr>
          <w:lang w:val="en-US"/>
        </w:rPr>
        <w:t>T</w:t>
      </w:r>
      <w:r>
        <w:t>he 20</w:t>
      </w:r>
      <w:r w:rsidR="12B267B4">
        <w:t>20</w:t>
      </w:r>
      <w:r>
        <w:t xml:space="preserve"> Inventory</w:t>
      </w:r>
      <w:r w:rsidR="461B6AAC">
        <w:t xml:space="preserve">, </w:t>
      </w:r>
      <w:r w:rsidR="72A205B1">
        <w:t>like its 20</w:t>
      </w:r>
      <w:r w:rsidR="12B267B4">
        <w:t>16</w:t>
      </w:r>
      <w:r w:rsidR="72A205B1">
        <w:t xml:space="preserve"> </w:t>
      </w:r>
      <w:r w:rsidR="165043BC">
        <w:t>predecessor, is</w:t>
      </w:r>
      <w:r>
        <w:t xml:space="preserve"> based on </w:t>
      </w:r>
      <w:r w:rsidR="3808FE35">
        <w:t>the</w:t>
      </w:r>
      <w:r>
        <w:t xml:space="preserve"> 3</w:t>
      </w:r>
      <w:r w:rsidRPr="0C34660A">
        <w:rPr>
          <w:vertAlign w:val="superscript"/>
        </w:rPr>
        <w:t>rd</w:t>
      </w:r>
      <w:r>
        <w:t xml:space="preserve"> edition of the UNEP Toolkit </w:t>
      </w:r>
      <w:r w:rsidR="714EAAF0">
        <w:t>(2013)</w:t>
      </w:r>
      <w:bookmarkStart w:id="54" w:name="_Int_I4TQBUOC"/>
      <w:r w:rsidR="7FD69CBB">
        <w:t xml:space="preserve">. </w:t>
      </w:r>
      <w:bookmarkEnd w:id="54"/>
      <w:r w:rsidR="7FD69CBB">
        <w:t>The</w:t>
      </w:r>
      <w:r w:rsidR="63D5C637">
        <w:t xml:space="preserve"> 2008 Inventory was based on the</w:t>
      </w:r>
      <w:r w:rsidR="774E0017">
        <w:t xml:space="preserve"> second edition of the Toolkit</w:t>
      </w:r>
      <w:r w:rsidR="7FD69CBB">
        <w:t xml:space="preserve">. Back calculations on </w:t>
      </w:r>
      <w:r w:rsidR="63D5C637">
        <w:t xml:space="preserve">the </w:t>
      </w:r>
      <w:r w:rsidR="774E0017">
        <w:t>source categories which had</w:t>
      </w:r>
      <w:r w:rsidR="63D5C637">
        <w:t xml:space="preserve"> changes to </w:t>
      </w:r>
      <w:r w:rsidR="774E0017">
        <w:t xml:space="preserve">their </w:t>
      </w:r>
      <w:r w:rsidR="63D5C637">
        <w:t>release factors</w:t>
      </w:r>
      <w:r w:rsidR="774E0017">
        <w:t xml:space="preserve"> </w:t>
      </w:r>
      <w:r w:rsidR="537E6610">
        <w:t xml:space="preserve">were performed </w:t>
      </w:r>
      <w:r w:rsidR="774E0017">
        <w:t>to enable meaningful comparison</w:t>
      </w:r>
      <w:r w:rsidR="537E6610">
        <w:t>s between the 2008 Inventory and later versions (see Section 2.5)</w:t>
      </w:r>
      <w:r w:rsidR="63D5C637">
        <w:t>.</w:t>
      </w:r>
    </w:p>
    <w:p w14:paraId="0039C4F2" w14:textId="77777777" w:rsidR="00AC68B1" w:rsidRPr="00AC68B1" w:rsidRDefault="00AC68B1" w:rsidP="00AC68B1">
      <w:pPr>
        <w:spacing w:line="300" w:lineRule="atLeast"/>
        <w:jc w:val="both"/>
        <w:rPr>
          <w:szCs w:val="24"/>
        </w:rPr>
      </w:pPr>
      <w:r>
        <w:rPr>
          <w:szCs w:val="24"/>
        </w:rPr>
        <w:lastRenderedPageBreak/>
        <w:t xml:space="preserve">The UNEP Toolkit methodology involves </w:t>
      </w:r>
      <w:r w:rsidRPr="00AC68B1">
        <w:rPr>
          <w:szCs w:val="24"/>
        </w:rPr>
        <w:t>estimat</w:t>
      </w:r>
      <w:r>
        <w:rPr>
          <w:szCs w:val="24"/>
        </w:rPr>
        <w:t>ion of t</w:t>
      </w:r>
      <w:r w:rsidRPr="00AC68B1">
        <w:rPr>
          <w:szCs w:val="24"/>
        </w:rPr>
        <w:t>he annual releases from each source by multiplying an activity statistic by an emission factor:</w:t>
      </w:r>
    </w:p>
    <w:p w14:paraId="43453295" w14:textId="12346E5C" w:rsidR="00AC68B1" w:rsidRPr="00AC68B1" w:rsidRDefault="281220F7" w:rsidP="00AC68B1">
      <w:pPr>
        <w:spacing w:line="300" w:lineRule="atLeast"/>
        <w:ind w:left="720"/>
        <w:jc w:val="both"/>
      </w:pPr>
      <w:r>
        <w:t>annual release (g TEQ</w:t>
      </w:r>
      <w:r w:rsidR="64AB86EB">
        <w:t>/</w:t>
      </w:r>
      <w:r>
        <w:t>y</w:t>
      </w:r>
      <w:r w:rsidR="64AB86EB">
        <w:t>ea</w:t>
      </w:r>
      <w:r>
        <w:t>r) = activity (tonnes</w:t>
      </w:r>
      <w:r w:rsidR="64AB86EB">
        <w:t>/</w:t>
      </w:r>
      <w:r>
        <w:t xml:space="preserve">year) </w:t>
      </w:r>
      <w:bookmarkStart w:id="55" w:name="_Int_viuFhMpQ"/>
      <w:r>
        <w:t>x</w:t>
      </w:r>
      <w:r w:rsidR="64AB86EB">
        <w:t xml:space="preserve"> </w:t>
      </w:r>
      <w:r>
        <w:t xml:space="preserve"> emission</w:t>
      </w:r>
      <w:bookmarkEnd w:id="55"/>
      <w:r>
        <w:t xml:space="preserve"> factor (g TEQ</w:t>
      </w:r>
      <w:r w:rsidR="64AB86EB">
        <w:t>/</w:t>
      </w:r>
      <w:r>
        <w:t>tonne)</w:t>
      </w:r>
    </w:p>
    <w:p w14:paraId="50B26096" w14:textId="74E2DE75" w:rsidR="00440824" w:rsidRPr="00C817BD" w:rsidRDefault="281220F7" w:rsidP="00AC68B1">
      <w:pPr>
        <w:spacing w:line="300" w:lineRule="atLeast"/>
        <w:jc w:val="both"/>
      </w:pPr>
      <w:r>
        <w:t xml:space="preserve">Activity statistics are chosen </w:t>
      </w:r>
      <w:bookmarkStart w:id="56" w:name="_Int_opjttq8I"/>
      <w:proofErr w:type="gramStart"/>
      <w:r>
        <w:t>on the basis of</w:t>
      </w:r>
      <w:bookmarkEnd w:id="56"/>
      <w:proofErr w:type="gramEnd"/>
      <w:r>
        <w:t xml:space="preserve"> fuel consumption, production rates or some other similar measure, </w:t>
      </w:r>
      <w:r w:rsidR="64AB86EB">
        <w:t>and are specific to each country. E</w:t>
      </w:r>
      <w:r>
        <w:t xml:space="preserve">mission factors </w:t>
      </w:r>
      <w:r w:rsidR="64AB86EB">
        <w:t xml:space="preserve">can also be country </w:t>
      </w:r>
      <w:bookmarkStart w:id="57" w:name="_Int_RG9u2jtL"/>
      <w:r w:rsidR="64AB86EB">
        <w:t>specific if</w:t>
      </w:r>
      <w:bookmarkEnd w:id="57"/>
      <w:r w:rsidR="64AB86EB">
        <w:t xml:space="preserve"> sufficient emissions data is available for individual sources. However, the UNEP Toolkit provides default factors for use when this data is not available</w:t>
      </w:r>
      <w:r>
        <w:t>.</w:t>
      </w:r>
    </w:p>
    <w:p w14:paraId="66303647" w14:textId="24953789" w:rsidR="00BE4352" w:rsidRPr="00BE4352" w:rsidRDefault="00BE4352" w:rsidP="00BE4352">
      <w:pPr>
        <w:spacing w:line="300" w:lineRule="atLeast"/>
        <w:jc w:val="both"/>
        <w:rPr>
          <w:szCs w:val="24"/>
          <w:lang w:val="en-US"/>
        </w:rPr>
      </w:pPr>
      <w:r w:rsidRPr="00BE4352">
        <w:rPr>
          <w:szCs w:val="24"/>
          <w:lang w:val="en-US"/>
        </w:rPr>
        <w:t xml:space="preserve">The UNEP Toolkit classifies all potential </w:t>
      </w:r>
      <w:r w:rsidR="00882346">
        <w:rPr>
          <w:szCs w:val="24"/>
          <w:lang w:val="en-US"/>
        </w:rPr>
        <w:t>dioxin</w:t>
      </w:r>
      <w:r w:rsidRPr="00BE4352">
        <w:rPr>
          <w:szCs w:val="24"/>
          <w:lang w:val="en-US"/>
        </w:rPr>
        <w:t xml:space="preserve"> sources into the following 10</w:t>
      </w:r>
      <w:r w:rsidR="00EA554F">
        <w:rPr>
          <w:szCs w:val="24"/>
          <w:lang w:val="en-US"/>
        </w:rPr>
        <w:t xml:space="preserve"> categories:</w:t>
      </w:r>
    </w:p>
    <w:p w14:paraId="629F2F30" w14:textId="7B9A074B"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Waste </w:t>
      </w:r>
      <w:r w:rsidR="00BE4352" w:rsidRPr="00BE4352">
        <w:rPr>
          <w:szCs w:val="24"/>
          <w:lang w:val="en-US"/>
        </w:rPr>
        <w:t>incineration</w:t>
      </w:r>
    </w:p>
    <w:p w14:paraId="0FE225C6" w14:textId="079EE64B"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Ferrous </w:t>
      </w:r>
      <w:r w:rsidR="00BE4352" w:rsidRPr="00BE4352">
        <w:rPr>
          <w:szCs w:val="24"/>
          <w:lang w:val="en-US"/>
        </w:rPr>
        <w:t>and non-ferrous metal production</w:t>
      </w:r>
    </w:p>
    <w:p w14:paraId="71CFCE88" w14:textId="6824D8B1"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Heat </w:t>
      </w:r>
      <w:r w:rsidR="00BE4352" w:rsidRPr="00BE4352">
        <w:rPr>
          <w:szCs w:val="24"/>
          <w:lang w:val="en-US"/>
        </w:rPr>
        <w:t>and power generation</w:t>
      </w:r>
    </w:p>
    <w:p w14:paraId="4C331AB0" w14:textId="7635B300"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Production </w:t>
      </w:r>
      <w:r w:rsidR="00BE4352" w:rsidRPr="00BE4352">
        <w:rPr>
          <w:szCs w:val="24"/>
          <w:lang w:val="en-US"/>
        </w:rPr>
        <w:t>of mineral products</w:t>
      </w:r>
    </w:p>
    <w:p w14:paraId="5F939F56" w14:textId="5B6F520E"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Transportation</w:t>
      </w:r>
    </w:p>
    <w:p w14:paraId="3D54986F" w14:textId="51CEA700"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Open </w:t>
      </w:r>
      <w:r w:rsidR="00BE4352" w:rsidRPr="00BE4352">
        <w:rPr>
          <w:szCs w:val="24"/>
          <w:lang w:val="en-US"/>
        </w:rPr>
        <w:t>burning processes</w:t>
      </w:r>
    </w:p>
    <w:p w14:paraId="7168AD44" w14:textId="3B2CEE34"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Production </w:t>
      </w:r>
      <w:r w:rsidR="00BE4352" w:rsidRPr="00BE4352">
        <w:rPr>
          <w:szCs w:val="24"/>
          <w:lang w:val="en-US"/>
        </w:rPr>
        <w:t>of chemicals and consumer goods</w:t>
      </w:r>
    </w:p>
    <w:p w14:paraId="57CC0CD4" w14:textId="33E0E1EB"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 xml:space="preserve">Miscellaneous </w:t>
      </w:r>
      <w:r w:rsidR="00BE4352" w:rsidRPr="00BE4352">
        <w:rPr>
          <w:szCs w:val="24"/>
          <w:lang w:val="en-US"/>
        </w:rPr>
        <w:t>sources</w:t>
      </w:r>
    </w:p>
    <w:p w14:paraId="4A14F60F" w14:textId="3FCCF322"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sidRPr="00BE4352">
        <w:rPr>
          <w:szCs w:val="24"/>
          <w:lang w:val="en-US"/>
        </w:rPr>
        <w:t>Disposal</w:t>
      </w:r>
    </w:p>
    <w:p w14:paraId="21307D82" w14:textId="4E35E5B7" w:rsidR="00BE4352" w:rsidRPr="00BE4352" w:rsidRDefault="009F19C4" w:rsidP="00BE4352">
      <w:pPr>
        <w:numPr>
          <w:ilvl w:val="0"/>
          <w:numId w:val="12"/>
        </w:numPr>
        <w:tabs>
          <w:tab w:val="clear" w:pos="2520"/>
          <w:tab w:val="num" w:pos="2127"/>
        </w:tabs>
        <w:spacing w:line="300" w:lineRule="atLeast"/>
        <w:ind w:left="2127" w:hanging="1134"/>
        <w:jc w:val="both"/>
        <w:rPr>
          <w:szCs w:val="24"/>
          <w:lang w:val="en-US"/>
        </w:rPr>
      </w:pPr>
      <w:r>
        <w:rPr>
          <w:szCs w:val="24"/>
          <w:lang w:val="en-US"/>
        </w:rPr>
        <w:t xml:space="preserve">Contaminated </w:t>
      </w:r>
      <w:r w:rsidR="00391A5B">
        <w:rPr>
          <w:szCs w:val="24"/>
          <w:lang w:val="en-US"/>
        </w:rPr>
        <w:t>sites and</w:t>
      </w:r>
      <w:r w:rsidR="00391A5B" w:rsidRPr="00BE4352">
        <w:rPr>
          <w:szCs w:val="24"/>
          <w:lang w:val="en-US"/>
        </w:rPr>
        <w:t xml:space="preserve"> </w:t>
      </w:r>
      <w:r w:rsidR="00BE4352" w:rsidRPr="00BE4352">
        <w:rPr>
          <w:szCs w:val="24"/>
          <w:lang w:val="en-US"/>
        </w:rPr>
        <w:t>hotspots.</w:t>
      </w:r>
    </w:p>
    <w:p w14:paraId="5C4BB8D2" w14:textId="58F0B323" w:rsidR="004C2354" w:rsidRPr="004C2354" w:rsidRDefault="3BD66D4B" w:rsidP="004C2354">
      <w:pPr>
        <w:spacing w:line="300" w:lineRule="atLeast"/>
        <w:jc w:val="both"/>
      </w:pPr>
      <w:r>
        <w:t>Within the Toolkit, e</w:t>
      </w:r>
      <w:r w:rsidR="36345385">
        <w:t xml:space="preserve">ach of the categories is divided into </w:t>
      </w:r>
      <w:r w:rsidR="0EF4A13C">
        <w:t>sub-categories</w:t>
      </w:r>
      <w:r w:rsidR="36345385">
        <w:t xml:space="preserve"> </w:t>
      </w:r>
      <w:bookmarkStart w:id="58" w:name="_Int_sm56Ugqn"/>
      <w:proofErr w:type="gramStart"/>
      <w:r w:rsidR="36345385">
        <w:t>on the basis of</w:t>
      </w:r>
      <w:bookmarkEnd w:id="58"/>
      <w:proofErr w:type="gramEnd"/>
      <w:r w:rsidR="36345385">
        <w:t xml:space="preserve"> the </w:t>
      </w:r>
      <w:bookmarkStart w:id="59" w:name="_Int_GHM5NDab"/>
      <w:r w:rsidR="36345385">
        <w:t>different types</w:t>
      </w:r>
      <w:bookmarkEnd w:id="59"/>
      <w:r w:rsidR="36345385">
        <w:t xml:space="preserve"> of processes (eg, incineration of hazardous wastes, municipal wastes, medical wastes, etc), and each of the </w:t>
      </w:r>
      <w:r w:rsidR="0EF4A13C">
        <w:t>sub-categories</w:t>
      </w:r>
      <w:r w:rsidR="36345385">
        <w:t xml:space="preserve"> is divided into several classes, depending on the degree of process and/or emission control. Typically, class 1 processes are those with basic equipment and minimal levels of control. As the class number increases (from class 2 through classes 4 or 5), the performance of the process or activity improves, resulting in lower </w:t>
      </w:r>
      <w:r w:rsidR="40845C42">
        <w:t>dioxin</w:t>
      </w:r>
      <w:r w:rsidR="36345385">
        <w:t xml:space="preserve"> releases. The highest </w:t>
      </w:r>
      <w:r>
        <w:t xml:space="preserve">Toolkit </w:t>
      </w:r>
      <w:r w:rsidR="36345385">
        <w:t>class in each subcategory is usually representative of the emission levels that can be achieved through the application of best available techniques and best environmental practices</w:t>
      </w:r>
      <w:r w:rsidR="003F6BEA">
        <w:t xml:space="preserve"> (BAT/BEP)</w:t>
      </w:r>
      <w:r w:rsidR="36345385">
        <w:t>.</w:t>
      </w:r>
    </w:p>
    <w:p w14:paraId="5FFE2CE6" w14:textId="484D8FDB" w:rsidR="004C2354" w:rsidRPr="004C2354" w:rsidRDefault="36345385" w:rsidP="004C2354">
      <w:pPr>
        <w:spacing w:line="300" w:lineRule="atLeast"/>
        <w:jc w:val="both"/>
      </w:pPr>
      <w:r>
        <w:t xml:space="preserve">The </w:t>
      </w:r>
      <w:r w:rsidR="689700B2">
        <w:t xml:space="preserve">default </w:t>
      </w:r>
      <w:r>
        <w:t xml:space="preserve">emission factors given for each class represent the best estimate </w:t>
      </w:r>
      <w:r w:rsidR="4B8E3372">
        <w:t xml:space="preserve">of </w:t>
      </w:r>
      <w:r>
        <w:t xml:space="preserve">average emission rates based on measured data at existing sources with similar technologies, process characteristics and operating practices. Most of the emission factors are based on published data found in peer-reviewed literature, or in government or institutional reports. </w:t>
      </w:r>
      <w:bookmarkStart w:id="60" w:name="_Int_Lcp59ZZi"/>
      <w:proofErr w:type="gramStart"/>
      <w:r>
        <w:t>In order to</w:t>
      </w:r>
      <w:bookmarkEnd w:id="60"/>
      <w:proofErr w:type="gramEnd"/>
      <w:r>
        <w:t xml:space="preserve"> make the emission factors user-friendly, </w:t>
      </w:r>
      <w:bookmarkStart w:id="61" w:name="_Int_NdlNIs6R"/>
      <w:r>
        <w:t>manageable,</w:t>
      </w:r>
      <w:bookmarkEnd w:id="61"/>
      <w:r>
        <w:t xml:space="preserve"> and robust, th</w:t>
      </w:r>
      <w:r w:rsidRPr="0C34660A">
        <w:rPr>
          <w:lang w:val="en-US"/>
        </w:rPr>
        <w:t>is</w:t>
      </w:r>
      <w:r>
        <w:t xml:space="preserve"> original data has been aggregated into order</w:t>
      </w:r>
      <w:r w:rsidRPr="0C34660A">
        <w:rPr>
          <w:lang w:val="en-US"/>
        </w:rPr>
        <w:t>-</w:t>
      </w:r>
      <w:r>
        <w:t>of</w:t>
      </w:r>
      <w:r w:rsidRPr="0C34660A">
        <w:rPr>
          <w:lang w:val="en-US"/>
        </w:rPr>
        <w:t>-</w:t>
      </w:r>
      <w:r>
        <w:t xml:space="preserve">magnitude estimates for </w:t>
      </w:r>
      <w:bookmarkStart w:id="62" w:name="_Int_57WqkBH0"/>
      <w:r>
        <w:t>the majority of</w:t>
      </w:r>
      <w:bookmarkEnd w:id="62"/>
      <w:r>
        <w:t xml:space="preserve"> the </w:t>
      </w:r>
      <w:r w:rsidR="1E5E918B">
        <w:t>source</w:t>
      </w:r>
      <w:r w:rsidR="689700B2">
        <w:t xml:space="preserve"> </w:t>
      </w:r>
      <w:r w:rsidR="0EF4A13C">
        <w:t>sub-categories</w:t>
      </w:r>
      <w:r w:rsidR="0EEF860C">
        <w:t xml:space="preserve"> and classes</w:t>
      </w:r>
      <w:r>
        <w:t>.</w:t>
      </w:r>
    </w:p>
    <w:p w14:paraId="350D60E0" w14:textId="68135A8C" w:rsidR="004C2354" w:rsidRPr="004C2354" w:rsidRDefault="36345385" w:rsidP="004C2354">
      <w:pPr>
        <w:spacing w:line="300" w:lineRule="atLeast"/>
        <w:jc w:val="both"/>
      </w:pPr>
      <w:r>
        <w:t xml:space="preserve">Emission factors have been recommended for the following release vectors: </w:t>
      </w:r>
      <w:r w:rsidR="0A91A1A7">
        <w:t xml:space="preserve">to </w:t>
      </w:r>
      <w:r>
        <w:t xml:space="preserve">air, water, land, </w:t>
      </w:r>
      <w:r w:rsidR="0A91A1A7">
        <w:t xml:space="preserve">or </w:t>
      </w:r>
      <w:r>
        <w:t xml:space="preserve">in products or residues, although not all vectors are applicable to each subcategory. The </w:t>
      </w:r>
      <w:r w:rsidR="689700B2">
        <w:t xml:space="preserve">UNEP </w:t>
      </w:r>
      <w:r>
        <w:t xml:space="preserve">Toolkit residues vector relates </w:t>
      </w:r>
      <w:bookmarkStart w:id="63" w:name="_Int_lTLQS0q2"/>
      <w:r>
        <w:t>mainly to</w:t>
      </w:r>
      <w:bookmarkEnd w:id="63"/>
      <w:r>
        <w:t xml:space="preserve"> sources that result in a process by-product or waste (eg, the dusts collected in bag filters). These may be either processed (eg, for materials recovery) or disposed, usually to landfill. In New </w:t>
      </w:r>
      <w:bookmarkStart w:id="64" w:name="_Int_ZXJLFKMm"/>
      <w:r>
        <w:t>Zealand,</w:t>
      </w:r>
      <w:bookmarkEnd w:id="64"/>
      <w:r>
        <w:t xml:space="preserve"> the latt</w:t>
      </w:r>
      <w:r w:rsidR="071E5B9F">
        <w:t>er option is the dominant route. However, for consistency with the UNEP Toolkit approach they have been recorded as releases via residues unless the wastes are known to be disposed at the company’s own (usually on-site) landfill.</w:t>
      </w:r>
    </w:p>
    <w:p w14:paraId="5D4A4BBD" w14:textId="77777777" w:rsidR="0082411F" w:rsidRPr="003833D6" w:rsidRDefault="005E4305" w:rsidP="00261F78">
      <w:pPr>
        <w:pStyle w:val="Heading2"/>
      </w:pPr>
      <w:bookmarkStart w:id="65" w:name="_Toc358573501"/>
      <w:bookmarkStart w:id="66" w:name="_Toc112768059"/>
      <w:bookmarkEnd w:id="65"/>
      <w:r>
        <w:t>Release estimates</w:t>
      </w:r>
      <w:bookmarkEnd w:id="66"/>
    </w:p>
    <w:p w14:paraId="06486DC0" w14:textId="77777777" w:rsidR="00AC68B1" w:rsidRPr="00AC68B1" w:rsidRDefault="00AC68B1" w:rsidP="00AC68B1">
      <w:pPr>
        <w:spacing w:line="300" w:lineRule="atLeast"/>
        <w:jc w:val="both"/>
        <w:rPr>
          <w:szCs w:val="24"/>
          <w:lang w:val="en-US"/>
        </w:rPr>
      </w:pPr>
      <w:r w:rsidRPr="00AC68B1">
        <w:rPr>
          <w:szCs w:val="24"/>
          <w:lang w:val="en-US"/>
        </w:rPr>
        <w:t xml:space="preserve">The choice of emission factors for each source or group of sources is discussed within each of the inventory sections. The general approach taken has been to use New Zealand data, when available. In the absence of any </w:t>
      </w:r>
      <w:r w:rsidRPr="00AC68B1">
        <w:rPr>
          <w:szCs w:val="24"/>
          <w:lang w:val="en-US"/>
        </w:rPr>
        <w:lastRenderedPageBreak/>
        <w:t xml:space="preserve">local data, the factors given in the UNEP Toolkit have been used. In those cases where the amount of local data is limited, a </w:t>
      </w:r>
      <w:r w:rsidRPr="00AB6001">
        <w:rPr>
          <w:szCs w:val="24"/>
        </w:rPr>
        <w:t>judgement</w:t>
      </w:r>
      <w:r w:rsidRPr="00AC68B1">
        <w:rPr>
          <w:szCs w:val="24"/>
          <w:lang w:val="en-US"/>
        </w:rPr>
        <w:t xml:space="preserve"> call has been made as to the most appropriate factor to use.</w:t>
      </w:r>
    </w:p>
    <w:p w14:paraId="23A71B4B" w14:textId="66C56E11" w:rsidR="006A172E" w:rsidRPr="006A172E" w:rsidRDefault="689700B2" w:rsidP="006A172E">
      <w:pPr>
        <w:spacing w:line="300" w:lineRule="atLeast"/>
        <w:jc w:val="both"/>
      </w:pPr>
      <w:r w:rsidRPr="0C34660A">
        <w:rPr>
          <w:lang w:val="en-AU"/>
        </w:rPr>
        <w:t xml:space="preserve">The estimates for the </w:t>
      </w:r>
      <w:r w:rsidR="1316C706" w:rsidRPr="0C34660A">
        <w:rPr>
          <w:lang w:val="en-AU"/>
        </w:rPr>
        <w:t>dioxin</w:t>
      </w:r>
      <w:r w:rsidRPr="0C34660A">
        <w:rPr>
          <w:lang w:val="en-AU"/>
        </w:rPr>
        <w:t xml:space="preserve"> releases </w:t>
      </w:r>
      <w:proofErr w:type="gramStart"/>
      <w:r w:rsidRPr="0C34660A">
        <w:rPr>
          <w:lang w:val="en-AU"/>
        </w:rPr>
        <w:t>are expressed</w:t>
      </w:r>
      <w:proofErr w:type="gramEnd"/>
      <w:r w:rsidRPr="0C34660A">
        <w:rPr>
          <w:lang w:val="en-AU"/>
        </w:rPr>
        <w:t xml:space="preserve"> in terms of </w:t>
      </w:r>
      <w:r w:rsidR="3EAD0ACD" w:rsidRPr="0C34660A">
        <w:rPr>
          <w:lang w:val="en-AU"/>
        </w:rPr>
        <w:t>Toxic Equivalents</w:t>
      </w:r>
      <w:r w:rsidRPr="0C34660A">
        <w:rPr>
          <w:lang w:val="en-AU"/>
        </w:rPr>
        <w:t xml:space="preserve">. </w:t>
      </w:r>
      <w:r w:rsidR="5C6EB2DC" w:rsidRPr="0C34660A">
        <w:rPr>
          <w:lang w:val="en-AU"/>
        </w:rPr>
        <w:t xml:space="preserve">There are 210 different </w:t>
      </w:r>
      <w:r w:rsidR="4E00469F" w:rsidRPr="0C34660A">
        <w:rPr>
          <w:lang w:val="en-AU"/>
        </w:rPr>
        <w:t xml:space="preserve">chlorinated </w:t>
      </w:r>
      <w:r w:rsidR="5C6EB2DC" w:rsidRPr="0C34660A">
        <w:rPr>
          <w:lang w:val="en-AU"/>
        </w:rPr>
        <w:t xml:space="preserve">dioxins, but only </w:t>
      </w:r>
      <w:proofErr w:type="gramStart"/>
      <w:r w:rsidR="5C6EB2DC" w:rsidRPr="0C34660A">
        <w:rPr>
          <w:lang w:val="en-AU"/>
        </w:rPr>
        <w:t>17</w:t>
      </w:r>
      <w:proofErr w:type="gramEnd"/>
      <w:r w:rsidR="5C6EB2DC" w:rsidRPr="0C34660A">
        <w:rPr>
          <w:lang w:val="en-AU"/>
        </w:rPr>
        <w:t xml:space="preserve"> have significant toxicity. </w:t>
      </w:r>
      <w:r w:rsidR="5C6EB2DC">
        <w:t>When reporting the results of dioxin monitoring the quantities of all 210 conge</w:t>
      </w:r>
      <w:r>
        <w:t xml:space="preserve">ners are converted to a single </w:t>
      </w:r>
      <w:r w:rsidR="5C6EB2DC">
        <w:t xml:space="preserve">Toxic Equivalent (or TEQ) value, which reflects the overall toxicity of the mixture in terms of the most toxic congener; 2,3,7,8-tetrachlorodibenzo-p-dioxin (which, for simplicity is usually referred to as </w:t>
      </w:r>
      <w:bookmarkStart w:id="67" w:name="_Int_D1D7pKTG"/>
      <w:r w:rsidR="5C6EB2DC">
        <w:t>TCDD</w:t>
      </w:r>
      <w:bookmarkEnd w:id="67"/>
      <w:r w:rsidR="5C6EB2DC">
        <w:t>).</w:t>
      </w:r>
    </w:p>
    <w:p w14:paraId="13C195E2" w14:textId="33AF49EF" w:rsidR="006731D6" w:rsidRDefault="006731D6" w:rsidP="006731D6">
      <w:pPr>
        <w:spacing w:line="300" w:lineRule="atLeast"/>
        <w:jc w:val="both"/>
        <w:rPr>
          <w:szCs w:val="24"/>
          <w:lang w:val="en-US"/>
        </w:rPr>
      </w:pPr>
      <w:r w:rsidRPr="006731D6">
        <w:rPr>
          <w:szCs w:val="24"/>
          <w:lang w:val="en-US"/>
        </w:rPr>
        <w:t xml:space="preserve">Historically, there have been several TEQ systems, but the most widely </w:t>
      </w:r>
      <w:r w:rsidRPr="00882346">
        <w:rPr>
          <w:szCs w:val="24"/>
        </w:rPr>
        <w:t>recognised</w:t>
      </w:r>
      <w:r w:rsidRPr="006731D6">
        <w:rPr>
          <w:szCs w:val="24"/>
          <w:lang w:val="en-US"/>
        </w:rPr>
        <w:t xml:space="preserve"> are the “International” system, referred to as I-TEQs, and the World Health Organization (WHO) regime, referred to as WHO-TEQs. The most recent review of toxic equivalence was undertaken by WHO in 2005 and this is now the int</w:t>
      </w:r>
      <w:r>
        <w:rPr>
          <w:szCs w:val="24"/>
          <w:lang w:val="en-US"/>
        </w:rPr>
        <w:t xml:space="preserve">ernationally preferred system </w:t>
      </w:r>
      <w:sdt>
        <w:sdtPr>
          <w:rPr>
            <w:szCs w:val="24"/>
            <w:lang w:val="en-US"/>
          </w:rPr>
          <w:id w:val="-509755605"/>
          <w:citation/>
        </w:sdtPr>
        <w:sdtEndPr/>
        <w:sdtContent>
          <w:r>
            <w:rPr>
              <w:szCs w:val="24"/>
              <w:lang w:val="en-US"/>
            </w:rPr>
            <w:fldChar w:fldCharType="begin"/>
          </w:r>
          <w:r>
            <w:rPr>
              <w:szCs w:val="24"/>
            </w:rPr>
            <w:instrText xml:space="preserve"> CITATION UNEP13 \l 5129 </w:instrText>
          </w:r>
          <w:r>
            <w:rPr>
              <w:szCs w:val="24"/>
              <w:lang w:val="en-US"/>
            </w:rPr>
            <w:fldChar w:fldCharType="separate"/>
          </w:r>
          <w:r w:rsidR="00F1175E" w:rsidRPr="00F1175E">
            <w:rPr>
              <w:noProof/>
              <w:szCs w:val="24"/>
            </w:rPr>
            <w:t>(United Nations Environment Programme, 2013)</w:t>
          </w:r>
          <w:r>
            <w:rPr>
              <w:szCs w:val="24"/>
              <w:lang w:val="en-US"/>
            </w:rPr>
            <w:fldChar w:fldCharType="end"/>
          </w:r>
        </w:sdtContent>
      </w:sdt>
      <w:r>
        <w:rPr>
          <w:szCs w:val="24"/>
          <w:lang w:val="en-US"/>
        </w:rPr>
        <w:t xml:space="preserve">. </w:t>
      </w:r>
      <w:r w:rsidRPr="006731D6">
        <w:rPr>
          <w:szCs w:val="24"/>
          <w:lang w:val="en-US"/>
        </w:rPr>
        <w:t xml:space="preserve">Unlike the older I-TEQ system, the 2005 WHO TEQ system includes factors for 12 dioxin-like PCBs. </w:t>
      </w:r>
    </w:p>
    <w:p w14:paraId="5CCEDD18" w14:textId="6D462028" w:rsidR="00842DA1" w:rsidRDefault="20B66492" w:rsidP="0C34660A">
      <w:pPr>
        <w:spacing w:line="300" w:lineRule="atLeast"/>
        <w:jc w:val="both"/>
        <w:rPr>
          <w:lang w:val="en-US"/>
        </w:rPr>
      </w:pPr>
      <w:bookmarkStart w:id="68" w:name="_Int_3U1VHm1S"/>
      <w:proofErr w:type="gramStart"/>
      <w:r w:rsidRPr="0C34660A">
        <w:rPr>
          <w:lang w:val="en-US"/>
        </w:rPr>
        <w:t xml:space="preserve">All </w:t>
      </w:r>
      <w:r w:rsidR="1316C706" w:rsidRPr="0C34660A">
        <w:rPr>
          <w:lang w:val="en-US"/>
        </w:rPr>
        <w:t>of</w:t>
      </w:r>
      <w:bookmarkEnd w:id="68"/>
      <w:proofErr w:type="gramEnd"/>
      <w:r w:rsidR="1316C706" w:rsidRPr="0C34660A">
        <w:rPr>
          <w:lang w:val="en-US"/>
        </w:rPr>
        <w:t xml:space="preserve"> the dioxin release estimates </w:t>
      </w:r>
      <w:r w:rsidRPr="0C34660A">
        <w:rPr>
          <w:lang w:val="en-US"/>
        </w:rPr>
        <w:t xml:space="preserve">presented in this inventory </w:t>
      </w:r>
      <w:r w:rsidR="6D3683A2" w:rsidRPr="0C34660A">
        <w:rPr>
          <w:lang w:val="en-US"/>
        </w:rPr>
        <w:t>are</w:t>
      </w:r>
      <w:r w:rsidRPr="0C34660A">
        <w:rPr>
          <w:lang w:val="en-US"/>
        </w:rPr>
        <w:t xml:space="preserve"> reported as </w:t>
      </w:r>
      <w:r w:rsidR="03DF4226" w:rsidRPr="0C34660A">
        <w:rPr>
          <w:lang w:val="en-US"/>
        </w:rPr>
        <w:t>TEQ</w:t>
      </w:r>
      <w:r w:rsidR="689700B2" w:rsidRPr="0C34660A">
        <w:rPr>
          <w:lang w:val="en-US"/>
        </w:rPr>
        <w:t xml:space="preserve">, </w:t>
      </w:r>
      <w:r w:rsidR="1316C706" w:rsidRPr="0C34660A">
        <w:rPr>
          <w:lang w:val="en-US"/>
        </w:rPr>
        <w:t>with no distinction as to the TEQ system used</w:t>
      </w:r>
      <w:r w:rsidR="689700B2" w:rsidRPr="0C34660A">
        <w:rPr>
          <w:lang w:val="en-US"/>
        </w:rPr>
        <w:t xml:space="preserve">. </w:t>
      </w:r>
      <w:r w:rsidRPr="0C34660A">
        <w:rPr>
          <w:lang w:val="en-US"/>
        </w:rPr>
        <w:t>Th</w:t>
      </w:r>
      <w:r w:rsidR="1316C706" w:rsidRPr="0C34660A">
        <w:rPr>
          <w:lang w:val="en-US"/>
        </w:rPr>
        <w:t>is is consistent with the approach taken in th</w:t>
      </w:r>
      <w:r w:rsidRPr="0C34660A">
        <w:rPr>
          <w:lang w:val="en-US"/>
        </w:rPr>
        <w:t xml:space="preserve">e UNEP Toolkit, </w:t>
      </w:r>
      <w:r w:rsidR="1316C706" w:rsidRPr="0C34660A">
        <w:rPr>
          <w:lang w:val="en-US"/>
        </w:rPr>
        <w:t xml:space="preserve">which </w:t>
      </w:r>
      <w:r w:rsidRPr="0C34660A">
        <w:rPr>
          <w:lang w:val="en-US"/>
        </w:rPr>
        <w:t xml:space="preserve">notes that, for the purposes of national inventories, the differences between </w:t>
      </w:r>
      <w:r w:rsidR="72A205B1" w:rsidRPr="0C34660A">
        <w:rPr>
          <w:lang w:val="en-US"/>
        </w:rPr>
        <w:t>I-</w:t>
      </w:r>
      <w:r w:rsidR="03DF4226" w:rsidRPr="0C34660A">
        <w:rPr>
          <w:lang w:val="en-US"/>
        </w:rPr>
        <w:t>TEQ</w:t>
      </w:r>
      <w:r w:rsidRPr="0C34660A">
        <w:rPr>
          <w:lang w:val="en-US"/>
        </w:rPr>
        <w:t xml:space="preserve">s and WHO-TEQs are </w:t>
      </w:r>
      <w:bookmarkStart w:id="69" w:name="_Int_5emENfTt"/>
      <w:r w:rsidRPr="0C34660A">
        <w:rPr>
          <w:lang w:val="en-US"/>
        </w:rPr>
        <w:t>relatively minor</w:t>
      </w:r>
      <w:bookmarkEnd w:id="69"/>
      <w:r w:rsidR="1316C706" w:rsidRPr="0C34660A">
        <w:rPr>
          <w:lang w:val="en-US"/>
        </w:rPr>
        <w:t xml:space="preserve"> </w:t>
      </w:r>
      <w:sdt>
        <w:sdtPr>
          <w:rPr>
            <w:lang w:val="en-US"/>
          </w:rPr>
          <w:id w:val="-245964732"/>
          <w:lock w:val="contentLocked"/>
          <w:placeholder>
            <w:docPart w:val="DefaultPlaceholder_1081868574"/>
          </w:placeholder>
          <w:citation/>
        </w:sdtPr>
        <w:sdtEndPr/>
        <w:sdtContent>
          <w:r w:rsidR="006731D6" w:rsidRPr="0C34660A">
            <w:rPr>
              <w:lang w:val="en-US"/>
            </w:rPr>
            <w:fldChar w:fldCharType="begin"/>
          </w:r>
          <w:r w:rsidR="006731D6">
            <w:rPr>
              <w:szCs w:val="24"/>
            </w:rPr>
            <w:instrText xml:space="preserve"> CITATION UNEP05 \l 5129 </w:instrText>
          </w:r>
          <w:r w:rsidR="006731D6" w:rsidRPr="0C34660A">
            <w:rPr>
              <w:lang w:val="en-US"/>
            </w:rPr>
            <w:fldChar w:fldCharType="separate"/>
          </w:r>
          <w:r w:rsidR="25EC959F" w:rsidRPr="0C34660A">
            <w:rPr>
              <w:noProof/>
            </w:rPr>
            <w:t>(United Nations Environment Programme, 2005)</w:t>
          </w:r>
          <w:r w:rsidR="006731D6" w:rsidRPr="0C34660A">
            <w:rPr>
              <w:lang w:val="en-US"/>
            </w:rPr>
            <w:fldChar w:fldCharType="end"/>
          </w:r>
        </w:sdtContent>
      </w:sdt>
      <w:r w:rsidRPr="0C34660A">
        <w:rPr>
          <w:lang w:val="en-US"/>
        </w:rPr>
        <w:t xml:space="preserve">. </w:t>
      </w:r>
      <w:r w:rsidR="1F5D04B9" w:rsidRPr="0C34660A">
        <w:rPr>
          <w:lang w:val="en-US"/>
        </w:rPr>
        <w:t>In addition, the primary focus of a national inventory should be on the relative (ie</w:t>
      </w:r>
      <w:r w:rsidR="00125A27">
        <w:rPr>
          <w:lang w:val="en-US"/>
        </w:rPr>
        <w:t>,</w:t>
      </w:r>
      <w:r w:rsidR="1F5D04B9" w:rsidRPr="0C34660A">
        <w:rPr>
          <w:lang w:val="en-US"/>
        </w:rPr>
        <w:t xml:space="preserve"> order of magnitude) differences between </w:t>
      </w:r>
      <w:bookmarkStart w:id="70" w:name="_Int_IEKTwL9Q"/>
      <w:r w:rsidR="1F5D04B9" w:rsidRPr="0C34660A">
        <w:rPr>
          <w:lang w:val="en-US"/>
        </w:rPr>
        <w:t>different types</w:t>
      </w:r>
      <w:bookmarkEnd w:id="70"/>
      <w:r w:rsidR="1F5D04B9" w:rsidRPr="0C34660A">
        <w:rPr>
          <w:lang w:val="en-US"/>
        </w:rPr>
        <w:t xml:space="preserve"> of sources, and the broad-scale changes in releases over time</w:t>
      </w:r>
      <w:r w:rsidR="466AAAEF" w:rsidRPr="0C34660A">
        <w:rPr>
          <w:lang w:val="en-US"/>
        </w:rPr>
        <w:t>.</w:t>
      </w:r>
    </w:p>
    <w:p w14:paraId="5B8DCF44" w14:textId="7E2C9F75" w:rsidR="00596B3A" w:rsidRPr="00596B3A" w:rsidRDefault="00596B3A" w:rsidP="00596B3A">
      <w:pPr>
        <w:spacing w:line="300" w:lineRule="atLeast"/>
        <w:jc w:val="both"/>
        <w:rPr>
          <w:szCs w:val="24"/>
          <w:lang w:val="en-US"/>
        </w:rPr>
      </w:pPr>
      <w:r w:rsidRPr="00596B3A">
        <w:rPr>
          <w:szCs w:val="24"/>
          <w:lang w:val="en-US"/>
        </w:rPr>
        <w:t>The reference date for this inventory is taken as the 20</w:t>
      </w:r>
      <w:r w:rsidR="00641987">
        <w:rPr>
          <w:szCs w:val="24"/>
          <w:lang w:val="en-US"/>
        </w:rPr>
        <w:t>20</w:t>
      </w:r>
      <w:r w:rsidRPr="00596B3A">
        <w:rPr>
          <w:szCs w:val="24"/>
          <w:lang w:val="en-US"/>
        </w:rPr>
        <w:t xml:space="preserve"> calendar year, and 20</w:t>
      </w:r>
      <w:r w:rsidR="00641987">
        <w:rPr>
          <w:szCs w:val="24"/>
          <w:lang w:val="en-US"/>
        </w:rPr>
        <w:t>20</w:t>
      </w:r>
      <w:r w:rsidRPr="00596B3A">
        <w:rPr>
          <w:szCs w:val="24"/>
          <w:lang w:val="en-US"/>
        </w:rPr>
        <w:t xml:space="preserve"> activity data has been used whenever possible in deriving the estimates. The use of data from earlier years has been noted where relevant.</w:t>
      </w:r>
    </w:p>
    <w:p w14:paraId="6A5551B2" w14:textId="77777777" w:rsidR="00842DA1" w:rsidRPr="00842DA1" w:rsidRDefault="00842DA1" w:rsidP="00261F78">
      <w:pPr>
        <w:pStyle w:val="Heading2"/>
        <w:rPr>
          <w:lang w:val="en-US"/>
        </w:rPr>
      </w:pPr>
      <w:bookmarkStart w:id="71" w:name="_Toc313528459"/>
      <w:bookmarkStart w:id="72" w:name="_Toc112768060"/>
      <w:r w:rsidRPr="00842DA1">
        <w:rPr>
          <w:lang w:val="en-US"/>
        </w:rPr>
        <w:t>Certainty Estimates</w:t>
      </w:r>
      <w:bookmarkEnd w:id="72"/>
    </w:p>
    <w:p w14:paraId="662C0C61" w14:textId="6247F2AC" w:rsidR="00842DA1" w:rsidRPr="00842DA1" w:rsidRDefault="20B66492" w:rsidP="0C34660A">
      <w:pPr>
        <w:spacing w:line="300" w:lineRule="atLeast"/>
        <w:jc w:val="both"/>
        <w:rPr>
          <w:lang w:val="en-US"/>
        </w:rPr>
      </w:pPr>
      <w:r w:rsidRPr="0C34660A">
        <w:rPr>
          <w:lang w:val="en-US"/>
        </w:rPr>
        <w:t>No source considered in this inventory has been studied comprehensively (ie</w:t>
      </w:r>
      <w:r w:rsidR="005F574E">
        <w:rPr>
          <w:lang w:val="en-US"/>
        </w:rPr>
        <w:t>,</w:t>
      </w:r>
      <w:r w:rsidRPr="0C34660A">
        <w:rPr>
          <w:lang w:val="en-US"/>
        </w:rPr>
        <w:t xml:space="preserve"> had its emissions measured under all conditions over an extended </w:t>
      </w:r>
      <w:bookmarkStart w:id="73" w:name="_Int_2rwxX1UY"/>
      <w:proofErr w:type="gramStart"/>
      <w:r w:rsidRPr="0C34660A">
        <w:rPr>
          <w:lang w:val="en-US"/>
        </w:rPr>
        <w:t>period of time</w:t>
      </w:r>
      <w:bookmarkEnd w:id="73"/>
      <w:proofErr w:type="gramEnd"/>
      <w:r w:rsidRPr="0C34660A">
        <w:rPr>
          <w:lang w:val="en-US"/>
        </w:rPr>
        <w:t xml:space="preserve">), therefore all estimates made are subject to uncertainty. This uncertainty applies to both the activity data and the emission factors used to estimate the emissions. A qualitative indication of the certainty of each estimate has been provided using three ranking levels: high, </w:t>
      </w:r>
      <w:bookmarkStart w:id="74" w:name="_Int_XTomOlqH"/>
      <w:r w:rsidRPr="0C34660A">
        <w:rPr>
          <w:lang w:val="en-US"/>
        </w:rPr>
        <w:t>medium,</w:t>
      </w:r>
      <w:bookmarkEnd w:id="74"/>
      <w:r w:rsidRPr="0C34660A">
        <w:rPr>
          <w:lang w:val="en-US"/>
        </w:rPr>
        <w:t xml:space="preserve"> and low. The certainty ranking was assigned based on the available data, including a consideration of data quality, knowledge of each source sector, and a broad knowledge of emission factors. In addition, the following general principles were adopted.</w:t>
      </w:r>
    </w:p>
    <w:p w14:paraId="42E3C299" w14:textId="77777777" w:rsidR="00842DA1" w:rsidRPr="008041D7" w:rsidRDefault="00842DA1" w:rsidP="008041D7">
      <w:pPr>
        <w:spacing w:line="300" w:lineRule="atLeast"/>
        <w:ind w:left="681"/>
        <w:jc w:val="both"/>
        <w:rPr>
          <w:b/>
          <w:szCs w:val="24"/>
          <w:lang w:val="en-US"/>
        </w:rPr>
      </w:pPr>
      <w:r w:rsidRPr="008041D7">
        <w:rPr>
          <w:b/>
          <w:szCs w:val="24"/>
          <w:lang w:val="en-US"/>
        </w:rPr>
        <w:t>Activity statistics</w:t>
      </w:r>
    </w:p>
    <w:p w14:paraId="36AD4DDC" w14:textId="3346EBFA" w:rsidR="00842DA1" w:rsidRPr="00842DA1" w:rsidRDefault="20B66492" w:rsidP="0C34660A">
      <w:pPr>
        <w:numPr>
          <w:ilvl w:val="0"/>
          <w:numId w:val="13"/>
        </w:numPr>
        <w:tabs>
          <w:tab w:val="clear" w:pos="1607"/>
          <w:tab w:val="num" w:pos="1276"/>
        </w:tabs>
        <w:spacing w:line="300" w:lineRule="atLeast"/>
        <w:ind w:left="1276" w:hanging="595"/>
        <w:jc w:val="both"/>
        <w:rPr>
          <w:lang w:val="en-US"/>
        </w:rPr>
      </w:pPr>
      <w:r w:rsidRPr="0C34660A">
        <w:rPr>
          <w:lang w:val="en-US"/>
        </w:rPr>
        <w:t>A high certainty ranking was assigned if the statistics were based on specific industry data or were derived from comprehensive survey data.</w:t>
      </w:r>
    </w:p>
    <w:p w14:paraId="3190C870" w14:textId="77777777" w:rsidR="00842DA1" w:rsidRPr="00842DA1" w:rsidRDefault="00842DA1" w:rsidP="00813CDB">
      <w:pPr>
        <w:numPr>
          <w:ilvl w:val="0"/>
          <w:numId w:val="13"/>
        </w:numPr>
        <w:tabs>
          <w:tab w:val="clear" w:pos="1607"/>
          <w:tab w:val="num" w:pos="1276"/>
        </w:tabs>
        <w:spacing w:line="300" w:lineRule="atLeast"/>
        <w:ind w:left="1276" w:hanging="595"/>
        <w:jc w:val="both"/>
        <w:rPr>
          <w:szCs w:val="24"/>
          <w:lang w:val="en-US"/>
        </w:rPr>
      </w:pPr>
      <w:r w:rsidRPr="00842DA1">
        <w:rPr>
          <w:szCs w:val="24"/>
          <w:lang w:val="en-US"/>
        </w:rPr>
        <w:t>A medium certainty ranking was applied if limited industry or survey data was available, or if the data was modified to account for confounding factors.</w:t>
      </w:r>
    </w:p>
    <w:p w14:paraId="1A665086" w14:textId="77777777" w:rsidR="00842DA1" w:rsidRPr="00842DA1" w:rsidRDefault="00842DA1" w:rsidP="00813CDB">
      <w:pPr>
        <w:numPr>
          <w:ilvl w:val="0"/>
          <w:numId w:val="13"/>
        </w:numPr>
        <w:tabs>
          <w:tab w:val="clear" w:pos="1607"/>
          <w:tab w:val="num" w:pos="1276"/>
        </w:tabs>
        <w:spacing w:line="300" w:lineRule="atLeast"/>
        <w:ind w:left="1276" w:hanging="595"/>
        <w:jc w:val="both"/>
        <w:rPr>
          <w:szCs w:val="24"/>
          <w:lang w:val="en-US"/>
        </w:rPr>
      </w:pPr>
      <w:r w:rsidRPr="00842DA1">
        <w:rPr>
          <w:szCs w:val="24"/>
          <w:lang w:val="en-US"/>
        </w:rPr>
        <w:t xml:space="preserve">A low certainty ranking was assigned if there was no data available and the level of activity was based on subjective assessment and/or </w:t>
      </w:r>
      <w:r w:rsidR="00813CDB" w:rsidRPr="00842DA1">
        <w:rPr>
          <w:szCs w:val="24"/>
          <w:lang w:val="en-US"/>
        </w:rPr>
        <w:t>modeled</w:t>
      </w:r>
      <w:r w:rsidRPr="00842DA1">
        <w:rPr>
          <w:szCs w:val="24"/>
          <w:lang w:val="en-US"/>
        </w:rPr>
        <w:t xml:space="preserve"> data.</w:t>
      </w:r>
    </w:p>
    <w:p w14:paraId="622BE45E" w14:textId="77777777" w:rsidR="00842DA1" w:rsidRPr="008041D7" w:rsidRDefault="00842DA1" w:rsidP="008041D7">
      <w:pPr>
        <w:tabs>
          <w:tab w:val="num" w:pos="1276"/>
        </w:tabs>
        <w:spacing w:line="300" w:lineRule="atLeast"/>
        <w:ind w:left="1276" w:hanging="595"/>
        <w:jc w:val="both"/>
        <w:rPr>
          <w:b/>
          <w:szCs w:val="24"/>
          <w:lang w:val="en-US"/>
        </w:rPr>
      </w:pPr>
      <w:r w:rsidRPr="008041D7">
        <w:rPr>
          <w:b/>
          <w:szCs w:val="24"/>
          <w:lang w:val="en-US"/>
        </w:rPr>
        <w:t>Emission factor</w:t>
      </w:r>
    </w:p>
    <w:p w14:paraId="48E4D31F" w14:textId="49EF7F0A" w:rsidR="00842DA1" w:rsidRPr="00842DA1" w:rsidRDefault="00842DA1" w:rsidP="00813CDB">
      <w:pPr>
        <w:numPr>
          <w:ilvl w:val="0"/>
          <w:numId w:val="14"/>
        </w:numPr>
        <w:tabs>
          <w:tab w:val="num" w:pos="1276"/>
        </w:tabs>
        <w:spacing w:line="300" w:lineRule="atLeast"/>
        <w:ind w:left="1276" w:hanging="595"/>
        <w:jc w:val="both"/>
        <w:rPr>
          <w:szCs w:val="24"/>
          <w:lang w:val="en-US"/>
        </w:rPr>
      </w:pPr>
      <w:r w:rsidRPr="00842DA1">
        <w:rPr>
          <w:szCs w:val="24"/>
          <w:lang w:val="en-US"/>
        </w:rPr>
        <w:t xml:space="preserve">A high certainty ranking was assigned if a reasonable amount of </w:t>
      </w:r>
      <w:r w:rsidR="004101DB">
        <w:rPr>
          <w:szCs w:val="24"/>
          <w:lang w:val="en-US"/>
        </w:rPr>
        <w:t xml:space="preserve">recent </w:t>
      </w:r>
      <w:r w:rsidRPr="00842DA1">
        <w:rPr>
          <w:szCs w:val="24"/>
          <w:lang w:val="en-US"/>
        </w:rPr>
        <w:t>emissions data was available for the specific New Zealand sources.</w:t>
      </w:r>
    </w:p>
    <w:p w14:paraId="0D843876" w14:textId="69D921B8" w:rsidR="00842DA1" w:rsidRPr="00842DA1" w:rsidRDefault="00842DA1" w:rsidP="00813CDB">
      <w:pPr>
        <w:numPr>
          <w:ilvl w:val="0"/>
          <w:numId w:val="14"/>
        </w:numPr>
        <w:tabs>
          <w:tab w:val="num" w:pos="1276"/>
        </w:tabs>
        <w:spacing w:line="300" w:lineRule="atLeast"/>
        <w:ind w:left="1276" w:hanging="595"/>
        <w:jc w:val="both"/>
        <w:rPr>
          <w:szCs w:val="24"/>
          <w:lang w:val="en-US"/>
        </w:rPr>
      </w:pPr>
      <w:r w:rsidRPr="00842DA1">
        <w:rPr>
          <w:szCs w:val="24"/>
          <w:lang w:val="en-US"/>
        </w:rPr>
        <w:t>A medium certainty ranking was assigned if the New Zealand emissions data was limited</w:t>
      </w:r>
      <w:r w:rsidR="004101DB">
        <w:rPr>
          <w:szCs w:val="24"/>
          <w:lang w:val="en-US"/>
        </w:rPr>
        <w:t xml:space="preserve"> or dated</w:t>
      </w:r>
      <w:r w:rsidRPr="00842DA1">
        <w:rPr>
          <w:szCs w:val="24"/>
          <w:lang w:val="en-US"/>
        </w:rPr>
        <w:t xml:space="preserve">, but the emission factors compared well with </w:t>
      </w:r>
      <w:r w:rsidR="00813CDB">
        <w:rPr>
          <w:szCs w:val="24"/>
          <w:lang w:val="en-US"/>
        </w:rPr>
        <w:t>the UNEP Toolkit factors</w:t>
      </w:r>
      <w:r w:rsidRPr="00842DA1">
        <w:rPr>
          <w:szCs w:val="24"/>
          <w:lang w:val="en-US"/>
        </w:rPr>
        <w:t xml:space="preserve">. </w:t>
      </w:r>
    </w:p>
    <w:p w14:paraId="2476C56F" w14:textId="77777777" w:rsidR="00842DA1" w:rsidRPr="00842DA1" w:rsidRDefault="00842DA1" w:rsidP="00813CDB">
      <w:pPr>
        <w:numPr>
          <w:ilvl w:val="0"/>
          <w:numId w:val="14"/>
        </w:numPr>
        <w:tabs>
          <w:tab w:val="num" w:pos="1276"/>
        </w:tabs>
        <w:spacing w:line="300" w:lineRule="atLeast"/>
        <w:ind w:left="1276" w:hanging="595"/>
        <w:jc w:val="both"/>
        <w:rPr>
          <w:szCs w:val="24"/>
          <w:lang w:val="en-US"/>
        </w:rPr>
      </w:pPr>
      <w:r w:rsidRPr="00842DA1">
        <w:rPr>
          <w:szCs w:val="24"/>
          <w:lang w:val="en-US"/>
        </w:rPr>
        <w:lastRenderedPageBreak/>
        <w:t xml:space="preserve">A low certainty ranking was assigned if there was no New Zealand data available, and the estimate of PCDD/PCDF emissions was based solely on </w:t>
      </w:r>
      <w:r w:rsidR="00813CDB">
        <w:rPr>
          <w:szCs w:val="24"/>
          <w:lang w:val="en-US"/>
        </w:rPr>
        <w:t xml:space="preserve">the UNEP </w:t>
      </w:r>
      <w:r w:rsidRPr="00842DA1">
        <w:rPr>
          <w:szCs w:val="24"/>
          <w:lang w:val="en-US"/>
        </w:rPr>
        <w:t>Toolkit factors.</w:t>
      </w:r>
    </w:p>
    <w:p w14:paraId="7B81007F" w14:textId="77777777" w:rsidR="003053AF" w:rsidRPr="003833D6" w:rsidRDefault="005E4305" w:rsidP="00261F78">
      <w:pPr>
        <w:pStyle w:val="Heading2"/>
      </w:pPr>
      <w:bookmarkStart w:id="75" w:name="_Toc358573502"/>
      <w:bookmarkStart w:id="76" w:name="_Ref359643756"/>
      <w:bookmarkStart w:id="77" w:name="_Toc313528457"/>
      <w:bookmarkStart w:id="78" w:name="_Toc112768061"/>
      <w:bookmarkEnd w:id="71"/>
      <w:bookmarkEnd w:id="75"/>
      <w:r>
        <w:t>Back-calculations</w:t>
      </w:r>
      <w:bookmarkEnd w:id="76"/>
      <w:bookmarkEnd w:id="78"/>
    </w:p>
    <w:p w14:paraId="1EFD0BCA" w14:textId="1DD63FDD" w:rsidR="00FC3543" w:rsidRDefault="006B29EA" w:rsidP="003833D6">
      <w:pPr>
        <w:spacing w:line="300" w:lineRule="atLeast"/>
        <w:jc w:val="both"/>
        <w:rPr>
          <w:szCs w:val="24"/>
        </w:rPr>
      </w:pPr>
      <w:r>
        <w:rPr>
          <w:szCs w:val="24"/>
        </w:rPr>
        <w:t xml:space="preserve">The UNEP </w:t>
      </w:r>
      <w:r w:rsidR="005E4305">
        <w:rPr>
          <w:szCs w:val="24"/>
        </w:rPr>
        <w:t xml:space="preserve">Toolkit </w:t>
      </w:r>
      <w:r>
        <w:rPr>
          <w:szCs w:val="24"/>
        </w:rPr>
        <w:t xml:space="preserve">provides emission factors for a total of about 400 different sub-categories </w:t>
      </w:r>
      <w:r w:rsidR="00E975D3">
        <w:rPr>
          <w:szCs w:val="24"/>
        </w:rPr>
        <w:t xml:space="preserve">and classes </w:t>
      </w:r>
      <w:r>
        <w:rPr>
          <w:szCs w:val="24"/>
        </w:rPr>
        <w:t xml:space="preserve">spread across the 10 source </w:t>
      </w:r>
      <w:r w:rsidR="00FC3543">
        <w:rPr>
          <w:szCs w:val="24"/>
        </w:rPr>
        <w:t>groupings</w:t>
      </w:r>
      <w:r>
        <w:rPr>
          <w:szCs w:val="24"/>
        </w:rPr>
        <w:t xml:space="preserve">. </w:t>
      </w:r>
      <w:r w:rsidR="00FC3543" w:rsidRPr="00FC3543">
        <w:rPr>
          <w:szCs w:val="24"/>
        </w:rPr>
        <w:t>The</w:t>
      </w:r>
      <w:r w:rsidR="00FC3543">
        <w:rPr>
          <w:szCs w:val="24"/>
        </w:rPr>
        <w:t xml:space="preserve"> accuracy and relevance of these factors is subject to periodic review by an</w:t>
      </w:r>
      <w:r w:rsidR="00FC3543" w:rsidRPr="00FC3543">
        <w:rPr>
          <w:szCs w:val="24"/>
        </w:rPr>
        <w:t xml:space="preserve"> Expert Group established under the Stockholm Convention</w:t>
      </w:r>
      <w:r w:rsidR="00FC3543">
        <w:rPr>
          <w:szCs w:val="24"/>
        </w:rPr>
        <w:t>.</w:t>
      </w:r>
      <w:r w:rsidR="00FC3543" w:rsidRPr="00FC3543">
        <w:rPr>
          <w:szCs w:val="24"/>
        </w:rPr>
        <w:t xml:space="preserve"> </w:t>
      </w:r>
      <w:r w:rsidR="00FC3543">
        <w:rPr>
          <w:szCs w:val="24"/>
        </w:rPr>
        <w:t xml:space="preserve">The latest version (v3) of the UNEP </w:t>
      </w:r>
      <w:r w:rsidR="00FC3543" w:rsidRPr="00FC3543">
        <w:rPr>
          <w:szCs w:val="24"/>
        </w:rPr>
        <w:t>Toolkit</w:t>
      </w:r>
      <w:r w:rsidR="00FC3543" w:rsidRPr="00FC3543">
        <w:rPr>
          <w:szCs w:val="24"/>
          <w:lang w:val="x-none"/>
        </w:rPr>
        <w:t xml:space="preserve"> </w:t>
      </w:r>
      <w:r w:rsidR="00FC3543">
        <w:rPr>
          <w:szCs w:val="24"/>
        </w:rPr>
        <w:t xml:space="preserve">was </w:t>
      </w:r>
      <w:r w:rsidR="006525EF">
        <w:rPr>
          <w:szCs w:val="24"/>
        </w:rPr>
        <w:t>produced by the Expert</w:t>
      </w:r>
      <w:r w:rsidR="00FC3543">
        <w:rPr>
          <w:szCs w:val="24"/>
        </w:rPr>
        <w:t xml:space="preserve"> </w:t>
      </w:r>
      <w:r w:rsidR="006525EF">
        <w:rPr>
          <w:szCs w:val="24"/>
        </w:rPr>
        <w:t xml:space="preserve">Group </w:t>
      </w:r>
      <w:r w:rsidR="00103D12">
        <w:rPr>
          <w:szCs w:val="24"/>
        </w:rPr>
        <w:t>in January 2013.</w:t>
      </w:r>
    </w:p>
    <w:p w14:paraId="6CB9FD67" w14:textId="23BBE6D5" w:rsidR="008E3038" w:rsidRDefault="608B2770" w:rsidP="003833D6">
      <w:pPr>
        <w:spacing w:line="300" w:lineRule="atLeast"/>
        <w:jc w:val="both"/>
      </w:pPr>
      <w:r>
        <w:t xml:space="preserve">One of the key functions of an emissions inventory is to allow changes in emissions to be tracked over time. Primarily, these changes should relate to changes in the mixture of </w:t>
      </w:r>
      <w:bookmarkStart w:id="79" w:name="_Int_MP0AQqlo"/>
      <w:r>
        <w:t>different sources</w:t>
      </w:r>
      <w:bookmarkEnd w:id="79"/>
      <w:r>
        <w:t xml:space="preserve"> in the country, and the source activity rates. However, tracking these changes becomes more complicated if the emission factors are also changed.</w:t>
      </w:r>
      <w:r w:rsidR="5A7BF0B8">
        <w:t xml:space="preserve"> </w:t>
      </w:r>
      <w:r w:rsidR="00F869A1">
        <w:t xml:space="preserve">Back calculations may also be required where errors are recognised or changes to the procedures used to estimate releases occur. </w:t>
      </w:r>
      <w:r w:rsidR="19CD34D0">
        <w:t xml:space="preserve">For this inventory </w:t>
      </w:r>
      <w:r w:rsidR="147F81FF">
        <w:t xml:space="preserve">back calculations have been performed for sewage sludge generation for the 2012 and 2016 Inventories </w:t>
      </w:r>
      <w:r w:rsidR="00DD2B11">
        <w:t>due to</w:t>
      </w:r>
      <w:r w:rsidR="147F81FF">
        <w:t xml:space="preserve"> changes in the way activity is determined.</w:t>
      </w:r>
    </w:p>
    <w:p w14:paraId="30476883" w14:textId="226BF946" w:rsidR="00D55869" w:rsidRPr="003833D6" w:rsidRDefault="00D55869" w:rsidP="00261F78">
      <w:pPr>
        <w:pStyle w:val="Heading2"/>
      </w:pPr>
      <w:bookmarkStart w:id="80" w:name="_Toc112768062"/>
      <w:r>
        <w:t>Units</w:t>
      </w:r>
      <w:bookmarkEnd w:id="80"/>
    </w:p>
    <w:p w14:paraId="73AE45F8" w14:textId="7898146F" w:rsidR="00F42901" w:rsidRDefault="7575E08D" w:rsidP="00D55869">
      <w:pPr>
        <w:spacing w:line="300" w:lineRule="atLeast"/>
        <w:jc w:val="both"/>
      </w:pPr>
      <w:r>
        <w:t xml:space="preserve">The use of different units within this report is potentially confusing because the data cover such a wide range of values. For example, the </w:t>
      </w:r>
      <w:r w:rsidR="14FC5AF6">
        <w:t>release factors for individual sources are usually measured in nanograms per gram (10</w:t>
      </w:r>
      <w:r w:rsidR="14FC5AF6" w:rsidRPr="0C34660A">
        <w:rPr>
          <w:vertAlign w:val="superscript"/>
        </w:rPr>
        <w:t>-9</w:t>
      </w:r>
      <w:r w:rsidR="14FC5AF6">
        <w:t xml:space="preserve"> grams/gram), or micrograms per tonne (10</w:t>
      </w:r>
      <w:r w:rsidR="14FC5AF6" w:rsidRPr="0C34660A">
        <w:rPr>
          <w:vertAlign w:val="superscript"/>
        </w:rPr>
        <w:t>-6</w:t>
      </w:r>
      <w:r w:rsidR="14FC5AF6">
        <w:t xml:space="preserve"> grams/tonne), while the annual </w:t>
      </w:r>
      <w:r>
        <w:t xml:space="preserve">activity rates for </w:t>
      </w:r>
      <w:bookmarkStart w:id="81" w:name="_Int_oLskebFN"/>
      <w:r>
        <w:t>different sources</w:t>
      </w:r>
      <w:bookmarkEnd w:id="81"/>
      <w:r>
        <w:t xml:space="preserve"> </w:t>
      </w:r>
      <w:r w:rsidR="14FC5AF6">
        <w:t xml:space="preserve">may be measured in kilograms, tonnes or </w:t>
      </w:r>
      <w:r>
        <w:t>Megatonnes (10</w:t>
      </w:r>
      <w:r w:rsidR="14FC5AF6" w:rsidRPr="0C34660A">
        <w:rPr>
          <w:vertAlign w:val="superscript"/>
        </w:rPr>
        <w:t>6</w:t>
      </w:r>
      <w:r w:rsidR="14FC5AF6">
        <w:t xml:space="preserve"> tonnes)</w:t>
      </w:r>
      <w:r w:rsidR="67848580">
        <w:t>.</w:t>
      </w:r>
      <w:r w:rsidR="14FC5AF6">
        <w:t xml:space="preserve"> </w:t>
      </w:r>
    </w:p>
    <w:p w14:paraId="3E8133FE" w14:textId="0A509213" w:rsidR="00D55869" w:rsidRDefault="14FC5AF6" w:rsidP="00D55869">
      <w:pPr>
        <w:spacing w:line="300" w:lineRule="atLeast"/>
        <w:jc w:val="both"/>
      </w:pPr>
      <w:r>
        <w:t xml:space="preserve">The complexity is further compounded </w:t>
      </w:r>
      <w:bookmarkStart w:id="82" w:name="_Int_1rfPuTpO"/>
      <w:proofErr w:type="gramStart"/>
      <w:r>
        <w:t xml:space="preserve">by the </w:t>
      </w:r>
      <w:r w:rsidR="486DEB87">
        <w:t>use of</w:t>
      </w:r>
      <w:bookmarkEnd w:id="82"/>
      <w:proofErr w:type="gramEnd"/>
      <w:r w:rsidR="486DEB87">
        <w:t xml:space="preserve"> </w:t>
      </w:r>
      <w:bookmarkStart w:id="83" w:name="_Int_CfO5sWKK"/>
      <w:r w:rsidR="486DEB87">
        <w:t>different types</w:t>
      </w:r>
      <w:bookmarkEnd w:id="83"/>
      <w:r w:rsidR="486DEB87">
        <w:t xml:space="preserve"> of units. For example, most activity rates are measured in mass units (ie</w:t>
      </w:r>
      <w:r w:rsidR="00214E05">
        <w:t>,</w:t>
      </w:r>
      <w:r w:rsidR="486DEB87">
        <w:t xml:space="preserve"> tonnes/year) but those for fuels are measured in energy terms, such as Joules, and TeraJoules (10</w:t>
      </w:r>
      <w:r w:rsidR="486DEB87" w:rsidRPr="0C34660A">
        <w:rPr>
          <w:vertAlign w:val="superscript"/>
        </w:rPr>
        <w:t>12</w:t>
      </w:r>
      <w:r w:rsidR="486DEB87">
        <w:t xml:space="preserve"> Joules). In addition, the activity rates for releases to water are measured on a volume basis (ie</w:t>
      </w:r>
      <w:r w:rsidR="00D124B0">
        <w:t>,</w:t>
      </w:r>
      <w:r w:rsidR="486DEB87">
        <w:t xml:space="preserve"> litres or cubic metres (10</w:t>
      </w:r>
      <w:r w:rsidR="486DEB87" w:rsidRPr="0C34660A">
        <w:rPr>
          <w:vertAlign w:val="superscript"/>
        </w:rPr>
        <w:t>3</w:t>
      </w:r>
      <w:r w:rsidR="486DEB87">
        <w:t xml:space="preserve"> litres)</w:t>
      </w:r>
      <w:r w:rsidR="2A77B2EF">
        <w:t>)</w:t>
      </w:r>
      <w:r w:rsidR="486DEB87">
        <w:t>.</w:t>
      </w:r>
    </w:p>
    <w:p w14:paraId="2F981DFC" w14:textId="2A92C22F" w:rsidR="00D55869" w:rsidRDefault="383A0AE5" w:rsidP="0C34660A">
      <w:pPr>
        <w:spacing w:line="300" w:lineRule="atLeast"/>
        <w:jc w:val="both"/>
        <w:rPr>
          <w:lang w:val="en-US"/>
        </w:rPr>
      </w:pPr>
      <w:r w:rsidRPr="0C34660A">
        <w:rPr>
          <w:lang w:val="en-US"/>
        </w:rPr>
        <w:t xml:space="preserve">This issue has been partially addressed by </w:t>
      </w:r>
      <w:r w:rsidR="792D693A">
        <w:t>standardis</w:t>
      </w:r>
      <w:r>
        <w:t>ing</w:t>
      </w:r>
      <w:r w:rsidRPr="0C34660A">
        <w:rPr>
          <w:lang w:val="en-US"/>
        </w:rPr>
        <w:t xml:space="preserve"> </w:t>
      </w:r>
      <w:r w:rsidR="1F5D04B9" w:rsidRPr="0C34660A">
        <w:rPr>
          <w:lang w:val="en-US"/>
        </w:rPr>
        <w:t xml:space="preserve">the release </w:t>
      </w:r>
      <w:r w:rsidRPr="0C34660A">
        <w:rPr>
          <w:lang w:val="en-US"/>
        </w:rPr>
        <w:t>factors given in the</w:t>
      </w:r>
      <w:r w:rsidR="1F5D04B9" w:rsidRPr="0C34660A">
        <w:rPr>
          <w:lang w:val="en-US"/>
        </w:rPr>
        <w:t xml:space="preserve"> report </w:t>
      </w:r>
      <w:r w:rsidRPr="0C34660A">
        <w:rPr>
          <w:lang w:val="en-US"/>
        </w:rPr>
        <w:t>to</w:t>
      </w:r>
      <w:r w:rsidR="1F5D04B9" w:rsidRPr="0C34660A">
        <w:rPr>
          <w:lang w:val="en-US"/>
        </w:rPr>
        <w:t xml:space="preserve"> units of micrograms (µg</w:t>
      </w:r>
      <w:r w:rsidRPr="0C34660A">
        <w:rPr>
          <w:lang w:val="en-US"/>
        </w:rPr>
        <w:t>, or 10</w:t>
      </w:r>
      <w:r w:rsidRPr="0C34660A">
        <w:rPr>
          <w:vertAlign w:val="superscript"/>
          <w:lang w:val="en-US"/>
        </w:rPr>
        <w:t>-6</w:t>
      </w:r>
      <w:r w:rsidRPr="0C34660A">
        <w:rPr>
          <w:lang w:val="en-US"/>
        </w:rPr>
        <w:t xml:space="preserve"> grams</w:t>
      </w:r>
      <w:r w:rsidR="1F5D04B9" w:rsidRPr="0C34660A">
        <w:rPr>
          <w:lang w:val="en-US"/>
        </w:rPr>
        <w:t xml:space="preserve">) TEQ per </w:t>
      </w:r>
      <w:r w:rsidR="1F5D04B9">
        <w:t>tonne</w:t>
      </w:r>
      <w:r w:rsidR="1F5D04B9" w:rsidRPr="0C34660A">
        <w:rPr>
          <w:lang w:val="en-US"/>
        </w:rPr>
        <w:t>, for releases to air</w:t>
      </w:r>
      <w:r w:rsidR="6EACD5F9" w:rsidRPr="0C34660A">
        <w:rPr>
          <w:lang w:val="en-US"/>
        </w:rPr>
        <w:t xml:space="preserve"> or</w:t>
      </w:r>
      <w:r w:rsidR="1F5D04B9" w:rsidRPr="0C34660A">
        <w:rPr>
          <w:lang w:val="en-US"/>
        </w:rPr>
        <w:t xml:space="preserve"> land</w:t>
      </w:r>
      <w:r w:rsidR="6EACD5F9" w:rsidRPr="0C34660A">
        <w:rPr>
          <w:lang w:val="en-US"/>
        </w:rPr>
        <w:t>, and in residues or products</w:t>
      </w:r>
      <w:r w:rsidR="1F5D04B9" w:rsidRPr="0C34660A">
        <w:rPr>
          <w:lang w:val="en-US"/>
        </w:rPr>
        <w:t>, and picograms (</w:t>
      </w:r>
      <w:r w:rsidRPr="0C34660A">
        <w:rPr>
          <w:lang w:val="en-US"/>
        </w:rPr>
        <w:t>pg, or 10</w:t>
      </w:r>
      <w:r w:rsidRPr="0C34660A">
        <w:rPr>
          <w:vertAlign w:val="superscript"/>
          <w:lang w:val="en-US"/>
        </w:rPr>
        <w:t>-12</w:t>
      </w:r>
      <w:r w:rsidRPr="0C34660A">
        <w:rPr>
          <w:lang w:val="en-US"/>
        </w:rPr>
        <w:t xml:space="preserve"> grams</w:t>
      </w:r>
      <w:r w:rsidR="1F5D04B9" w:rsidRPr="0C34660A">
        <w:rPr>
          <w:lang w:val="en-US"/>
        </w:rPr>
        <w:t xml:space="preserve">) TEQ per </w:t>
      </w:r>
      <w:r w:rsidR="1F5D04B9">
        <w:t>litre</w:t>
      </w:r>
      <w:r w:rsidR="17FE0BB0" w:rsidRPr="0C34660A">
        <w:rPr>
          <w:lang w:val="en-US"/>
        </w:rPr>
        <w:t>,</w:t>
      </w:r>
      <w:r w:rsidR="1F5D04B9" w:rsidRPr="0C34660A">
        <w:rPr>
          <w:lang w:val="en-US"/>
        </w:rPr>
        <w:t xml:space="preserve"> for releases to water. </w:t>
      </w:r>
      <w:r w:rsidR="792D693A" w:rsidRPr="0C34660A">
        <w:rPr>
          <w:lang w:val="en-US"/>
        </w:rPr>
        <w:t xml:space="preserve">In addition, </w:t>
      </w:r>
      <w:bookmarkStart w:id="84" w:name="_Int_wbJqaLNn"/>
      <w:proofErr w:type="gramStart"/>
      <w:r w:rsidR="792D693A" w:rsidRPr="0C34660A">
        <w:rPr>
          <w:lang w:val="en-US"/>
        </w:rPr>
        <w:t>all of</w:t>
      </w:r>
      <w:bookmarkEnd w:id="84"/>
      <w:proofErr w:type="gramEnd"/>
      <w:r w:rsidR="792D693A" w:rsidRPr="0C34660A">
        <w:rPr>
          <w:lang w:val="en-US"/>
        </w:rPr>
        <w:t xml:space="preserve"> the a</w:t>
      </w:r>
      <w:r w:rsidR="1F5D04B9" w:rsidRPr="0C34660A">
        <w:rPr>
          <w:lang w:val="en-US"/>
        </w:rPr>
        <w:t xml:space="preserve">nnual releases are given in </w:t>
      </w:r>
      <w:r w:rsidR="792D693A" w:rsidRPr="0C34660A">
        <w:rPr>
          <w:lang w:val="en-US"/>
        </w:rPr>
        <w:t xml:space="preserve">standard </w:t>
      </w:r>
      <w:r w:rsidR="1F5D04B9" w:rsidRPr="0C34660A">
        <w:rPr>
          <w:lang w:val="en-US"/>
        </w:rPr>
        <w:t>units of g TEQ per year.</w:t>
      </w:r>
      <w:r w:rsidR="792D693A" w:rsidRPr="0C34660A">
        <w:rPr>
          <w:lang w:val="en-US"/>
        </w:rPr>
        <w:t xml:space="preserve"> Where necessary, the numbers may also be given in alternative units, in brackets, to assist with the overall understanding.</w:t>
      </w:r>
    </w:p>
    <w:bookmarkEnd w:id="77"/>
    <w:p w14:paraId="363B3B06" w14:textId="77777777" w:rsidR="00C555DA" w:rsidRDefault="00870D23" w:rsidP="00261F78">
      <w:pPr>
        <w:pStyle w:val="Heading1"/>
      </w:pPr>
      <w:r>
        <w:rPr>
          <w:rFonts w:ascii="Verdana" w:hAnsi="Verdana"/>
        </w:rPr>
        <w:br w:type="page"/>
      </w:r>
      <w:bookmarkStart w:id="85" w:name="_Toc358573550"/>
      <w:bookmarkStart w:id="86" w:name="_Toc358573503"/>
      <w:bookmarkStart w:id="87" w:name="_Toc313528461"/>
      <w:bookmarkStart w:id="88" w:name="_Toc112768063"/>
      <w:r w:rsidR="00C555DA" w:rsidRPr="00CF6A21">
        <w:lastRenderedPageBreak/>
        <w:t>Waste incineration</w:t>
      </w:r>
      <w:bookmarkEnd w:id="85"/>
      <w:bookmarkEnd w:id="88"/>
    </w:p>
    <w:p w14:paraId="19543085" w14:textId="12888F76" w:rsidR="00C555DA" w:rsidRDefault="00C555DA" w:rsidP="00C555DA">
      <w:pPr>
        <w:spacing w:line="300" w:lineRule="atLeast"/>
        <w:jc w:val="both"/>
        <w:rPr>
          <w:szCs w:val="18"/>
        </w:rPr>
      </w:pPr>
      <w:r w:rsidRPr="00194426">
        <w:rPr>
          <w:szCs w:val="18"/>
        </w:rPr>
        <w:t xml:space="preserve">This category covers </w:t>
      </w:r>
      <w:r w:rsidR="007C11D5">
        <w:rPr>
          <w:szCs w:val="18"/>
        </w:rPr>
        <w:t xml:space="preserve">the following </w:t>
      </w:r>
      <w:r w:rsidR="00D36298">
        <w:rPr>
          <w:szCs w:val="18"/>
        </w:rPr>
        <w:t>dioxin sources</w:t>
      </w:r>
      <w:r w:rsidR="00456913">
        <w:rPr>
          <w:szCs w:val="18"/>
        </w:rPr>
        <w:t xml:space="preserve"> </w:t>
      </w:r>
      <w:sdt>
        <w:sdtPr>
          <w:rPr>
            <w:szCs w:val="18"/>
          </w:rPr>
          <w:id w:val="-1349710294"/>
          <w:citation/>
        </w:sdtPr>
        <w:sdtEndPr/>
        <w:sdtContent>
          <w:r w:rsidR="00456913">
            <w:rPr>
              <w:szCs w:val="18"/>
            </w:rPr>
            <w:fldChar w:fldCharType="begin"/>
          </w:r>
          <w:r w:rsidR="00456913">
            <w:rPr>
              <w:szCs w:val="18"/>
            </w:rPr>
            <w:instrText xml:space="preserve"> CITATION UNEP13 \l 5129 </w:instrText>
          </w:r>
          <w:r w:rsidR="00456913">
            <w:rPr>
              <w:szCs w:val="18"/>
            </w:rPr>
            <w:fldChar w:fldCharType="separate"/>
          </w:r>
          <w:r w:rsidR="00F1175E" w:rsidRPr="00F1175E">
            <w:rPr>
              <w:noProof/>
              <w:szCs w:val="18"/>
            </w:rPr>
            <w:t>(United Nations Environment Programme, 2013)</w:t>
          </w:r>
          <w:r w:rsidR="00456913">
            <w:rPr>
              <w:szCs w:val="18"/>
            </w:rPr>
            <w:fldChar w:fldCharType="end"/>
          </w:r>
        </w:sdtContent>
      </w:sdt>
      <w:r w:rsidR="000015AF">
        <w:rPr>
          <w:szCs w:val="18"/>
        </w:rPr>
        <w:t>:</w:t>
      </w:r>
    </w:p>
    <w:p w14:paraId="4DD621E7" w14:textId="77777777" w:rsidR="007C11D5" w:rsidRPr="007C11D5" w:rsidRDefault="000015AF" w:rsidP="007C11D5">
      <w:pPr>
        <w:spacing w:line="300" w:lineRule="atLeast"/>
        <w:ind w:left="720"/>
        <w:jc w:val="both"/>
        <w:rPr>
          <w:szCs w:val="18"/>
        </w:rPr>
      </w:pPr>
      <w:r>
        <w:rPr>
          <w:szCs w:val="18"/>
        </w:rPr>
        <w:t>1</w:t>
      </w:r>
      <w:r w:rsidR="007C11D5" w:rsidRPr="007C11D5">
        <w:rPr>
          <w:szCs w:val="18"/>
        </w:rPr>
        <w:t>a</w:t>
      </w:r>
      <w:r w:rsidR="007C11D5" w:rsidRPr="007C11D5">
        <w:rPr>
          <w:szCs w:val="18"/>
        </w:rPr>
        <w:tab/>
        <w:t>Municipal solid waste incineration</w:t>
      </w:r>
    </w:p>
    <w:p w14:paraId="2ADF6E9D" w14:textId="77777777" w:rsidR="007C11D5" w:rsidRPr="007C11D5" w:rsidRDefault="000015AF" w:rsidP="007C11D5">
      <w:pPr>
        <w:spacing w:line="300" w:lineRule="atLeast"/>
        <w:ind w:left="720"/>
        <w:jc w:val="both"/>
        <w:rPr>
          <w:szCs w:val="18"/>
        </w:rPr>
      </w:pPr>
      <w:r>
        <w:rPr>
          <w:szCs w:val="18"/>
        </w:rPr>
        <w:t>1</w:t>
      </w:r>
      <w:r w:rsidR="007C11D5" w:rsidRPr="007C11D5">
        <w:rPr>
          <w:szCs w:val="18"/>
        </w:rPr>
        <w:t>b</w:t>
      </w:r>
      <w:r w:rsidR="007C11D5" w:rsidRPr="007C11D5">
        <w:rPr>
          <w:szCs w:val="18"/>
        </w:rPr>
        <w:tab/>
        <w:t>Hazardous waste incineration</w:t>
      </w:r>
    </w:p>
    <w:p w14:paraId="58A352C0" w14:textId="77777777" w:rsidR="007C11D5" w:rsidRPr="007C11D5" w:rsidRDefault="000015AF" w:rsidP="007C11D5">
      <w:pPr>
        <w:spacing w:line="300" w:lineRule="atLeast"/>
        <w:ind w:left="720"/>
        <w:jc w:val="both"/>
        <w:rPr>
          <w:szCs w:val="18"/>
        </w:rPr>
      </w:pPr>
      <w:r>
        <w:rPr>
          <w:szCs w:val="18"/>
        </w:rPr>
        <w:t>1</w:t>
      </w:r>
      <w:r w:rsidR="007C11D5" w:rsidRPr="007C11D5">
        <w:rPr>
          <w:szCs w:val="18"/>
        </w:rPr>
        <w:t>c</w:t>
      </w:r>
      <w:r w:rsidR="007C11D5" w:rsidRPr="007C11D5">
        <w:rPr>
          <w:szCs w:val="18"/>
        </w:rPr>
        <w:tab/>
        <w:t>Medical waste incineration</w:t>
      </w:r>
    </w:p>
    <w:p w14:paraId="0CAA882A" w14:textId="77777777" w:rsidR="007C11D5" w:rsidRPr="007C11D5" w:rsidRDefault="000015AF" w:rsidP="007C11D5">
      <w:pPr>
        <w:spacing w:line="300" w:lineRule="atLeast"/>
        <w:ind w:left="720"/>
        <w:jc w:val="both"/>
        <w:rPr>
          <w:szCs w:val="18"/>
        </w:rPr>
      </w:pPr>
      <w:r>
        <w:rPr>
          <w:szCs w:val="18"/>
        </w:rPr>
        <w:t>1</w:t>
      </w:r>
      <w:r w:rsidR="007C11D5" w:rsidRPr="007C11D5">
        <w:rPr>
          <w:szCs w:val="18"/>
        </w:rPr>
        <w:t>d</w:t>
      </w:r>
      <w:r w:rsidR="007C11D5" w:rsidRPr="007C11D5">
        <w:rPr>
          <w:szCs w:val="18"/>
        </w:rPr>
        <w:tab/>
        <w:t>Light-fraction shredder waste incineration</w:t>
      </w:r>
    </w:p>
    <w:p w14:paraId="053662C4" w14:textId="77777777" w:rsidR="007C11D5" w:rsidRPr="007C11D5" w:rsidRDefault="000015AF" w:rsidP="007C11D5">
      <w:pPr>
        <w:spacing w:line="300" w:lineRule="atLeast"/>
        <w:ind w:left="720"/>
        <w:jc w:val="both"/>
        <w:rPr>
          <w:szCs w:val="18"/>
        </w:rPr>
      </w:pPr>
      <w:r>
        <w:rPr>
          <w:szCs w:val="18"/>
        </w:rPr>
        <w:t>1</w:t>
      </w:r>
      <w:r w:rsidR="007C11D5" w:rsidRPr="007C11D5">
        <w:rPr>
          <w:szCs w:val="18"/>
        </w:rPr>
        <w:t>e</w:t>
      </w:r>
      <w:r w:rsidR="007C11D5" w:rsidRPr="007C11D5">
        <w:rPr>
          <w:szCs w:val="18"/>
        </w:rPr>
        <w:tab/>
        <w:t>Sewage sludge incineration</w:t>
      </w:r>
    </w:p>
    <w:p w14:paraId="1277B2D3" w14:textId="77777777" w:rsidR="007C11D5" w:rsidRPr="007C11D5" w:rsidRDefault="000015AF" w:rsidP="007C11D5">
      <w:pPr>
        <w:spacing w:line="300" w:lineRule="atLeast"/>
        <w:ind w:left="720"/>
        <w:jc w:val="both"/>
        <w:rPr>
          <w:szCs w:val="18"/>
        </w:rPr>
      </w:pPr>
      <w:r>
        <w:rPr>
          <w:szCs w:val="18"/>
        </w:rPr>
        <w:t>1</w:t>
      </w:r>
      <w:r w:rsidR="007C11D5" w:rsidRPr="007C11D5">
        <w:rPr>
          <w:szCs w:val="18"/>
        </w:rPr>
        <w:t>f</w:t>
      </w:r>
      <w:r w:rsidR="007C11D5" w:rsidRPr="007C11D5">
        <w:rPr>
          <w:szCs w:val="18"/>
        </w:rPr>
        <w:tab/>
        <w:t>Waste wood and waste biomass incineration</w:t>
      </w:r>
    </w:p>
    <w:p w14:paraId="15141648" w14:textId="77777777" w:rsidR="007C11D5" w:rsidRDefault="000015AF" w:rsidP="007C11D5">
      <w:pPr>
        <w:spacing w:line="300" w:lineRule="atLeast"/>
        <w:ind w:left="720"/>
        <w:jc w:val="both"/>
        <w:rPr>
          <w:szCs w:val="18"/>
        </w:rPr>
      </w:pPr>
      <w:r>
        <w:rPr>
          <w:szCs w:val="18"/>
        </w:rPr>
        <w:t>1</w:t>
      </w:r>
      <w:r w:rsidR="007C11D5" w:rsidRPr="007C11D5">
        <w:rPr>
          <w:szCs w:val="18"/>
        </w:rPr>
        <w:t>g</w:t>
      </w:r>
      <w:r w:rsidR="007C11D5" w:rsidRPr="007C11D5">
        <w:rPr>
          <w:szCs w:val="18"/>
        </w:rPr>
        <w:tab/>
        <w:t>Destruction of animal carcasses</w:t>
      </w:r>
    </w:p>
    <w:p w14:paraId="54D3D71F" w14:textId="3E1DFF42" w:rsidR="002C6271" w:rsidRDefault="44858C9F" w:rsidP="002C6271">
      <w:pPr>
        <w:spacing w:line="300" w:lineRule="atLeast"/>
        <w:jc w:val="both"/>
      </w:pPr>
      <w:r>
        <w:t xml:space="preserve">Waste incineration is well-recognised as a potential source of dioxins, with the dioxins being formed mainly </w:t>
      </w:r>
      <w:bookmarkStart w:id="89" w:name="_Int_RYxN93Dc"/>
      <w:proofErr w:type="gramStart"/>
      <w:r>
        <w:t>as a result of</w:t>
      </w:r>
      <w:bookmarkEnd w:id="89"/>
      <w:proofErr w:type="gramEnd"/>
      <w:r>
        <w:t xml:space="preserve"> incomplete combustion of the waste materials. The extent of dioxin formation is strongly influenced by the waste composition (</w:t>
      </w:r>
      <w:bookmarkStart w:id="90" w:name="_Int_T3JXoR8C"/>
      <w:r>
        <w:t>eg</w:t>
      </w:r>
      <w:r w:rsidR="00574DCB">
        <w:t xml:space="preserve">, </w:t>
      </w:r>
      <w:bookmarkEnd w:id="90"/>
      <w:r>
        <w:t>presence of chlorinated materials) and condition (</w:t>
      </w:r>
      <w:bookmarkStart w:id="91" w:name="_Int_kjgxgN3E"/>
      <w:r>
        <w:t>e</w:t>
      </w:r>
      <w:r w:rsidR="0D5261F0">
        <w:t>g</w:t>
      </w:r>
      <w:r w:rsidR="007C1048">
        <w:t>,</w:t>
      </w:r>
      <w:bookmarkEnd w:id="91"/>
      <w:r>
        <w:t xml:space="preserve"> </w:t>
      </w:r>
      <w:r w:rsidR="0D5261F0">
        <w:t xml:space="preserve">loose or compacted, </w:t>
      </w:r>
      <w:r>
        <w:t xml:space="preserve">wet or dry), the combustion conditions, the temperature and composition of the discharges, and the overall design and operation of the incinerator. </w:t>
      </w:r>
      <w:r w:rsidR="650F7A23">
        <w:t>The presence of metals</w:t>
      </w:r>
      <w:r w:rsidR="00574DCB">
        <w:t>,</w:t>
      </w:r>
      <w:r w:rsidR="650F7A23">
        <w:t xml:space="preserve"> such as copper in some of the wastes, can also have a catalytic effect on dioxin formation. </w:t>
      </w:r>
      <w:r>
        <w:t>In addition, the final emissions can be strongly influenced by the performance charact</w:t>
      </w:r>
      <w:r w:rsidR="0D5261F0">
        <w:t xml:space="preserve">eristics and efficiency of any </w:t>
      </w:r>
      <w:r>
        <w:t>pollution control equipment.</w:t>
      </w:r>
    </w:p>
    <w:p w14:paraId="3B473BA0" w14:textId="77777777" w:rsidR="00D850D5" w:rsidRDefault="00D850D5" w:rsidP="00261F78">
      <w:pPr>
        <w:pStyle w:val="Heading2"/>
      </w:pPr>
      <w:bookmarkStart w:id="92" w:name="_Toc112768064"/>
      <w:r>
        <w:t>Municipal solid waste incineration</w:t>
      </w:r>
      <w:bookmarkEnd w:id="92"/>
    </w:p>
    <w:p w14:paraId="36C74703" w14:textId="180BB2A7" w:rsidR="00D850D5" w:rsidRPr="002209BF" w:rsidRDefault="00D850D5" w:rsidP="00C555DA">
      <w:pPr>
        <w:spacing w:line="300" w:lineRule="atLeast"/>
        <w:jc w:val="both"/>
        <w:rPr>
          <w:szCs w:val="18"/>
        </w:rPr>
      </w:pPr>
      <w:r w:rsidRPr="002209BF">
        <w:rPr>
          <w:szCs w:val="18"/>
        </w:rPr>
        <w:t xml:space="preserve">There are no </w:t>
      </w:r>
      <w:r w:rsidR="001A063F" w:rsidRPr="002209BF">
        <w:rPr>
          <w:szCs w:val="18"/>
        </w:rPr>
        <w:t xml:space="preserve">large-scale facilities in New Zealand dedicated to the incineration of wastes, and most </w:t>
      </w:r>
      <w:r w:rsidRPr="002209BF">
        <w:rPr>
          <w:szCs w:val="18"/>
        </w:rPr>
        <w:t>municipal solid waste</w:t>
      </w:r>
      <w:r w:rsidR="001A063F" w:rsidRPr="002209BF">
        <w:rPr>
          <w:szCs w:val="18"/>
        </w:rPr>
        <w:t>s are disposed to landfill</w:t>
      </w:r>
      <w:sdt>
        <w:sdtPr>
          <w:rPr>
            <w:szCs w:val="18"/>
          </w:rPr>
          <w:id w:val="-1643119841"/>
          <w:citation/>
        </w:sdtPr>
        <w:sdtEndPr/>
        <w:sdtContent>
          <w:r w:rsidR="00EC71F1" w:rsidRPr="002209BF">
            <w:rPr>
              <w:szCs w:val="18"/>
            </w:rPr>
            <w:fldChar w:fldCharType="begin"/>
          </w:r>
          <w:r w:rsidR="00EC71F1" w:rsidRPr="002209BF">
            <w:rPr>
              <w:szCs w:val="18"/>
            </w:rPr>
            <w:instrText xml:space="preserve"> CITATION MfE05a \l 5129 </w:instrText>
          </w:r>
          <w:r w:rsidR="00EC71F1" w:rsidRPr="002209BF">
            <w:rPr>
              <w:szCs w:val="18"/>
            </w:rPr>
            <w:fldChar w:fldCharType="separate"/>
          </w:r>
          <w:r w:rsidR="00F1175E">
            <w:rPr>
              <w:noProof/>
              <w:szCs w:val="18"/>
            </w:rPr>
            <w:t xml:space="preserve"> </w:t>
          </w:r>
          <w:r w:rsidR="00F1175E" w:rsidRPr="00F1175E">
            <w:rPr>
              <w:noProof/>
              <w:szCs w:val="18"/>
            </w:rPr>
            <w:t>(Ministry for the Environment, 2005)</w:t>
          </w:r>
          <w:r w:rsidR="00EC71F1" w:rsidRPr="002209BF">
            <w:rPr>
              <w:szCs w:val="18"/>
            </w:rPr>
            <w:fldChar w:fldCharType="end"/>
          </w:r>
        </w:sdtContent>
      </w:sdt>
      <w:r w:rsidR="001A063F" w:rsidRPr="002209BF">
        <w:rPr>
          <w:szCs w:val="18"/>
        </w:rPr>
        <w:t>.</w:t>
      </w:r>
    </w:p>
    <w:p w14:paraId="15FC086C" w14:textId="77777777" w:rsidR="00C555DA" w:rsidRDefault="00C555DA" w:rsidP="00261F78">
      <w:pPr>
        <w:pStyle w:val="Heading2"/>
      </w:pPr>
      <w:bookmarkStart w:id="93" w:name="_Toc358573552"/>
      <w:bookmarkStart w:id="94" w:name="_Ref390681384"/>
      <w:bookmarkStart w:id="95" w:name="_Toc112768065"/>
      <w:r>
        <w:t>Hazardous waste incineration</w:t>
      </w:r>
      <w:bookmarkEnd w:id="93"/>
      <w:bookmarkEnd w:id="94"/>
      <w:bookmarkEnd w:id="95"/>
    </w:p>
    <w:p w14:paraId="00DBD1E8" w14:textId="0F8C373A" w:rsidR="00C555DA" w:rsidRPr="001C2BBD" w:rsidRDefault="00C555DA" w:rsidP="00C555DA">
      <w:pPr>
        <w:spacing w:line="300" w:lineRule="atLeast"/>
        <w:jc w:val="both"/>
        <w:rPr>
          <w:szCs w:val="18"/>
        </w:rPr>
      </w:pPr>
      <w:r w:rsidRPr="001C2BBD">
        <w:rPr>
          <w:szCs w:val="18"/>
        </w:rPr>
        <w:t>Th</w:t>
      </w:r>
      <w:r>
        <w:rPr>
          <w:szCs w:val="18"/>
        </w:rPr>
        <w:t>ere is</w:t>
      </w:r>
      <w:r w:rsidRPr="001C2BBD">
        <w:rPr>
          <w:szCs w:val="18"/>
        </w:rPr>
        <w:t xml:space="preserve"> </w:t>
      </w:r>
      <w:r>
        <w:rPr>
          <w:szCs w:val="18"/>
        </w:rPr>
        <w:t>one high-temperature hazardous</w:t>
      </w:r>
      <w:r w:rsidRPr="001C2BBD">
        <w:rPr>
          <w:szCs w:val="18"/>
        </w:rPr>
        <w:t xml:space="preserve"> waste incinerator</w:t>
      </w:r>
      <w:r>
        <w:rPr>
          <w:szCs w:val="18"/>
        </w:rPr>
        <w:t xml:space="preserve"> in New Zealand, which is operated by Dow AgroSciences Ltd at their agrichemical for</w:t>
      </w:r>
      <w:r w:rsidR="00355A2F">
        <w:rPr>
          <w:szCs w:val="18"/>
        </w:rPr>
        <w:t>mulation plant in New Plymouth.</w:t>
      </w:r>
      <w:r w:rsidR="00441632">
        <w:rPr>
          <w:szCs w:val="18"/>
        </w:rPr>
        <w:t xml:space="preserve"> In 2019 Dow AgroSciences became Corteva Agriscience after the merger between Dupont and Dow Chemicals in 2017.</w:t>
      </w:r>
    </w:p>
    <w:p w14:paraId="467E2B0A" w14:textId="630206AB" w:rsidR="001A17A9" w:rsidRDefault="18FAAB8C" w:rsidP="00C555DA">
      <w:pPr>
        <w:spacing w:line="300" w:lineRule="atLeast"/>
        <w:jc w:val="both"/>
      </w:pPr>
      <w:r>
        <w:t xml:space="preserve">The incinerator is used for the treatment and disposal of some of the wastes generated on-site that are potentially contaminated with agrichemicals. </w:t>
      </w:r>
      <w:r w:rsidR="5CCB6B91">
        <w:t>In the past</w:t>
      </w:r>
      <w:r w:rsidR="00D33622">
        <w:t>,</w:t>
      </w:r>
      <w:r w:rsidR="5CCB6B91">
        <w:t xml:space="preserve"> </w:t>
      </w:r>
      <w:r w:rsidR="71F6724A">
        <w:t xml:space="preserve">air </w:t>
      </w:r>
      <w:r w:rsidR="18062E26">
        <w:t>emissions from t</w:t>
      </w:r>
      <w:r w:rsidR="6571C2EC">
        <w:t xml:space="preserve">he incinerator </w:t>
      </w:r>
      <w:r w:rsidR="5CCB6B91">
        <w:t xml:space="preserve">have been </w:t>
      </w:r>
      <w:r w:rsidR="6571C2EC">
        <w:t xml:space="preserve">tested </w:t>
      </w:r>
      <w:r w:rsidR="18062E26">
        <w:t xml:space="preserve">twice a year </w:t>
      </w:r>
      <w:r w:rsidR="71F6724A">
        <w:t xml:space="preserve">for dioxins </w:t>
      </w:r>
      <w:r w:rsidR="18062E26">
        <w:t>by an external contractor</w:t>
      </w:r>
      <w:r w:rsidR="23E1CD4A">
        <w:t>.</w:t>
      </w:r>
      <w:r w:rsidR="74EDF10C">
        <w:t xml:space="preserve"> </w:t>
      </w:r>
      <w:r w:rsidR="5CCB6B91">
        <w:t xml:space="preserve">However, since 2016 the incinerator has been </w:t>
      </w:r>
      <w:bookmarkStart w:id="96" w:name="_Int_WDwV3GDH"/>
      <w:r w:rsidR="5CCB6B91">
        <w:t>largely unused</w:t>
      </w:r>
      <w:bookmarkEnd w:id="96"/>
      <w:r w:rsidR="5CCB6B91">
        <w:t xml:space="preserve"> and the requirement for emission testing </w:t>
      </w:r>
      <w:r w:rsidR="4750239C">
        <w:t>was</w:t>
      </w:r>
      <w:r w:rsidR="5CCB6B91">
        <w:t xml:space="preserve"> waived by Taranaki Regional Council </w:t>
      </w:r>
      <w:r w:rsidR="4750239C">
        <w:t xml:space="preserve">for the period 2017 – 2020 </w:t>
      </w:r>
      <w:r w:rsidR="5CCB6B91">
        <w:t>(Taranaki Regional Council</w:t>
      </w:r>
      <w:r w:rsidR="30AAE37D">
        <w:t xml:space="preserve"> </w:t>
      </w:r>
      <w:r w:rsidR="5CCB6B91">
        <w:t xml:space="preserve">2019a, Taranaki </w:t>
      </w:r>
      <w:r w:rsidR="4750239C">
        <w:t>R</w:t>
      </w:r>
      <w:r w:rsidR="5CCB6B91">
        <w:t xml:space="preserve">egional Council 2019b and Taranaki </w:t>
      </w:r>
      <w:r w:rsidR="30AAE37D">
        <w:t>R</w:t>
      </w:r>
      <w:r w:rsidR="5CCB6B91">
        <w:t>egional Council 2021)</w:t>
      </w:r>
      <w:r w:rsidR="4750239C">
        <w:t>.</w:t>
      </w:r>
    </w:p>
    <w:p w14:paraId="0C106D61" w14:textId="41364EE4" w:rsidR="00C555DA" w:rsidRDefault="4750239C" w:rsidP="00C555DA">
      <w:pPr>
        <w:spacing w:line="300" w:lineRule="atLeast"/>
        <w:jc w:val="both"/>
      </w:pPr>
      <w:r>
        <w:t>The incinerator was out of service for most of 2020 but did operate at the end of the year for 138 hours to process liquid wastes. (T Gellen, Corteva Agriscience, pers comm, 2022). In the absence of more recent dioxin emission testing results</w:t>
      </w:r>
      <w:r w:rsidR="2CFEADA9">
        <w:t xml:space="preserve">, those for 2016 will be used. These indicated </w:t>
      </w:r>
      <w:r w:rsidR="71F6724A">
        <w:t>a</w:t>
      </w:r>
      <w:r w:rsidR="6A7BA7A6">
        <w:t>n average dioxin emission rate o</w:t>
      </w:r>
      <w:r w:rsidR="71F6724A">
        <w:t xml:space="preserve">f </w:t>
      </w:r>
      <w:r w:rsidR="62D0A962">
        <w:t>39.7</w:t>
      </w:r>
      <w:r w:rsidR="71F6724A">
        <w:t xml:space="preserve"> ng </w:t>
      </w:r>
      <w:r w:rsidR="03DF4226">
        <w:t>TEQ</w:t>
      </w:r>
      <w:r w:rsidR="71F6724A">
        <w:t xml:space="preserve"> per hour</w:t>
      </w:r>
      <w:r w:rsidR="61F00EDD">
        <w:t xml:space="preserve"> (</w:t>
      </w:r>
      <w:r w:rsidR="62D0A962">
        <w:t>3.97</w:t>
      </w:r>
      <w:r w:rsidR="61F00EDD">
        <w:t xml:space="preserve"> x 10</w:t>
      </w:r>
      <w:r w:rsidR="61F00EDD" w:rsidRPr="0C34660A">
        <w:rPr>
          <w:vertAlign w:val="superscript"/>
        </w:rPr>
        <w:t>-</w:t>
      </w:r>
      <w:r w:rsidR="62D0A962" w:rsidRPr="0C34660A">
        <w:rPr>
          <w:vertAlign w:val="superscript"/>
        </w:rPr>
        <w:t>8</w:t>
      </w:r>
      <w:r w:rsidR="62D0A962">
        <w:t xml:space="preserve"> </w:t>
      </w:r>
      <w:r w:rsidR="61F00EDD">
        <w:t>g TEQ/hr)</w:t>
      </w:r>
      <w:r w:rsidR="23E1CD4A">
        <w:t xml:space="preserve"> </w:t>
      </w:r>
      <w:r w:rsidR="6571C2EC">
        <w:t>(</w:t>
      </w:r>
      <w:r w:rsidR="2CFEADA9">
        <w:t>Ministry for the Environment</w:t>
      </w:r>
      <w:r w:rsidR="1A76ECF3">
        <w:t>,</w:t>
      </w:r>
      <w:r w:rsidR="2CFEADA9">
        <w:t xml:space="preserve"> 2019</w:t>
      </w:r>
      <w:r w:rsidR="6571C2EC">
        <w:t xml:space="preserve">). </w:t>
      </w:r>
      <w:r w:rsidR="2CFEADA9">
        <w:t xml:space="preserve">Combining the emission rate with hours of operation gives an annual dioxin emission rate of </w:t>
      </w:r>
      <w:r w:rsidR="1896A1D2">
        <w:t>0.00000548 grams TEQ/year.</w:t>
      </w:r>
    </w:p>
    <w:p w14:paraId="6D40C946" w14:textId="3FDC84EF" w:rsidR="00A82F39" w:rsidRDefault="3A773471" w:rsidP="00C555DA">
      <w:pPr>
        <w:spacing w:line="300" w:lineRule="atLeast"/>
        <w:jc w:val="both"/>
      </w:pPr>
      <w:bookmarkStart w:id="97" w:name="_Int_1AASwoRq"/>
      <w:r>
        <w:t>A very small</w:t>
      </w:r>
      <w:bookmarkEnd w:id="97"/>
      <w:r>
        <w:t xml:space="preserve"> proportion</w:t>
      </w:r>
      <w:r w:rsidR="1B288158">
        <w:t xml:space="preserve"> of the total waste burned is left as an ash residue </w:t>
      </w:r>
      <w:r w:rsidR="56D95038">
        <w:t xml:space="preserve">which is </w:t>
      </w:r>
      <w:r w:rsidR="1B288158">
        <w:t xml:space="preserve">periodically </w:t>
      </w:r>
      <w:r w:rsidR="56D95038">
        <w:t xml:space="preserve">removed from the unit and stored in drums prior to disposal in an approved landfill. The </w:t>
      </w:r>
      <w:r w:rsidR="15F20B90">
        <w:t>quantity</w:t>
      </w:r>
      <w:r w:rsidR="56D95038">
        <w:t xml:space="preserve"> of ash generated </w:t>
      </w:r>
      <w:r w:rsidR="62D0A962">
        <w:t xml:space="preserve">in 2016 was </w:t>
      </w:r>
      <w:r w:rsidR="0B56983F">
        <w:t>0.696 tonnes</w:t>
      </w:r>
      <w:r w:rsidR="1896A1D2">
        <w:t xml:space="preserve"> for 8200 hours of operation</w:t>
      </w:r>
      <w:r w:rsidR="0B56983F">
        <w:t xml:space="preserve">. </w:t>
      </w:r>
      <w:r w:rsidR="1896A1D2">
        <w:t xml:space="preserve">Assuming a similar rate of ash production for the 138 hours of operation in </w:t>
      </w:r>
      <w:r w:rsidR="2E041FCA">
        <w:t>2020 gives a total of 0.012 tonnes.</w:t>
      </w:r>
      <w:r w:rsidR="1896A1D2">
        <w:t xml:space="preserve"> </w:t>
      </w:r>
      <w:r w:rsidR="2E041FCA">
        <w:t xml:space="preserve">Applying the previously used release estimate </w:t>
      </w:r>
      <w:r w:rsidR="520B9707">
        <w:t xml:space="preserve">of </w:t>
      </w:r>
      <w:r w:rsidR="56D95038">
        <w:t xml:space="preserve">25 µg </w:t>
      </w:r>
      <w:r w:rsidR="03DF4226">
        <w:t>TEQ</w:t>
      </w:r>
      <w:r w:rsidR="56D95038">
        <w:t xml:space="preserve"> per tonne</w:t>
      </w:r>
      <w:r w:rsidR="61F00EDD">
        <w:t xml:space="preserve"> (25 x 10</w:t>
      </w:r>
      <w:r w:rsidR="61F00EDD" w:rsidRPr="0C34660A">
        <w:rPr>
          <w:vertAlign w:val="superscript"/>
        </w:rPr>
        <w:t>-6</w:t>
      </w:r>
      <w:r w:rsidR="61F00EDD">
        <w:t xml:space="preserve"> g TEQ/tonne)</w:t>
      </w:r>
      <w:r w:rsidR="520B9707">
        <w:t xml:space="preserve"> g</w:t>
      </w:r>
      <w:r w:rsidR="56D95038">
        <w:t xml:space="preserve">ives an annual release in residues of </w:t>
      </w:r>
      <w:r w:rsidR="0B56983F">
        <w:t>0.0000</w:t>
      </w:r>
      <w:r w:rsidR="175E53B8">
        <w:t>003</w:t>
      </w:r>
      <w:r w:rsidR="56D95038">
        <w:t xml:space="preserve"> g </w:t>
      </w:r>
      <w:r w:rsidR="03DF4226">
        <w:t>TEQ</w:t>
      </w:r>
      <w:r w:rsidR="56D95038">
        <w:t xml:space="preserve"> per year.</w:t>
      </w:r>
    </w:p>
    <w:p w14:paraId="021E06E6" w14:textId="4B8BC4A4" w:rsidR="00CF6A21" w:rsidRDefault="008477D1" w:rsidP="004D05B7">
      <w:pPr>
        <w:spacing w:line="300" w:lineRule="atLeast"/>
        <w:jc w:val="both"/>
        <w:rPr>
          <w:szCs w:val="18"/>
        </w:rPr>
      </w:pPr>
      <w:r>
        <w:rPr>
          <w:szCs w:val="18"/>
        </w:rPr>
        <w:lastRenderedPageBreak/>
        <w:t xml:space="preserve">The </w:t>
      </w:r>
      <w:r w:rsidR="00E17848">
        <w:rPr>
          <w:szCs w:val="18"/>
        </w:rPr>
        <w:t xml:space="preserve">current </w:t>
      </w:r>
      <w:r>
        <w:rPr>
          <w:szCs w:val="18"/>
        </w:rPr>
        <w:t>release estimates for the hazardous waste incinerator are shown in</w:t>
      </w:r>
      <w:r w:rsidR="00213D7F">
        <w:rPr>
          <w:szCs w:val="18"/>
        </w:rPr>
        <w:t xml:space="preserve"> </w:t>
      </w:r>
      <w:r w:rsidR="00116283">
        <w:rPr>
          <w:szCs w:val="18"/>
        </w:rPr>
        <w:t xml:space="preserve">Table 3-1, </w:t>
      </w:r>
      <w:r w:rsidR="00E17848">
        <w:rPr>
          <w:szCs w:val="18"/>
        </w:rPr>
        <w:t xml:space="preserve">along with the </w:t>
      </w:r>
      <w:r w:rsidR="00717712">
        <w:rPr>
          <w:szCs w:val="18"/>
        </w:rPr>
        <w:t>estimates from the</w:t>
      </w:r>
      <w:r w:rsidR="00E17848">
        <w:rPr>
          <w:szCs w:val="18"/>
        </w:rPr>
        <w:t xml:space="preserve"> </w:t>
      </w:r>
      <w:r w:rsidR="00EF06C3">
        <w:rPr>
          <w:szCs w:val="18"/>
        </w:rPr>
        <w:t xml:space="preserve">2012 </w:t>
      </w:r>
      <w:r w:rsidR="00502890">
        <w:rPr>
          <w:szCs w:val="18"/>
        </w:rPr>
        <w:t xml:space="preserve">and 2016 </w:t>
      </w:r>
      <w:r w:rsidR="00717712">
        <w:rPr>
          <w:szCs w:val="18"/>
        </w:rPr>
        <w:t>Inventor</w:t>
      </w:r>
      <w:r w:rsidR="00502890">
        <w:rPr>
          <w:szCs w:val="18"/>
        </w:rPr>
        <w:t>ies</w:t>
      </w:r>
      <w:r w:rsidR="00E17848">
        <w:rPr>
          <w:szCs w:val="18"/>
        </w:rPr>
        <w:t xml:space="preserve">. There are no direct releases to </w:t>
      </w:r>
      <w:r w:rsidR="00D23222" w:rsidRPr="00D23222">
        <w:rPr>
          <w:szCs w:val="18"/>
        </w:rPr>
        <w:t>water, land</w:t>
      </w:r>
      <w:r w:rsidR="00057AE7">
        <w:rPr>
          <w:szCs w:val="18"/>
        </w:rPr>
        <w:t>,</w:t>
      </w:r>
      <w:r w:rsidR="00D23222" w:rsidRPr="00D23222">
        <w:rPr>
          <w:szCs w:val="18"/>
        </w:rPr>
        <w:t xml:space="preserve"> or in products</w:t>
      </w:r>
      <w:r w:rsidR="00E17848">
        <w:rPr>
          <w:szCs w:val="18"/>
        </w:rPr>
        <w:t>.</w:t>
      </w:r>
    </w:p>
    <w:p w14:paraId="03086913" w14:textId="38DF9815" w:rsidR="00CF6A21" w:rsidRDefault="00CF6A21">
      <w:pPr>
        <w:spacing w:after="0"/>
        <w:rPr>
          <w:szCs w:val="18"/>
        </w:rPr>
      </w:pPr>
    </w:p>
    <w:p w14:paraId="54FB4CAB" w14:textId="50080825" w:rsidR="00A82F39" w:rsidRPr="00A117FA" w:rsidRDefault="00A117FA" w:rsidP="00101AA8">
      <w:pPr>
        <w:pStyle w:val="Caption"/>
        <w:jc w:val="left"/>
        <w:rPr>
          <w:rFonts w:cs="Arial"/>
          <w:szCs w:val="18"/>
        </w:rPr>
      </w:pPr>
      <w:bookmarkStart w:id="98" w:name="_Ref359576262"/>
      <w:bookmarkStart w:id="99" w:name="_Ref359671744"/>
      <w:r w:rsidRPr="00A117FA">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3</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1</w:t>
      </w:r>
      <w:r w:rsidR="00C17BA5">
        <w:rPr>
          <w:rFonts w:cs="Arial"/>
        </w:rPr>
        <w:fldChar w:fldCharType="end"/>
      </w:r>
      <w:bookmarkEnd w:id="98"/>
      <w:bookmarkEnd w:id="99"/>
      <w:r w:rsidRPr="00A117FA">
        <w:rPr>
          <w:rFonts w:cs="Arial"/>
        </w:rPr>
        <w:t xml:space="preserve">: </w:t>
      </w:r>
      <w:r w:rsidR="007D3FAA">
        <w:rPr>
          <w:rFonts w:cs="Arial"/>
        </w:rPr>
        <w:t>Dioxin</w:t>
      </w:r>
      <w:r w:rsidRPr="00A117FA">
        <w:rPr>
          <w:rFonts w:cs="Arial"/>
        </w:rPr>
        <w:t xml:space="preserve"> releases from hazardous waste incineration</w:t>
      </w:r>
    </w:p>
    <w:tbl>
      <w:tblPr>
        <w:tblStyle w:val="TableGrid"/>
        <w:tblW w:w="8926" w:type="dxa"/>
        <w:tblLook w:val="04A0" w:firstRow="1" w:lastRow="0" w:firstColumn="1" w:lastColumn="0" w:noHBand="0" w:noVBand="1"/>
      </w:tblPr>
      <w:tblGrid>
        <w:gridCol w:w="669"/>
        <w:gridCol w:w="2845"/>
        <w:gridCol w:w="1507"/>
        <w:gridCol w:w="1388"/>
        <w:gridCol w:w="1302"/>
        <w:gridCol w:w="1215"/>
      </w:tblGrid>
      <w:tr w:rsidR="0000245D" w:rsidRPr="00956589" w14:paraId="757A5018" w14:textId="77777777" w:rsidTr="00A00647">
        <w:tc>
          <w:tcPr>
            <w:tcW w:w="669" w:type="dxa"/>
            <w:vMerge w:val="restart"/>
            <w:vAlign w:val="center"/>
          </w:tcPr>
          <w:p w14:paraId="47B90EEB"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Year</w:t>
            </w:r>
          </w:p>
        </w:tc>
        <w:tc>
          <w:tcPr>
            <w:tcW w:w="2845" w:type="dxa"/>
            <w:vMerge w:val="restart"/>
            <w:vAlign w:val="center"/>
          </w:tcPr>
          <w:p w14:paraId="217E3333"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Activity Rate</w:t>
            </w:r>
          </w:p>
        </w:tc>
        <w:tc>
          <w:tcPr>
            <w:tcW w:w="2895" w:type="dxa"/>
            <w:gridSpan w:val="2"/>
            <w:vAlign w:val="center"/>
          </w:tcPr>
          <w:p w14:paraId="017EFF9A"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Release factors</w:t>
            </w:r>
          </w:p>
        </w:tc>
        <w:tc>
          <w:tcPr>
            <w:tcW w:w="2517" w:type="dxa"/>
            <w:gridSpan w:val="2"/>
            <w:vAlign w:val="center"/>
          </w:tcPr>
          <w:p w14:paraId="002062C8" w14:textId="37463E50"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 xml:space="preserve">Annual releases (g </w:t>
            </w:r>
            <w:r>
              <w:rPr>
                <w:rFonts w:ascii="Arial" w:hAnsi="Arial" w:cs="Arial"/>
                <w:b/>
                <w:sz w:val="16"/>
                <w:szCs w:val="18"/>
              </w:rPr>
              <w:t>TEQ</w:t>
            </w:r>
            <w:r w:rsidRPr="00956589">
              <w:rPr>
                <w:rFonts w:ascii="Arial" w:hAnsi="Arial" w:cs="Arial"/>
                <w:b/>
                <w:sz w:val="16"/>
                <w:szCs w:val="18"/>
              </w:rPr>
              <w:t>/yr)</w:t>
            </w:r>
          </w:p>
        </w:tc>
      </w:tr>
      <w:tr w:rsidR="00EF06C3" w:rsidRPr="00956589" w14:paraId="163BDC21" w14:textId="77777777" w:rsidTr="00A00647">
        <w:tc>
          <w:tcPr>
            <w:tcW w:w="669" w:type="dxa"/>
            <w:vMerge/>
          </w:tcPr>
          <w:p w14:paraId="705FB252" w14:textId="77777777" w:rsidR="0000245D" w:rsidRPr="00956589" w:rsidRDefault="0000245D" w:rsidP="004D05B7">
            <w:pPr>
              <w:spacing w:before="120"/>
              <w:jc w:val="both"/>
              <w:rPr>
                <w:rFonts w:ascii="Arial" w:hAnsi="Arial" w:cs="Arial"/>
                <w:sz w:val="16"/>
                <w:szCs w:val="18"/>
              </w:rPr>
            </w:pPr>
          </w:p>
        </w:tc>
        <w:tc>
          <w:tcPr>
            <w:tcW w:w="2845" w:type="dxa"/>
            <w:vMerge/>
            <w:vAlign w:val="center"/>
          </w:tcPr>
          <w:p w14:paraId="613B863F" w14:textId="5AC79EB2" w:rsidR="0000245D" w:rsidRPr="00BE2B32" w:rsidRDefault="0000245D" w:rsidP="004D05B7">
            <w:pPr>
              <w:spacing w:before="120"/>
              <w:jc w:val="center"/>
              <w:rPr>
                <w:rFonts w:ascii="Arial" w:hAnsi="Arial" w:cs="Arial"/>
                <w:b/>
                <w:sz w:val="16"/>
                <w:szCs w:val="18"/>
              </w:rPr>
            </w:pPr>
          </w:p>
        </w:tc>
        <w:tc>
          <w:tcPr>
            <w:tcW w:w="1507" w:type="dxa"/>
            <w:vAlign w:val="center"/>
          </w:tcPr>
          <w:p w14:paraId="439A09E2"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Air</w:t>
            </w:r>
          </w:p>
        </w:tc>
        <w:tc>
          <w:tcPr>
            <w:tcW w:w="1388" w:type="dxa"/>
            <w:vAlign w:val="center"/>
          </w:tcPr>
          <w:p w14:paraId="077A0BA1"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Residues</w:t>
            </w:r>
          </w:p>
        </w:tc>
        <w:tc>
          <w:tcPr>
            <w:tcW w:w="1302" w:type="dxa"/>
            <w:vAlign w:val="center"/>
          </w:tcPr>
          <w:p w14:paraId="701CE1DF"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 xml:space="preserve">Air </w:t>
            </w:r>
          </w:p>
        </w:tc>
        <w:tc>
          <w:tcPr>
            <w:tcW w:w="1215" w:type="dxa"/>
            <w:vAlign w:val="center"/>
          </w:tcPr>
          <w:p w14:paraId="1F1225AB" w14:textId="77777777" w:rsidR="0000245D" w:rsidRPr="00956589" w:rsidRDefault="0000245D" w:rsidP="004D05B7">
            <w:pPr>
              <w:spacing w:before="120"/>
              <w:jc w:val="center"/>
              <w:rPr>
                <w:rFonts w:ascii="Arial" w:hAnsi="Arial" w:cs="Arial"/>
                <w:b/>
                <w:sz w:val="16"/>
                <w:szCs w:val="18"/>
              </w:rPr>
            </w:pPr>
            <w:r w:rsidRPr="00956589">
              <w:rPr>
                <w:rFonts w:ascii="Arial" w:hAnsi="Arial" w:cs="Arial"/>
                <w:b/>
                <w:sz w:val="16"/>
                <w:szCs w:val="18"/>
              </w:rPr>
              <w:t>Residues</w:t>
            </w:r>
          </w:p>
        </w:tc>
      </w:tr>
      <w:tr w:rsidR="00752880" w:rsidRPr="00956589" w14:paraId="19A55D51" w14:textId="77777777" w:rsidTr="00A00647">
        <w:tc>
          <w:tcPr>
            <w:tcW w:w="669" w:type="dxa"/>
            <w:vMerge w:val="restart"/>
            <w:vAlign w:val="center"/>
          </w:tcPr>
          <w:p w14:paraId="11788AA6" w14:textId="720570AA" w:rsidR="00752880" w:rsidRPr="00956589" w:rsidRDefault="00752880" w:rsidP="004D05B7">
            <w:pPr>
              <w:spacing w:before="120"/>
              <w:rPr>
                <w:rFonts w:ascii="Arial" w:hAnsi="Arial" w:cs="Arial"/>
                <w:b/>
                <w:sz w:val="16"/>
                <w:szCs w:val="18"/>
              </w:rPr>
            </w:pPr>
            <w:r>
              <w:rPr>
                <w:rFonts w:ascii="Arial" w:hAnsi="Arial" w:cs="Arial"/>
                <w:b/>
                <w:sz w:val="16"/>
                <w:szCs w:val="18"/>
              </w:rPr>
              <w:t>2012</w:t>
            </w:r>
          </w:p>
        </w:tc>
        <w:tc>
          <w:tcPr>
            <w:tcW w:w="2845" w:type="dxa"/>
            <w:vAlign w:val="center"/>
          </w:tcPr>
          <w:p w14:paraId="38A4FA42" w14:textId="3715FB60" w:rsidR="00752880" w:rsidRPr="00956589" w:rsidRDefault="00752880" w:rsidP="004D05B7">
            <w:pPr>
              <w:spacing w:before="120"/>
              <w:jc w:val="center"/>
              <w:rPr>
                <w:rFonts w:ascii="Arial" w:hAnsi="Arial" w:cs="Arial"/>
                <w:sz w:val="16"/>
                <w:szCs w:val="18"/>
              </w:rPr>
            </w:pPr>
            <w:r>
              <w:rPr>
                <w:rFonts w:ascii="Arial" w:hAnsi="Arial" w:cs="Arial"/>
                <w:sz w:val="16"/>
                <w:szCs w:val="18"/>
              </w:rPr>
              <w:t>8000</w:t>
            </w:r>
            <w:r w:rsidRPr="00956589">
              <w:rPr>
                <w:rFonts w:ascii="Arial" w:hAnsi="Arial" w:cs="Arial"/>
                <w:sz w:val="16"/>
                <w:szCs w:val="18"/>
              </w:rPr>
              <w:t xml:space="preserve"> hrs</w:t>
            </w:r>
            <w:r>
              <w:rPr>
                <w:rFonts w:ascii="Arial" w:hAnsi="Arial" w:cs="Arial"/>
                <w:sz w:val="16"/>
                <w:szCs w:val="18"/>
              </w:rPr>
              <w:t>/year</w:t>
            </w:r>
            <w:r w:rsidRPr="00956589">
              <w:rPr>
                <w:rFonts w:ascii="Arial" w:hAnsi="Arial" w:cs="Arial"/>
                <w:sz w:val="16"/>
                <w:szCs w:val="18"/>
              </w:rPr>
              <w:t xml:space="preserve"> </w:t>
            </w:r>
            <w:r>
              <w:rPr>
                <w:rFonts w:ascii="Arial" w:hAnsi="Arial" w:cs="Arial"/>
                <w:sz w:val="16"/>
                <w:szCs w:val="18"/>
              </w:rPr>
              <w:t>operation</w:t>
            </w:r>
          </w:p>
        </w:tc>
        <w:tc>
          <w:tcPr>
            <w:tcW w:w="1507" w:type="dxa"/>
            <w:vAlign w:val="center"/>
          </w:tcPr>
          <w:p w14:paraId="2C218879" w14:textId="61595815" w:rsidR="00752880" w:rsidRPr="00956589" w:rsidRDefault="00752880" w:rsidP="004D05B7">
            <w:pPr>
              <w:spacing w:before="120"/>
              <w:jc w:val="center"/>
              <w:rPr>
                <w:rFonts w:ascii="Arial" w:hAnsi="Arial" w:cs="Arial"/>
                <w:sz w:val="16"/>
                <w:szCs w:val="18"/>
              </w:rPr>
            </w:pPr>
            <w:r w:rsidRPr="00956589">
              <w:rPr>
                <w:rFonts w:ascii="Arial" w:hAnsi="Arial" w:cs="Arial"/>
                <w:sz w:val="16"/>
                <w:szCs w:val="18"/>
              </w:rPr>
              <w:t>5.96 ng</w:t>
            </w:r>
            <w:r>
              <w:rPr>
                <w:rFonts w:ascii="Arial" w:hAnsi="Arial" w:cs="Arial"/>
                <w:sz w:val="16"/>
                <w:szCs w:val="18"/>
              </w:rPr>
              <w:t xml:space="preserve"> TEQ</w:t>
            </w:r>
            <w:r w:rsidRPr="00956589">
              <w:rPr>
                <w:rFonts w:ascii="Arial" w:hAnsi="Arial" w:cs="Arial"/>
                <w:sz w:val="16"/>
                <w:szCs w:val="18"/>
              </w:rPr>
              <w:t xml:space="preserve">/hr </w:t>
            </w:r>
          </w:p>
        </w:tc>
        <w:tc>
          <w:tcPr>
            <w:tcW w:w="1388" w:type="dxa"/>
            <w:vAlign w:val="center"/>
          </w:tcPr>
          <w:p w14:paraId="1D7D6346" w14:textId="3B94FF09"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c>
          <w:tcPr>
            <w:tcW w:w="1302" w:type="dxa"/>
            <w:vAlign w:val="center"/>
          </w:tcPr>
          <w:p w14:paraId="6E563BAF" w14:textId="5E08DB34" w:rsidR="00752880" w:rsidRPr="00956589" w:rsidRDefault="00752880" w:rsidP="004D05B7">
            <w:pPr>
              <w:spacing w:before="120"/>
              <w:jc w:val="center"/>
              <w:rPr>
                <w:rFonts w:ascii="Arial" w:hAnsi="Arial" w:cs="Arial"/>
                <w:sz w:val="16"/>
                <w:szCs w:val="18"/>
              </w:rPr>
            </w:pPr>
            <w:r w:rsidRPr="00956589">
              <w:rPr>
                <w:rFonts w:ascii="Arial" w:hAnsi="Arial" w:cs="Arial"/>
                <w:sz w:val="16"/>
                <w:szCs w:val="18"/>
              </w:rPr>
              <w:t>0.0000</w:t>
            </w:r>
            <w:r>
              <w:rPr>
                <w:rFonts w:ascii="Arial" w:hAnsi="Arial" w:cs="Arial"/>
                <w:sz w:val="16"/>
                <w:szCs w:val="18"/>
              </w:rPr>
              <w:t>48</w:t>
            </w:r>
          </w:p>
        </w:tc>
        <w:tc>
          <w:tcPr>
            <w:tcW w:w="1215" w:type="dxa"/>
            <w:vAlign w:val="center"/>
          </w:tcPr>
          <w:p w14:paraId="7D3C9ECF" w14:textId="14CE390D"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r>
      <w:tr w:rsidR="00752880" w:rsidRPr="00956589" w14:paraId="51531230" w14:textId="77777777" w:rsidTr="00A00647">
        <w:tc>
          <w:tcPr>
            <w:tcW w:w="669" w:type="dxa"/>
            <w:vMerge/>
            <w:vAlign w:val="center"/>
          </w:tcPr>
          <w:p w14:paraId="52698EB2" w14:textId="77777777" w:rsidR="00752880" w:rsidRPr="00956589" w:rsidRDefault="00752880" w:rsidP="004D05B7">
            <w:pPr>
              <w:spacing w:before="120"/>
              <w:rPr>
                <w:rFonts w:ascii="Arial" w:hAnsi="Arial" w:cs="Arial"/>
                <w:b/>
                <w:sz w:val="16"/>
                <w:szCs w:val="18"/>
              </w:rPr>
            </w:pPr>
          </w:p>
        </w:tc>
        <w:tc>
          <w:tcPr>
            <w:tcW w:w="2845" w:type="dxa"/>
            <w:vAlign w:val="center"/>
          </w:tcPr>
          <w:p w14:paraId="6EAB4947" w14:textId="466F756C" w:rsidR="00752880" w:rsidRPr="00956589" w:rsidRDefault="00752880" w:rsidP="004D05B7">
            <w:pPr>
              <w:spacing w:before="120"/>
              <w:jc w:val="center"/>
              <w:rPr>
                <w:rFonts w:ascii="Arial" w:hAnsi="Arial" w:cs="Arial"/>
                <w:sz w:val="16"/>
                <w:szCs w:val="18"/>
              </w:rPr>
            </w:pPr>
            <w:r>
              <w:rPr>
                <w:rFonts w:ascii="Arial" w:hAnsi="Arial" w:cs="Arial"/>
                <w:sz w:val="16"/>
                <w:szCs w:val="18"/>
              </w:rPr>
              <w:t>2.</w:t>
            </w:r>
            <w:r w:rsidRPr="00956589">
              <w:rPr>
                <w:rFonts w:ascii="Arial" w:hAnsi="Arial" w:cs="Arial"/>
                <w:sz w:val="16"/>
                <w:szCs w:val="18"/>
              </w:rPr>
              <w:t xml:space="preserve"> </w:t>
            </w:r>
            <w:r>
              <w:rPr>
                <w:rFonts w:ascii="Arial" w:hAnsi="Arial" w:cs="Arial"/>
                <w:sz w:val="16"/>
                <w:szCs w:val="18"/>
              </w:rPr>
              <w:t>1</w:t>
            </w:r>
            <w:r w:rsidRPr="00956589">
              <w:rPr>
                <w:rFonts w:ascii="Arial" w:hAnsi="Arial" w:cs="Arial"/>
                <w:sz w:val="16"/>
                <w:szCs w:val="18"/>
              </w:rPr>
              <w:t xml:space="preserve"> tonne</w:t>
            </w:r>
            <w:r>
              <w:rPr>
                <w:rFonts w:ascii="Arial" w:hAnsi="Arial" w:cs="Arial"/>
                <w:sz w:val="16"/>
                <w:szCs w:val="18"/>
              </w:rPr>
              <w:t>s ash/year</w:t>
            </w:r>
          </w:p>
        </w:tc>
        <w:tc>
          <w:tcPr>
            <w:tcW w:w="1507" w:type="dxa"/>
            <w:vAlign w:val="center"/>
          </w:tcPr>
          <w:p w14:paraId="3C271E48" w14:textId="3CF897F0"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c>
          <w:tcPr>
            <w:tcW w:w="1388" w:type="dxa"/>
            <w:vAlign w:val="center"/>
          </w:tcPr>
          <w:p w14:paraId="43C182CD" w14:textId="27E994A7" w:rsidR="00752880" w:rsidRPr="00956589" w:rsidRDefault="00752880" w:rsidP="004D05B7">
            <w:pPr>
              <w:spacing w:before="120"/>
              <w:jc w:val="center"/>
              <w:rPr>
                <w:rFonts w:ascii="Arial" w:hAnsi="Arial" w:cs="Arial"/>
                <w:sz w:val="16"/>
                <w:szCs w:val="18"/>
              </w:rPr>
            </w:pPr>
            <w:r w:rsidRPr="00956589">
              <w:rPr>
                <w:rFonts w:ascii="Arial" w:hAnsi="Arial" w:cs="Arial"/>
                <w:sz w:val="16"/>
                <w:szCs w:val="18"/>
              </w:rPr>
              <w:t xml:space="preserve">25 µg </w:t>
            </w:r>
            <w:r>
              <w:rPr>
                <w:rFonts w:ascii="Arial" w:hAnsi="Arial" w:cs="Arial"/>
                <w:sz w:val="16"/>
                <w:szCs w:val="18"/>
              </w:rPr>
              <w:t>TEQ</w:t>
            </w:r>
            <w:r w:rsidRPr="00956589">
              <w:rPr>
                <w:rFonts w:ascii="Arial" w:hAnsi="Arial" w:cs="Arial"/>
                <w:sz w:val="16"/>
                <w:szCs w:val="18"/>
              </w:rPr>
              <w:t>/t</w:t>
            </w:r>
          </w:p>
        </w:tc>
        <w:tc>
          <w:tcPr>
            <w:tcW w:w="1302" w:type="dxa"/>
            <w:vAlign w:val="center"/>
          </w:tcPr>
          <w:p w14:paraId="71C3D9B9" w14:textId="46F88290"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c>
          <w:tcPr>
            <w:tcW w:w="1215" w:type="dxa"/>
            <w:vAlign w:val="center"/>
          </w:tcPr>
          <w:p w14:paraId="01847397" w14:textId="46B5BB7C" w:rsidR="00752880" w:rsidRPr="00956589" w:rsidRDefault="00752880" w:rsidP="004D05B7">
            <w:pPr>
              <w:spacing w:before="120"/>
              <w:jc w:val="center"/>
              <w:rPr>
                <w:rFonts w:ascii="Arial" w:hAnsi="Arial" w:cs="Arial"/>
                <w:sz w:val="16"/>
                <w:szCs w:val="18"/>
              </w:rPr>
            </w:pPr>
            <w:r w:rsidRPr="00956589">
              <w:rPr>
                <w:rFonts w:ascii="Arial" w:hAnsi="Arial" w:cs="Arial"/>
                <w:sz w:val="16"/>
                <w:szCs w:val="18"/>
              </w:rPr>
              <w:t>0.0000</w:t>
            </w:r>
            <w:r>
              <w:rPr>
                <w:rFonts w:ascii="Arial" w:hAnsi="Arial" w:cs="Arial"/>
                <w:sz w:val="16"/>
                <w:szCs w:val="18"/>
              </w:rPr>
              <w:t>53</w:t>
            </w:r>
          </w:p>
        </w:tc>
      </w:tr>
      <w:tr w:rsidR="00752880" w:rsidRPr="00956589" w14:paraId="6FC30917" w14:textId="77777777" w:rsidTr="00A00647">
        <w:tc>
          <w:tcPr>
            <w:tcW w:w="669" w:type="dxa"/>
            <w:vMerge w:val="restart"/>
            <w:vAlign w:val="center"/>
          </w:tcPr>
          <w:p w14:paraId="77F9B87A" w14:textId="1ADB2AD9" w:rsidR="00752880" w:rsidRPr="00956589" w:rsidRDefault="00752880" w:rsidP="004D05B7">
            <w:pPr>
              <w:spacing w:before="120"/>
              <w:rPr>
                <w:rFonts w:ascii="Arial" w:hAnsi="Arial" w:cs="Arial"/>
                <w:b/>
                <w:sz w:val="16"/>
                <w:szCs w:val="18"/>
              </w:rPr>
            </w:pPr>
            <w:r>
              <w:rPr>
                <w:rFonts w:ascii="Arial" w:hAnsi="Arial" w:cs="Arial"/>
                <w:b/>
                <w:sz w:val="16"/>
                <w:szCs w:val="18"/>
              </w:rPr>
              <w:t>2016</w:t>
            </w:r>
          </w:p>
        </w:tc>
        <w:tc>
          <w:tcPr>
            <w:tcW w:w="2845" w:type="dxa"/>
            <w:vAlign w:val="center"/>
          </w:tcPr>
          <w:p w14:paraId="6E715088" w14:textId="13A16599" w:rsidR="00752880" w:rsidRPr="00956589" w:rsidRDefault="00752880" w:rsidP="005656D2">
            <w:pPr>
              <w:spacing w:before="120"/>
              <w:jc w:val="center"/>
              <w:rPr>
                <w:rFonts w:ascii="Arial" w:hAnsi="Arial" w:cs="Arial"/>
                <w:sz w:val="16"/>
                <w:szCs w:val="18"/>
              </w:rPr>
            </w:pPr>
            <w:r>
              <w:rPr>
                <w:rFonts w:ascii="Arial" w:hAnsi="Arial" w:cs="Arial"/>
                <w:sz w:val="16"/>
                <w:szCs w:val="18"/>
              </w:rPr>
              <w:t>8200 hrs/year operation</w:t>
            </w:r>
          </w:p>
        </w:tc>
        <w:tc>
          <w:tcPr>
            <w:tcW w:w="1507" w:type="dxa"/>
            <w:vAlign w:val="center"/>
          </w:tcPr>
          <w:p w14:paraId="0C2B555D" w14:textId="31C359A0" w:rsidR="00752880" w:rsidRPr="00956589" w:rsidRDefault="00752880" w:rsidP="00033AF7">
            <w:pPr>
              <w:spacing w:before="120"/>
              <w:jc w:val="center"/>
              <w:rPr>
                <w:rFonts w:ascii="Arial" w:hAnsi="Arial" w:cs="Arial"/>
                <w:sz w:val="16"/>
                <w:szCs w:val="18"/>
              </w:rPr>
            </w:pPr>
            <w:r>
              <w:rPr>
                <w:rFonts w:ascii="Arial" w:hAnsi="Arial" w:cs="Arial"/>
                <w:sz w:val="16"/>
                <w:szCs w:val="18"/>
              </w:rPr>
              <w:t>39.7 ng TEQ/hr</w:t>
            </w:r>
          </w:p>
        </w:tc>
        <w:tc>
          <w:tcPr>
            <w:tcW w:w="1388" w:type="dxa"/>
            <w:vAlign w:val="center"/>
          </w:tcPr>
          <w:p w14:paraId="7576903F" w14:textId="2E522E10"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c>
          <w:tcPr>
            <w:tcW w:w="1302" w:type="dxa"/>
            <w:vAlign w:val="center"/>
          </w:tcPr>
          <w:p w14:paraId="6088BB51" w14:textId="21BDD49C" w:rsidR="00752880" w:rsidRPr="00956589" w:rsidRDefault="00752880" w:rsidP="0046327A">
            <w:pPr>
              <w:spacing w:before="120"/>
              <w:jc w:val="center"/>
              <w:rPr>
                <w:rFonts w:ascii="Arial" w:hAnsi="Arial" w:cs="Arial"/>
                <w:sz w:val="16"/>
                <w:szCs w:val="18"/>
              </w:rPr>
            </w:pPr>
            <w:r>
              <w:rPr>
                <w:rFonts w:ascii="Arial" w:hAnsi="Arial" w:cs="Arial"/>
                <w:sz w:val="16"/>
                <w:szCs w:val="18"/>
              </w:rPr>
              <w:t>0.00033</w:t>
            </w:r>
          </w:p>
        </w:tc>
        <w:tc>
          <w:tcPr>
            <w:tcW w:w="1215" w:type="dxa"/>
            <w:vAlign w:val="center"/>
          </w:tcPr>
          <w:p w14:paraId="78870B22" w14:textId="0A923260" w:rsidR="00752880" w:rsidRPr="00956589" w:rsidRDefault="00752880" w:rsidP="004D05B7">
            <w:pPr>
              <w:spacing w:before="120"/>
              <w:jc w:val="center"/>
              <w:rPr>
                <w:rFonts w:ascii="Arial" w:hAnsi="Arial" w:cs="Arial"/>
                <w:sz w:val="16"/>
                <w:szCs w:val="18"/>
              </w:rPr>
            </w:pPr>
            <w:r>
              <w:rPr>
                <w:rFonts w:ascii="Arial" w:hAnsi="Arial" w:cs="Arial"/>
                <w:sz w:val="16"/>
                <w:szCs w:val="18"/>
              </w:rPr>
              <w:t>-</w:t>
            </w:r>
          </w:p>
        </w:tc>
      </w:tr>
      <w:tr w:rsidR="00752880" w:rsidRPr="00956589" w14:paraId="2A3AECB9" w14:textId="77777777" w:rsidTr="00A00647">
        <w:tc>
          <w:tcPr>
            <w:tcW w:w="669" w:type="dxa"/>
            <w:vMerge/>
            <w:vAlign w:val="center"/>
          </w:tcPr>
          <w:p w14:paraId="710D012D" w14:textId="77777777" w:rsidR="00752880" w:rsidRPr="00956589" w:rsidRDefault="00752880" w:rsidP="004D05B7">
            <w:pPr>
              <w:spacing w:before="120"/>
              <w:rPr>
                <w:rFonts w:ascii="Arial" w:hAnsi="Arial" w:cs="Arial"/>
                <w:b/>
                <w:sz w:val="16"/>
                <w:szCs w:val="18"/>
              </w:rPr>
            </w:pPr>
          </w:p>
        </w:tc>
        <w:tc>
          <w:tcPr>
            <w:tcW w:w="2845" w:type="dxa"/>
            <w:vAlign w:val="center"/>
          </w:tcPr>
          <w:p w14:paraId="79301C17" w14:textId="25A34E37" w:rsidR="00752880" w:rsidRDefault="00752880" w:rsidP="005656D2">
            <w:pPr>
              <w:spacing w:before="120"/>
              <w:jc w:val="center"/>
              <w:rPr>
                <w:rFonts w:ascii="Arial" w:hAnsi="Arial" w:cs="Arial"/>
                <w:sz w:val="16"/>
                <w:szCs w:val="18"/>
              </w:rPr>
            </w:pPr>
            <w:r>
              <w:rPr>
                <w:rFonts w:ascii="Arial" w:hAnsi="Arial" w:cs="Arial"/>
                <w:sz w:val="16"/>
                <w:szCs w:val="18"/>
              </w:rPr>
              <w:t>0.676</w:t>
            </w:r>
            <w:r w:rsidRPr="00956589">
              <w:rPr>
                <w:rFonts w:ascii="Arial" w:hAnsi="Arial" w:cs="Arial"/>
                <w:sz w:val="16"/>
                <w:szCs w:val="18"/>
              </w:rPr>
              <w:t xml:space="preserve"> tonne</w:t>
            </w:r>
            <w:r>
              <w:rPr>
                <w:rFonts w:ascii="Arial" w:hAnsi="Arial" w:cs="Arial"/>
                <w:sz w:val="16"/>
                <w:szCs w:val="18"/>
              </w:rPr>
              <w:t>s of ash/year</w:t>
            </w:r>
          </w:p>
        </w:tc>
        <w:tc>
          <w:tcPr>
            <w:tcW w:w="1507" w:type="dxa"/>
            <w:vAlign w:val="center"/>
          </w:tcPr>
          <w:p w14:paraId="45B2998A" w14:textId="04FC5672" w:rsidR="00752880" w:rsidRPr="00956589" w:rsidRDefault="00752880" w:rsidP="00033AF7">
            <w:pPr>
              <w:spacing w:before="120"/>
              <w:jc w:val="center"/>
              <w:rPr>
                <w:rFonts w:ascii="Arial" w:hAnsi="Arial" w:cs="Arial"/>
                <w:sz w:val="16"/>
                <w:szCs w:val="18"/>
              </w:rPr>
            </w:pPr>
            <w:r>
              <w:rPr>
                <w:rFonts w:ascii="Arial" w:hAnsi="Arial" w:cs="Arial"/>
                <w:sz w:val="16"/>
                <w:szCs w:val="18"/>
              </w:rPr>
              <w:t>-</w:t>
            </w:r>
          </w:p>
        </w:tc>
        <w:tc>
          <w:tcPr>
            <w:tcW w:w="1388" w:type="dxa"/>
            <w:vAlign w:val="center"/>
          </w:tcPr>
          <w:p w14:paraId="6FB90E49" w14:textId="5F8D0B4F" w:rsidR="00752880" w:rsidRPr="00956589" w:rsidRDefault="00752880" w:rsidP="004D05B7">
            <w:pPr>
              <w:spacing w:before="120"/>
              <w:jc w:val="center"/>
              <w:rPr>
                <w:rFonts w:ascii="Arial" w:hAnsi="Arial" w:cs="Arial"/>
                <w:sz w:val="16"/>
                <w:szCs w:val="18"/>
              </w:rPr>
            </w:pPr>
            <w:r w:rsidRPr="00956589">
              <w:rPr>
                <w:rFonts w:ascii="Arial" w:hAnsi="Arial" w:cs="Arial"/>
                <w:sz w:val="16"/>
                <w:szCs w:val="18"/>
              </w:rPr>
              <w:t xml:space="preserve">25 µg </w:t>
            </w:r>
            <w:r>
              <w:rPr>
                <w:rFonts w:ascii="Arial" w:hAnsi="Arial" w:cs="Arial"/>
                <w:sz w:val="16"/>
                <w:szCs w:val="18"/>
              </w:rPr>
              <w:t>TEQ</w:t>
            </w:r>
            <w:r w:rsidRPr="00956589">
              <w:rPr>
                <w:rFonts w:ascii="Arial" w:hAnsi="Arial" w:cs="Arial"/>
                <w:sz w:val="16"/>
                <w:szCs w:val="18"/>
              </w:rPr>
              <w:t>/t</w:t>
            </w:r>
          </w:p>
        </w:tc>
        <w:tc>
          <w:tcPr>
            <w:tcW w:w="1302" w:type="dxa"/>
            <w:vAlign w:val="center"/>
          </w:tcPr>
          <w:p w14:paraId="2965E77A" w14:textId="40F7C2DF" w:rsidR="00752880" w:rsidRPr="00956589" w:rsidRDefault="00752880" w:rsidP="0046327A">
            <w:pPr>
              <w:spacing w:before="120"/>
              <w:jc w:val="center"/>
              <w:rPr>
                <w:rFonts w:ascii="Arial" w:hAnsi="Arial" w:cs="Arial"/>
                <w:sz w:val="16"/>
                <w:szCs w:val="18"/>
              </w:rPr>
            </w:pPr>
            <w:r>
              <w:rPr>
                <w:rFonts w:ascii="Arial" w:hAnsi="Arial" w:cs="Arial"/>
                <w:sz w:val="16"/>
                <w:szCs w:val="18"/>
              </w:rPr>
              <w:t>-</w:t>
            </w:r>
          </w:p>
        </w:tc>
        <w:tc>
          <w:tcPr>
            <w:tcW w:w="1215" w:type="dxa"/>
            <w:vAlign w:val="center"/>
          </w:tcPr>
          <w:p w14:paraId="456E0ECF" w14:textId="7BFBB16F" w:rsidR="00752880" w:rsidRPr="00956589" w:rsidRDefault="00752880" w:rsidP="004D05B7">
            <w:pPr>
              <w:spacing w:before="120"/>
              <w:jc w:val="center"/>
              <w:rPr>
                <w:rFonts w:ascii="Arial" w:hAnsi="Arial" w:cs="Arial"/>
                <w:sz w:val="16"/>
                <w:szCs w:val="18"/>
              </w:rPr>
            </w:pPr>
            <w:r>
              <w:rPr>
                <w:rFonts w:ascii="Arial" w:hAnsi="Arial" w:cs="Arial"/>
                <w:sz w:val="16"/>
                <w:szCs w:val="18"/>
              </w:rPr>
              <w:t>0.000017</w:t>
            </w:r>
          </w:p>
        </w:tc>
      </w:tr>
      <w:tr w:rsidR="00AD0490" w:rsidRPr="00956589" w14:paraId="126BAADF" w14:textId="77777777" w:rsidTr="00A00647">
        <w:tc>
          <w:tcPr>
            <w:tcW w:w="669" w:type="dxa"/>
            <w:vMerge w:val="restart"/>
            <w:vAlign w:val="center"/>
          </w:tcPr>
          <w:p w14:paraId="5FD093F0" w14:textId="60749453" w:rsidR="00AD0490" w:rsidRPr="00956589" w:rsidRDefault="00AD0490" w:rsidP="004D05B7">
            <w:pPr>
              <w:spacing w:before="120"/>
              <w:rPr>
                <w:rFonts w:ascii="Arial" w:hAnsi="Arial" w:cs="Arial"/>
                <w:b/>
                <w:sz w:val="16"/>
                <w:szCs w:val="18"/>
              </w:rPr>
            </w:pPr>
            <w:r>
              <w:rPr>
                <w:rFonts w:ascii="Arial" w:hAnsi="Arial" w:cs="Arial"/>
                <w:b/>
                <w:sz w:val="16"/>
                <w:szCs w:val="18"/>
              </w:rPr>
              <w:t>2020</w:t>
            </w:r>
          </w:p>
        </w:tc>
        <w:tc>
          <w:tcPr>
            <w:tcW w:w="2845" w:type="dxa"/>
            <w:vAlign w:val="center"/>
          </w:tcPr>
          <w:p w14:paraId="5FC853C0" w14:textId="128A0997" w:rsidR="00AD0490" w:rsidRDefault="00AD0490" w:rsidP="005656D2">
            <w:pPr>
              <w:spacing w:before="120"/>
              <w:jc w:val="center"/>
              <w:rPr>
                <w:rFonts w:ascii="Arial" w:hAnsi="Arial" w:cs="Arial"/>
                <w:sz w:val="16"/>
                <w:szCs w:val="18"/>
              </w:rPr>
            </w:pPr>
            <w:r>
              <w:rPr>
                <w:rFonts w:ascii="Arial" w:hAnsi="Arial" w:cs="Arial"/>
                <w:sz w:val="16"/>
                <w:szCs w:val="18"/>
              </w:rPr>
              <w:t>138 hrs/year operation</w:t>
            </w:r>
          </w:p>
        </w:tc>
        <w:tc>
          <w:tcPr>
            <w:tcW w:w="1507" w:type="dxa"/>
            <w:vAlign w:val="center"/>
          </w:tcPr>
          <w:p w14:paraId="2341C65E" w14:textId="5BA415EA" w:rsidR="00AD0490" w:rsidRDefault="00AD0490" w:rsidP="00033AF7">
            <w:pPr>
              <w:spacing w:before="120"/>
              <w:jc w:val="center"/>
              <w:rPr>
                <w:rFonts w:ascii="Arial" w:hAnsi="Arial" w:cs="Arial"/>
                <w:sz w:val="16"/>
                <w:szCs w:val="18"/>
              </w:rPr>
            </w:pPr>
            <w:r>
              <w:rPr>
                <w:rFonts w:ascii="Arial" w:hAnsi="Arial" w:cs="Arial"/>
                <w:sz w:val="16"/>
                <w:szCs w:val="18"/>
              </w:rPr>
              <w:t>39.7 ng TEQ/hr</w:t>
            </w:r>
          </w:p>
        </w:tc>
        <w:tc>
          <w:tcPr>
            <w:tcW w:w="1388" w:type="dxa"/>
            <w:vAlign w:val="center"/>
          </w:tcPr>
          <w:p w14:paraId="2D63C0EB" w14:textId="77777777" w:rsidR="00AD0490" w:rsidRPr="00956589" w:rsidRDefault="00AD0490" w:rsidP="004D05B7">
            <w:pPr>
              <w:spacing w:before="120"/>
              <w:jc w:val="center"/>
              <w:rPr>
                <w:rFonts w:ascii="Arial" w:hAnsi="Arial" w:cs="Arial"/>
                <w:sz w:val="16"/>
                <w:szCs w:val="18"/>
              </w:rPr>
            </w:pPr>
          </w:p>
        </w:tc>
        <w:tc>
          <w:tcPr>
            <w:tcW w:w="1302" w:type="dxa"/>
            <w:vAlign w:val="center"/>
          </w:tcPr>
          <w:p w14:paraId="66ECB6C2" w14:textId="1CF59DD7" w:rsidR="00AD0490" w:rsidRDefault="0027367C" w:rsidP="0046327A">
            <w:pPr>
              <w:spacing w:before="120"/>
              <w:jc w:val="center"/>
              <w:rPr>
                <w:rFonts w:ascii="Arial" w:hAnsi="Arial" w:cs="Arial"/>
                <w:sz w:val="16"/>
                <w:szCs w:val="18"/>
              </w:rPr>
            </w:pPr>
            <w:r>
              <w:rPr>
                <w:rFonts w:ascii="Arial" w:hAnsi="Arial" w:cs="Arial"/>
                <w:sz w:val="16"/>
                <w:szCs w:val="18"/>
              </w:rPr>
              <w:t>0.0000055</w:t>
            </w:r>
          </w:p>
        </w:tc>
        <w:tc>
          <w:tcPr>
            <w:tcW w:w="1215" w:type="dxa"/>
            <w:vAlign w:val="center"/>
          </w:tcPr>
          <w:p w14:paraId="222C23F1" w14:textId="77777777" w:rsidR="00AD0490" w:rsidRDefault="00AD0490" w:rsidP="004D05B7">
            <w:pPr>
              <w:spacing w:before="120"/>
              <w:jc w:val="center"/>
              <w:rPr>
                <w:rFonts w:ascii="Arial" w:hAnsi="Arial" w:cs="Arial"/>
                <w:sz w:val="16"/>
                <w:szCs w:val="18"/>
              </w:rPr>
            </w:pPr>
          </w:p>
        </w:tc>
      </w:tr>
      <w:tr w:rsidR="00AD0490" w:rsidRPr="00956589" w14:paraId="05B5983A" w14:textId="77777777" w:rsidTr="00A00647">
        <w:tc>
          <w:tcPr>
            <w:tcW w:w="669" w:type="dxa"/>
            <w:vMerge/>
            <w:vAlign w:val="center"/>
          </w:tcPr>
          <w:p w14:paraId="4786EA14" w14:textId="77777777" w:rsidR="00AD0490" w:rsidRPr="00956589" w:rsidRDefault="00AD0490" w:rsidP="004D05B7">
            <w:pPr>
              <w:spacing w:before="120"/>
              <w:rPr>
                <w:rFonts w:ascii="Arial" w:hAnsi="Arial" w:cs="Arial"/>
                <w:b/>
                <w:sz w:val="16"/>
                <w:szCs w:val="18"/>
              </w:rPr>
            </w:pPr>
          </w:p>
        </w:tc>
        <w:tc>
          <w:tcPr>
            <w:tcW w:w="2845" w:type="dxa"/>
            <w:vAlign w:val="center"/>
          </w:tcPr>
          <w:p w14:paraId="1DCEDC88" w14:textId="29011B7E" w:rsidR="00AD0490" w:rsidRDefault="00AD0490" w:rsidP="005656D2">
            <w:pPr>
              <w:spacing w:before="120"/>
              <w:jc w:val="center"/>
              <w:rPr>
                <w:rFonts w:ascii="Arial" w:hAnsi="Arial" w:cs="Arial"/>
                <w:sz w:val="16"/>
                <w:szCs w:val="18"/>
              </w:rPr>
            </w:pPr>
            <w:r>
              <w:rPr>
                <w:rFonts w:ascii="Arial" w:hAnsi="Arial" w:cs="Arial"/>
                <w:sz w:val="16"/>
                <w:szCs w:val="18"/>
              </w:rPr>
              <w:t>0.012 tonnes of ash/year</w:t>
            </w:r>
          </w:p>
        </w:tc>
        <w:tc>
          <w:tcPr>
            <w:tcW w:w="1507" w:type="dxa"/>
            <w:vAlign w:val="center"/>
          </w:tcPr>
          <w:p w14:paraId="23EF0A06" w14:textId="77777777" w:rsidR="00AD0490" w:rsidRDefault="00AD0490" w:rsidP="00033AF7">
            <w:pPr>
              <w:spacing w:before="120"/>
              <w:jc w:val="center"/>
              <w:rPr>
                <w:rFonts w:ascii="Arial" w:hAnsi="Arial" w:cs="Arial"/>
                <w:sz w:val="16"/>
                <w:szCs w:val="18"/>
              </w:rPr>
            </w:pPr>
          </w:p>
        </w:tc>
        <w:tc>
          <w:tcPr>
            <w:tcW w:w="1388" w:type="dxa"/>
            <w:vAlign w:val="center"/>
          </w:tcPr>
          <w:p w14:paraId="24605FFF" w14:textId="73DCDACF" w:rsidR="00AD0490" w:rsidRPr="00956589" w:rsidRDefault="00AD0490" w:rsidP="004D05B7">
            <w:pPr>
              <w:spacing w:before="120"/>
              <w:jc w:val="center"/>
              <w:rPr>
                <w:rFonts w:ascii="Arial" w:hAnsi="Arial" w:cs="Arial"/>
                <w:sz w:val="16"/>
                <w:szCs w:val="18"/>
              </w:rPr>
            </w:pPr>
            <w:r w:rsidRPr="00956589">
              <w:rPr>
                <w:rFonts w:ascii="Arial" w:hAnsi="Arial" w:cs="Arial"/>
                <w:sz w:val="16"/>
                <w:szCs w:val="18"/>
              </w:rPr>
              <w:t xml:space="preserve">25 µg </w:t>
            </w:r>
            <w:r>
              <w:rPr>
                <w:rFonts w:ascii="Arial" w:hAnsi="Arial" w:cs="Arial"/>
                <w:sz w:val="16"/>
                <w:szCs w:val="18"/>
              </w:rPr>
              <w:t>TEQ</w:t>
            </w:r>
            <w:r w:rsidRPr="00956589">
              <w:rPr>
                <w:rFonts w:ascii="Arial" w:hAnsi="Arial" w:cs="Arial"/>
                <w:sz w:val="16"/>
                <w:szCs w:val="18"/>
              </w:rPr>
              <w:t>/t</w:t>
            </w:r>
          </w:p>
        </w:tc>
        <w:tc>
          <w:tcPr>
            <w:tcW w:w="1302" w:type="dxa"/>
            <w:vAlign w:val="center"/>
          </w:tcPr>
          <w:p w14:paraId="204F8EFB" w14:textId="77777777" w:rsidR="00AD0490" w:rsidRDefault="00AD0490" w:rsidP="0046327A">
            <w:pPr>
              <w:spacing w:before="120"/>
              <w:jc w:val="center"/>
              <w:rPr>
                <w:rFonts w:ascii="Arial" w:hAnsi="Arial" w:cs="Arial"/>
                <w:sz w:val="16"/>
                <w:szCs w:val="18"/>
              </w:rPr>
            </w:pPr>
          </w:p>
        </w:tc>
        <w:tc>
          <w:tcPr>
            <w:tcW w:w="1215" w:type="dxa"/>
            <w:vAlign w:val="center"/>
          </w:tcPr>
          <w:p w14:paraId="272D08C1" w14:textId="5B27DF7C" w:rsidR="00AD0490" w:rsidRDefault="00AD0490" w:rsidP="004D05B7">
            <w:pPr>
              <w:spacing w:before="120"/>
              <w:jc w:val="center"/>
              <w:rPr>
                <w:rFonts w:ascii="Arial" w:hAnsi="Arial" w:cs="Arial"/>
                <w:sz w:val="16"/>
                <w:szCs w:val="18"/>
              </w:rPr>
            </w:pPr>
            <w:r>
              <w:rPr>
                <w:rFonts w:ascii="Arial" w:hAnsi="Arial" w:cs="Arial"/>
                <w:sz w:val="16"/>
                <w:szCs w:val="18"/>
              </w:rPr>
              <w:t>0.00000</w:t>
            </w:r>
            <w:r w:rsidR="0027367C">
              <w:rPr>
                <w:rFonts w:ascii="Arial" w:hAnsi="Arial" w:cs="Arial"/>
                <w:sz w:val="16"/>
                <w:szCs w:val="18"/>
              </w:rPr>
              <w:t>030</w:t>
            </w:r>
          </w:p>
        </w:tc>
      </w:tr>
    </w:tbl>
    <w:p w14:paraId="39AFA4F9" w14:textId="77777777" w:rsidR="00CF6A21" w:rsidRDefault="00CF6A21" w:rsidP="00CF6A21">
      <w:pPr>
        <w:spacing w:line="300" w:lineRule="atLeast"/>
        <w:jc w:val="both"/>
        <w:rPr>
          <w:szCs w:val="18"/>
        </w:rPr>
      </w:pPr>
    </w:p>
    <w:p w14:paraId="2840AD5F" w14:textId="7BFC46E4" w:rsidR="00C555DA" w:rsidRPr="00080C09" w:rsidRDefault="00C555DA" w:rsidP="00C555DA">
      <w:pPr>
        <w:tabs>
          <w:tab w:val="left" w:pos="2760"/>
        </w:tabs>
        <w:spacing w:before="120" w:line="300" w:lineRule="atLeast"/>
        <w:jc w:val="both"/>
        <w:rPr>
          <w:rFonts w:ascii="Arial" w:hAnsi="Arial" w:cs="Arial"/>
          <w:b/>
          <w:szCs w:val="18"/>
        </w:rPr>
      </w:pPr>
      <w:r w:rsidRPr="00080C09">
        <w:rPr>
          <w:rFonts w:ascii="Arial" w:hAnsi="Arial" w:cs="Arial"/>
          <w:b/>
          <w:szCs w:val="18"/>
        </w:rPr>
        <w:t>Certainty assessment</w:t>
      </w:r>
      <w:r w:rsidR="009E455E" w:rsidRPr="00080C09">
        <w:rPr>
          <w:rFonts w:ascii="Arial" w:hAnsi="Arial" w:cs="Arial"/>
          <w:b/>
          <w:szCs w:val="18"/>
        </w:rPr>
        <w:t xml:space="preserve"> for </w:t>
      </w:r>
      <w:r w:rsidR="00EF06C3">
        <w:rPr>
          <w:rFonts w:ascii="Arial" w:hAnsi="Arial" w:cs="Arial"/>
          <w:b/>
          <w:szCs w:val="18"/>
        </w:rPr>
        <w:t>20</w:t>
      </w:r>
      <w:r w:rsidR="0027367C">
        <w:rPr>
          <w:rFonts w:ascii="Arial" w:hAnsi="Arial" w:cs="Arial"/>
          <w:b/>
          <w:szCs w:val="18"/>
        </w:rPr>
        <w:t>20</w:t>
      </w:r>
    </w:p>
    <w:p w14:paraId="5447CC49" w14:textId="77777777" w:rsidR="00C555DA" w:rsidRDefault="00C555DA" w:rsidP="007C11D5">
      <w:pPr>
        <w:tabs>
          <w:tab w:val="left" w:pos="1701"/>
        </w:tabs>
        <w:spacing w:after="0" w:line="300" w:lineRule="atLeast"/>
        <w:jc w:val="both"/>
        <w:rPr>
          <w:szCs w:val="18"/>
        </w:rPr>
      </w:pPr>
      <w:r>
        <w:rPr>
          <w:szCs w:val="18"/>
        </w:rPr>
        <w:t xml:space="preserve">Activity data: </w:t>
      </w:r>
      <w:r>
        <w:rPr>
          <w:szCs w:val="18"/>
        </w:rPr>
        <w:tab/>
      </w:r>
      <w:r w:rsidR="009E455E">
        <w:rPr>
          <w:szCs w:val="18"/>
        </w:rPr>
        <w:t xml:space="preserve">Medium (because they are based on </w:t>
      </w:r>
      <w:r w:rsidR="00D23222">
        <w:rPr>
          <w:szCs w:val="18"/>
        </w:rPr>
        <w:t>operato</w:t>
      </w:r>
      <w:r w:rsidR="000A3BA6">
        <w:rPr>
          <w:szCs w:val="18"/>
        </w:rPr>
        <w:t>r</w:t>
      </w:r>
      <w:r w:rsidR="009E455E">
        <w:rPr>
          <w:szCs w:val="18"/>
        </w:rPr>
        <w:t xml:space="preserve"> estimates)</w:t>
      </w:r>
    </w:p>
    <w:p w14:paraId="6174DDE4" w14:textId="71261AFD" w:rsidR="00C555DA" w:rsidRDefault="007C11D5" w:rsidP="00744CE1">
      <w:pPr>
        <w:tabs>
          <w:tab w:val="left" w:pos="1701"/>
        </w:tabs>
        <w:spacing w:line="300" w:lineRule="atLeast"/>
        <w:ind w:left="1701" w:hanging="1701"/>
        <w:jc w:val="both"/>
        <w:rPr>
          <w:szCs w:val="18"/>
        </w:rPr>
      </w:pPr>
      <w:r>
        <w:rPr>
          <w:szCs w:val="18"/>
        </w:rPr>
        <w:t>Emission factors</w:t>
      </w:r>
      <w:r w:rsidR="00C555DA">
        <w:rPr>
          <w:szCs w:val="18"/>
        </w:rPr>
        <w:t xml:space="preserve">: </w:t>
      </w:r>
      <w:r w:rsidR="00C555DA">
        <w:rPr>
          <w:szCs w:val="18"/>
        </w:rPr>
        <w:tab/>
      </w:r>
      <w:r w:rsidR="00744CE1">
        <w:rPr>
          <w:szCs w:val="18"/>
        </w:rPr>
        <w:t>Air</w:t>
      </w:r>
      <w:r w:rsidR="002B1F60">
        <w:rPr>
          <w:szCs w:val="18"/>
        </w:rPr>
        <w:t>-</w:t>
      </w:r>
      <w:r w:rsidR="00744CE1">
        <w:rPr>
          <w:szCs w:val="18"/>
        </w:rPr>
        <w:t xml:space="preserve"> </w:t>
      </w:r>
      <w:r w:rsidR="009E455E">
        <w:rPr>
          <w:szCs w:val="18"/>
        </w:rPr>
        <w:t>High</w:t>
      </w:r>
      <w:r w:rsidR="002B1F60">
        <w:rPr>
          <w:szCs w:val="18"/>
        </w:rPr>
        <w:t>,</w:t>
      </w:r>
      <w:r w:rsidR="00C555DA">
        <w:rPr>
          <w:szCs w:val="18"/>
        </w:rPr>
        <w:t xml:space="preserve"> </w:t>
      </w:r>
      <w:r w:rsidR="0025028D">
        <w:rPr>
          <w:szCs w:val="18"/>
        </w:rPr>
        <w:t>and residues</w:t>
      </w:r>
      <w:r w:rsidR="002B1F60">
        <w:rPr>
          <w:szCs w:val="18"/>
        </w:rPr>
        <w:t xml:space="preserve"> -</w:t>
      </w:r>
      <w:r w:rsidR="0025028D">
        <w:rPr>
          <w:szCs w:val="18"/>
        </w:rPr>
        <w:t xml:space="preserve"> Low </w:t>
      </w:r>
      <w:r w:rsidR="00C555DA">
        <w:rPr>
          <w:szCs w:val="18"/>
        </w:rPr>
        <w:t>(</w:t>
      </w:r>
      <w:r w:rsidR="00C555DA" w:rsidRPr="00944DCC">
        <w:rPr>
          <w:szCs w:val="18"/>
        </w:rPr>
        <w:t xml:space="preserve">because </w:t>
      </w:r>
      <w:r w:rsidR="0025028D">
        <w:rPr>
          <w:szCs w:val="18"/>
        </w:rPr>
        <w:t xml:space="preserve">they are </w:t>
      </w:r>
      <w:r w:rsidR="009E455E">
        <w:rPr>
          <w:szCs w:val="18"/>
        </w:rPr>
        <w:t>based on actual measurements</w:t>
      </w:r>
      <w:r w:rsidR="0025028D">
        <w:rPr>
          <w:szCs w:val="18"/>
        </w:rPr>
        <w:t xml:space="preserve">, and </w:t>
      </w:r>
      <w:r w:rsidR="00744CE1">
        <w:rPr>
          <w:szCs w:val="18"/>
        </w:rPr>
        <w:t>historical analytical data</w:t>
      </w:r>
      <w:r w:rsidR="0025028D">
        <w:rPr>
          <w:szCs w:val="18"/>
        </w:rPr>
        <w:t>, respectively</w:t>
      </w:r>
      <w:r w:rsidR="00744CE1">
        <w:rPr>
          <w:szCs w:val="18"/>
        </w:rPr>
        <w:t>)</w:t>
      </w:r>
    </w:p>
    <w:p w14:paraId="4A92347C" w14:textId="77777777" w:rsidR="00C555DA" w:rsidRDefault="00C555DA" w:rsidP="00261F78">
      <w:pPr>
        <w:pStyle w:val="Heading2"/>
      </w:pPr>
      <w:bookmarkStart w:id="100" w:name="_Toc358573553"/>
      <w:bookmarkStart w:id="101" w:name="_Toc112768066"/>
      <w:r>
        <w:t>Medical waste incineration</w:t>
      </w:r>
      <w:bookmarkEnd w:id="100"/>
      <w:bookmarkEnd w:id="101"/>
    </w:p>
    <w:p w14:paraId="65F4531C" w14:textId="125865CB" w:rsidR="000F3508" w:rsidRDefault="0044421E" w:rsidP="00C555DA">
      <w:pPr>
        <w:spacing w:line="300" w:lineRule="atLeast"/>
        <w:jc w:val="both"/>
        <w:rPr>
          <w:szCs w:val="18"/>
        </w:rPr>
      </w:pPr>
      <w:r>
        <w:rPr>
          <w:szCs w:val="18"/>
        </w:rPr>
        <w:t>Q</w:t>
      </w:r>
      <w:r w:rsidR="006E6EDB">
        <w:rPr>
          <w:szCs w:val="18"/>
        </w:rPr>
        <w:t>uarantine waste incineration</w:t>
      </w:r>
      <w:r w:rsidR="004C6F04">
        <w:rPr>
          <w:szCs w:val="18"/>
        </w:rPr>
        <w:t>,</w:t>
      </w:r>
      <w:r w:rsidR="006E6EDB">
        <w:rPr>
          <w:szCs w:val="18"/>
        </w:rPr>
        <w:t xml:space="preserve"> which is not covered in the UNEP Toolkit</w:t>
      </w:r>
      <w:r w:rsidR="00752880">
        <w:rPr>
          <w:szCs w:val="18"/>
        </w:rPr>
        <w:t>,</w:t>
      </w:r>
      <w:r>
        <w:rPr>
          <w:szCs w:val="18"/>
        </w:rPr>
        <w:t xml:space="preserve"> </w:t>
      </w:r>
      <w:r w:rsidR="00752880">
        <w:rPr>
          <w:szCs w:val="18"/>
        </w:rPr>
        <w:t>has</w:t>
      </w:r>
      <w:r>
        <w:rPr>
          <w:szCs w:val="18"/>
        </w:rPr>
        <w:t xml:space="preserve"> </w:t>
      </w:r>
      <w:r w:rsidR="006E6EDB">
        <w:rPr>
          <w:szCs w:val="18"/>
        </w:rPr>
        <w:t>be</w:t>
      </w:r>
      <w:r w:rsidR="00752880">
        <w:rPr>
          <w:szCs w:val="18"/>
        </w:rPr>
        <w:t>en</w:t>
      </w:r>
      <w:r w:rsidR="006E6EDB">
        <w:rPr>
          <w:szCs w:val="18"/>
        </w:rPr>
        <w:t xml:space="preserve"> covered </w:t>
      </w:r>
      <w:r w:rsidR="00752880">
        <w:rPr>
          <w:szCs w:val="18"/>
        </w:rPr>
        <w:t>in this section because the incinerator design and operation are quite similar.</w:t>
      </w:r>
    </w:p>
    <w:p w14:paraId="57FA6551" w14:textId="2A933D43" w:rsidR="00752880" w:rsidRDefault="00C555DA" w:rsidP="00C555DA">
      <w:pPr>
        <w:spacing w:line="300" w:lineRule="atLeast"/>
        <w:jc w:val="both"/>
        <w:rPr>
          <w:szCs w:val="18"/>
        </w:rPr>
      </w:pPr>
      <w:r>
        <w:rPr>
          <w:szCs w:val="18"/>
        </w:rPr>
        <w:t xml:space="preserve">There is only </w:t>
      </w:r>
      <w:r w:rsidR="00080C09">
        <w:rPr>
          <w:szCs w:val="18"/>
        </w:rPr>
        <w:t>one</w:t>
      </w:r>
      <w:r>
        <w:rPr>
          <w:szCs w:val="18"/>
        </w:rPr>
        <w:t xml:space="preserve"> medical waste incinerator in New Zealand</w:t>
      </w:r>
      <w:r w:rsidR="004C6F04">
        <w:rPr>
          <w:szCs w:val="18"/>
        </w:rPr>
        <w:t xml:space="preserve">. </w:t>
      </w:r>
      <w:r>
        <w:rPr>
          <w:szCs w:val="18"/>
        </w:rPr>
        <w:t>Th</w:t>
      </w:r>
      <w:r w:rsidR="00080C09">
        <w:rPr>
          <w:szCs w:val="18"/>
        </w:rPr>
        <w:t>is</w:t>
      </w:r>
      <w:r>
        <w:rPr>
          <w:szCs w:val="18"/>
        </w:rPr>
        <w:t xml:space="preserve"> is a diesel-fired, dual-chamber unit, with no add-on emission controls</w:t>
      </w:r>
      <w:r w:rsidR="00752880">
        <w:rPr>
          <w:szCs w:val="18"/>
        </w:rPr>
        <w:t xml:space="preserve">. </w:t>
      </w:r>
      <w:r w:rsidR="0034421D">
        <w:rPr>
          <w:szCs w:val="18"/>
        </w:rPr>
        <w:t xml:space="preserve">In </w:t>
      </w:r>
      <w:r w:rsidR="0027367C">
        <w:rPr>
          <w:szCs w:val="18"/>
        </w:rPr>
        <w:t xml:space="preserve">2020 </w:t>
      </w:r>
      <w:r w:rsidR="0034421D">
        <w:rPr>
          <w:szCs w:val="18"/>
        </w:rPr>
        <w:t>the total w</w:t>
      </w:r>
      <w:r w:rsidR="001224BB">
        <w:rPr>
          <w:szCs w:val="18"/>
        </w:rPr>
        <w:t xml:space="preserve">aste throughput was 78 tonnes </w:t>
      </w:r>
      <w:r w:rsidR="0034421D">
        <w:rPr>
          <w:szCs w:val="18"/>
        </w:rPr>
        <w:t>(</w:t>
      </w:r>
      <w:r w:rsidR="0027367C">
        <w:rPr>
          <w:szCs w:val="18"/>
        </w:rPr>
        <w:t>B Woolhouse</w:t>
      </w:r>
      <w:r w:rsidR="0034421D">
        <w:rPr>
          <w:szCs w:val="18"/>
        </w:rPr>
        <w:t>, Grey Hospital, pers comm, 20</w:t>
      </w:r>
      <w:r w:rsidR="0027367C">
        <w:rPr>
          <w:szCs w:val="18"/>
        </w:rPr>
        <w:t>22</w:t>
      </w:r>
      <w:r w:rsidR="0034421D">
        <w:rPr>
          <w:szCs w:val="18"/>
        </w:rPr>
        <w:t>)</w:t>
      </w:r>
      <w:r w:rsidR="0027367C">
        <w:rPr>
          <w:szCs w:val="18"/>
        </w:rPr>
        <w:t xml:space="preserve"> which was the same as that estimated for 2016</w:t>
      </w:r>
      <w:r w:rsidR="00752880">
        <w:rPr>
          <w:szCs w:val="18"/>
        </w:rPr>
        <w:t>.</w:t>
      </w:r>
      <w:r w:rsidR="0034421D">
        <w:rPr>
          <w:szCs w:val="18"/>
        </w:rPr>
        <w:t xml:space="preserve"> </w:t>
      </w:r>
      <w:r>
        <w:rPr>
          <w:szCs w:val="18"/>
        </w:rPr>
        <w:t xml:space="preserve">The emissions have </w:t>
      </w:r>
      <w:r w:rsidR="00DA4566">
        <w:rPr>
          <w:szCs w:val="18"/>
        </w:rPr>
        <w:t>not</w:t>
      </w:r>
      <w:r>
        <w:rPr>
          <w:szCs w:val="18"/>
        </w:rPr>
        <w:t xml:space="preserve"> been tested for </w:t>
      </w:r>
      <w:r w:rsidR="006E6EDB">
        <w:rPr>
          <w:szCs w:val="18"/>
        </w:rPr>
        <w:t>dioxins</w:t>
      </w:r>
      <w:r>
        <w:rPr>
          <w:szCs w:val="18"/>
        </w:rPr>
        <w:t xml:space="preserve">. </w:t>
      </w:r>
    </w:p>
    <w:p w14:paraId="550B75C6" w14:textId="7964ACDA" w:rsidR="006E6EDB" w:rsidRDefault="00CF3E00" w:rsidP="00C555DA">
      <w:pPr>
        <w:spacing w:line="300" w:lineRule="atLeast"/>
        <w:jc w:val="both"/>
        <w:rPr>
          <w:szCs w:val="18"/>
        </w:rPr>
      </w:pPr>
      <w:r w:rsidRPr="00CF3E00">
        <w:rPr>
          <w:szCs w:val="18"/>
        </w:rPr>
        <w:t xml:space="preserve">The </w:t>
      </w:r>
      <w:r>
        <w:rPr>
          <w:szCs w:val="18"/>
        </w:rPr>
        <w:t>only</w:t>
      </w:r>
      <w:r w:rsidRPr="00CF3E00">
        <w:rPr>
          <w:szCs w:val="18"/>
        </w:rPr>
        <w:t xml:space="preserve"> incinerator burning quarantine waste </w:t>
      </w:r>
      <w:r>
        <w:rPr>
          <w:szCs w:val="18"/>
        </w:rPr>
        <w:t>in New Zealand</w:t>
      </w:r>
      <w:r w:rsidR="0034421D">
        <w:rPr>
          <w:szCs w:val="18"/>
        </w:rPr>
        <w:t xml:space="preserve"> was closed between 2014 and 2015</w:t>
      </w:r>
      <w:r w:rsidR="0027367C">
        <w:rPr>
          <w:szCs w:val="18"/>
        </w:rPr>
        <w:t xml:space="preserve"> so </w:t>
      </w:r>
      <w:r w:rsidR="0044421E">
        <w:rPr>
          <w:szCs w:val="18"/>
        </w:rPr>
        <w:t>there is no longer a release from this source.</w:t>
      </w:r>
    </w:p>
    <w:p w14:paraId="4F4E9CE6" w14:textId="2D4F9247" w:rsidR="009E1858" w:rsidRDefault="00C555DA" w:rsidP="006E1896">
      <w:pPr>
        <w:spacing w:line="300" w:lineRule="atLeast"/>
        <w:jc w:val="both"/>
        <w:rPr>
          <w:szCs w:val="18"/>
        </w:rPr>
      </w:pPr>
      <w:r>
        <w:rPr>
          <w:szCs w:val="18"/>
        </w:rPr>
        <w:t xml:space="preserve">The </w:t>
      </w:r>
      <w:r w:rsidR="006E6EDB">
        <w:rPr>
          <w:szCs w:val="18"/>
        </w:rPr>
        <w:t xml:space="preserve">UNEP </w:t>
      </w:r>
      <w:r>
        <w:rPr>
          <w:szCs w:val="18"/>
        </w:rPr>
        <w:t>Toolkit recommends default factors of</w:t>
      </w:r>
      <w:r w:rsidR="006E6EDB">
        <w:rPr>
          <w:szCs w:val="18"/>
        </w:rPr>
        <w:t xml:space="preserve"> 3000 µg TEQ/tonne</w:t>
      </w:r>
      <w:r w:rsidR="00E63C87">
        <w:rPr>
          <w:szCs w:val="18"/>
        </w:rPr>
        <w:t xml:space="preserve"> </w:t>
      </w:r>
      <w:r w:rsidR="006E6EDB">
        <w:rPr>
          <w:szCs w:val="18"/>
        </w:rPr>
        <w:t xml:space="preserve">for releases to air and 20 </w:t>
      </w:r>
      <w:r w:rsidR="006E6EDB" w:rsidRPr="006E6EDB">
        <w:rPr>
          <w:szCs w:val="18"/>
        </w:rPr>
        <w:t>µg TEQ/tonne</w:t>
      </w:r>
      <w:r w:rsidR="00E63C87">
        <w:rPr>
          <w:szCs w:val="18"/>
        </w:rPr>
        <w:t xml:space="preserve"> </w:t>
      </w:r>
      <w:r w:rsidR="006E6EDB">
        <w:rPr>
          <w:szCs w:val="18"/>
        </w:rPr>
        <w:t>for residues (ash)</w:t>
      </w:r>
      <w:r>
        <w:rPr>
          <w:szCs w:val="18"/>
        </w:rPr>
        <w:t xml:space="preserve"> </w:t>
      </w:r>
      <w:r w:rsidR="00D31138">
        <w:rPr>
          <w:szCs w:val="18"/>
        </w:rPr>
        <w:t>for batch-operated medical waste incinerators with minimal or no air pollution control systems</w:t>
      </w:r>
      <w:r w:rsidR="008615DE">
        <w:rPr>
          <w:szCs w:val="18"/>
        </w:rPr>
        <w:t xml:space="preserve"> </w:t>
      </w:r>
      <w:r w:rsidR="008615DE" w:rsidRPr="008615DE">
        <w:rPr>
          <w:szCs w:val="18"/>
          <w:lang w:val="en-US"/>
        </w:rPr>
        <w:t>(1 µg TEQ/</w:t>
      </w:r>
      <w:r w:rsidR="008615DE" w:rsidRPr="00DB4611">
        <w:rPr>
          <w:szCs w:val="18"/>
        </w:rPr>
        <w:t>tonne</w:t>
      </w:r>
      <w:r w:rsidR="008615DE" w:rsidRPr="008615DE">
        <w:rPr>
          <w:szCs w:val="18"/>
          <w:lang w:val="en-US"/>
        </w:rPr>
        <w:t xml:space="preserve"> = 1 x 10</w:t>
      </w:r>
      <w:r w:rsidR="008615DE" w:rsidRPr="008615DE">
        <w:rPr>
          <w:szCs w:val="18"/>
          <w:vertAlign w:val="superscript"/>
          <w:lang w:val="en-US"/>
        </w:rPr>
        <w:t>-6</w:t>
      </w:r>
      <w:r w:rsidR="008615DE" w:rsidRPr="008615DE">
        <w:rPr>
          <w:szCs w:val="18"/>
          <w:lang w:val="en-US"/>
        </w:rPr>
        <w:t xml:space="preserve"> g TEQ/tonne)</w:t>
      </w:r>
      <w:r w:rsidR="00D31138">
        <w:rPr>
          <w:szCs w:val="18"/>
        </w:rPr>
        <w:t xml:space="preserve">. </w:t>
      </w:r>
      <w:r w:rsidR="006E1896">
        <w:rPr>
          <w:szCs w:val="18"/>
        </w:rPr>
        <w:t xml:space="preserve">This is the appropriate sub-category for the </w:t>
      </w:r>
      <w:r w:rsidR="00876D36">
        <w:rPr>
          <w:szCs w:val="18"/>
        </w:rPr>
        <w:t>Grey Hospital incinerator</w:t>
      </w:r>
      <w:r w:rsidR="006E1896">
        <w:rPr>
          <w:szCs w:val="18"/>
        </w:rPr>
        <w:t xml:space="preserve"> and the release estimates for </w:t>
      </w:r>
      <w:r w:rsidR="009E1858">
        <w:rPr>
          <w:szCs w:val="18"/>
        </w:rPr>
        <w:t>2020</w:t>
      </w:r>
      <w:r w:rsidR="009817A7">
        <w:rPr>
          <w:szCs w:val="18"/>
        </w:rPr>
        <w:t xml:space="preserve"> </w:t>
      </w:r>
      <w:r w:rsidR="006E1896">
        <w:rPr>
          <w:szCs w:val="18"/>
        </w:rPr>
        <w:t xml:space="preserve">based on these factors are shown in Table 3-2. There are no releases to </w:t>
      </w:r>
      <w:r w:rsidR="006E1896" w:rsidRPr="00D23222">
        <w:rPr>
          <w:szCs w:val="18"/>
        </w:rPr>
        <w:t>water, land</w:t>
      </w:r>
      <w:r w:rsidR="00DB5372">
        <w:rPr>
          <w:szCs w:val="18"/>
        </w:rPr>
        <w:t>,</w:t>
      </w:r>
      <w:r w:rsidR="006E1896" w:rsidRPr="00D23222">
        <w:rPr>
          <w:szCs w:val="18"/>
        </w:rPr>
        <w:t xml:space="preserve"> or in products</w:t>
      </w:r>
      <w:r w:rsidR="006E1896">
        <w:rPr>
          <w:szCs w:val="18"/>
        </w:rPr>
        <w:t>.</w:t>
      </w:r>
    </w:p>
    <w:p w14:paraId="1EB2C658" w14:textId="77777777" w:rsidR="009E1858" w:rsidRDefault="009E1858">
      <w:pPr>
        <w:spacing w:after="0"/>
        <w:rPr>
          <w:szCs w:val="18"/>
        </w:rPr>
      </w:pPr>
      <w:r>
        <w:rPr>
          <w:szCs w:val="18"/>
        </w:rPr>
        <w:br w:type="page"/>
      </w:r>
    </w:p>
    <w:p w14:paraId="0C422DA8" w14:textId="29A65E0C" w:rsidR="00A54B22" w:rsidRPr="00A117FA" w:rsidRDefault="00A54B22" w:rsidP="00A54B22">
      <w:pPr>
        <w:pStyle w:val="Caption"/>
        <w:jc w:val="left"/>
        <w:rPr>
          <w:rFonts w:cs="Arial"/>
          <w:szCs w:val="18"/>
        </w:rPr>
      </w:pPr>
      <w:r w:rsidRPr="00CF3E00">
        <w:rPr>
          <w:rFonts w:cs="Arial"/>
        </w:rPr>
        <w:lastRenderedPageBreak/>
        <w:t xml:space="preserve">Table </w:t>
      </w:r>
      <w:r>
        <w:rPr>
          <w:rFonts w:cs="Arial"/>
        </w:rPr>
        <w:fldChar w:fldCharType="begin"/>
      </w:r>
      <w:r>
        <w:rPr>
          <w:rFonts w:cs="Arial"/>
        </w:rPr>
        <w:instrText xml:space="preserve"> STYLEREF 1 \s </w:instrText>
      </w:r>
      <w:r>
        <w:rPr>
          <w:rFonts w:cs="Arial"/>
        </w:rPr>
        <w:fldChar w:fldCharType="separate"/>
      </w:r>
      <w:r w:rsidR="00141D7F">
        <w:rPr>
          <w:rFonts w:cs="Arial"/>
          <w:noProof/>
        </w:rPr>
        <w:t>3</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sidR="00141D7F">
        <w:rPr>
          <w:rFonts w:cs="Arial"/>
          <w:noProof/>
        </w:rPr>
        <w:t>2</w:t>
      </w:r>
      <w:r>
        <w:rPr>
          <w:rFonts w:cs="Arial"/>
        </w:rPr>
        <w:fldChar w:fldCharType="end"/>
      </w:r>
      <w:r w:rsidRPr="00CF3E00">
        <w:rPr>
          <w:rFonts w:cs="Arial"/>
        </w:rPr>
        <w:t>:</w:t>
      </w:r>
      <w:r w:rsidRPr="00A117FA">
        <w:rPr>
          <w:rFonts w:cs="Arial"/>
        </w:rPr>
        <w:t xml:space="preserve"> </w:t>
      </w:r>
      <w:r>
        <w:rPr>
          <w:rFonts w:cs="Arial"/>
        </w:rPr>
        <w:t>Dioxin</w:t>
      </w:r>
      <w:r w:rsidRPr="00A117FA">
        <w:rPr>
          <w:rFonts w:cs="Arial"/>
        </w:rPr>
        <w:t xml:space="preserve"> releases from </w:t>
      </w:r>
      <w:r>
        <w:rPr>
          <w:rFonts w:cs="Arial"/>
        </w:rPr>
        <w:t>medical and quarantine</w:t>
      </w:r>
      <w:r w:rsidRPr="00A117FA">
        <w:rPr>
          <w:rFonts w:cs="Arial"/>
        </w:rPr>
        <w:t xml:space="preserve"> waste incineration</w:t>
      </w:r>
    </w:p>
    <w:tbl>
      <w:tblPr>
        <w:tblStyle w:val="TableGrid"/>
        <w:tblW w:w="0" w:type="auto"/>
        <w:tblLook w:val="04A0" w:firstRow="1" w:lastRow="0" w:firstColumn="1" w:lastColumn="0" w:noHBand="0" w:noVBand="1"/>
      </w:tblPr>
      <w:tblGrid>
        <w:gridCol w:w="1877"/>
        <w:gridCol w:w="1712"/>
        <w:gridCol w:w="1485"/>
        <w:gridCol w:w="1374"/>
        <w:gridCol w:w="1274"/>
        <w:gridCol w:w="1339"/>
      </w:tblGrid>
      <w:tr w:rsidR="00A54B22" w:rsidRPr="00956589" w14:paraId="3E381135" w14:textId="77777777" w:rsidTr="008F3972">
        <w:tc>
          <w:tcPr>
            <w:tcW w:w="1877" w:type="dxa"/>
            <w:vMerge w:val="restart"/>
            <w:vAlign w:val="center"/>
          </w:tcPr>
          <w:p w14:paraId="61DE2CFE"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Source</w:t>
            </w:r>
          </w:p>
        </w:tc>
        <w:tc>
          <w:tcPr>
            <w:tcW w:w="1712" w:type="dxa"/>
            <w:vMerge w:val="restart"/>
            <w:vAlign w:val="center"/>
          </w:tcPr>
          <w:p w14:paraId="2370F77F"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Activity Rate, tonnes</w:t>
            </w:r>
            <w:r>
              <w:rPr>
                <w:rFonts w:ascii="Arial" w:hAnsi="Arial" w:cs="Arial"/>
                <w:b/>
                <w:sz w:val="16"/>
                <w:szCs w:val="16"/>
              </w:rPr>
              <w:t xml:space="preserve"> of waste</w:t>
            </w:r>
            <w:r w:rsidRPr="00956589">
              <w:rPr>
                <w:rFonts w:ascii="Arial" w:hAnsi="Arial" w:cs="Arial"/>
                <w:b/>
                <w:sz w:val="16"/>
                <w:szCs w:val="16"/>
              </w:rPr>
              <w:t>/year</w:t>
            </w:r>
          </w:p>
        </w:tc>
        <w:tc>
          <w:tcPr>
            <w:tcW w:w="2859" w:type="dxa"/>
            <w:gridSpan w:val="2"/>
            <w:vAlign w:val="center"/>
          </w:tcPr>
          <w:p w14:paraId="3FD39A34"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 xml:space="preserve">Release factors, µg </w:t>
            </w:r>
            <w:r>
              <w:rPr>
                <w:rFonts w:ascii="Arial" w:hAnsi="Arial" w:cs="Arial"/>
                <w:b/>
                <w:sz w:val="16"/>
                <w:szCs w:val="16"/>
              </w:rPr>
              <w:t>TEQ</w:t>
            </w:r>
            <w:r w:rsidRPr="00956589">
              <w:rPr>
                <w:rFonts w:ascii="Arial" w:hAnsi="Arial" w:cs="Arial"/>
                <w:b/>
                <w:sz w:val="16"/>
                <w:szCs w:val="16"/>
              </w:rPr>
              <w:t>/t</w:t>
            </w:r>
          </w:p>
        </w:tc>
        <w:tc>
          <w:tcPr>
            <w:tcW w:w="2613" w:type="dxa"/>
            <w:gridSpan w:val="2"/>
            <w:vAlign w:val="center"/>
          </w:tcPr>
          <w:p w14:paraId="33CF9947"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 xml:space="preserve">Annual releases (g </w:t>
            </w:r>
            <w:r>
              <w:rPr>
                <w:rFonts w:ascii="Arial" w:hAnsi="Arial" w:cs="Arial"/>
                <w:b/>
                <w:sz w:val="16"/>
                <w:szCs w:val="16"/>
              </w:rPr>
              <w:t>TEQ</w:t>
            </w:r>
            <w:r w:rsidRPr="00956589">
              <w:rPr>
                <w:rFonts w:ascii="Arial" w:hAnsi="Arial" w:cs="Arial"/>
                <w:b/>
                <w:sz w:val="16"/>
                <w:szCs w:val="16"/>
              </w:rPr>
              <w:t>/yr)</w:t>
            </w:r>
          </w:p>
        </w:tc>
      </w:tr>
      <w:tr w:rsidR="00A54B22" w:rsidRPr="00956589" w14:paraId="766C2D5B" w14:textId="77777777" w:rsidTr="008F3972">
        <w:tc>
          <w:tcPr>
            <w:tcW w:w="1877" w:type="dxa"/>
            <w:vMerge/>
          </w:tcPr>
          <w:p w14:paraId="07F904FC" w14:textId="77777777" w:rsidR="00A54B22" w:rsidRPr="00956589" w:rsidRDefault="00A54B22" w:rsidP="00D351E0">
            <w:pPr>
              <w:spacing w:before="120"/>
              <w:jc w:val="both"/>
              <w:rPr>
                <w:rFonts w:ascii="Arial" w:hAnsi="Arial" w:cs="Arial"/>
                <w:sz w:val="16"/>
                <w:szCs w:val="16"/>
              </w:rPr>
            </w:pPr>
          </w:p>
        </w:tc>
        <w:tc>
          <w:tcPr>
            <w:tcW w:w="1712" w:type="dxa"/>
            <w:vMerge/>
            <w:vAlign w:val="center"/>
          </w:tcPr>
          <w:p w14:paraId="7740EC25" w14:textId="77777777" w:rsidR="00A54B22" w:rsidRPr="00956589" w:rsidRDefault="00A54B22" w:rsidP="00D351E0">
            <w:pPr>
              <w:spacing w:before="120"/>
              <w:jc w:val="center"/>
              <w:rPr>
                <w:rFonts w:ascii="Arial" w:hAnsi="Arial" w:cs="Arial"/>
                <w:sz w:val="16"/>
                <w:szCs w:val="16"/>
              </w:rPr>
            </w:pPr>
          </w:p>
        </w:tc>
        <w:tc>
          <w:tcPr>
            <w:tcW w:w="1485" w:type="dxa"/>
            <w:vAlign w:val="center"/>
          </w:tcPr>
          <w:p w14:paraId="10B034EA"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Air</w:t>
            </w:r>
          </w:p>
        </w:tc>
        <w:tc>
          <w:tcPr>
            <w:tcW w:w="1374" w:type="dxa"/>
            <w:vAlign w:val="center"/>
          </w:tcPr>
          <w:p w14:paraId="52EAB705"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Residues</w:t>
            </w:r>
          </w:p>
        </w:tc>
        <w:tc>
          <w:tcPr>
            <w:tcW w:w="1274" w:type="dxa"/>
            <w:vAlign w:val="center"/>
          </w:tcPr>
          <w:p w14:paraId="117C15A2"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 xml:space="preserve">Air </w:t>
            </w:r>
          </w:p>
        </w:tc>
        <w:tc>
          <w:tcPr>
            <w:tcW w:w="1339" w:type="dxa"/>
            <w:vAlign w:val="center"/>
          </w:tcPr>
          <w:p w14:paraId="6056A105" w14:textId="77777777" w:rsidR="00A54B22" w:rsidRPr="00956589" w:rsidRDefault="00A54B22" w:rsidP="00D351E0">
            <w:pPr>
              <w:spacing w:before="120"/>
              <w:jc w:val="center"/>
              <w:rPr>
                <w:rFonts w:ascii="Arial" w:hAnsi="Arial" w:cs="Arial"/>
                <w:b/>
                <w:sz w:val="16"/>
                <w:szCs w:val="16"/>
              </w:rPr>
            </w:pPr>
            <w:r w:rsidRPr="00956589">
              <w:rPr>
                <w:rFonts w:ascii="Arial" w:hAnsi="Arial" w:cs="Arial"/>
                <w:b/>
                <w:sz w:val="16"/>
                <w:szCs w:val="16"/>
              </w:rPr>
              <w:t>Residues</w:t>
            </w:r>
          </w:p>
        </w:tc>
      </w:tr>
      <w:tr w:rsidR="00A54B22" w:rsidRPr="00956589" w14:paraId="47BFCFCB" w14:textId="77777777" w:rsidTr="008F3972">
        <w:tc>
          <w:tcPr>
            <w:tcW w:w="1877" w:type="dxa"/>
            <w:vMerge w:val="restart"/>
            <w:vAlign w:val="center"/>
          </w:tcPr>
          <w:p w14:paraId="2F14F585" w14:textId="77777777" w:rsidR="00A54B22" w:rsidRPr="00956589" w:rsidRDefault="00A54B22" w:rsidP="00D351E0">
            <w:pPr>
              <w:spacing w:before="120"/>
              <w:rPr>
                <w:rFonts w:ascii="Arial" w:hAnsi="Arial" w:cs="Arial"/>
                <w:b/>
                <w:sz w:val="16"/>
                <w:szCs w:val="16"/>
              </w:rPr>
            </w:pPr>
            <w:r>
              <w:rPr>
                <w:rFonts w:ascii="Arial" w:hAnsi="Arial" w:cs="Arial"/>
                <w:b/>
                <w:sz w:val="16"/>
                <w:szCs w:val="16"/>
              </w:rPr>
              <w:t xml:space="preserve">2012 </w:t>
            </w:r>
            <w:r w:rsidRPr="00956589">
              <w:rPr>
                <w:rFonts w:ascii="Arial" w:hAnsi="Arial" w:cs="Arial"/>
                <w:b/>
                <w:sz w:val="16"/>
                <w:szCs w:val="16"/>
              </w:rPr>
              <w:t>Medical waste</w:t>
            </w:r>
            <w:r>
              <w:rPr>
                <w:rFonts w:ascii="Arial" w:hAnsi="Arial" w:cs="Arial"/>
                <w:b/>
                <w:sz w:val="16"/>
                <w:szCs w:val="16"/>
              </w:rPr>
              <w:t xml:space="preserve"> and quarantine waste</w:t>
            </w:r>
          </w:p>
        </w:tc>
        <w:tc>
          <w:tcPr>
            <w:tcW w:w="1712" w:type="dxa"/>
            <w:vMerge w:val="restart"/>
            <w:vAlign w:val="center"/>
          </w:tcPr>
          <w:p w14:paraId="521BB3BA" w14:textId="6328A841" w:rsidR="00A54B22" w:rsidRPr="00956589" w:rsidRDefault="00A54B22" w:rsidP="00D351E0">
            <w:pPr>
              <w:spacing w:before="120"/>
              <w:jc w:val="center"/>
              <w:rPr>
                <w:rFonts w:ascii="Arial" w:hAnsi="Arial" w:cs="Arial"/>
                <w:sz w:val="16"/>
                <w:szCs w:val="16"/>
              </w:rPr>
            </w:pPr>
            <w:r w:rsidRPr="00956589">
              <w:rPr>
                <w:rFonts w:ascii="Arial" w:hAnsi="Arial" w:cs="Arial"/>
                <w:sz w:val="16"/>
                <w:szCs w:val="16"/>
              </w:rPr>
              <w:t>2</w:t>
            </w:r>
            <w:r>
              <w:rPr>
                <w:rFonts w:ascii="Arial" w:hAnsi="Arial" w:cs="Arial"/>
                <w:sz w:val="16"/>
                <w:szCs w:val="16"/>
              </w:rPr>
              <w:t>19</w:t>
            </w:r>
          </w:p>
        </w:tc>
        <w:tc>
          <w:tcPr>
            <w:tcW w:w="1485" w:type="dxa"/>
            <w:vAlign w:val="center"/>
          </w:tcPr>
          <w:p w14:paraId="0BCABA32" w14:textId="77777777" w:rsidR="00A54B22" w:rsidRPr="00956589" w:rsidRDefault="00A54B22" w:rsidP="00D351E0">
            <w:pPr>
              <w:spacing w:before="120"/>
              <w:jc w:val="center"/>
              <w:rPr>
                <w:rFonts w:ascii="Arial" w:hAnsi="Arial" w:cs="Arial"/>
                <w:sz w:val="16"/>
                <w:szCs w:val="16"/>
              </w:rPr>
            </w:pPr>
            <w:r w:rsidRPr="00956589">
              <w:rPr>
                <w:rFonts w:ascii="Arial" w:hAnsi="Arial" w:cs="Arial"/>
                <w:sz w:val="16"/>
                <w:szCs w:val="16"/>
              </w:rPr>
              <w:t>3000</w:t>
            </w:r>
          </w:p>
        </w:tc>
        <w:tc>
          <w:tcPr>
            <w:tcW w:w="1374" w:type="dxa"/>
            <w:vAlign w:val="center"/>
          </w:tcPr>
          <w:p w14:paraId="7B55B88C"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274" w:type="dxa"/>
            <w:vAlign w:val="center"/>
          </w:tcPr>
          <w:p w14:paraId="2295CF64" w14:textId="29CB9E41" w:rsidR="00A54B22" w:rsidRPr="00956589" w:rsidRDefault="00A54B22" w:rsidP="00D351E0">
            <w:pPr>
              <w:spacing w:before="120"/>
              <w:jc w:val="center"/>
              <w:rPr>
                <w:rFonts w:ascii="Arial" w:hAnsi="Arial" w:cs="Arial"/>
                <w:sz w:val="16"/>
                <w:szCs w:val="16"/>
              </w:rPr>
            </w:pPr>
            <w:r>
              <w:rPr>
                <w:rFonts w:ascii="Arial" w:hAnsi="Arial" w:cs="Arial"/>
                <w:sz w:val="16"/>
                <w:szCs w:val="16"/>
              </w:rPr>
              <w:t>0.657</w:t>
            </w:r>
          </w:p>
        </w:tc>
        <w:tc>
          <w:tcPr>
            <w:tcW w:w="1339" w:type="dxa"/>
            <w:vAlign w:val="center"/>
          </w:tcPr>
          <w:p w14:paraId="684204D2"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r>
      <w:tr w:rsidR="00A54B22" w:rsidRPr="00956589" w14:paraId="1735C032" w14:textId="77777777" w:rsidTr="008F3972">
        <w:tc>
          <w:tcPr>
            <w:tcW w:w="1877" w:type="dxa"/>
            <w:vMerge/>
            <w:vAlign w:val="center"/>
          </w:tcPr>
          <w:p w14:paraId="249380FB" w14:textId="77777777" w:rsidR="00A54B22" w:rsidRPr="00956589" w:rsidRDefault="00A54B22" w:rsidP="00D351E0">
            <w:pPr>
              <w:spacing w:before="120"/>
              <w:rPr>
                <w:rFonts w:ascii="Arial" w:hAnsi="Arial" w:cs="Arial"/>
                <w:b/>
                <w:sz w:val="16"/>
                <w:szCs w:val="16"/>
              </w:rPr>
            </w:pPr>
          </w:p>
        </w:tc>
        <w:tc>
          <w:tcPr>
            <w:tcW w:w="1712" w:type="dxa"/>
            <w:vMerge/>
            <w:vAlign w:val="center"/>
          </w:tcPr>
          <w:p w14:paraId="49C7D5AE" w14:textId="77777777" w:rsidR="00A54B22" w:rsidRPr="00956589" w:rsidRDefault="00A54B22" w:rsidP="00D351E0">
            <w:pPr>
              <w:spacing w:before="120"/>
              <w:jc w:val="center"/>
              <w:rPr>
                <w:rFonts w:ascii="Arial" w:hAnsi="Arial" w:cs="Arial"/>
                <w:sz w:val="16"/>
                <w:szCs w:val="16"/>
              </w:rPr>
            </w:pPr>
          </w:p>
        </w:tc>
        <w:tc>
          <w:tcPr>
            <w:tcW w:w="1485" w:type="dxa"/>
            <w:vAlign w:val="center"/>
          </w:tcPr>
          <w:p w14:paraId="125D4C68"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374" w:type="dxa"/>
            <w:vAlign w:val="center"/>
          </w:tcPr>
          <w:p w14:paraId="2048DD3E" w14:textId="77777777" w:rsidR="00A54B22" w:rsidRPr="00956589" w:rsidRDefault="00A54B22" w:rsidP="00D351E0">
            <w:pPr>
              <w:spacing w:before="120"/>
              <w:jc w:val="center"/>
              <w:rPr>
                <w:rFonts w:ascii="Arial" w:hAnsi="Arial" w:cs="Arial"/>
                <w:sz w:val="16"/>
                <w:szCs w:val="16"/>
              </w:rPr>
            </w:pPr>
            <w:r w:rsidRPr="00956589">
              <w:rPr>
                <w:rFonts w:ascii="Arial" w:hAnsi="Arial" w:cs="Arial"/>
                <w:sz w:val="16"/>
                <w:szCs w:val="16"/>
              </w:rPr>
              <w:t>20</w:t>
            </w:r>
          </w:p>
        </w:tc>
        <w:tc>
          <w:tcPr>
            <w:tcW w:w="1274" w:type="dxa"/>
            <w:vAlign w:val="center"/>
          </w:tcPr>
          <w:p w14:paraId="265C547D"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339" w:type="dxa"/>
            <w:vAlign w:val="center"/>
          </w:tcPr>
          <w:p w14:paraId="3F220565" w14:textId="0382F8E3" w:rsidR="00A54B22" w:rsidRPr="00956589" w:rsidRDefault="00A54B22" w:rsidP="00D351E0">
            <w:pPr>
              <w:spacing w:before="120"/>
              <w:jc w:val="center"/>
              <w:rPr>
                <w:rFonts w:ascii="Arial" w:hAnsi="Arial" w:cs="Arial"/>
                <w:sz w:val="16"/>
                <w:szCs w:val="16"/>
              </w:rPr>
            </w:pPr>
            <w:r>
              <w:rPr>
                <w:rFonts w:ascii="Arial" w:hAnsi="Arial" w:cs="Arial"/>
                <w:sz w:val="16"/>
                <w:szCs w:val="16"/>
              </w:rPr>
              <w:t>0.0044</w:t>
            </w:r>
          </w:p>
        </w:tc>
      </w:tr>
      <w:tr w:rsidR="00A54B22" w:rsidRPr="00956589" w14:paraId="36E0C540" w14:textId="77777777" w:rsidTr="008F3972">
        <w:tc>
          <w:tcPr>
            <w:tcW w:w="1877" w:type="dxa"/>
            <w:vMerge w:val="restart"/>
            <w:vAlign w:val="center"/>
          </w:tcPr>
          <w:p w14:paraId="041B031A" w14:textId="77777777" w:rsidR="00A54B22" w:rsidRPr="00956589" w:rsidRDefault="00A54B22" w:rsidP="00D351E0">
            <w:pPr>
              <w:spacing w:before="120"/>
              <w:rPr>
                <w:rFonts w:ascii="Arial" w:hAnsi="Arial" w:cs="Arial"/>
                <w:b/>
                <w:sz w:val="16"/>
                <w:szCs w:val="16"/>
              </w:rPr>
            </w:pPr>
            <w:r>
              <w:rPr>
                <w:rFonts w:ascii="Arial" w:hAnsi="Arial" w:cs="Arial"/>
                <w:b/>
                <w:sz w:val="16"/>
                <w:szCs w:val="16"/>
              </w:rPr>
              <w:t>2016 Medical waste</w:t>
            </w:r>
          </w:p>
        </w:tc>
        <w:tc>
          <w:tcPr>
            <w:tcW w:w="1712" w:type="dxa"/>
            <w:vMerge w:val="restart"/>
            <w:vAlign w:val="center"/>
          </w:tcPr>
          <w:p w14:paraId="1B52B41F" w14:textId="5292C4B3" w:rsidR="00A54B22" w:rsidRPr="00956589" w:rsidRDefault="00A54B22" w:rsidP="00D351E0">
            <w:pPr>
              <w:spacing w:before="120"/>
              <w:jc w:val="center"/>
              <w:rPr>
                <w:rFonts w:ascii="Arial" w:hAnsi="Arial" w:cs="Arial"/>
                <w:sz w:val="16"/>
                <w:szCs w:val="16"/>
              </w:rPr>
            </w:pPr>
            <w:r>
              <w:rPr>
                <w:rFonts w:ascii="Arial" w:hAnsi="Arial" w:cs="Arial"/>
                <w:sz w:val="16"/>
                <w:szCs w:val="16"/>
              </w:rPr>
              <w:t>78</w:t>
            </w:r>
          </w:p>
        </w:tc>
        <w:tc>
          <w:tcPr>
            <w:tcW w:w="1485" w:type="dxa"/>
            <w:vAlign w:val="center"/>
          </w:tcPr>
          <w:p w14:paraId="4ED4BB2A" w14:textId="77777777" w:rsidR="00A54B22" w:rsidRPr="00956589" w:rsidRDefault="00A54B22" w:rsidP="00D351E0">
            <w:pPr>
              <w:spacing w:before="120"/>
              <w:jc w:val="center"/>
              <w:rPr>
                <w:rFonts w:ascii="Arial" w:hAnsi="Arial" w:cs="Arial"/>
                <w:sz w:val="16"/>
                <w:szCs w:val="16"/>
              </w:rPr>
            </w:pPr>
            <w:r w:rsidRPr="00956589">
              <w:rPr>
                <w:rFonts w:ascii="Arial" w:hAnsi="Arial" w:cs="Arial"/>
                <w:sz w:val="16"/>
                <w:szCs w:val="16"/>
              </w:rPr>
              <w:t>3000</w:t>
            </w:r>
          </w:p>
        </w:tc>
        <w:tc>
          <w:tcPr>
            <w:tcW w:w="1374" w:type="dxa"/>
            <w:vAlign w:val="center"/>
          </w:tcPr>
          <w:p w14:paraId="521D130C"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274" w:type="dxa"/>
            <w:vAlign w:val="center"/>
          </w:tcPr>
          <w:p w14:paraId="40709691" w14:textId="6390F59F" w:rsidR="00A54B22" w:rsidRPr="00956589" w:rsidRDefault="00A54B22" w:rsidP="00D351E0">
            <w:pPr>
              <w:spacing w:before="120"/>
              <w:jc w:val="center"/>
              <w:rPr>
                <w:rFonts w:ascii="Arial" w:hAnsi="Arial" w:cs="Arial"/>
                <w:sz w:val="16"/>
                <w:szCs w:val="16"/>
              </w:rPr>
            </w:pPr>
            <w:r>
              <w:rPr>
                <w:rFonts w:ascii="Arial" w:hAnsi="Arial" w:cs="Arial"/>
                <w:sz w:val="16"/>
                <w:szCs w:val="16"/>
              </w:rPr>
              <w:t>0.234</w:t>
            </w:r>
          </w:p>
        </w:tc>
        <w:tc>
          <w:tcPr>
            <w:tcW w:w="1339" w:type="dxa"/>
            <w:vAlign w:val="center"/>
          </w:tcPr>
          <w:p w14:paraId="3A4CFF09"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r>
      <w:tr w:rsidR="00A54B22" w:rsidRPr="00956589" w14:paraId="4DAD7D02" w14:textId="77777777" w:rsidTr="008F3972">
        <w:tc>
          <w:tcPr>
            <w:tcW w:w="1877" w:type="dxa"/>
            <w:vMerge/>
            <w:tcBorders>
              <w:bottom w:val="single" w:sz="4" w:space="0" w:color="auto"/>
            </w:tcBorders>
            <w:vAlign w:val="center"/>
          </w:tcPr>
          <w:p w14:paraId="67FBFEF1" w14:textId="77777777" w:rsidR="00A54B22" w:rsidRPr="00956589" w:rsidRDefault="00A54B22" w:rsidP="00D351E0">
            <w:pPr>
              <w:spacing w:before="120"/>
              <w:rPr>
                <w:rFonts w:ascii="Arial" w:hAnsi="Arial" w:cs="Arial"/>
                <w:b/>
                <w:sz w:val="16"/>
                <w:szCs w:val="16"/>
              </w:rPr>
            </w:pPr>
          </w:p>
        </w:tc>
        <w:tc>
          <w:tcPr>
            <w:tcW w:w="1712" w:type="dxa"/>
            <w:vMerge/>
            <w:vAlign w:val="center"/>
          </w:tcPr>
          <w:p w14:paraId="49704375" w14:textId="77777777" w:rsidR="00A54B22" w:rsidRPr="00956589" w:rsidRDefault="00A54B22" w:rsidP="00D351E0">
            <w:pPr>
              <w:spacing w:before="120"/>
              <w:jc w:val="center"/>
              <w:rPr>
                <w:rFonts w:ascii="Arial" w:hAnsi="Arial" w:cs="Arial"/>
                <w:sz w:val="16"/>
                <w:szCs w:val="16"/>
              </w:rPr>
            </w:pPr>
          </w:p>
        </w:tc>
        <w:tc>
          <w:tcPr>
            <w:tcW w:w="1485" w:type="dxa"/>
            <w:vAlign w:val="center"/>
          </w:tcPr>
          <w:p w14:paraId="72D8CC86"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374" w:type="dxa"/>
            <w:vAlign w:val="center"/>
          </w:tcPr>
          <w:p w14:paraId="022B158A" w14:textId="77777777" w:rsidR="00A54B22" w:rsidRPr="00956589" w:rsidRDefault="00A54B22" w:rsidP="00D351E0">
            <w:pPr>
              <w:spacing w:before="120"/>
              <w:jc w:val="center"/>
              <w:rPr>
                <w:rFonts w:ascii="Arial" w:hAnsi="Arial" w:cs="Arial"/>
                <w:sz w:val="16"/>
                <w:szCs w:val="16"/>
              </w:rPr>
            </w:pPr>
            <w:r w:rsidRPr="00956589">
              <w:rPr>
                <w:rFonts w:ascii="Arial" w:hAnsi="Arial" w:cs="Arial"/>
                <w:sz w:val="16"/>
                <w:szCs w:val="16"/>
              </w:rPr>
              <w:t>20</w:t>
            </w:r>
          </w:p>
        </w:tc>
        <w:tc>
          <w:tcPr>
            <w:tcW w:w="1274" w:type="dxa"/>
            <w:vAlign w:val="center"/>
          </w:tcPr>
          <w:p w14:paraId="49E5EEFA" w14:textId="77777777" w:rsidR="00A54B22" w:rsidRPr="00956589" w:rsidRDefault="00A54B22" w:rsidP="00D351E0">
            <w:pPr>
              <w:spacing w:before="120"/>
              <w:jc w:val="center"/>
              <w:rPr>
                <w:rFonts w:ascii="Arial" w:hAnsi="Arial" w:cs="Arial"/>
                <w:sz w:val="16"/>
                <w:szCs w:val="16"/>
              </w:rPr>
            </w:pPr>
            <w:r>
              <w:rPr>
                <w:rFonts w:ascii="Arial" w:hAnsi="Arial" w:cs="Arial"/>
                <w:sz w:val="16"/>
                <w:szCs w:val="16"/>
              </w:rPr>
              <w:t>-</w:t>
            </w:r>
          </w:p>
        </w:tc>
        <w:tc>
          <w:tcPr>
            <w:tcW w:w="1339" w:type="dxa"/>
            <w:vAlign w:val="center"/>
          </w:tcPr>
          <w:p w14:paraId="150DCE3B" w14:textId="4B2BB27F" w:rsidR="00A54B22" w:rsidRPr="00956589" w:rsidRDefault="00A54B22" w:rsidP="00D351E0">
            <w:pPr>
              <w:spacing w:before="120"/>
              <w:jc w:val="center"/>
              <w:rPr>
                <w:rFonts w:ascii="Arial" w:hAnsi="Arial" w:cs="Arial"/>
                <w:sz w:val="16"/>
                <w:szCs w:val="16"/>
              </w:rPr>
            </w:pPr>
            <w:r>
              <w:rPr>
                <w:rFonts w:ascii="Arial" w:hAnsi="Arial" w:cs="Arial"/>
                <w:sz w:val="16"/>
                <w:szCs w:val="16"/>
              </w:rPr>
              <w:t>0.00156</w:t>
            </w:r>
          </w:p>
        </w:tc>
      </w:tr>
      <w:tr w:rsidR="008F3972" w:rsidRPr="00956589" w14:paraId="6413FCEA" w14:textId="77777777" w:rsidTr="009D45FD">
        <w:tc>
          <w:tcPr>
            <w:tcW w:w="1877" w:type="dxa"/>
            <w:vMerge w:val="restart"/>
            <w:vAlign w:val="center"/>
          </w:tcPr>
          <w:p w14:paraId="07D9D66E" w14:textId="0A2D3519" w:rsidR="008F3972" w:rsidRPr="00956589" w:rsidRDefault="008F3972" w:rsidP="00D351E0">
            <w:pPr>
              <w:spacing w:before="120"/>
              <w:rPr>
                <w:rFonts w:ascii="Arial" w:hAnsi="Arial" w:cs="Arial"/>
                <w:b/>
                <w:sz w:val="16"/>
                <w:szCs w:val="16"/>
              </w:rPr>
            </w:pPr>
            <w:r>
              <w:rPr>
                <w:rFonts w:ascii="Arial" w:hAnsi="Arial" w:cs="Arial"/>
                <w:b/>
                <w:sz w:val="16"/>
                <w:szCs w:val="16"/>
              </w:rPr>
              <w:t>2020 Medical waste</w:t>
            </w:r>
          </w:p>
        </w:tc>
        <w:tc>
          <w:tcPr>
            <w:tcW w:w="1712" w:type="dxa"/>
            <w:vMerge w:val="restart"/>
            <w:vAlign w:val="center"/>
          </w:tcPr>
          <w:p w14:paraId="4B03EEDC" w14:textId="07353E52" w:rsidR="008F3972" w:rsidRPr="00956589" w:rsidRDefault="008F3972" w:rsidP="00D351E0">
            <w:pPr>
              <w:spacing w:before="120"/>
              <w:jc w:val="center"/>
              <w:rPr>
                <w:rFonts w:ascii="Arial" w:hAnsi="Arial" w:cs="Arial"/>
                <w:sz w:val="16"/>
                <w:szCs w:val="16"/>
              </w:rPr>
            </w:pPr>
            <w:r>
              <w:rPr>
                <w:rFonts w:ascii="Arial" w:hAnsi="Arial" w:cs="Arial"/>
                <w:sz w:val="16"/>
                <w:szCs w:val="16"/>
              </w:rPr>
              <w:t>78</w:t>
            </w:r>
          </w:p>
        </w:tc>
        <w:tc>
          <w:tcPr>
            <w:tcW w:w="1485" w:type="dxa"/>
            <w:vAlign w:val="center"/>
          </w:tcPr>
          <w:p w14:paraId="70EF50E6" w14:textId="32FBC1C1" w:rsidR="008F3972" w:rsidRDefault="008F3972" w:rsidP="00D351E0">
            <w:pPr>
              <w:spacing w:before="120"/>
              <w:jc w:val="center"/>
              <w:rPr>
                <w:rFonts w:ascii="Arial" w:hAnsi="Arial" w:cs="Arial"/>
                <w:sz w:val="16"/>
                <w:szCs w:val="16"/>
              </w:rPr>
            </w:pPr>
            <w:r>
              <w:rPr>
                <w:rFonts w:ascii="Arial" w:hAnsi="Arial" w:cs="Arial"/>
                <w:sz w:val="16"/>
                <w:szCs w:val="16"/>
              </w:rPr>
              <w:t>3000</w:t>
            </w:r>
          </w:p>
        </w:tc>
        <w:tc>
          <w:tcPr>
            <w:tcW w:w="1374" w:type="dxa"/>
            <w:vAlign w:val="center"/>
          </w:tcPr>
          <w:p w14:paraId="27FF85BC" w14:textId="77777777" w:rsidR="008F3972" w:rsidRPr="00956589" w:rsidRDefault="008F3972" w:rsidP="00D351E0">
            <w:pPr>
              <w:spacing w:before="120"/>
              <w:jc w:val="center"/>
              <w:rPr>
                <w:rFonts w:ascii="Arial" w:hAnsi="Arial" w:cs="Arial"/>
                <w:sz w:val="16"/>
                <w:szCs w:val="16"/>
              </w:rPr>
            </w:pPr>
          </w:p>
        </w:tc>
        <w:tc>
          <w:tcPr>
            <w:tcW w:w="1274" w:type="dxa"/>
            <w:vAlign w:val="center"/>
          </w:tcPr>
          <w:p w14:paraId="10BA52A5" w14:textId="1EDA0C14" w:rsidR="008F3972" w:rsidRDefault="008F3972" w:rsidP="00D351E0">
            <w:pPr>
              <w:spacing w:before="120"/>
              <w:jc w:val="center"/>
              <w:rPr>
                <w:rFonts w:ascii="Arial" w:hAnsi="Arial" w:cs="Arial"/>
                <w:sz w:val="16"/>
                <w:szCs w:val="16"/>
              </w:rPr>
            </w:pPr>
            <w:r>
              <w:rPr>
                <w:rFonts w:ascii="Arial" w:hAnsi="Arial" w:cs="Arial"/>
                <w:sz w:val="16"/>
                <w:szCs w:val="16"/>
              </w:rPr>
              <w:t>0.234</w:t>
            </w:r>
          </w:p>
        </w:tc>
        <w:tc>
          <w:tcPr>
            <w:tcW w:w="1339" w:type="dxa"/>
            <w:vAlign w:val="center"/>
          </w:tcPr>
          <w:p w14:paraId="57013325" w14:textId="77777777" w:rsidR="008F3972" w:rsidRDefault="008F3972" w:rsidP="00D351E0">
            <w:pPr>
              <w:spacing w:before="120"/>
              <w:jc w:val="center"/>
              <w:rPr>
                <w:rFonts w:ascii="Arial" w:hAnsi="Arial" w:cs="Arial"/>
                <w:sz w:val="16"/>
                <w:szCs w:val="16"/>
              </w:rPr>
            </w:pPr>
          </w:p>
        </w:tc>
      </w:tr>
      <w:tr w:rsidR="008F3972" w:rsidRPr="00956589" w14:paraId="14E7AB72" w14:textId="77777777" w:rsidTr="008F3972">
        <w:tc>
          <w:tcPr>
            <w:tcW w:w="1877" w:type="dxa"/>
            <w:vMerge/>
            <w:tcBorders>
              <w:bottom w:val="single" w:sz="4" w:space="0" w:color="auto"/>
            </w:tcBorders>
            <w:vAlign w:val="center"/>
          </w:tcPr>
          <w:p w14:paraId="0301E3D1" w14:textId="77777777" w:rsidR="008F3972" w:rsidRPr="00956589" w:rsidRDefault="008F3972" w:rsidP="00D351E0">
            <w:pPr>
              <w:spacing w:before="120"/>
              <w:rPr>
                <w:rFonts w:ascii="Arial" w:hAnsi="Arial" w:cs="Arial"/>
                <w:b/>
                <w:sz w:val="16"/>
                <w:szCs w:val="16"/>
              </w:rPr>
            </w:pPr>
          </w:p>
        </w:tc>
        <w:tc>
          <w:tcPr>
            <w:tcW w:w="1712" w:type="dxa"/>
            <w:vMerge/>
            <w:vAlign w:val="center"/>
          </w:tcPr>
          <w:p w14:paraId="7A8D7F18" w14:textId="77777777" w:rsidR="008F3972" w:rsidRPr="00956589" w:rsidRDefault="008F3972" w:rsidP="00D351E0">
            <w:pPr>
              <w:spacing w:before="120"/>
              <w:jc w:val="center"/>
              <w:rPr>
                <w:rFonts w:ascii="Arial" w:hAnsi="Arial" w:cs="Arial"/>
                <w:sz w:val="16"/>
                <w:szCs w:val="16"/>
              </w:rPr>
            </w:pPr>
          </w:p>
        </w:tc>
        <w:tc>
          <w:tcPr>
            <w:tcW w:w="1485" w:type="dxa"/>
            <w:vAlign w:val="center"/>
          </w:tcPr>
          <w:p w14:paraId="2151C870" w14:textId="77777777" w:rsidR="008F3972" w:rsidRDefault="008F3972" w:rsidP="00D351E0">
            <w:pPr>
              <w:spacing w:before="120"/>
              <w:jc w:val="center"/>
              <w:rPr>
                <w:rFonts w:ascii="Arial" w:hAnsi="Arial" w:cs="Arial"/>
                <w:sz w:val="16"/>
                <w:szCs w:val="16"/>
              </w:rPr>
            </w:pPr>
          </w:p>
        </w:tc>
        <w:tc>
          <w:tcPr>
            <w:tcW w:w="1374" w:type="dxa"/>
            <w:vAlign w:val="center"/>
          </w:tcPr>
          <w:p w14:paraId="59833FE3" w14:textId="553A2DB8" w:rsidR="008F3972" w:rsidRPr="00956589" w:rsidRDefault="008F3972" w:rsidP="00D351E0">
            <w:pPr>
              <w:spacing w:before="120"/>
              <w:jc w:val="center"/>
              <w:rPr>
                <w:rFonts w:ascii="Arial" w:hAnsi="Arial" w:cs="Arial"/>
                <w:sz w:val="16"/>
                <w:szCs w:val="16"/>
              </w:rPr>
            </w:pPr>
            <w:r>
              <w:rPr>
                <w:rFonts w:ascii="Arial" w:hAnsi="Arial" w:cs="Arial"/>
                <w:sz w:val="16"/>
                <w:szCs w:val="16"/>
              </w:rPr>
              <w:t>20</w:t>
            </w:r>
          </w:p>
        </w:tc>
        <w:tc>
          <w:tcPr>
            <w:tcW w:w="1274" w:type="dxa"/>
            <w:vAlign w:val="center"/>
          </w:tcPr>
          <w:p w14:paraId="1B36C115" w14:textId="77777777" w:rsidR="008F3972" w:rsidRDefault="008F3972" w:rsidP="00D351E0">
            <w:pPr>
              <w:spacing w:before="120"/>
              <w:jc w:val="center"/>
              <w:rPr>
                <w:rFonts w:ascii="Arial" w:hAnsi="Arial" w:cs="Arial"/>
                <w:sz w:val="16"/>
                <w:szCs w:val="16"/>
              </w:rPr>
            </w:pPr>
          </w:p>
        </w:tc>
        <w:tc>
          <w:tcPr>
            <w:tcW w:w="1339" w:type="dxa"/>
            <w:vAlign w:val="center"/>
          </w:tcPr>
          <w:p w14:paraId="1E99FF66" w14:textId="3DED7485" w:rsidR="008F3972" w:rsidRDefault="008F3972" w:rsidP="00D351E0">
            <w:pPr>
              <w:spacing w:before="120"/>
              <w:jc w:val="center"/>
              <w:rPr>
                <w:rFonts w:ascii="Arial" w:hAnsi="Arial" w:cs="Arial"/>
                <w:sz w:val="16"/>
                <w:szCs w:val="16"/>
              </w:rPr>
            </w:pPr>
            <w:r>
              <w:rPr>
                <w:rFonts w:ascii="Arial" w:hAnsi="Arial" w:cs="Arial"/>
                <w:sz w:val="16"/>
                <w:szCs w:val="16"/>
              </w:rPr>
              <w:t>0.00156</w:t>
            </w:r>
          </w:p>
        </w:tc>
      </w:tr>
    </w:tbl>
    <w:p w14:paraId="15E61479" w14:textId="03330DFC" w:rsidR="006E1896" w:rsidRPr="00BE17CF" w:rsidRDefault="006E1896" w:rsidP="006E1896">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r>
        <w:rPr>
          <w:rFonts w:ascii="Arial" w:hAnsi="Arial" w:cs="Arial"/>
          <w:b/>
          <w:szCs w:val="18"/>
        </w:rPr>
        <w:t xml:space="preserve"> for </w:t>
      </w:r>
      <w:r w:rsidR="0044421E">
        <w:rPr>
          <w:rFonts w:ascii="Arial" w:hAnsi="Arial" w:cs="Arial"/>
          <w:b/>
          <w:szCs w:val="18"/>
        </w:rPr>
        <w:t>20</w:t>
      </w:r>
      <w:r w:rsidR="009E1858">
        <w:rPr>
          <w:rFonts w:ascii="Arial" w:hAnsi="Arial" w:cs="Arial"/>
          <w:b/>
          <w:szCs w:val="18"/>
        </w:rPr>
        <w:t>20</w:t>
      </w:r>
    </w:p>
    <w:p w14:paraId="36AC3588" w14:textId="77777777" w:rsidR="006E1896" w:rsidRDefault="006E1896" w:rsidP="006E1896">
      <w:pPr>
        <w:tabs>
          <w:tab w:val="left" w:pos="1701"/>
        </w:tabs>
        <w:spacing w:after="0" w:line="300" w:lineRule="atLeast"/>
        <w:jc w:val="both"/>
        <w:rPr>
          <w:szCs w:val="18"/>
        </w:rPr>
      </w:pPr>
      <w:r>
        <w:rPr>
          <w:szCs w:val="18"/>
        </w:rPr>
        <w:t xml:space="preserve">Activity data: </w:t>
      </w:r>
      <w:r>
        <w:rPr>
          <w:szCs w:val="18"/>
        </w:rPr>
        <w:tab/>
        <w:t>Medium (because they are based on operator estimates)</w:t>
      </w:r>
    </w:p>
    <w:p w14:paraId="078E7881" w14:textId="77777777" w:rsidR="006E1896" w:rsidRDefault="006E1896" w:rsidP="006E1896">
      <w:pPr>
        <w:tabs>
          <w:tab w:val="left" w:pos="1701"/>
        </w:tabs>
        <w:spacing w:line="300" w:lineRule="atLeast"/>
        <w:jc w:val="both"/>
        <w:rPr>
          <w:szCs w:val="18"/>
        </w:rPr>
      </w:pPr>
      <w:r>
        <w:rPr>
          <w:szCs w:val="18"/>
        </w:rPr>
        <w:t xml:space="preserve">Emission factors: </w:t>
      </w:r>
      <w:r>
        <w:rPr>
          <w:szCs w:val="18"/>
        </w:rPr>
        <w:tab/>
        <w:t>Low (</w:t>
      </w:r>
      <w:r w:rsidRPr="00944DCC">
        <w:rPr>
          <w:szCs w:val="18"/>
        </w:rPr>
        <w:t xml:space="preserve">because </w:t>
      </w:r>
      <w:r>
        <w:rPr>
          <w:szCs w:val="18"/>
        </w:rPr>
        <w:t>they are based on default factors given in the UNEP Toolkit)</w:t>
      </w:r>
    </w:p>
    <w:p w14:paraId="4D9DB65D" w14:textId="77777777" w:rsidR="00840A49" w:rsidRDefault="00840A49" w:rsidP="00261F78">
      <w:pPr>
        <w:pStyle w:val="Heading2"/>
      </w:pPr>
      <w:bookmarkStart w:id="102" w:name="_Toc112768067"/>
      <w:r>
        <w:t>Light-fraction shredder waste incineration</w:t>
      </w:r>
      <w:bookmarkEnd w:id="102"/>
    </w:p>
    <w:p w14:paraId="3669E920" w14:textId="43B4C1D9" w:rsidR="00840A49" w:rsidRPr="00DB4611" w:rsidRDefault="0B9B890C" w:rsidP="0C34660A">
      <w:pPr>
        <w:spacing w:line="300" w:lineRule="atLeast"/>
        <w:jc w:val="both"/>
        <w:rPr>
          <w:rFonts w:eastAsia="Calibri"/>
        </w:rPr>
      </w:pPr>
      <w:r w:rsidRPr="0C34660A">
        <w:t xml:space="preserve">Metal shredders are used for the processing of a range of scrap metals, including car bodies, </w:t>
      </w:r>
      <w:r w:rsidR="0243E650" w:rsidRPr="0C34660A">
        <w:t>white-</w:t>
      </w:r>
      <w:bookmarkStart w:id="103" w:name="_Int_Ij5sIcvq"/>
      <w:r w:rsidR="0243E650" w:rsidRPr="0C34660A">
        <w:t>ware,</w:t>
      </w:r>
      <w:bookmarkEnd w:id="103"/>
      <w:r w:rsidRPr="0C34660A">
        <w:t xml:space="preserve"> and roofing iron. There are two outputs: a </w:t>
      </w:r>
      <w:bookmarkStart w:id="104" w:name="_Int_9fZMNcaT"/>
      <w:r w:rsidRPr="0C34660A">
        <w:t>relatively clean</w:t>
      </w:r>
      <w:bookmarkEnd w:id="104"/>
      <w:r w:rsidRPr="0C34660A">
        <w:t xml:space="preserve"> ferrous metal stream and a ‘fluff’ or ‘flock</w:t>
      </w:r>
      <w:bookmarkStart w:id="105" w:name="_Int_8roYS7an"/>
      <w:r w:rsidRPr="0C34660A">
        <w:t>’</w:t>
      </w:r>
      <w:r w:rsidR="00004D3C">
        <w:t xml:space="preserve"> stream</w:t>
      </w:r>
      <w:bookmarkEnd w:id="105"/>
      <w:r w:rsidRPr="0C34660A">
        <w:t xml:space="preserve"> which contains fragments of metals plus other waste materials from the input stream. This Toolkit category covers the disposal of the latter material by incineration which is a potential source of dioxins. However, in New Zealand the material is disposed </w:t>
      </w:r>
      <w:r w:rsidR="217B9331" w:rsidRPr="0C34660A">
        <w:t xml:space="preserve">to </w:t>
      </w:r>
      <w:r w:rsidRPr="0C34660A">
        <w:t xml:space="preserve">a landfill (see section </w:t>
      </w:r>
      <w:r w:rsidR="007863A9" w:rsidRPr="00DB4611">
        <w:rPr>
          <w:szCs w:val="18"/>
        </w:rPr>
        <w:fldChar w:fldCharType="begin"/>
      </w:r>
      <w:r w:rsidR="007863A9" w:rsidRPr="00DB4611">
        <w:rPr>
          <w:szCs w:val="18"/>
        </w:rPr>
        <w:instrText xml:space="preserve"> REF _Ref381261041 \r \h </w:instrText>
      </w:r>
      <w:r w:rsidR="007863A9" w:rsidRPr="00DB4611">
        <w:rPr>
          <w:szCs w:val="18"/>
        </w:rPr>
      </w:r>
      <w:r w:rsidR="007863A9" w:rsidRPr="00DB4611">
        <w:rPr>
          <w:szCs w:val="18"/>
        </w:rPr>
        <w:fldChar w:fldCharType="separate"/>
      </w:r>
      <w:r w:rsidR="00141D7F">
        <w:rPr>
          <w:szCs w:val="18"/>
        </w:rPr>
        <w:t>4.3.2</w:t>
      </w:r>
      <w:r w:rsidR="007863A9" w:rsidRPr="00DB4611">
        <w:rPr>
          <w:szCs w:val="18"/>
        </w:rPr>
        <w:fldChar w:fldCharType="end"/>
      </w:r>
      <w:r w:rsidRPr="0C34660A">
        <w:t>), so need not be considered here.</w:t>
      </w:r>
    </w:p>
    <w:p w14:paraId="18213437" w14:textId="77777777" w:rsidR="00C555DA" w:rsidRDefault="00C555DA" w:rsidP="00261F78">
      <w:pPr>
        <w:pStyle w:val="Heading2"/>
      </w:pPr>
      <w:bookmarkStart w:id="106" w:name="_Toc358573554"/>
      <w:bookmarkStart w:id="107" w:name="_Toc112768068"/>
      <w:r>
        <w:t>Sewage sludge incineration</w:t>
      </w:r>
      <w:bookmarkEnd w:id="106"/>
      <w:bookmarkEnd w:id="107"/>
    </w:p>
    <w:p w14:paraId="4E0A05C8" w14:textId="3EDF9A2E" w:rsidR="00C555DA" w:rsidRDefault="00C555DA" w:rsidP="00C555DA">
      <w:pPr>
        <w:spacing w:line="300" w:lineRule="atLeast"/>
        <w:jc w:val="both"/>
        <w:rPr>
          <w:szCs w:val="18"/>
        </w:rPr>
      </w:pPr>
      <w:r>
        <w:rPr>
          <w:szCs w:val="18"/>
        </w:rPr>
        <w:t>There is one sewage sludge incinerator in New Zealand</w:t>
      </w:r>
      <w:r w:rsidR="004A735F">
        <w:rPr>
          <w:szCs w:val="18"/>
        </w:rPr>
        <w:t>. It is</w:t>
      </w:r>
      <w:r w:rsidR="00F17950">
        <w:rPr>
          <w:szCs w:val="18"/>
        </w:rPr>
        <w:t xml:space="preserve"> </w:t>
      </w:r>
      <w:r>
        <w:rPr>
          <w:szCs w:val="18"/>
        </w:rPr>
        <w:t>operated by the Dunedin City Council at its wastewater treatment plant in Dunedin. The incinerator is a diesel-fired, fluidised bed unit and the exhaust gases are treated in a</w:t>
      </w:r>
      <w:r w:rsidR="00080C09">
        <w:rPr>
          <w:szCs w:val="18"/>
        </w:rPr>
        <w:t xml:space="preserve"> high-efficiency venturi</w:t>
      </w:r>
      <w:r w:rsidR="0025028D">
        <w:rPr>
          <w:szCs w:val="18"/>
        </w:rPr>
        <w:t xml:space="preserve"> scrubber, followed by a packed-</w:t>
      </w:r>
      <w:r>
        <w:rPr>
          <w:szCs w:val="18"/>
        </w:rPr>
        <w:t>tower caustic scrubber. The gases are then passed through a bark biofilter which acts as a final scrubber, primarily for odour control.</w:t>
      </w:r>
    </w:p>
    <w:p w14:paraId="46565F18" w14:textId="0B851E21" w:rsidR="009712C8" w:rsidRDefault="098761A6" w:rsidP="00C555DA">
      <w:pPr>
        <w:spacing w:line="300" w:lineRule="atLeast"/>
        <w:jc w:val="both"/>
      </w:pPr>
      <w:r>
        <w:t>The incinerator normally processes about 4,500 tonnes of wastewater solids per year. For the 2020 calendar year 4664 tonnes of solids were incinerated. This material was comprised of 33.8% dry solids (C. McGaw, Dunedin City Council, 2022). Consequently, on a dry basis, 1576.4</w:t>
      </w:r>
      <w:r w:rsidR="004D6320">
        <w:t xml:space="preserve"> tonnes</w:t>
      </w:r>
      <w:r>
        <w:t xml:space="preserve"> of wastewater solids were incinerated</w:t>
      </w:r>
      <w:r w:rsidR="004D6320">
        <w:t>.</w:t>
      </w:r>
    </w:p>
    <w:p w14:paraId="718C9BB3" w14:textId="7AB4C19A" w:rsidR="00C555DA" w:rsidRDefault="00C555DA" w:rsidP="00C555DA">
      <w:pPr>
        <w:spacing w:line="300" w:lineRule="atLeast"/>
        <w:jc w:val="both"/>
        <w:rPr>
          <w:szCs w:val="18"/>
        </w:rPr>
      </w:pPr>
      <w:r>
        <w:rPr>
          <w:szCs w:val="18"/>
        </w:rPr>
        <w:t xml:space="preserve">The </w:t>
      </w:r>
      <w:r w:rsidR="001D4A4A">
        <w:rPr>
          <w:szCs w:val="18"/>
        </w:rPr>
        <w:t xml:space="preserve">dioxin </w:t>
      </w:r>
      <w:r>
        <w:rPr>
          <w:szCs w:val="18"/>
        </w:rPr>
        <w:t xml:space="preserve">emissions to air </w:t>
      </w:r>
      <w:r w:rsidR="00106F56">
        <w:rPr>
          <w:szCs w:val="18"/>
        </w:rPr>
        <w:t>a</w:t>
      </w:r>
      <w:r w:rsidR="001D4A4A">
        <w:rPr>
          <w:szCs w:val="18"/>
        </w:rPr>
        <w:t>re</w:t>
      </w:r>
      <w:r>
        <w:rPr>
          <w:szCs w:val="18"/>
        </w:rPr>
        <w:t xml:space="preserve"> tested </w:t>
      </w:r>
      <w:r w:rsidR="00752880">
        <w:rPr>
          <w:szCs w:val="18"/>
        </w:rPr>
        <w:t>on an annual basis</w:t>
      </w:r>
      <w:r w:rsidR="000E19D8">
        <w:rPr>
          <w:szCs w:val="18"/>
        </w:rPr>
        <w:t xml:space="preserve">. The average dioxin result from three tests conducted in November 2019 </w:t>
      </w:r>
      <w:r w:rsidR="0086616E">
        <w:rPr>
          <w:szCs w:val="18"/>
        </w:rPr>
        <w:t xml:space="preserve">was </w:t>
      </w:r>
      <w:r w:rsidR="000E19D8">
        <w:rPr>
          <w:szCs w:val="18"/>
        </w:rPr>
        <w:t xml:space="preserve">44.0 ng TEQ </w:t>
      </w:r>
      <w:r w:rsidR="00152303">
        <w:rPr>
          <w:szCs w:val="18"/>
        </w:rPr>
        <w:t xml:space="preserve">/ hr </w:t>
      </w:r>
      <w:r w:rsidR="000E19D8">
        <w:rPr>
          <w:szCs w:val="18"/>
        </w:rPr>
        <w:t xml:space="preserve">(1 ng = 1 </w:t>
      </w:r>
      <w:r w:rsidR="00152303">
        <w:rPr>
          <w:szCs w:val="18"/>
        </w:rPr>
        <w:t xml:space="preserve">x </w:t>
      </w:r>
      <w:r w:rsidR="000E19D8">
        <w:rPr>
          <w:szCs w:val="18"/>
        </w:rPr>
        <w:t>10</w:t>
      </w:r>
      <w:r w:rsidR="000E19D8" w:rsidRPr="00602B32">
        <w:rPr>
          <w:szCs w:val="18"/>
          <w:vertAlign w:val="superscript"/>
        </w:rPr>
        <w:t>-9</w:t>
      </w:r>
      <w:r w:rsidR="000E19D8">
        <w:rPr>
          <w:szCs w:val="18"/>
        </w:rPr>
        <w:t xml:space="preserve"> g)</w:t>
      </w:r>
      <w:r w:rsidR="0086616E">
        <w:rPr>
          <w:szCs w:val="18"/>
        </w:rPr>
        <w:t xml:space="preserve"> (K2 Environmental</w:t>
      </w:r>
      <w:r w:rsidR="008C3CAA">
        <w:rPr>
          <w:szCs w:val="18"/>
        </w:rPr>
        <w:t xml:space="preserve">, 2020) </w:t>
      </w:r>
      <w:r w:rsidR="00694661">
        <w:rPr>
          <w:szCs w:val="18"/>
        </w:rPr>
        <w:t xml:space="preserve">and this was used to generate a release factor of </w:t>
      </w:r>
      <w:r w:rsidR="000550F5">
        <w:rPr>
          <w:szCs w:val="18"/>
        </w:rPr>
        <w:t xml:space="preserve">0.245 </w:t>
      </w:r>
      <w:r w:rsidR="000550F5" w:rsidRPr="00602B32">
        <w:rPr>
          <w:bCs/>
        </w:rPr>
        <w:t>µg TEQ</w:t>
      </w:r>
      <w:r w:rsidR="000550F5">
        <w:rPr>
          <w:szCs w:val="18"/>
        </w:rPr>
        <w:t xml:space="preserve">/tonne dry sludge. </w:t>
      </w:r>
      <w:r w:rsidR="00CA6E63">
        <w:rPr>
          <w:szCs w:val="18"/>
        </w:rPr>
        <w:t>f</w:t>
      </w:r>
      <w:r w:rsidR="000550F5">
        <w:rPr>
          <w:szCs w:val="18"/>
        </w:rPr>
        <w:t>or re</w:t>
      </w:r>
      <w:r w:rsidR="00CA6E63">
        <w:rPr>
          <w:szCs w:val="18"/>
        </w:rPr>
        <w:t>l</w:t>
      </w:r>
      <w:r w:rsidR="000550F5">
        <w:rPr>
          <w:szCs w:val="18"/>
        </w:rPr>
        <w:t>eases to air.</w:t>
      </w:r>
      <w:r w:rsidR="001D4A4A">
        <w:rPr>
          <w:szCs w:val="18"/>
        </w:rPr>
        <w:t xml:space="preserve"> The UNEP Toolkit default factors will be used for the releases in residues.</w:t>
      </w:r>
    </w:p>
    <w:p w14:paraId="3A3E1E42" w14:textId="6939FB54" w:rsidR="00CA6E63" w:rsidRDefault="00752880" w:rsidP="001D4A4A">
      <w:pPr>
        <w:spacing w:line="300" w:lineRule="atLeast"/>
        <w:jc w:val="both"/>
        <w:rPr>
          <w:szCs w:val="18"/>
        </w:rPr>
      </w:pPr>
      <w:r>
        <w:rPr>
          <w:szCs w:val="18"/>
        </w:rPr>
        <w:t>The release estimates for 20</w:t>
      </w:r>
      <w:r w:rsidR="00CA6E63">
        <w:rPr>
          <w:szCs w:val="18"/>
        </w:rPr>
        <w:t>20 for the sewage sludge incinerator</w:t>
      </w:r>
      <w:r w:rsidR="001D4A4A">
        <w:rPr>
          <w:szCs w:val="18"/>
        </w:rPr>
        <w:t xml:space="preserve"> are shown in </w:t>
      </w:r>
      <w:r w:rsidR="0025028D" w:rsidRPr="0025028D">
        <w:rPr>
          <w:szCs w:val="18"/>
        </w:rPr>
        <w:fldChar w:fldCharType="begin"/>
      </w:r>
      <w:r w:rsidR="0025028D" w:rsidRPr="0025028D">
        <w:rPr>
          <w:szCs w:val="18"/>
        </w:rPr>
        <w:instrText xml:space="preserve"> REF _Ref359648469 \h </w:instrText>
      </w:r>
      <w:r w:rsidR="0025028D">
        <w:rPr>
          <w:szCs w:val="18"/>
        </w:rPr>
        <w:instrText xml:space="preserve"> \* MERGEFORMAT </w:instrText>
      </w:r>
      <w:r w:rsidR="0025028D" w:rsidRPr="0025028D">
        <w:rPr>
          <w:szCs w:val="18"/>
        </w:rPr>
      </w:r>
      <w:r w:rsidR="0025028D" w:rsidRPr="0025028D">
        <w:rPr>
          <w:szCs w:val="18"/>
        </w:rPr>
        <w:fldChar w:fldCharType="separate"/>
      </w:r>
      <w:r w:rsidR="00141D7F" w:rsidRPr="00141D7F">
        <w:t xml:space="preserve">Table </w:t>
      </w:r>
      <w:r w:rsidR="00141D7F" w:rsidRPr="00141D7F">
        <w:rPr>
          <w:noProof/>
        </w:rPr>
        <w:t>3</w:t>
      </w:r>
      <w:r w:rsidR="00141D7F" w:rsidRPr="00141D7F">
        <w:rPr>
          <w:noProof/>
        </w:rPr>
        <w:noBreakHyphen/>
        <w:t>3</w:t>
      </w:r>
      <w:r w:rsidR="0025028D" w:rsidRPr="0025028D">
        <w:rPr>
          <w:szCs w:val="18"/>
        </w:rPr>
        <w:fldChar w:fldCharType="end"/>
      </w:r>
      <w:r w:rsidR="001D4A4A">
        <w:rPr>
          <w:szCs w:val="18"/>
        </w:rPr>
        <w:t xml:space="preserve">. There are no releases to </w:t>
      </w:r>
      <w:r w:rsidR="00D23222" w:rsidRPr="00D23222">
        <w:rPr>
          <w:szCs w:val="18"/>
        </w:rPr>
        <w:t>water, land</w:t>
      </w:r>
      <w:r w:rsidR="009E1C56">
        <w:rPr>
          <w:szCs w:val="18"/>
        </w:rPr>
        <w:t>,</w:t>
      </w:r>
      <w:r w:rsidR="00D23222" w:rsidRPr="00D23222">
        <w:rPr>
          <w:szCs w:val="18"/>
        </w:rPr>
        <w:t xml:space="preserve"> or in products</w:t>
      </w:r>
      <w:r w:rsidR="001D4A4A">
        <w:rPr>
          <w:szCs w:val="18"/>
        </w:rPr>
        <w:t>.</w:t>
      </w:r>
    </w:p>
    <w:p w14:paraId="7CD37A14" w14:textId="7C94EA17" w:rsidR="001D4A4A" w:rsidRDefault="00CA6E63" w:rsidP="00602B32">
      <w:pPr>
        <w:spacing w:after="0"/>
        <w:rPr>
          <w:szCs w:val="18"/>
        </w:rPr>
      </w:pPr>
      <w:r>
        <w:rPr>
          <w:szCs w:val="18"/>
        </w:rPr>
        <w:br w:type="page"/>
      </w:r>
    </w:p>
    <w:p w14:paraId="7C1BAA1B" w14:textId="68DC31E0" w:rsidR="001D4A4A" w:rsidRPr="00A117FA" w:rsidRDefault="001D4A4A" w:rsidP="00101AA8">
      <w:pPr>
        <w:pStyle w:val="Caption"/>
        <w:jc w:val="left"/>
        <w:rPr>
          <w:rFonts w:cs="Arial"/>
          <w:szCs w:val="18"/>
        </w:rPr>
      </w:pPr>
      <w:bookmarkStart w:id="108" w:name="_Ref359648469"/>
      <w:r w:rsidRPr="00CF3E00">
        <w:rPr>
          <w:rFonts w:cs="Arial"/>
        </w:rPr>
        <w:lastRenderedPageBreak/>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3</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3</w:t>
      </w:r>
      <w:r w:rsidR="00C17BA5">
        <w:rPr>
          <w:rFonts w:cs="Arial"/>
        </w:rPr>
        <w:fldChar w:fldCharType="end"/>
      </w:r>
      <w:bookmarkEnd w:id="108"/>
      <w:r w:rsidRPr="00CF3E00">
        <w:rPr>
          <w:rFonts w:cs="Arial"/>
        </w:rPr>
        <w:t>:</w:t>
      </w:r>
      <w:r w:rsidRPr="00A117FA">
        <w:rPr>
          <w:rFonts w:cs="Arial"/>
        </w:rPr>
        <w:t xml:space="preserve"> </w:t>
      </w:r>
      <w:r w:rsidR="005935AE">
        <w:rPr>
          <w:rFonts w:cs="Arial"/>
        </w:rPr>
        <w:t>Dioxin</w:t>
      </w:r>
      <w:r w:rsidRPr="00A117FA">
        <w:rPr>
          <w:rFonts w:cs="Arial"/>
        </w:rPr>
        <w:t xml:space="preserve"> releases from </w:t>
      </w:r>
      <w:r w:rsidR="00D23222">
        <w:rPr>
          <w:rFonts w:cs="Arial"/>
        </w:rPr>
        <w:t>sewage sludge</w:t>
      </w:r>
      <w:r w:rsidRPr="00A117FA">
        <w:rPr>
          <w:rFonts w:cs="Arial"/>
        </w:rPr>
        <w:t xml:space="preserve"> incineration</w:t>
      </w:r>
    </w:p>
    <w:tbl>
      <w:tblPr>
        <w:tblStyle w:val="TableGrid"/>
        <w:tblW w:w="9061" w:type="dxa"/>
        <w:tblLook w:val="04A0" w:firstRow="1" w:lastRow="0" w:firstColumn="1" w:lastColumn="0" w:noHBand="0" w:noVBand="1"/>
      </w:tblPr>
      <w:tblGrid>
        <w:gridCol w:w="2131"/>
        <w:gridCol w:w="1792"/>
        <w:gridCol w:w="1259"/>
        <w:gridCol w:w="1279"/>
        <w:gridCol w:w="1276"/>
        <w:gridCol w:w="1324"/>
      </w:tblGrid>
      <w:tr w:rsidR="001D4A4A" w:rsidRPr="00956589" w14:paraId="4074AE0A" w14:textId="77777777" w:rsidTr="00A00647">
        <w:tc>
          <w:tcPr>
            <w:tcW w:w="2131" w:type="dxa"/>
            <w:vMerge w:val="restart"/>
            <w:vAlign w:val="center"/>
          </w:tcPr>
          <w:p w14:paraId="4C59CFBC" w14:textId="77777777" w:rsidR="001D4A4A" w:rsidRPr="00956589" w:rsidRDefault="00C83777" w:rsidP="004D05B7">
            <w:pPr>
              <w:spacing w:before="120"/>
              <w:jc w:val="center"/>
              <w:rPr>
                <w:rFonts w:ascii="Arial" w:hAnsi="Arial" w:cs="Arial"/>
                <w:b/>
                <w:sz w:val="16"/>
                <w:szCs w:val="16"/>
              </w:rPr>
            </w:pPr>
            <w:r>
              <w:rPr>
                <w:rFonts w:ascii="Arial" w:hAnsi="Arial" w:cs="Arial"/>
                <w:b/>
                <w:sz w:val="16"/>
                <w:szCs w:val="16"/>
              </w:rPr>
              <w:t>Year</w:t>
            </w:r>
          </w:p>
        </w:tc>
        <w:tc>
          <w:tcPr>
            <w:tcW w:w="1792" w:type="dxa"/>
            <w:vMerge w:val="restart"/>
            <w:vAlign w:val="center"/>
          </w:tcPr>
          <w:p w14:paraId="2C8337F0" w14:textId="78E27F1A"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Activity Rate, tonnes</w:t>
            </w:r>
            <w:r w:rsidR="00CE241D">
              <w:rPr>
                <w:rFonts w:ascii="Arial" w:hAnsi="Arial" w:cs="Arial"/>
                <w:b/>
                <w:sz w:val="16"/>
                <w:szCs w:val="16"/>
              </w:rPr>
              <w:t xml:space="preserve"> of waste</w:t>
            </w:r>
            <w:r w:rsidRPr="00956589">
              <w:rPr>
                <w:rFonts w:ascii="Arial" w:hAnsi="Arial" w:cs="Arial"/>
                <w:b/>
                <w:sz w:val="16"/>
                <w:szCs w:val="16"/>
              </w:rPr>
              <w:t>/year</w:t>
            </w:r>
          </w:p>
        </w:tc>
        <w:tc>
          <w:tcPr>
            <w:tcW w:w="2538" w:type="dxa"/>
            <w:gridSpan w:val="2"/>
            <w:vAlign w:val="center"/>
          </w:tcPr>
          <w:p w14:paraId="4105C775" w14:textId="2B361713"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 xml:space="preserve">Release factors, µg </w:t>
            </w:r>
            <w:r w:rsidR="0009594D">
              <w:rPr>
                <w:rFonts w:ascii="Arial" w:hAnsi="Arial" w:cs="Arial"/>
                <w:b/>
                <w:sz w:val="16"/>
                <w:szCs w:val="16"/>
              </w:rPr>
              <w:t>TEQ</w:t>
            </w:r>
            <w:r w:rsidRPr="00956589">
              <w:rPr>
                <w:rFonts w:ascii="Arial" w:hAnsi="Arial" w:cs="Arial"/>
                <w:b/>
                <w:sz w:val="16"/>
                <w:szCs w:val="16"/>
              </w:rPr>
              <w:t>/t</w:t>
            </w:r>
          </w:p>
        </w:tc>
        <w:tc>
          <w:tcPr>
            <w:tcW w:w="2600" w:type="dxa"/>
            <w:gridSpan w:val="2"/>
            <w:vAlign w:val="center"/>
          </w:tcPr>
          <w:p w14:paraId="15C1A21B" w14:textId="551FFA8F"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 xml:space="preserve">Annual releases (g </w:t>
            </w:r>
            <w:r w:rsidR="0009594D">
              <w:rPr>
                <w:rFonts w:ascii="Arial" w:hAnsi="Arial" w:cs="Arial"/>
                <w:b/>
                <w:sz w:val="16"/>
                <w:szCs w:val="16"/>
              </w:rPr>
              <w:t>TEQ</w:t>
            </w:r>
            <w:r w:rsidRPr="00956589">
              <w:rPr>
                <w:rFonts w:ascii="Arial" w:hAnsi="Arial" w:cs="Arial"/>
                <w:b/>
                <w:sz w:val="16"/>
                <w:szCs w:val="16"/>
              </w:rPr>
              <w:t>/yr)</w:t>
            </w:r>
          </w:p>
        </w:tc>
      </w:tr>
      <w:tr w:rsidR="001D4A4A" w:rsidRPr="00956589" w14:paraId="2C4742F7" w14:textId="77777777" w:rsidTr="00A00647">
        <w:tc>
          <w:tcPr>
            <w:tcW w:w="2131" w:type="dxa"/>
            <w:vMerge/>
          </w:tcPr>
          <w:p w14:paraId="5745935E" w14:textId="77777777" w:rsidR="001D4A4A" w:rsidRPr="00956589" w:rsidRDefault="001D4A4A" w:rsidP="004D05B7">
            <w:pPr>
              <w:spacing w:before="120"/>
              <w:jc w:val="both"/>
              <w:rPr>
                <w:rFonts w:ascii="Arial" w:hAnsi="Arial" w:cs="Arial"/>
                <w:sz w:val="16"/>
                <w:szCs w:val="16"/>
              </w:rPr>
            </w:pPr>
          </w:p>
        </w:tc>
        <w:tc>
          <w:tcPr>
            <w:tcW w:w="1792" w:type="dxa"/>
            <w:vMerge/>
            <w:vAlign w:val="center"/>
          </w:tcPr>
          <w:p w14:paraId="23335FE8" w14:textId="77777777" w:rsidR="001D4A4A" w:rsidRPr="00956589" w:rsidRDefault="001D4A4A" w:rsidP="004D05B7">
            <w:pPr>
              <w:spacing w:before="120"/>
              <w:jc w:val="center"/>
              <w:rPr>
                <w:rFonts w:ascii="Arial" w:hAnsi="Arial" w:cs="Arial"/>
                <w:sz w:val="16"/>
                <w:szCs w:val="16"/>
              </w:rPr>
            </w:pPr>
          </w:p>
        </w:tc>
        <w:tc>
          <w:tcPr>
            <w:tcW w:w="1259" w:type="dxa"/>
            <w:vAlign w:val="center"/>
          </w:tcPr>
          <w:p w14:paraId="04F30A32" w14:textId="77777777"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Air</w:t>
            </w:r>
          </w:p>
        </w:tc>
        <w:tc>
          <w:tcPr>
            <w:tcW w:w="1279" w:type="dxa"/>
            <w:vAlign w:val="center"/>
          </w:tcPr>
          <w:p w14:paraId="7ADADB81" w14:textId="77777777"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Residues</w:t>
            </w:r>
          </w:p>
        </w:tc>
        <w:tc>
          <w:tcPr>
            <w:tcW w:w="1276" w:type="dxa"/>
            <w:vAlign w:val="center"/>
          </w:tcPr>
          <w:p w14:paraId="3923DEAC" w14:textId="77777777"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 xml:space="preserve">Air </w:t>
            </w:r>
          </w:p>
        </w:tc>
        <w:tc>
          <w:tcPr>
            <w:tcW w:w="1324" w:type="dxa"/>
            <w:vAlign w:val="center"/>
          </w:tcPr>
          <w:p w14:paraId="30223B3C" w14:textId="77777777" w:rsidR="001D4A4A" w:rsidRPr="00956589" w:rsidRDefault="001D4A4A" w:rsidP="004D05B7">
            <w:pPr>
              <w:spacing w:before="120"/>
              <w:jc w:val="center"/>
              <w:rPr>
                <w:rFonts w:ascii="Arial" w:hAnsi="Arial" w:cs="Arial"/>
                <w:b/>
                <w:sz w:val="16"/>
                <w:szCs w:val="16"/>
              </w:rPr>
            </w:pPr>
            <w:r w:rsidRPr="00956589">
              <w:rPr>
                <w:rFonts w:ascii="Arial" w:hAnsi="Arial" w:cs="Arial"/>
                <w:b/>
                <w:sz w:val="16"/>
                <w:szCs w:val="16"/>
              </w:rPr>
              <w:t>Residues</w:t>
            </w:r>
          </w:p>
        </w:tc>
      </w:tr>
      <w:tr w:rsidR="00752880" w:rsidRPr="00956589" w14:paraId="6F2474A5" w14:textId="77777777" w:rsidTr="00A00647">
        <w:tc>
          <w:tcPr>
            <w:tcW w:w="2131" w:type="dxa"/>
            <w:vMerge w:val="restart"/>
            <w:vAlign w:val="center"/>
          </w:tcPr>
          <w:p w14:paraId="44E0D339" w14:textId="29E24B39" w:rsidR="00752880" w:rsidRPr="00956589" w:rsidRDefault="00752880" w:rsidP="004D05B7">
            <w:pPr>
              <w:spacing w:before="120"/>
              <w:rPr>
                <w:rFonts w:ascii="Arial" w:hAnsi="Arial" w:cs="Arial"/>
                <w:b/>
                <w:sz w:val="16"/>
                <w:szCs w:val="16"/>
              </w:rPr>
            </w:pPr>
            <w:r>
              <w:rPr>
                <w:rFonts w:ascii="Arial" w:hAnsi="Arial" w:cs="Arial"/>
                <w:b/>
                <w:sz w:val="16"/>
                <w:szCs w:val="16"/>
              </w:rPr>
              <w:t>2012</w:t>
            </w:r>
          </w:p>
        </w:tc>
        <w:tc>
          <w:tcPr>
            <w:tcW w:w="1792" w:type="dxa"/>
            <w:vMerge w:val="restart"/>
            <w:vAlign w:val="center"/>
          </w:tcPr>
          <w:p w14:paraId="00141537" w14:textId="696C9203" w:rsidR="00752880" w:rsidRPr="00956589" w:rsidRDefault="00752880" w:rsidP="004D05B7">
            <w:pPr>
              <w:spacing w:before="120"/>
              <w:jc w:val="center"/>
              <w:rPr>
                <w:rFonts w:ascii="Arial" w:hAnsi="Arial" w:cs="Arial"/>
                <w:sz w:val="16"/>
                <w:szCs w:val="16"/>
              </w:rPr>
            </w:pPr>
            <w:r>
              <w:rPr>
                <w:rFonts w:ascii="Arial" w:hAnsi="Arial" w:cs="Arial"/>
                <w:sz w:val="16"/>
                <w:szCs w:val="16"/>
              </w:rPr>
              <w:t>17</w:t>
            </w:r>
            <w:r w:rsidRPr="00956589">
              <w:rPr>
                <w:rFonts w:ascii="Arial" w:hAnsi="Arial" w:cs="Arial"/>
                <w:sz w:val="16"/>
                <w:szCs w:val="16"/>
              </w:rPr>
              <w:t>00</w:t>
            </w:r>
          </w:p>
        </w:tc>
        <w:tc>
          <w:tcPr>
            <w:tcW w:w="1259" w:type="dxa"/>
            <w:vAlign w:val="center"/>
          </w:tcPr>
          <w:p w14:paraId="1D7E9ADA" w14:textId="052A61CC" w:rsidR="00752880" w:rsidRPr="00956589" w:rsidRDefault="00752880" w:rsidP="004D05B7">
            <w:pPr>
              <w:spacing w:before="120"/>
              <w:jc w:val="center"/>
              <w:rPr>
                <w:rFonts w:ascii="Arial" w:hAnsi="Arial" w:cs="Arial"/>
                <w:sz w:val="16"/>
                <w:szCs w:val="16"/>
              </w:rPr>
            </w:pPr>
            <w:r>
              <w:rPr>
                <w:rFonts w:ascii="Arial" w:hAnsi="Arial" w:cs="Arial"/>
                <w:sz w:val="16"/>
                <w:szCs w:val="16"/>
              </w:rPr>
              <w:t>0.057</w:t>
            </w:r>
          </w:p>
        </w:tc>
        <w:tc>
          <w:tcPr>
            <w:tcW w:w="1279" w:type="dxa"/>
            <w:vAlign w:val="center"/>
          </w:tcPr>
          <w:p w14:paraId="1D0755B2" w14:textId="45F68761" w:rsidR="00752880" w:rsidRPr="00956589" w:rsidRDefault="00752880" w:rsidP="004D05B7">
            <w:pPr>
              <w:spacing w:before="120"/>
              <w:jc w:val="center"/>
              <w:rPr>
                <w:rFonts w:ascii="Arial" w:hAnsi="Arial" w:cs="Arial"/>
                <w:sz w:val="16"/>
                <w:szCs w:val="16"/>
              </w:rPr>
            </w:pPr>
            <w:r>
              <w:rPr>
                <w:rFonts w:ascii="Arial" w:hAnsi="Arial" w:cs="Arial"/>
                <w:sz w:val="16"/>
                <w:szCs w:val="16"/>
              </w:rPr>
              <w:t>-</w:t>
            </w:r>
          </w:p>
        </w:tc>
        <w:tc>
          <w:tcPr>
            <w:tcW w:w="1276" w:type="dxa"/>
            <w:vAlign w:val="center"/>
          </w:tcPr>
          <w:p w14:paraId="3D6F4D21" w14:textId="1DB47DE4" w:rsidR="00752880" w:rsidRPr="00956589" w:rsidRDefault="00752880" w:rsidP="004D05B7">
            <w:pPr>
              <w:spacing w:before="120"/>
              <w:jc w:val="center"/>
              <w:rPr>
                <w:rFonts w:ascii="Arial" w:hAnsi="Arial" w:cs="Arial"/>
                <w:sz w:val="16"/>
                <w:szCs w:val="16"/>
              </w:rPr>
            </w:pPr>
            <w:r w:rsidRPr="00956589">
              <w:rPr>
                <w:rFonts w:ascii="Arial" w:hAnsi="Arial" w:cs="Arial"/>
                <w:sz w:val="16"/>
                <w:szCs w:val="16"/>
              </w:rPr>
              <w:t>0.0</w:t>
            </w:r>
            <w:r>
              <w:rPr>
                <w:rFonts w:ascii="Arial" w:hAnsi="Arial" w:cs="Arial"/>
                <w:sz w:val="16"/>
                <w:szCs w:val="16"/>
              </w:rPr>
              <w:t>00097</w:t>
            </w:r>
          </w:p>
        </w:tc>
        <w:tc>
          <w:tcPr>
            <w:tcW w:w="1324" w:type="dxa"/>
            <w:vAlign w:val="center"/>
          </w:tcPr>
          <w:p w14:paraId="71EEBF0E" w14:textId="304E4BA7" w:rsidR="00752880" w:rsidRPr="00956589" w:rsidRDefault="00752880" w:rsidP="004D05B7">
            <w:pPr>
              <w:spacing w:before="120"/>
              <w:jc w:val="center"/>
              <w:rPr>
                <w:rFonts w:ascii="Arial" w:hAnsi="Arial" w:cs="Arial"/>
                <w:sz w:val="16"/>
                <w:szCs w:val="16"/>
              </w:rPr>
            </w:pPr>
            <w:r>
              <w:rPr>
                <w:rFonts w:ascii="Arial" w:hAnsi="Arial" w:cs="Arial"/>
                <w:sz w:val="16"/>
                <w:szCs w:val="16"/>
              </w:rPr>
              <w:t>-</w:t>
            </w:r>
          </w:p>
        </w:tc>
      </w:tr>
      <w:tr w:rsidR="00752880" w:rsidRPr="00956589" w14:paraId="4717FBA9" w14:textId="77777777" w:rsidTr="00A00647">
        <w:tc>
          <w:tcPr>
            <w:tcW w:w="2131" w:type="dxa"/>
            <w:vMerge/>
            <w:vAlign w:val="center"/>
          </w:tcPr>
          <w:p w14:paraId="499259DD" w14:textId="77777777" w:rsidR="00752880" w:rsidRDefault="00752880" w:rsidP="004D05B7">
            <w:pPr>
              <w:spacing w:before="120"/>
              <w:rPr>
                <w:rFonts w:ascii="Arial" w:hAnsi="Arial" w:cs="Arial"/>
                <w:b/>
                <w:sz w:val="16"/>
                <w:szCs w:val="16"/>
              </w:rPr>
            </w:pPr>
          </w:p>
        </w:tc>
        <w:tc>
          <w:tcPr>
            <w:tcW w:w="1792" w:type="dxa"/>
            <w:vMerge/>
            <w:vAlign w:val="center"/>
          </w:tcPr>
          <w:p w14:paraId="0E8E4C4E" w14:textId="77777777" w:rsidR="00752880" w:rsidRDefault="00752880" w:rsidP="004D05B7">
            <w:pPr>
              <w:spacing w:before="120"/>
              <w:jc w:val="center"/>
              <w:rPr>
                <w:rFonts w:ascii="Arial" w:hAnsi="Arial" w:cs="Arial"/>
                <w:sz w:val="16"/>
                <w:szCs w:val="16"/>
              </w:rPr>
            </w:pPr>
          </w:p>
        </w:tc>
        <w:tc>
          <w:tcPr>
            <w:tcW w:w="1259" w:type="dxa"/>
            <w:vAlign w:val="center"/>
          </w:tcPr>
          <w:p w14:paraId="0411F7B9" w14:textId="46B90582" w:rsidR="00752880" w:rsidRDefault="00752880" w:rsidP="004D05B7">
            <w:pPr>
              <w:spacing w:before="120"/>
              <w:jc w:val="center"/>
              <w:rPr>
                <w:rFonts w:ascii="Arial" w:hAnsi="Arial" w:cs="Arial"/>
                <w:sz w:val="16"/>
                <w:szCs w:val="16"/>
              </w:rPr>
            </w:pPr>
            <w:r>
              <w:rPr>
                <w:rFonts w:ascii="Arial" w:hAnsi="Arial" w:cs="Arial"/>
                <w:sz w:val="16"/>
                <w:szCs w:val="16"/>
              </w:rPr>
              <w:t>-</w:t>
            </w:r>
          </w:p>
        </w:tc>
        <w:tc>
          <w:tcPr>
            <w:tcW w:w="1279" w:type="dxa"/>
            <w:vAlign w:val="center"/>
          </w:tcPr>
          <w:p w14:paraId="40592E34" w14:textId="43151CC6" w:rsidR="00752880" w:rsidRPr="00956589" w:rsidRDefault="00752880" w:rsidP="004D05B7">
            <w:pPr>
              <w:spacing w:before="120"/>
              <w:jc w:val="center"/>
              <w:rPr>
                <w:rFonts w:ascii="Arial" w:hAnsi="Arial" w:cs="Arial"/>
                <w:sz w:val="16"/>
                <w:szCs w:val="16"/>
              </w:rPr>
            </w:pPr>
            <w:r w:rsidRPr="00956589">
              <w:rPr>
                <w:rFonts w:ascii="Arial" w:hAnsi="Arial" w:cs="Arial"/>
                <w:sz w:val="16"/>
                <w:szCs w:val="16"/>
              </w:rPr>
              <w:t>0</w:t>
            </w:r>
            <w:r>
              <w:rPr>
                <w:rFonts w:ascii="Arial" w:hAnsi="Arial" w:cs="Arial"/>
                <w:sz w:val="16"/>
                <w:szCs w:val="16"/>
              </w:rPr>
              <w:t>.5</w:t>
            </w:r>
          </w:p>
        </w:tc>
        <w:tc>
          <w:tcPr>
            <w:tcW w:w="1276" w:type="dxa"/>
            <w:vAlign w:val="center"/>
          </w:tcPr>
          <w:p w14:paraId="384E4AFF" w14:textId="1BFDBBE3" w:rsidR="00752880" w:rsidRPr="00956589" w:rsidRDefault="00752880" w:rsidP="004D05B7">
            <w:pPr>
              <w:spacing w:before="120"/>
              <w:jc w:val="center"/>
              <w:rPr>
                <w:rFonts w:ascii="Arial" w:hAnsi="Arial" w:cs="Arial"/>
                <w:sz w:val="16"/>
                <w:szCs w:val="16"/>
              </w:rPr>
            </w:pPr>
            <w:r>
              <w:rPr>
                <w:rFonts w:ascii="Arial" w:hAnsi="Arial" w:cs="Arial"/>
                <w:sz w:val="16"/>
                <w:szCs w:val="16"/>
              </w:rPr>
              <w:t>-</w:t>
            </w:r>
          </w:p>
        </w:tc>
        <w:tc>
          <w:tcPr>
            <w:tcW w:w="1324" w:type="dxa"/>
            <w:vAlign w:val="center"/>
          </w:tcPr>
          <w:p w14:paraId="2E9FE4C4" w14:textId="701DB2C7" w:rsidR="00752880" w:rsidRPr="00956589" w:rsidRDefault="00752880" w:rsidP="004D05B7">
            <w:pPr>
              <w:spacing w:before="120"/>
              <w:jc w:val="center"/>
              <w:rPr>
                <w:rFonts w:ascii="Arial" w:hAnsi="Arial" w:cs="Arial"/>
                <w:sz w:val="16"/>
                <w:szCs w:val="16"/>
              </w:rPr>
            </w:pPr>
            <w:r w:rsidRPr="00956589">
              <w:rPr>
                <w:rFonts w:ascii="Arial" w:hAnsi="Arial" w:cs="Arial"/>
                <w:sz w:val="16"/>
                <w:szCs w:val="16"/>
              </w:rPr>
              <w:t>0.00</w:t>
            </w:r>
            <w:r>
              <w:rPr>
                <w:rFonts w:ascii="Arial" w:hAnsi="Arial" w:cs="Arial"/>
                <w:sz w:val="16"/>
                <w:szCs w:val="16"/>
              </w:rPr>
              <w:t>085</w:t>
            </w:r>
          </w:p>
        </w:tc>
      </w:tr>
      <w:tr w:rsidR="00752880" w:rsidRPr="00956589" w14:paraId="148B1221" w14:textId="77777777" w:rsidTr="00A00647">
        <w:tc>
          <w:tcPr>
            <w:tcW w:w="2131" w:type="dxa"/>
            <w:vMerge w:val="restart"/>
            <w:vAlign w:val="center"/>
          </w:tcPr>
          <w:p w14:paraId="649BC1D2" w14:textId="1782E8AD" w:rsidR="00752880" w:rsidRPr="00956589" w:rsidRDefault="00752880" w:rsidP="009404EE">
            <w:pPr>
              <w:spacing w:before="120"/>
              <w:rPr>
                <w:rFonts w:ascii="Arial" w:hAnsi="Arial" w:cs="Arial"/>
                <w:b/>
                <w:sz w:val="16"/>
                <w:szCs w:val="16"/>
              </w:rPr>
            </w:pPr>
            <w:r>
              <w:rPr>
                <w:rFonts w:ascii="Arial" w:hAnsi="Arial" w:cs="Arial"/>
                <w:b/>
                <w:sz w:val="16"/>
                <w:szCs w:val="16"/>
              </w:rPr>
              <w:t>2016</w:t>
            </w:r>
          </w:p>
        </w:tc>
        <w:tc>
          <w:tcPr>
            <w:tcW w:w="1792" w:type="dxa"/>
            <w:vMerge w:val="restart"/>
            <w:vAlign w:val="center"/>
          </w:tcPr>
          <w:p w14:paraId="46677413" w14:textId="1424F85C" w:rsidR="00752880" w:rsidRPr="00956589" w:rsidRDefault="00752880" w:rsidP="009404EE">
            <w:pPr>
              <w:spacing w:before="120"/>
              <w:jc w:val="center"/>
              <w:rPr>
                <w:rFonts w:ascii="Arial" w:hAnsi="Arial" w:cs="Arial"/>
                <w:sz w:val="16"/>
                <w:szCs w:val="16"/>
              </w:rPr>
            </w:pPr>
            <w:r>
              <w:rPr>
                <w:rFonts w:ascii="Arial" w:hAnsi="Arial" w:cs="Arial"/>
                <w:sz w:val="16"/>
                <w:szCs w:val="16"/>
              </w:rPr>
              <w:t>1424</w:t>
            </w:r>
          </w:p>
        </w:tc>
        <w:tc>
          <w:tcPr>
            <w:tcW w:w="1259" w:type="dxa"/>
            <w:vAlign w:val="center"/>
          </w:tcPr>
          <w:p w14:paraId="09DCCE21" w14:textId="6958AE25" w:rsidR="00752880" w:rsidRPr="00956589" w:rsidRDefault="00752880" w:rsidP="009404EE">
            <w:pPr>
              <w:spacing w:before="120"/>
              <w:jc w:val="center"/>
              <w:rPr>
                <w:rFonts w:ascii="Arial" w:hAnsi="Arial" w:cs="Arial"/>
                <w:sz w:val="16"/>
                <w:szCs w:val="16"/>
              </w:rPr>
            </w:pPr>
            <w:r>
              <w:rPr>
                <w:rFonts w:ascii="Arial" w:hAnsi="Arial" w:cs="Arial"/>
                <w:sz w:val="16"/>
                <w:szCs w:val="16"/>
              </w:rPr>
              <w:t>0.160</w:t>
            </w:r>
          </w:p>
        </w:tc>
        <w:tc>
          <w:tcPr>
            <w:tcW w:w="1279" w:type="dxa"/>
            <w:vAlign w:val="center"/>
          </w:tcPr>
          <w:p w14:paraId="76DC7791" w14:textId="0A1DC1A6" w:rsidR="00752880" w:rsidRPr="00956589" w:rsidRDefault="00752880" w:rsidP="009404EE">
            <w:pPr>
              <w:spacing w:before="120"/>
              <w:jc w:val="center"/>
              <w:rPr>
                <w:rFonts w:ascii="Arial" w:hAnsi="Arial" w:cs="Arial"/>
                <w:sz w:val="16"/>
                <w:szCs w:val="16"/>
              </w:rPr>
            </w:pPr>
            <w:r>
              <w:rPr>
                <w:rFonts w:ascii="Arial" w:hAnsi="Arial" w:cs="Arial"/>
                <w:sz w:val="16"/>
                <w:szCs w:val="16"/>
              </w:rPr>
              <w:t>-</w:t>
            </w:r>
          </w:p>
        </w:tc>
        <w:tc>
          <w:tcPr>
            <w:tcW w:w="1276" w:type="dxa"/>
            <w:vAlign w:val="center"/>
          </w:tcPr>
          <w:p w14:paraId="02E3DCA2" w14:textId="329AA89D" w:rsidR="00752880" w:rsidRPr="00956589" w:rsidRDefault="00752880" w:rsidP="009404EE">
            <w:pPr>
              <w:spacing w:before="120"/>
              <w:jc w:val="center"/>
              <w:rPr>
                <w:rFonts w:ascii="Arial" w:hAnsi="Arial" w:cs="Arial"/>
                <w:sz w:val="16"/>
                <w:szCs w:val="16"/>
              </w:rPr>
            </w:pPr>
            <w:r>
              <w:rPr>
                <w:rFonts w:ascii="Arial" w:hAnsi="Arial" w:cs="Arial"/>
                <w:sz w:val="16"/>
                <w:szCs w:val="16"/>
              </w:rPr>
              <w:t>0.000228</w:t>
            </w:r>
          </w:p>
        </w:tc>
        <w:tc>
          <w:tcPr>
            <w:tcW w:w="1324" w:type="dxa"/>
            <w:vAlign w:val="center"/>
          </w:tcPr>
          <w:p w14:paraId="7A93D624" w14:textId="7243686C" w:rsidR="00752880" w:rsidRPr="00956589" w:rsidRDefault="00752880" w:rsidP="009404EE">
            <w:pPr>
              <w:spacing w:before="120"/>
              <w:jc w:val="center"/>
              <w:rPr>
                <w:rFonts w:ascii="Arial" w:hAnsi="Arial" w:cs="Arial"/>
                <w:sz w:val="16"/>
                <w:szCs w:val="16"/>
              </w:rPr>
            </w:pPr>
            <w:r>
              <w:rPr>
                <w:rFonts w:ascii="Arial" w:hAnsi="Arial" w:cs="Arial"/>
                <w:sz w:val="16"/>
                <w:szCs w:val="16"/>
              </w:rPr>
              <w:t>-</w:t>
            </w:r>
          </w:p>
        </w:tc>
      </w:tr>
      <w:tr w:rsidR="00752880" w:rsidRPr="00956589" w14:paraId="3BA26F3C" w14:textId="77777777" w:rsidTr="00A00647">
        <w:tc>
          <w:tcPr>
            <w:tcW w:w="2131" w:type="dxa"/>
            <w:vMerge/>
            <w:vAlign w:val="center"/>
          </w:tcPr>
          <w:p w14:paraId="672815B8" w14:textId="77777777" w:rsidR="00752880" w:rsidRDefault="00752880" w:rsidP="009404EE">
            <w:pPr>
              <w:spacing w:before="120"/>
              <w:rPr>
                <w:rFonts w:ascii="Arial" w:hAnsi="Arial" w:cs="Arial"/>
                <w:b/>
                <w:sz w:val="16"/>
                <w:szCs w:val="16"/>
              </w:rPr>
            </w:pPr>
          </w:p>
        </w:tc>
        <w:tc>
          <w:tcPr>
            <w:tcW w:w="1792" w:type="dxa"/>
            <w:vMerge/>
            <w:vAlign w:val="center"/>
          </w:tcPr>
          <w:p w14:paraId="07D61986" w14:textId="77777777" w:rsidR="00752880" w:rsidRDefault="00752880" w:rsidP="009404EE">
            <w:pPr>
              <w:spacing w:before="120"/>
              <w:jc w:val="center"/>
              <w:rPr>
                <w:rFonts w:ascii="Arial" w:hAnsi="Arial" w:cs="Arial"/>
                <w:sz w:val="16"/>
                <w:szCs w:val="16"/>
              </w:rPr>
            </w:pPr>
          </w:p>
        </w:tc>
        <w:tc>
          <w:tcPr>
            <w:tcW w:w="1259" w:type="dxa"/>
            <w:vAlign w:val="center"/>
          </w:tcPr>
          <w:p w14:paraId="3B9DEFD0" w14:textId="1F09EBD3" w:rsidR="00752880" w:rsidRDefault="00752880" w:rsidP="009404EE">
            <w:pPr>
              <w:spacing w:before="120"/>
              <w:jc w:val="center"/>
              <w:rPr>
                <w:rFonts w:ascii="Arial" w:hAnsi="Arial" w:cs="Arial"/>
                <w:sz w:val="16"/>
                <w:szCs w:val="16"/>
              </w:rPr>
            </w:pPr>
            <w:r>
              <w:rPr>
                <w:rFonts w:ascii="Arial" w:hAnsi="Arial" w:cs="Arial"/>
                <w:sz w:val="16"/>
                <w:szCs w:val="16"/>
              </w:rPr>
              <w:t>-</w:t>
            </w:r>
          </w:p>
        </w:tc>
        <w:tc>
          <w:tcPr>
            <w:tcW w:w="1279" w:type="dxa"/>
            <w:vAlign w:val="center"/>
          </w:tcPr>
          <w:p w14:paraId="3505D900" w14:textId="5AA8C967" w:rsidR="00752880" w:rsidRPr="00956589" w:rsidRDefault="00752880" w:rsidP="009404EE">
            <w:pPr>
              <w:spacing w:before="120"/>
              <w:jc w:val="center"/>
              <w:rPr>
                <w:rFonts w:ascii="Arial" w:hAnsi="Arial" w:cs="Arial"/>
                <w:sz w:val="16"/>
                <w:szCs w:val="16"/>
              </w:rPr>
            </w:pPr>
            <w:r w:rsidRPr="00956589">
              <w:rPr>
                <w:rFonts w:ascii="Arial" w:hAnsi="Arial" w:cs="Arial"/>
                <w:sz w:val="16"/>
                <w:szCs w:val="16"/>
              </w:rPr>
              <w:t>0</w:t>
            </w:r>
            <w:r>
              <w:rPr>
                <w:rFonts w:ascii="Arial" w:hAnsi="Arial" w:cs="Arial"/>
                <w:sz w:val="16"/>
                <w:szCs w:val="16"/>
              </w:rPr>
              <w:t>.5</w:t>
            </w:r>
          </w:p>
        </w:tc>
        <w:tc>
          <w:tcPr>
            <w:tcW w:w="1276" w:type="dxa"/>
            <w:vAlign w:val="center"/>
          </w:tcPr>
          <w:p w14:paraId="3C62B80E" w14:textId="184366C3" w:rsidR="00752880" w:rsidRPr="00956589" w:rsidRDefault="00752880" w:rsidP="009404EE">
            <w:pPr>
              <w:spacing w:before="120"/>
              <w:jc w:val="center"/>
              <w:rPr>
                <w:rFonts w:ascii="Arial" w:hAnsi="Arial" w:cs="Arial"/>
                <w:sz w:val="16"/>
                <w:szCs w:val="16"/>
              </w:rPr>
            </w:pPr>
            <w:r>
              <w:rPr>
                <w:rFonts w:ascii="Arial" w:hAnsi="Arial" w:cs="Arial"/>
                <w:sz w:val="16"/>
                <w:szCs w:val="16"/>
              </w:rPr>
              <w:t>-</w:t>
            </w:r>
          </w:p>
        </w:tc>
        <w:tc>
          <w:tcPr>
            <w:tcW w:w="1324" w:type="dxa"/>
            <w:vAlign w:val="center"/>
          </w:tcPr>
          <w:p w14:paraId="323BCFDF" w14:textId="6CCA015B" w:rsidR="00752880" w:rsidRPr="00956589" w:rsidRDefault="00752880" w:rsidP="009404EE">
            <w:pPr>
              <w:spacing w:before="120"/>
              <w:jc w:val="center"/>
              <w:rPr>
                <w:rFonts w:ascii="Arial" w:hAnsi="Arial" w:cs="Arial"/>
                <w:sz w:val="16"/>
                <w:szCs w:val="16"/>
              </w:rPr>
            </w:pPr>
            <w:r w:rsidRPr="00956589">
              <w:rPr>
                <w:rFonts w:ascii="Arial" w:hAnsi="Arial" w:cs="Arial"/>
                <w:sz w:val="16"/>
                <w:szCs w:val="16"/>
              </w:rPr>
              <w:t>0.00</w:t>
            </w:r>
            <w:r>
              <w:rPr>
                <w:rFonts w:ascii="Arial" w:hAnsi="Arial" w:cs="Arial"/>
                <w:sz w:val="16"/>
                <w:szCs w:val="16"/>
              </w:rPr>
              <w:t>071</w:t>
            </w:r>
          </w:p>
        </w:tc>
      </w:tr>
      <w:tr w:rsidR="00CA6E63" w:rsidRPr="00956589" w14:paraId="5274EBBA" w14:textId="77777777" w:rsidTr="00A00647">
        <w:tc>
          <w:tcPr>
            <w:tcW w:w="2131" w:type="dxa"/>
            <w:vMerge w:val="restart"/>
            <w:vAlign w:val="center"/>
          </w:tcPr>
          <w:p w14:paraId="1B36B4FD" w14:textId="5C056582" w:rsidR="00CA6E63" w:rsidRDefault="00CA6E63" w:rsidP="009404EE">
            <w:pPr>
              <w:spacing w:before="120"/>
              <w:rPr>
                <w:rFonts w:ascii="Arial" w:hAnsi="Arial" w:cs="Arial"/>
                <w:b/>
                <w:sz w:val="16"/>
                <w:szCs w:val="16"/>
              </w:rPr>
            </w:pPr>
            <w:r>
              <w:rPr>
                <w:rFonts w:ascii="Arial" w:hAnsi="Arial" w:cs="Arial"/>
                <w:b/>
                <w:sz w:val="16"/>
                <w:szCs w:val="16"/>
              </w:rPr>
              <w:t>2020</w:t>
            </w:r>
          </w:p>
        </w:tc>
        <w:tc>
          <w:tcPr>
            <w:tcW w:w="1792" w:type="dxa"/>
            <w:vMerge w:val="restart"/>
            <w:vAlign w:val="center"/>
          </w:tcPr>
          <w:p w14:paraId="1CCA0489" w14:textId="6CA37C4B" w:rsidR="00CA6E63" w:rsidRDefault="00CA6E63" w:rsidP="009404EE">
            <w:pPr>
              <w:spacing w:before="120"/>
              <w:jc w:val="center"/>
              <w:rPr>
                <w:rFonts w:ascii="Arial" w:hAnsi="Arial" w:cs="Arial"/>
                <w:sz w:val="16"/>
                <w:szCs w:val="16"/>
              </w:rPr>
            </w:pPr>
            <w:r>
              <w:rPr>
                <w:rFonts w:ascii="Arial" w:hAnsi="Arial" w:cs="Arial"/>
                <w:sz w:val="16"/>
                <w:szCs w:val="16"/>
              </w:rPr>
              <w:t>1576</w:t>
            </w:r>
          </w:p>
        </w:tc>
        <w:tc>
          <w:tcPr>
            <w:tcW w:w="1259" w:type="dxa"/>
            <w:vAlign w:val="center"/>
          </w:tcPr>
          <w:p w14:paraId="0D1CBF35" w14:textId="7DAAB9A7" w:rsidR="00CA6E63" w:rsidRDefault="00CA6E63" w:rsidP="009404EE">
            <w:pPr>
              <w:spacing w:before="120"/>
              <w:jc w:val="center"/>
              <w:rPr>
                <w:rFonts w:ascii="Arial" w:hAnsi="Arial" w:cs="Arial"/>
                <w:sz w:val="16"/>
                <w:szCs w:val="16"/>
              </w:rPr>
            </w:pPr>
            <w:r>
              <w:rPr>
                <w:rFonts w:ascii="Arial" w:hAnsi="Arial" w:cs="Arial"/>
                <w:sz w:val="16"/>
                <w:szCs w:val="16"/>
              </w:rPr>
              <w:t>0.245</w:t>
            </w:r>
          </w:p>
        </w:tc>
        <w:tc>
          <w:tcPr>
            <w:tcW w:w="1279" w:type="dxa"/>
            <w:vAlign w:val="center"/>
          </w:tcPr>
          <w:p w14:paraId="22E01A04" w14:textId="77777777" w:rsidR="00CA6E63" w:rsidRPr="00956589" w:rsidRDefault="00CA6E63" w:rsidP="009404EE">
            <w:pPr>
              <w:spacing w:before="120"/>
              <w:jc w:val="center"/>
              <w:rPr>
                <w:rFonts w:ascii="Arial" w:hAnsi="Arial" w:cs="Arial"/>
                <w:sz w:val="16"/>
                <w:szCs w:val="16"/>
              </w:rPr>
            </w:pPr>
          </w:p>
        </w:tc>
        <w:tc>
          <w:tcPr>
            <w:tcW w:w="1276" w:type="dxa"/>
            <w:vAlign w:val="center"/>
          </w:tcPr>
          <w:p w14:paraId="0A52C30E" w14:textId="1F6DF0A3" w:rsidR="00CA6E63" w:rsidRDefault="004C5723" w:rsidP="009404EE">
            <w:pPr>
              <w:spacing w:before="120"/>
              <w:jc w:val="center"/>
              <w:rPr>
                <w:rFonts w:ascii="Arial" w:hAnsi="Arial" w:cs="Arial"/>
                <w:sz w:val="16"/>
                <w:szCs w:val="16"/>
              </w:rPr>
            </w:pPr>
            <w:r>
              <w:rPr>
                <w:rFonts w:ascii="Arial" w:hAnsi="Arial" w:cs="Arial"/>
                <w:sz w:val="16"/>
                <w:szCs w:val="16"/>
              </w:rPr>
              <w:t>0.000386</w:t>
            </w:r>
          </w:p>
        </w:tc>
        <w:tc>
          <w:tcPr>
            <w:tcW w:w="1324" w:type="dxa"/>
            <w:vAlign w:val="center"/>
          </w:tcPr>
          <w:p w14:paraId="24119B06" w14:textId="77777777" w:rsidR="00CA6E63" w:rsidRPr="00956589" w:rsidRDefault="00CA6E63" w:rsidP="009404EE">
            <w:pPr>
              <w:spacing w:before="120"/>
              <w:jc w:val="center"/>
              <w:rPr>
                <w:rFonts w:ascii="Arial" w:hAnsi="Arial" w:cs="Arial"/>
                <w:sz w:val="16"/>
                <w:szCs w:val="16"/>
              </w:rPr>
            </w:pPr>
          </w:p>
        </w:tc>
      </w:tr>
      <w:tr w:rsidR="00CA6E63" w:rsidRPr="00956589" w14:paraId="14B631BE" w14:textId="77777777" w:rsidTr="00A00647">
        <w:tc>
          <w:tcPr>
            <w:tcW w:w="2131" w:type="dxa"/>
            <w:vMerge/>
            <w:vAlign w:val="center"/>
          </w:tcPr>
          <w:p w14:paraId="263E5F25" w14:textId="77777777" w:rsidR="00CA6E63" w:rsidRDefault="00CA6E63" w:rsidP="009404EE">
            <w:pPr>
              <w:spacing w:before="120"/>
              <w:rPr>
                <w:rFonts w:ascii="Arial" w:hAnsi="Arial" w:cs="Arial"/>
                <w:b/>
                <w:sz w:val="16"/>
                <w:szCs w:val="16"/>
              </w:rPr>
            </w:pPr>
          </w:p>
        </w:tc>
        <w:tc>
          <w:tcPr>
            <w:tcW w:w="1792" w:type="dxa"/>
            <w:vMerge/>
            <w:vAlign w:val="center"/>
          </w:tcPr>
          <w:p w14:paraId="41D4D699" w14:textId="77777777" w:rsidR="00CA6E63" w:rsidRDefault="00CA6E63" w:rsidP="009404EE">
            <w:pPr>
              <w:spacing w:before="120"/>
              <w:jc w:val="center"/>
              <w:rPr>
                <w:rFonts w:ascii="Arial" w:hAnsi="Arial" w:cs="Arial"/>
                <w:sz w:val="16"/>
                <w:szCs w:val="16"/>
              </w:rPr>
            </w:pPr>
          </w:p>
        </w:tc>
        <w:tc>
          <w:tcPr>
            <w:tcW w:w="1259" w:type="dxa"/>
            <w:vAlign w:val="center"/>
          </w:tcPr>
          <w:p w14:paraId="1D39825A" w14:textId="77777777" w:rsidR="00CA6E63" w:rsidRDefault="00CA6E63" w:rsidP="009404EE">
            <w:pPr>
              <w:spacing w:before="120"/>
              <w:jc w:val="center"/>
              <w:rPr>
                <w:rFonts w:ascii="Arial" w:hAnsi="Arial" w:cs="Arial"/>
                <w:sz w:val="16"/>
                <w:szCs w:val="16"/>
              </w:rPr>
            </w:pPr>
          </w:p>
        </w:tc>
        <w:tc>
          <w:tcPr>
            <w:tcW w:w="1279" w:type="dxa"/>
            <w:vAlign w:val="center"/>
          </w:tcPr>
          <w:p w14:paraId="424A7735" w14:textId="5D5FB6CF" w:rsidR="00CA6E63" w:rsidRPr="00956589" w:rsidRDefault="00CA6E63" w:rsidP="009404EE">
            <w:pPr>
              <w:spacing w:before="120"/>
              <w:jc w:val="center"/>
              <w:rPr>
                <w:rFonts w:ascii="Arial" w:hAnsi="Arial" w:cs="Arial"/>
                <w:sz w:val="16"/>
                <w:szCs w:val="16"/>
              </w:rPr>
            </w:pPr>
            <w:r>
              <w:rPr>
                <w:rFonts w:ascii="Arial" w:hAnsi="Arial" w:cs="Arial"/>
                <w:sz w:val="16"/>
                <w:szCs w:val="16"/>
              </w:rPr>
              <w:t>0.5</w:t>
            </w:r>
          </w:p>
        </w:tc>
        <w:tc>
          <w:tcPr>
            <w:tcW w:w="1276" w:type="dxa"/>
            <w:vAlign w:val="center"/>
          </w:tcPr>
          <w:p w14:paraId="3DCC1527" w14:textId="77777777" w:rsidR="00CA6E63" w:rsidRDefault="00CA6E63" w:rsidP="009404EE">
            <w:pPr>
              <w:spacing w:before="120"/>
              <w:jc w:val="center"/>
              <w:rPr>
                <w:rFonts w:ascii="Arial" w:hAnsi="Arial" w:cs="Arial"/>
                <w:sz w:val="16"/>
                <w:szCs w:val="16"/>
              </w:rPr>
            </w:pPr>
          </w:p>
        </w:tc>
        <w:tc>
          <w:tcPr>
            <w:tcW w:w="1324" w:type="dxa"/>
            <w:vAlign w:val="center"/>
          </w:tcPr>
          <w:p w14:paraId="59545E65" w14:textId="3F3AD390" w:rsidR="00CA6E63" w:rsidRPr="00956589" w:rsidRDefault="004C5723" w:rsidP="009404EE">
            <w:pPr>
              <w:spacing w:before="120"/>
              <w:jc w:val="center"/>
              <w:rPr>
                <w:rFonts w:ascii="Arial" w:hAnsi="Arial" w:cs="Arial"/>
                <w:sz w:val="16"/>
                <w:szCs w:val="16"/>
              </w:rPr>
            </w:pPr>
            <w:r>
              <w:rPr>
                <w:rFonts w:ascii="Arial" w:hAnsi="Arial" w:cs="Arial"/>
                <w:sz w:val="16"/>
                <w:szCs w:val="16"/>
              </w:rPr>
              <w:t>0.000788</w:t>
            </w:r>
          </w:p>
        </w:tc>
      </w:tr>
    </w:tbl>
    <w:p w14:paraId="36432786" w14:textId="7B7F06FB" w:rsidR="001D4A4A" w:rsidRPr="00BE17CF" w:rsidRDefault="001D4A4A" w:rsidP="001D4A4A">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r w:rsidR="00FC3D5A">
        <w:rPr>
          <w:rFonts w:ascii="Arial" w:hAnsi="Arial" w:cs="Arial"/>
          <w:b/>
          <w:szCs w:val="18"/>
        </w:rPr>
        <w:t xml:space="preserve"> for 20</w:t>
      </w:r>
      <w:r w:rsidR="00CB2740">
        <w:rPr>
          <w:rFonts w:ascii="Arial" w:hAnsi="Arial" w:cs="Arial"/>
          <w:b/>
          <w:szCs w:val="18"/>
        </w:rPr>
        <w:t>20</w:t>
      </w:r>
    </w:p>
    <w:p w14:paraId="4950079C" w14:textId="494B375E" w:rsidR="001D4A4A" w:rsidRDefault="001D4A4A" w:rsidP="001D4A4A">
      <w:pPr>
        <w:tabs>
          <w:tab w:val="left" w:pos="1701"/>
        </w:tabs>
        <w:spacing w:after="0" w:line="300" w:lineRule="atLeast"/>
        <w:jc w:val="both"/>
        <w:rPr>
          <w:szCs w:val="18"/>
        </w:rPr>
      </w:pPr>
      <w:r>
        <w:rPr>
          <w:szCs w:val="18"/>
        </w:rPr>
        <w:t xml:space="preserve">Activity data: </w:t>
      </w:r>
      <w:r>
        <w:rPr>
          <w:szCs w:val="18"/>
        </w:rPr>
        <w:tab/>
      </w:r>
      <w:r w:rsidR="004C5723">
        <w:rPr>
          <w:szCs w:val="18"/>
        </w:rPr>
        <w:t>High</w:t>
      </w:r>
      <w:r>
        <w:rPr>
          <w:szCs w:val="18"/>
        </w:rPr>
        <w:t xml:space="preserve"> (because they are based on </w:t>
      </w:r>
      <w:r w:rsidR="004C5723">
        <w:rPr>
          <w:szCs w:val="18"/>
        </w:rPr>
        <w:t>recorded values)</w:t>
      </w:r>
    </w:p>
    <w:p w14:paraId="1E40D3E6" w14:textId="77777777" w:rsidR="001D4A4A" w:rsidRDefault="001D4A4A" w:rsidP="00862EEE">
      <w:pPr>
        <w:tabs>
          <w:tab w:val="left" w:pos="1701"/>
        </w:tabs>
        <w:spacing w:line="300" w:lineRule="atLeast"/>
        <w:ind w:left="1701" w:hanging="1701"/>
        <w:jc w:val="both"/>
        <w:rPr>
          <w:szCs w:val="18"/>
        </w:rPr>
      </w:pPr>
      <w:r>
        <w:rPr>
          <w:szCs w:val="18"/>
        </w:rPr>
        <w:t xml:space="preserve">Emission factors: </w:t>
      </w:r>
      <w:r>
        <w:rPr>
          <w:szCs w:val="18"/>
        </w:rPr>
        <w:tab/>
      </w:r>
      <w:r w:rsidR="00862EEE">
        <w:rPr>
          <w:szCs w:val="18"/>
        </w:rPr>
        <w:t>High</w:t>
      </w:r>
      <w:r>
        <w:rPr>
          <w:szCs w:val="18"/>
        </w:rPr>
        <w:t xml:space="preserve"> </w:t>
      </w:r>
      <w:r w:rsidR="009404EE">
        <w:rPr>
          <w:szCs w:val="18"/>
        </w:rPr>
        <w:t xml:space="preserve">for </w:t>
      </w:r>
      <w:r w:rsidR="00862EEE">
        <w:rPr>
          <w:szCs w:val="18"/>
        </w:rPr>
        <w:t xml:space="preserve">air and Low for residues </w:t>
      </w:r>
      <w:r>
        <w:rPr>
          <w:szCs w:val="18"/>
        </w:rPr>
        <w:t>(</w:t>
      </w:r>
      <w:r w:rsidRPr="00944DCC">
        <w:rPr>
          <w:szCs w:val="18"/>
        </w:rPr>
        <w:t xml:space="preserve">because </w:t>
      </w:r>
      <w:r>
        <w:rPr>
          <w:szCs w:val="18"/>
        </w:rPr>
        <w:t xml:space="preserve">they are based on </w:t>
      </w:r>
      <w:r w:rsidR="00862EEE">
        <w:rPr>
          <w:szCs w:val="18"/>
        </w:rPr>
        <w:t>emission test data and the Toolkit default factors, respectively</w:t>
      </w:r>
      <w:r>
        <w:rPr>
          <w:szCs w:val="18"/>
        </w:rPr>
        <w:t>)</w:t>
      </w:r>
    </w:p>
    <w:p w14:paraId="6FF49616" w14:textId="77777777" w:rsidR="004D05B7" w:rsidRDefault="004D05B7" w:rsidP="00261F78">
      <w:pPr>
        <w:pStyle w:val="Heading2"/>
      </w:pPr>
      <w:bookmarkStart w:id="109" w:name="_Toc112768069"/>
      <w:r>
        <w:t>Waste wood and waste biomass incineration</w:t>
      </w:r>
      <w:bookmarkEnd w:id="109"/>
    </w:p>
    <w:p w14:paraId="1142BF91" w14:textId="7C9029C0" w:rsidR="004D05B7" w:rsidRPr="00F13ABC" w:rsidRDefault="4AED3A1B" w:rsidP="004D05B7">
      <w:pPr>
        <w:spacing w:line="300" w:lineRule="atLeast"/>
        <w:jc w:val="both"/>
      </w:pPr>
      <w:r w:rsidRPr="0C34660A">
        <w:rPr>
          <w:lang w:val="en-US"/>
        </w:rPr>
        <w:t>S</w:t>
      </w:r>
      <w:r w:rsidR="7B3711DB" w:rsidRPr="0C34660A">
        <w:rPr>
          <w:lang w:val="en-US"/>
        </w:rPr>
        <w:t xml:space="preserve">chool incinerators are not </w:t>
      </w:r>
      <w:r w:rsidR="0C2B70F2">
        <w:t>specifically covered in the UNEP Toolkit</w:t>
      </w:r>
      <w:r w:rsidR="3B684459">
        <w:t xml:space="preserve">, but they fit </w:t>
      </w:r>
      <w:bookmarkStart w:id="110" w:name="_Int_kFqoOeT9"/>
      <w:r w:rsidR="3B684459">
        <w:t>reasonably well</w:t>
      </w:r>
      <w:bookmarkEnd w:id="110"/>
      <w:r w:rsidR="3B684459">
        <w:t xml:space="preserve"> in this sub-category because at least some of the school wastes can be considered as biomass.</w:t>
      </w:r>
    </w:p>
    <w:p w14:paraId="48BBE947" w14:textId="4304DF14" w:rsidR="003C573E" w:rsidRPr="00F13ABC" w:rsidRDefault="38A7E49E" w:rsidP="004D05B7">
      <w:pPr>
        <w:spacing w:line="300" w:lineRule="atLeast"/>
        <w:jc w:val="both"/>
      </w:pPr>
      <w:r>
        <w:t xml:space="preserve">For the </w:t>
      </w:r>
      <w:r w:rsidR="35EF1656">
        <w:t xml:space="preserve">2008 </w:t>
      </w:r>
      <w:r w:rsidR="4AED3A1B">
        <w:t xml:space="preserve">and 2012 Inventories </w:t>
      </w:r>
      <w:r>
        <w:t xml:space="preserve">it was </w:t>
      </w:r>
      <w:r w:rsidR="4AED3A1B">
        <w:t xml:space="preserve">estimated </w:t>
      </w:r>
      <w:r>
        <w:t xml:space="preserve">that there were </w:t>
      </w:r>
      <w:r w:rsidR="0E9F569E">
        <w:t xml:space="preserve">70 </w:t>
      </w:r>
      <w:r w:rsidR="4A8F8B7B">
        <w:t xml:space="preserve">school </w:t>
      </w:r>
      <w:r>
        <w:t xml:space="preserve">incinerators operating in New Zealand, </w:t>
      </w:r>
      <w:bookmarkStart w:id="111" w:name="_Int_geMg3MDW"/>
      <w:r>
        <w:t>mainly in</w:t>
      </w:r>
      <w:bookmarkEnd w:id="111"/>
      <w:r>
        <w:t xml:space="preserve"> small rural schools without easy access to waste collection services or </w:t>
      </w:r>
      <w:r w:rsidR="3ADC2B03">
        <w:t xml:space="preserve">a local waste transfer station. </w:t>
      </w:r>
      <w:r w:rsidR="21CBBC70">
        <w:t>The total waste quantity burned by these incinerators was estim</w:t>
      </w:r>
      <w:r w:rsidR="3ADC2B03">
        <w:t xml:space="preserve">ated to be 70 tonnes per year. </w:t>
      </w:r>
      <w:r>
        <w:t xml:space="preserve">The Ministry of Education </w:t>
      </w:r>
      <w:r w:rsidR="5EB00E4E">
        <w:t xml:space="preserve">was contacted to determine the number of school incinerators currently in operation. </w:t>
      </w:r>
      <w:r w:rsidR="371FF3BE">
        <w:t>There are 13 schools with existing and valid consents (S. Cruikshank, Ministry of Education, pers comm, 2022) and this number are assumed to have been operative in 2020.</w:t>
      </w:r>
      <w:r w:rsidR="0E9F569E">
        <w:t xml:space="preserve"> The </w:t>
      </w:r>
      <w:r w:rsidR="3B94DF35">
        <w:t xml:space="preserve">estimate of the </w:t>
      </w:r>
      <w:r w:rsidR="0E9F569E">
        <w:t xml:space="preserve">annual waste quantity burnt has been reduced proportionally to </w:t>
      </w:r>
      <w:r w:rsidR="371FF3BE">
        <w:t>13</w:t>
      </w:r>
      <w:r w:rsidR="0E9F569E">
        <w:t xml:space="preserve"> tonnes.</w:t>
      </w:r>
    </w:p>
    <w:p w14:paraId="6BF12D32" w14:textId="4B26F7BE" w:rsidR="004D05B7" w:rsidRPr="00F13ABC" w:rsidRDefault="00717712" w:rsidP="004D05B7">
      <w:pPr>
        <w:spacing w:line="300" w:lineRule="atLeast"/>
        <w:jc w:val="both"/>
        <w:rPr>
          <w:szCs w:val="18"/>
        </w:rPr>
      </w:pPr>
      <w:r w:rsidRPr="00F13ABC">
        <w:rPr>
          <w:szCs w:val="18"/>
        </w:rPr>
        <w:t>T</w:t>
      </w:r>
      <w:r w:rsidR="004D05B7" w:rsidRPr="00F13ABC">
        <w:rPr>
          <w:szCs w:val="18"/>
        </w:rPr>
        <w:t xml:space="preserve">he release estimates for </w:t>
      </w:r>
      <w:r w:rsidR="00AB616B">
        <w:rPr>
          <w:szCs w:val="18"/>
        </w:rPr>
        <w:t>2012</w:t>
      </w:r>
      <w:r w:rsidR="006C4FC0">
        <w:rPr>
          <w:szCs w:val="18"/>
        </w:rPr>
        <w:t xml:space="preserve">, </w:t>
      </w:r>
      <w:r w:rsidR="00AB616B">
        <w:rPr>
          <w:szCs w:val="18"/>
        </w:rPr>
        <w:t>2016</w:t>
      </w:r>
      <w:r w:rsidR="006C4FC0">
        <w:rPr>
          <w:szCs w:val="18"/>
        </w:rPr>
        <w:t xml:space="preserve"> and 2020</w:t>
      </w:r>
      <w:r w:rsidR="0025028D" w:rsidRPr="00F13ABC">
        <w:rPr>
          <w:szCs w:val="18"/>
        </w:rPr>
        <w:t>,</w:t>
      </w:r>
      <w:r w:rsidR="004D05B7" w:rsidRPr="00F13ABC">
        <w:rPr>
          <w:szCs w:val="18"/>
        </w:rPr>
        <w:t xml:space="preserve"> based on the</w:t>
      </w:r>
      <w:r w:rsidR="00D67FB0" w:rsidRPr="00F13ABC">
        <w:rPr>
          <w:szCs w:val="18"/>
        </w:rPr>
        <w:t xml:space="preserve"> default</w:t>
      </w:r>
      <w:r w:rsidR="004D05B7" w:rsidRPr="00F13ABC">
        <w:rPr>
          <w:szCs w:val="18"/>
        </w:rPr>
        <w:t xml:space="preserve"> factors </w:t>
      </w:r>
      <w:r w:rsidR="00D67FB0" w:rsidRPr="00F13ABC">
        <w:rPr>
          <w:szCs w:val="18"/>
        </w:rPr>
        <w:t>given in the UNEP Toolkit</w:t>
      </w:r>
      <w:r w:rsidR="0025028D" w:rsidRPr="00F13ABC">
        <w:rPr>
          <w:szCs w:val="18"/>
        </w:rPr>
        <w:t>,</w:t>
      </w:r>
      <w:r w:rsidR="00D67FB0" w:rsidRPr="00F13ABC">
        <w:rPr>
          <w:szCs w:val="18"/>
        </w:rPr>
        <w:t xml:space="preserve"> </w:t>
      </w:r>
      <w:r w:rsidR="004D05B7" w:rsidRPr="00F13ABC">
        <w:rPr>
          <w:szCs w:val="18"/>
        </w:rPr>
        <w:t xml:space="preserve">are shown in </w:t>
      </w:r>
      <w:r w:rsidR="0025028D" w:rsidRPr="00F13ABC">
        <w:rPr>
          <w:szCs w:val="18"/>
        </w:rPr>
        <w:fldChar w:fldCharType="begin"/>
      </w:r>
      <w:r w:rsidR="0025028D" w:rsidRPr="00F13ABC">
        <w:rPr>
          <w:szCs w:val="18"/>
        </w:rPr>
        <w:instrText xml:space="preserve"> REF _Ref359648439 \h  \* MERGEFORMAT </w:instrText>
      </w:r>
      <w:r w:rsidR="0025028D" w:rsidRPr="00F13ABC">
        <w:rPr>
          <w:szCs w:val="18"/>
        </w:rPr>
      </w:r>
      <w:r w:rsidR="0025028D" w:rsidRPr="00F13ABC">
        <w:rPr>
          <w:szCs w:val="18"/>
        </w:rPr>
        <w:fldChar w:fldCharType="separate"/>
      </w:r>
      <w:r w:rsidR="00141D7F" w:rsidRPr="00141D7F">
        <w:t xml:space="preserve">Table </w:t>
      </w:r>
      <w:r w:rsidR="00141D7F" w:rsidRPr="00141D7F">
        <w:rPr>
          <w:noProof/>
        </w:rPr>
        <w:t>3</w:t>
      </w:r>
      <w:r w:rsidR="00141D7F" w:rsidRPr="00141D7F">
        <w:rPr>
          <w:noProof/>
        </w:rPr>
        <w:noBreakHyphen/>
        <w:t>4</w:t>
      </w:r>
      <w:r w:rsidR="0025028D" w:rsidRPr="00F13ABC">
        <w:rPr>
          <w:szCs w:val="18"/>
        </w:rPr>
        <w:fldChar w:fldCharType="end"/>
      </w:r>
      <w:r w:rsidR="004D05B7" w:rsidRPr="00F13ABC">
        <w:rPr>
          <w:szCs w:val="18"/>
        </w:rPr>
        <w:t xml:space="preserve">. </w:t>
      </w:r>
      <w:r w:rsidR="00D23222" w:rsidRPr="00F13ABC">
        <w:rPr>
          <w:szCs w:val="18"/>
        </w:rPr>
        <w:t>There are no releases to</w:t>
      </w:r>
      <w:r w:rsidR="00646664" w:rsidRPr="00F13ABC">
        <w:rPr>
          <w:szCs w:val="18"/>
        </w:rPr>
        <w:t xml:space="preserve"> water</w:t>
      </w:r>
      <w:r w:rsidR="00D23222" w:rsidRPr="00F13ABC">
        <w:rPr>
          <w:szCs w:val="18"/>
        </w:rPr>
        <w:t>,</w:t>
      </w:r>
      <w:r w:rsidR="00646664" w:rsidRPr="00F13ABC">
        <w:rPr>
          <w:szCs w:val="18"/>
        </w:rPr>
        <w:t xml:space="preserve"> </w:t>
      </w:r>
      <w:r w:rsidR="00D23222" w:rsidRPr="00F13ABC">
        <w:rPr>
          <w:szCs w:val="18"/>
        </w:rPr>
        <w:t>land</w:t>
      </w:r>
      <w:r w:rsidR="00D7438E">
        <w:rPr>
          <w:szCs w:val="18"/>
        </w:rPr>
        <w:t>,</w:t>
      </w:r>
      <w:r w:rsidR="00D23222" w:rsidRPr="00F13ABC">
        <w:rPr>
          <w:szCs w:val="18"/>
        </w:rPr>
        <w:t xml:space="preserve"> </w:t>
      </w:r>
      <w:r w:rsidR="00646664" w:rsidRPr="00F13ABC">
        <w:rPr>
          <w:szCs w:val="18"/>
        </w:rPr>
        <w:t>or in products</w:t>
      </w:r>
      <w:r w:rsidR="004D05B7" w:rsidRPr="00F13ABC">
        <w:rPr>
          <w:szCs w:val="18"/>
        </w:rPr>
        <w:t>.</w:t>
      </w:r>
    </w:p>
    <w:p w14:paraId="1E5FC04A" w14:textId="16E7560B" w:rsidR="004D05B7" w:rsidRPr="00F13ABC" w:rsidRDefault="004D05B7" w:rsidP="00101AA8">
      <w:pPr>
        <w:pStyle w:val="Caption"/>
        <w:jc w:val="left"/>
        <w:rPr>
          <w:rFonts w:cs="Arial"/>
          <w:szCs w:val="18"/>
        </w:rPr>
      </w:pPr>
      <w:bookmarkStart w:id="112" w:name="_Ref359648439"/>
      <w:r w:rsidRPr="00F13ABC">
        <w:rPr>
          <w:rFonts w:cs="Arial"/>
        </w:rPr>
        <w:t xml:space="preserve">Table </w:t>
      </w:r>
      <w:r w:rsidR="00C17BA5" w:rsidRPr="00F13ABC">
        <w:rPr>
          <w:rFonts w:cs="Arial"/>
        </w:rPr>
        <w:fldChar w:fldCharType="begin"/>
      </w:r>
      <w:r w:rsidR="00C17BA5" w:rsidRPr="00F13ABC">
        <w:rPr>
          <w:rFonts w:cs="Arial"/>
        </w:rPr>
        <w:instrText xml:space="preserve"> STYLEREF 1 \s </w:instrText>
      </w:r>
      <w:r w:rsidR="00C17BA5" w:rsidRPr="00F13ABC">
        <w:rPr>
          <w:rFonts w:cs="Arial"/>
        </w:rPr>
        <w:fldChar w:fldCharType="separate"/>
      </w:r>
      <w:r w:rsidR="00141D7F">
        <w:rPr>
          <w:rFonts w:cs="Arial"/>
          <w:noProof/>
        </w:rPr>
        <w:t>3</w:t>
      </w:r>
      <w:r w:rsidR="00C17BA5" w:rsidRPr="00F13ABC">
        <w:rPr>
          <w:rFonts w:cs="Arial"/>
        </w:rPr>
        <w:fldChar w:fldCharType="end"/>
      </w:r>
      <w:r w:rsidR="00C17BA5" w:rsidRPr="00F13ABC">
        <w:rPr>
          <w:rFonts w:cs="Arial"/>
        </w:rPr>
        <w:noBreakHyphen/>
      </w:r>
      <w:r w:rsidR="00C17BA5" w:rsidRPr="00F13ABC">
        <w:rPr>
          <w:rFonts w:cs="Arial"/>
        </w:rPr>
        <w:fldChar w:fldCharType="begin"/>
      </w:r>
      <w:r w:rsidR="00C17BA5" w:rsidRPr="00F13ABC">
        <w:rPr>
          <w:rFonts w:cs="Arial"/>
        </w:rPr>
        <w:instrText xml:space="preserve"> SEQ Table \* ARABIC \s 1 </w:instrText>
      </w:r>
      <w:r w:rsidR="00C17BA5" w:rsidRPr="00F13ABC">
        <w:rPr>
          <w:rFonts w:cs="Arial"/>
        </w:rPr>
        <w:fldChar w:fldCharType="separate"/>
      </w:r>
      <w:r w:rsidR="00141D7F">
        <w:rPr>
          <w:rFonts w:cs="Arial"/>
          <w:noProof/>
        </w:rPr>
        <w:t>4</w:t>
      </w:r>
      <w:r w:rsidR="00C17BA5" w:rsidRPr="00F13ABC">
        <w:rPr>
          <w:rFonts w:cs="Arial"/>
        </w:rPr>
        <w:fldChar w:fldCharType="end"/>
      </w:r>
      <w:bookmarkEnd w:id="112"/>
      <w:r w:rsidRPr="00F13ABC">
        <w:rPr>
          <w:rFonts w:cs="Arial"/>
        </w:rPr>
        <w:t xml:space="preserve">: </w:t>
      </w:r>
      <w:r w:rsidR="005935AE" w:rsidRPr="00F13ABC">
        <w:rPr>
          <w:rFonts w:cs="Arial"/>
        </w:rPr>
        <w:t>Dioxin</w:t>
      </w:r>
      <w:r w:rsidRPr="00F13ABC">
        <w:rPr>
          <w:rFonts w:cs="Arial"/>
        </w:rPr>
        <w:t xml:space="preserve"> releases from </w:t>
      </w:r>
      <w:r w:rsidR="00D67FB0" w:rsidRPr="00F13ABC">
        <w:rPr>
          <w:rFonts w:cs="Arial"/>
        </w:rPr>
        <w:t>school waste incinerators</w:t>
      </w:r>
    </w:p>
    <w:tbl>
      <w:tblPr>
        <w:tblStyle w:val="TableGrid"/>
        <w:tblW w:w="9067" w:type="dxa"/>
        <w:tblLook w:val="04A0" w:firstRow="1" w:lastRow="0" w:firstColumn="1" w:lastColumn="0" w:noHBand="0" w:noVBand="1"/>
      </w:tblPr>
      <w:tblGrid>
        <w:gridCol w:w="1895"/>
        <w:gridCol w:w="1728"/>
        <w:gridCol w:w="1467"/>
        <w:gridCol w:w="1369"/>
        <w:gridCol w:w="1267"/>
        <w:gridCol w:w="1341"/>
      </w:tblGrid>
      <w:tr w:rsidR="004D05B7" w:rsidRPr="00AB616B" w14:paraId="09BBB738" w14:textId="77777777" w:rsidTr="00E95BD6">
        <w:tc>
          <w:tcPr>
            <w:tcW w:w="1895" w:type="dxa"/>
            <w:vMerge w:val="restart"/>
            <w:vAlign w:val="center"/>
          </w:tcPr>
          <w:p w14:paraId="5A60AABA" w14:textId="77777777" w:rsidR="004D05B7" w:rsidRPr="00F13ABC" w:rsidRDefault="004D05B7" w:rsidP="003C573E">
            <w:pPr>
              <w:spacing w:before="120"/>
              <w:jc w:val="center"/>
              <w:rPr>
                <w:rFonts w:ascii="Arial" w:hAnsi="Arial" w:cs="Arial"/>
                <w:b/>
                <w:sz w:val="16"/>
                <w:szCs w:val="16"/>
              </w:rPr>
            </w:pPr>
            <w:r w:rsidRPr="00F13ABC">
              <w:rPr>
                <w:rFonts w:ascii="Arial" w:hAnsi="Arial" w:cs="Arial"/>
                <w:b/>
                <w:sz w:val="16"/>
                <w:szCs w:val="16"/>
              </w:rPr>
              <w:t>Source</w:t>
            </w:r>
          </w:p>
        </w:tc>
        <w:tc>
          <w:tcPr>
            <w:tcW w:w="1728" w:type="dxa"/>
            <w:vMerge w:val="restart"/>
            <w:vAlign w:val="center"/>
          </w:tcPr>
          <w:p w14:paraId="4982853A" w14:textId="77777777" w:rsidR="004D05B7" w:rsidRPr="00F13ABC" w:rsidRDefault="004D05B7" w:rsidP="003C573E">
            <w:pPr>
              <w:spacing w:before="120"/>
              <w:jc w:val="center"/>
              <w:rPr>
                <w:rFonts w:ascii="Arial" w:hAnsi="Arial" w:cs="Arial"/>
                <w:b/>
                <w:sz w:val="16"/>
                <w:szCs w:val="16"/>
              </w:rPr>
            </w:pPr>
            <w:r w:rsidRPr="00F13ABC">
              <w:rPr>
                <w:rFonts w:ascii="Arial" w:hAnsi="Arial" w:cs="Arial"/>
                <w:b/>
                <w:sz w:val="16"/>
                <w:szCs w:val="16"/>
              </w:rPr>
              <w:t>Activity Rate, tonnes/year</w:t>
            </w:r>
          </w:p>
        </w:tc>
        <w:tc>
          <w:tcPr>
            <w:tcW w:w="2836" w:type="dxa"/>
            <w:gridSpan w:val="2"/>
            <w:vAlign w:val="center"/>
          </w:tcPr>
          <w:p w14:paraId="2F3DCBE0" w14:textId="65014DED" w:rsidR="004D05B7" w:rsidRPr="00F13ABC" w:rsidRDefault="004D05B7" w:rsidP="003C573E">
            <w:pPr>
              <w:spacing w:before="120"/>
              <w:jc w:val="center"/>
              <w:rPr>
                <w:rFonts w:ascii="Arial" w:hAnsi="Arial" w:cs="Arial"/>
                <w:b/>
                <w:sz w:val="16"/>
                <w:szCs w:val="16"/>
              </w:rPr>
            </w:pPr>
            <w:r w:rsidRPr="00F13ABC">
              <w:rPr>
                <w:rFonts w:ascii="Arial" w:hAnsi="Arial" w:cs="Arial"/>
                <w:b/>
                <w:sz w:val="16"/>
                <w:szCs w:val="16"/>
              </w:rPr>
              <w:t xml:space="preserve">Release factors, µg </w:t>
            </w:r>
            <w:r w:rsidR="0009594D" w:rsidRPr="00F13ABC">
              <w:rPr>
                <w:rFonts w:ascii="Arial" w:hAnsi="Arial" w:cs="Arial"/>
                <w:b/>
                <w:sz w:val="16"/>
                <w:szCs w:val="16"/>
              </w:rPr>
              <w:t>TEQ</w:t>
            </w:r>
            <w:r w:rsidRPr="00F13ABC">
              <w:rPr>
                <w:rFonts w:ascii="Arial" w:hAnsi="Arial" w:cs="Arial"/>
                <w:b/>
                <w:sz w:val="16"/>
                <w:szCs w:val="16"/>
              </w:rPr>
              <w:t>/t</w:t>
            </w:r>
          </w:p>
        </w:tc>
        <w:tc>
          <w:tcPr>
            <w:tcW w:w="2608" w:type="dxa"/>
            <w:gridSpan w:val="2"/>
            <w:vAlign w:val="center"/>
          </w:tcPr>
          <w:p w14:paraId="70C326FD" w14:textId="7E177820" w:rsidR="004D05B7" w:rsidRPr="00F13ABC" w:rsidRDefault="004D05B7" w:rsidP="003C573E">
            <w:pPr>
              <w:spacing w:before="120"/>
              <w:jc w:val="center"/>
              <w:rPr>
                <w:rFonts w:ascii="Arial" w:hAnsi="Arial" w:cs="Arial"/>
                <w:b/>
                <w:sz w:val="16"/>
                <w:szCs w:val="16"/>
              </w:rPr>
            </w:pPr>
            <w:r w:rsidRPr="00F13ABC">
              <w:rPr>
                <w:rFonts w:ascii="Arial" w:hAnsi="Arial" w:cs="Arial"/>
                <w:b/>
                <w:sz w:val="16"/>
                <w:szCs w:val="16"/>
              </w:rPr>
              <w:t xml:space="preserve">Annual releases (g </w:t>
            </w:r>
            <w:r w:rsidR="0009594D" w:rsidRPr="00F13ABC">
              <w:rPr>
                <w:rFonts w:ascii="Arial" w:hAnsi="Arial" w:cs="Arial"/>
                <w:b/>
                <w:sz w:val="16"/>
                <w:szCs w:val="16"/>
              </w:rPr>
              <w:t>TEQ</w:t>
            </w:r>
            <w:r w:rsidRPr="00F13ABC">
              <w:rPr>
                <w:rFonts w:ascii="Arial" w:hAnsi="Arial" w:cs="Arial"/>
                <w:b/>
                <w:sz w:val="16"/>
                <w:szCs w:val="16"/>
              </w:rPr>
              <w:t>/yr)</w:t>
            </w:r>
          </w:p>
        </w:tc>
      </w:tr>
      <w:tr w:rsidR="004D05B7" w:rsidRPr="00AB616B" w14:paraId="369BCEE3" w14:textId="77777777" w:rsidTr="00E95BD6">
        <w:tc>
          <w:tcPr>
            <w:tcW w:w="1895" w:type="dxa"/>
            <w:vMerge/>
          </w:tcPr>
          <w:p w14:paraId="017083D7" w14:textId="77777777" w:rsidR="004D05B7" w:rsidRPr="00D351E0" w:rsidRDefault="004D05B7" w:rsidP="003C573E">
            <w:pPr>
              <w:spacing w:before="120"/>
              <w:jc w:val="both"/>
              <w:rPr>
                <w:rFonts w:ascii="Arial" w:hAnsi="Arial" w:cs="Arial"/>
                <w:sz w:val="16"/>
                <w:szCs w:val="16"/>
              </w:rPr>
            </w:pPr>
          </w:p>
        </w:tc>
        <w:tc>
          <w:tcPr>
            <w:tcW w:w="1728" w:type="dxa"/>
            <w:vMerge/>
            <w:vAlign w:val="center"/>
          </w:tcPr>
          <w:p w14:paraId="547E6DD3" w14:textId="77777777" w:rsidR="004D05B7" w:rsidRPr="00D351E0" w:rsidRDefault="004D05B7" w:rsidP="003C573E">
            <w:pPr>
              <w:spacing w:before="120"/>
              <w:jc w:val="center"/>
              <w:rPr>
                <w:rFonts w:ascii="Arial" w:hAnsi="Arial" w:cs="Arial"/>
                <w:sz w:val="16"/>
                <w:szCs w:val="16"/>
              </w:rPr>
            </w:pPr>
          </w:p>
        </w:tc>
        <w:tc>
          <w:tcPr>
            <w:tcW w:w="1467" w:type="dxa"/>
            <w:vAlign w:val="center"/>
          </w:tcPr>
          <w:p w14:paraId="114823A1" w14:textId="77777777" w:rsidR="004D05B7" w:rsidRPr="00D351E0" w:rsidRDefault="004D05B7" w:rsidP="003C573E">
            <w:pPr>
              <w:spacing w:before="120"/>
              <w:jc w:val="center"/>
              <w:rPr>
                <w:rFonts w:ascii="Arial" w:hAnsi="Arial" w:cs="Arial"/>
                <w:b/>
                <w:sz w:val="16"/>
                <w:szCs w:val="16"/>
              </w:rPr>
            </w:pPr>
            <w:r w:rsidRPr="00D351E0">
              <w:rPr>
                <w:rFonts w:ascii="Arial" w:hAnsi="Arial" w:cs="Arial"/>
                <w:b/>
                <w:sz w:val="16"/>
                <w:szCs w:val="16"/>
              </w:rPr>
              <w:t>Air</w:t>
            </w:r>
          </w:p>
        </w:tc>
        <w:tc>
          <w:tcPr>
            <w:tcW w:w="1369" w:type="dxa"/>
            <w:vAlign w:val="center"/>
          </w:tcPr>
          <w:p w14:paraId="178B8C9E" w14:textId="77777777" w:rsidR="004D05B7" w:rsidRPr="00D351E0" w:rsidRDefault="004D05B7" w:rsidP="003C573E">
            <w:pPr>
              <w:spacing w:before="120"/>
              <w:jc w:val="center"/>
              <w:rPr>
                <w:rFonts w:ascii="Arial" w:hAnsi="Arial" w:cs="Arial"/>
                <w:b/>
                <w:sz w:val="16"/>
                <w:szCs w:val="16"/>
              </w:rPr>
            </w:pPr>
            <w:r w:rsidRPr="00D351E0">
              <w:rPr>
                <w:rFonts w:ascii="Arial" w:hAnsi="Arial" w:cs="Arial"/>
                <w:b/>
                <w:sz w:val="16"/>
                <w:szCs w:val="16"/>
              </w:rPr>
              <w:t>Residues</w:t>
            </w:r>
          </w:p>
        </w:tc>
        <w:tc>
          <w:tcPr>
            <w:tcW w:w="1267" w:type="dxa"/>
            <w:vAlign w:val="center"/>
          </w:tcPr>
          <w:p w14:paraId="5F9E348E" w14:textId="77777777" w:rsidR="004D05B7" w:rsidRPr="00D351E0" w:rsidRDefault="004D05B7" w:rsidP="003C573E">
            <w:pPr>
              <w:spacing w:before="120"/>
              <w:jc w:val="center"/>
              <w:rPr>
                <w:rFonts w:ascii="Arial" w:hAnsi="Arial" w:cs="Arial"/>
                <w:b/>
                <w:sz w:val="16"/>
                <w:szCs w:val="16"/>
              </w:rPr>
            </w:pPr>
            <w:r w:rsidRPr="00D351E0">
              <w:rPr>
                <w:rFonts w:ascii="Arial" w:hAnsi="Arial" w:cs="Arial"/>
                <w:b/>
                <w:sz w:val="16"/>
                <w:szCs w:val="16"/>
              </w:rPr>
              <w:t xml:space="preserve">Air </w:t>
            </w:r>
          </w:p>
        </w:tc>
        <w:tc>
          <w:tcPr>
            <w:tcW w:w="1341" w:type="dxa"/>
            <w:vAlign w:val="center"/>
          </w:tcPr>
          <w:p w14:paraId="53531D67" w14:textId="77777777" w:rsidR="004D05B7" w:rsidRPr="00D351E0" w:rsidRDefault="004D05B7" w:rsidP="003C573E">
            <w:pPr>
              <w:spacing w:before="120"/>
              <w:jc w:val="center"/>
              <w:rPr>
                <w:rFonts w:ascii="Arial" w:hAnsi="Arial" w:cs="Arial"/>
                <w:b/>
                <w:sz w:val="16"/>
                <w:szCs w:val="16"/>
              </w:rPr>
            </w:pPr>
            <w:r w:rsidRPr="00D351E0">
              <w:rPr>
                <w:rFonts w:ascii="Arial" w:hAnsi="Arial" w:cs="Arial"/>
                <w:b/>
                <w:sz w:val="16"/>
                <w:szCs w:val="16"/>
              </w:rPr>
              <w:t>Residues</w:t>
            </w:r>
          </w:p>
        </w:tc>
      </w:tr>
      <w:tr w:rsidR="00F13ABC" w:rsidRPr="00AB616B" w14:paraId="48663910" w14:textId="77777777" w:rsidTr="00E95BD6">
        <w:trPr>
          <w:trHeight w:val="396"/>
        </w:trPr>
        <w:tc>
          <w:tcPr>
            <w:tcW w:w="1895" w:type="dxa"/>
            <w:vMerge w:val="restart"/>
            <w:vAlign w:val="center"/>
          </w:tcPr>
          <w:p w14:paraId="125CA579" w14:textId="37D95E34" w:rsidR="00F13ABC" w:rsidRPr="00F13ABC" w:rsidRDefault="00F13ABC" w:rsidP="00AB616B">
            <w:pPr>
              <w:spacing w:before="120"/>
              <w:rPr>
                <w:rFonts w:ascii="Arial" w:hAnsi="Arial" w:cs="Arial"/>
                <w:b/>
                <w:sz w:val="16"/>
                <w:szCs w:val="16"/>
              </w:rPr>
            </w:pPr>
            <w:r w:rsidRPr="00F13ABC">
              <w:rPr>
                <w:rFonts w:ascii="Arial" w:hAnsi="Arial" w:cs="Arial"/>
                <w:b/>
                <w:sz w:val="16"/>
                <w:szCs w:val="16"/>
              </w:rPr>
              <w:t xml:space="preserve">School incinerators </w:t>
            </w:r>
            <w:r>
              <w:rPr>
                <w:rFonts w:ascii="Arial" w:hAnsi="Arial" w:cs="Arial"/>
                <w:b/>
                <w:sz w:val="16"/>
                <w:szCs w:val="16"/>
              </w:rPr>
              <w:t>2012</w:t>
            </w:r>
          </w:p>
        </w:tc>
        <w:tc>
          <w:tcPr>
            <w:tcW w:w="1728" w:type="dxa"/>
            <w:vMerge w:val="restart"/>
            <w:vAlign w:val="center"/>
          </w:tcPr>
          <w:p w14:paraId="0744BF9E" w14:textId="77777777" w:rsidR="00F13ABC" w:rsidRPr="00F13ABC" w:rsidRDefault="00F13ABC" w:rsidP="003C573E">
            <w:pPr>
              <w:spacing w:before="120"/>
              <w:jc w:val="center"/>
              <w:rPr>
                <w:rFonts w:ascii="Arial" w:hAnsi="Arial" w:cs="Arial"/>
                <w:sz w:val="16"/>
                <w:szCs w:val="16"/>
              </w:rPr>
            </w:pPr>
            <w:r w:rsidRPr="00F13ABC">
              <w:rPr>
                <w:rFonts w:ascii="Arial" w:hAnsi="Arial" w:cs="Arial"/>
                <w:sz w:val="16"/>
                <w:szCs w:val="16"/>
              </w:rPr>
              <w:t>70</w:t>
            </w:r>
          </w:p>
        </w:tc>
        <w:tc>
          <w:tcPr>
            <w:tcW w:w="1467" w:type="dxa"/>
            <w:vAlign w:val="center"/>
          </w:tcPr>
          <w:p w14:paraId="7377CDC3" w14:textId="77777777" w:rsidR="00F13ABC" w:rsidRPr="00F13ABC" w:rsidRDefault="00F13ABC" w:rsidP="003C573E">
            <w:pPr>
              <w:spacing w:before="120"/>
              <w:jc w:val="center"/>
              <w:rPr>
                <w:rFonts w:ascii="Arial" w:hAnsi="Arial" w:cs="Arial"/>
                <w:sz w:val="16"/>
                <w:szCs w:val="16"/>
              </w:rPr>
            </w:pPr>
            <w:r w:rsidRPr="00F13ABC">
              <w:rPr>
                <w:rFonts w:ascii="Arial" w:hAnsi="Arial" w:cs="Arial"/>
                <w:sz w:val="16"/>
                <w:szCs w:val="16"/>
              </w:rPr>
              <w:t>300</w:t>
            </w:r>
          </w:p>
        </w:tc>
        <w:tc>
          <w:tcPr>
            <w:tcW w:w="1369" w:type="dxa"/>
            <w:vAlign w:val="center"/>
          </w:tcPr>
          <w:p w14:paraId="561DA8FA" w14:textId="4AB42850" w:rsidR="00F13ABC" w:rsidRPr="00F13ABC" w:rsidRDefault="00F13ABC" w:rsidP="003C573E">
            <w:pPr>
              <w:spacing w:before="120"/>
              <w:jc w:val="center"/>
              <w:rPr>
                <w:rFonts w:ascii="Arial" w:hAnsi="Arial" w:cs="Arial"/>
                <w:sz w:val="16"/>
                <w:szCs w:val="16"/>
              </w:rPr>
            </w:pPr>
            <w:r w:rsidRPr="00F13ABC">
              <w:rPr>
                <w:rFonts w:ascii="Arial" w:hAnsi="Arial" w:cs="Arial"/>
                <w:sz w:val="16"/>
                <w:szCs w:val="16"/>
              </w:rPr>
              <w:t>-</w:t>
            </w:r>
          </w:p>
        </w:tc>
        <w:tc>
          <w:tcPr>
            <w:tcW w:w="1267" w:type="dxa"/>
            <w:vAlign w:val="center"/>
          </w:tcPr>
          <w:p w14:paraId="4AE85177" w14:textId="77777777" w:rsidR="00F13ABC" w:rsidRPr="00F13ABC" w:rsidRDefault="00F13ABC" w:rsidP="003C573E">
            <w:pPr>
              <w:spacing w:before="120"/>
              <w:jc w:val="center"/>
              <w:rPr>
                <w:rFonts w:ascii="Arial" w:hAnsi="Arial" w:cs="Arial"/>
                <w:sz w:val="16"/>
                <w:szCs w:val="16"/>
              </w:rPr>
            </w:pPr>
            <w:r w:rsidRPr="00F13ABC">
              <w:rPr>
                <w:rFonts w:ascii="Arial" w:hAnsi="Arial" w:cs="Arial"/>
                <w:sz w:val="16"/>
                <w:szCs w:val="16"/>
              </w:rPr>
              <w:t>0.021</w:t>
            </w:r>
          </w:p>
        </w:tc>
        <w:tc>
          <w:tcPr>
            <w:tcW w:w="1341" w:type="dxa"/>
            <w:vAlign w:val="center"/>
          </w:tcPr>
          <w:p w14:paraId="4D8A297B" w14:textId="5A79B162" w:rsidR="00F13ABC" w:rsidRPr="00F13ABC" w:rsidRDefault="00F13ABC" w:rsidP="003C573E">
            <w:pPr>
              <w:spacing w:before="120"/>
              <w:jc w:val="center"/>
              <w:rPr>
                <w:rFonts w:ascii="Arial" w:hAnsi="Arial" w:cs="Arial"/>
                <w:sz w:val="16"/>
                <w:szCs w:val="16"/>
              </w:rPr>
            </w:pPr>
          </w:p>
        </w:tc>
      </w:tr>
      <w:tr w:rsidR="00F13ABC" w:rsidRPr="00AB616B" w14:paraId="7100DF1C" w14:textId="77777777" w:rsidTr="00E95BD6">
        <w:trPr>
          <w:trHeight w:val="396"/>
        </w:trPr>
        <w:tc>
          <w:tcPr>
            <w:tcW w:w="1895" w:type="dxa"/>
            <w:vMerge/>
            <w:vAlign w:val="center"/>
          </w:tcPr>
          <w:p w14:paraId="145B3843" w14:textId="77777777" w:rsidR="00F13ABC" w:rsidRPr="00F13ABC" w:rsidRDefault="00F13ABC" w:rsidP="00AB616B">
            <w:pPr>
              <w:spacing w:before="120"/>
              <w:rPr>
                <w:rFonts w:ascii="Arial" w:hAnsi="Arial" w:cs="Arial"/>
                <w:b/>
                <w:sz w:val="16"/>
                <w:szCs w:val="16"/>
              </w:rPr>
            </w:pPr>
          </w:p>
        </w:tc>
        <w:tc>
          <w:tcPr>
            <w:tcW w:w="1728" w:type="dxa"/>
            <w:vMerge/>
            <w:vAlign w:val="center"/>
          </w:tcPr>
          <w:p w14:paraId="0A8A0E07" w14:textId="77777777" w:rsidR="00F13ABC" w:rsidRPr="00F13ABC" w:rsidRDefault="00F13ABC" w:rsidP="003C573E">
            <w:pPr>
              <w:spacing w:before="120"/>
              <w:jc w:val="center"/>
              <w:rPr>
                <w:rFonts w:ascii="Arial" w:hAnsi="Arial" w:cs="Arial"/>
                <w:sz w:val="16"/>
                <w:szCs w:val="16"/>
              </w:rPr>
            </w:pPr>
          </w:p>
        </w:tc>
        <w:tc>
          <w:tcPr>
            <w:tcW w:w="1467" w:type="dxa"/>
            <w:vAlign w:val="center"/>
          </w:tcPr>
          <w:p w14:paraId="6D48D20C" w14:textId="77777777" w:rsidR="00F13ABC" w:rsidRPr="00F13ABC" w:rsidRDefault="00F13ABC" w:rsidP="003C573E">
            <w:pPr>
              <w:spacing w:before="120"/>
              <w:jc w:val="center"/>
              <w:rPr>
                <w:rFonts w:ascii="Arial" w:hAnsi="Arial" w:cs="Arial"/>
                <w:sz w:val="16"/>
                <w:szCs w:val="16"/>
              </w:rPr>
            </w:pPr>
          </w:p>
        </w:tc>
        <w:tc>
          <w:tcPr>
            <w:tcW w:w="1369" w:type="dxa"/>
            <w:vAlign w:val="center"/>
          </w:tcPr>
          <w:p w14:paraId="1DAEF658" w14:textId="31CCB051" w:rsidR="00F13ABC" w:rsidRPr="00F13ABC" w:rsidRDefault="00F13ABC" w:rsidP="003C573E">
            <w:pPr>
              <w:spacing w:before="120"/>
              <w:jc w:val="center"/>
              <w:rPr>
                <w:rFonts w:ascii="Arial" w:hAnsi="Arial" w:cs="Arial"/>
                <w:sz w:val="16"/>
                <w:szCs w:val="16"/>
              </w:rPr>
            </w:pPr>
            <w:r>
              <w:rPr>
                <w:rFonts w:ascii="Arial" w:hAnsi="Arial" w:cs="Arial"/>
                <w:sz w:val="16"/>
                <w:szCs w:val="16"/>
              </w:rPr>
              <w:t>600</w:t>
            </w:r>
          </w:p>
        </w:tc>
        <w:tc>
          <w:tcPr>
            <w:tcW w:w="1267" w:type="dxa"/>
            <w:vAlign w:val="center"/>
          </w:tcPr>
          <w:p w14:paraId="5C2D5BAB" w14:textId="77777777" w:rsidR="00F13ABC" w:rsidRPr="00F13ABC" w:rsidRDefault="00F13ABC" w:rsidP="003C573E">
            <w:pPr>
              <w:spacing w:before="120"/>
              <w:jc w:val="center"/>
              <w:rPr>
                <w:rFonts w:ascii="Arial" w:hAnsi="Arial" w:cs="Arial"/>
                <w:sz w:val="16"/>
                <w:szCs w:val="16"/>
              </w:rPr>
            </w:pPr>
          </w:p>
        </w:tc>
        <w:tc>
          <w:tcPr>
            <w:tcW w:w="1341" w:type="dxa"/>
            <w:vAlign w:val="center"/>
          </w:tcPr>
          <w:p w14:paraId="532296D2" w14:textId="0996EC8C" w:rsidR="00F13ABC" w:rsidRPr="00F13ABC" w:rsidRDefault="00F13ABC" w:rsidP="003C573E">
            <w:pPr>
              <w:spacing w:before="120"/>
              <w:jc w:val="center"/>
              <w:rPr>
                <w:rFonts w:ascii="Arial" w:hAnsi="Arial" w:cs="Arial"/>
                <w:sz w:val="16"/>
                <w:szCs w:val="16"/>
              </w:rPr>
            </w:pPr>
            <w:r>
              <w:rPr>
                <w:rFonts w:ascii="Arial" w:hAnsi="Arial" w:cs="Arial"/>
                <w:sz w:val="16"/>
                <w:szCs w:val="16"/>
              </w:rPr>
              <w:t>0.042</w:t>
            </w:r>
          </w:p>
        </w:tc>
      </w:tr>
      <w:tr w:rsidR="00F13ABC" w:rsidRPr="00F13ABC" w14:paraId="6DB22EE7" w14:textId="77777777" w:rsidTr="00E95BD6">
        <w:trPr>
          <w:trHeight w:val="306"/>
        </w:trPr>
        <w:tc>
          <w:tcPr>
            <w:tcW w:w="1895" w:type="dxa"/>
            <w:vMerge w:val="restart"/>
            <w:vAlign w:val="center"/>
          </w:tcPr>
          <w:p w14:paraId="4BFE3C25" w14:textId="42A1063F" w:rsidR="00F13ABC" w:rsidRPr="00F13ABC" w:rsidRDefault="00F13ABC" w:rsidP="003C573E">
            <w:pPr>
              <w:spacing w:before="120"/>
              <w:rPr>
                <w:rFonts w:ascii="Arial" w:hAnsi="Arial" w:cs="Arial"/>
                <w:b/>
                <w:sz w:val="16"/>
                <w:szCs w:val="16"/>
              </w:rPr>
            </w:pPr>
            <w:r>
              <w:rPr>
                <w:rFonts w:ascii="Arial" w:hAnsi="Arial" w:cs="Arial"/>
                <w:b/>
                <w:sz w:val="16"/>
                <w:szCs w:val="16"/>
              </w:rPr>
              <w:t>School incinerators 2016</w:t>
            </w:r>
          </w:p>
        </w:tc>
        <w:tc>
          <w:tcPr>
            <w:tcW w:w="1728" w:type="dxa"/>
            <w:vMerge w:val="restart"/>
            <w:vAlign w:val="center"/>
          </w:tcPr>
          <w:p w14:paraId="73562F7B" w14:textId="42A08F11" w:rsidR="00F13ABC" w:rsidRPr="00F13ABC" w:rsidRDefault="00E33919" w:rsidP="003C573E">
            <w:pPr>
              <w:spacing w:before="120"/>
              <w:jc w:val="center"/>
              <w:rPr>
                <w:rFonts w:ascii="Arial" w:hAnsi="Arial" w:cs="Arial"/>
                <w:sz w:val="16"/>
                <w:szCs w:val="16"/>
              </w:rPr>
            </w:pPr>
            <w:r>
              <w:rPr>
                <w:rFonts w:ascii="Arial" w:hAnsi="Arial" w:cs="Arial"/>
                <w:sz w:val="16"/>
                <w:szCs w:val="16"/>
              </w:rPr>
              <w:t>50</w:t>
            </w:r>
          </w:p>
        </w:tc>
        <w:tc>
          <w:tcPr>
            <w:tcW w:w="1467" w:type="dxa"/>
            <w:vAlign w:val="center"/>
          </w:tcPr>
          <w:p w14:paraId="4C686BEE" w14:textId="65DBDF93" w:rsidR="00F13ABC" w:rsidRPr="00F13ABC" w:rsidRDefault="00F13ABC" w:rsidP="003C573E">
            <w:pPr>
              <w:spacing w:before="120"/>
              <w:jc w:val="center"/>
              <w:rPr>
                <w:rFonts w:ascii="Arial" w:hAnsi="Arial" w:cs="Arial"/>
                <w:sz w:val="16"/>
                <w:szCs w:val="16"/>
              </w:rPr>
            </w:pPr>
            <w:r>
              <w:rPr>
                <w:rFonts w:ascii="Arial" w:hAnsi="Arial" w:cs="Arial"/>
                <w:sz w:val="16"/>
                <w:szCs w:val="16"/>
              </w:rPr>
              <w:t>300</w:t>
            </w:r>
          </w:p>
        </w:tc>
        <w:tc>
          <w:tcPr>
            <w:tcW w:w="1369" w:type="dxa"/>
            <w:vAlign w:val="center"/>
          </w:tcPr>
          <w:p w14:paraId="5D017907" w14:textId="3F1D019D" w:rsidR="00F13ABC" w:rsidRPr="00F13ABC" w:rsidRDefault="00F13ABC" w:rsidP="003C573E">
            <w:pPr>
              <w:spacing w:before="120"/>
              <w:jc w:val="center"/>
              <w:rPr>
                <w:rFonts w:ascii="Arial" w:hAnsi="Arial" w:cs="Arial"/>
                <w:sz w:val="16"/>
                <w:szCs w:val="16"/>
              </w:rPr>
            </w:pPr>
          </w:p>
        </w:tc>
        <w:tc>
          <w:tcPr>
            <w:tcW w:w="1267" w:type="dxa"/>
            <w:vAlign w:val="center"/>
          </w:tcPr>
          <w:p w14:paraId="1C8CED24" w14:textId="249D60E2" w:rsidR="00F13ABC" w:rsidRPr="00F13ABC" w:rsidRDefault="00E33919" w:rsidP="003C573E">
            <w:pPr>
              <w:spacing w:before="120"/>
              <w:jc w:val="center"/>
              <w:rPr>
                <w:rFonts w:ascii="Arial" w:hAnsi="Arial" w:cs="Arial"/>
                <w:sz w:val="16"/>
                <w:szCs w:val="16"/>
              </w:rPr>
            </w:pPr>
            <w:r>
              <w:rPr>
                <w:rFonts w:ascii="Arial" w:hAnsi="Arial" w:cs="Arial"/>
                <w:sz w:val="16"/>
                <w:szCs w:val="16"/>
              </w:rPr>
              <w:t>0.015</w:t>
            </w:r>
          </w:p>
        </w:tc>
        <w:tc>
          <w:tcPr>
            <w:tcW w:w="1341" w:type="dxa"/>
            <w:vAlign w:val="center"/>
          </w:tcPr>
          <w:p w14:paraId="6572519F" w14:textId="3F733DBA" w:rsidR="00F13ABC" w:rsidRPr="00F13ABC" w:rsidRDefault="00F13ABC" w:rsidP="003C573E">
            <w:pPr>
              <w:spacing w:before="120"/>
              <w:jc w:val="center"/>
              <w:rPr>
                <w:rFonts w:ascii="Arial" w:hAnsi="Arial" w:cs="Arial"/>
                <w:sz w:val="16"/>
                <w:szCs w:val="16"/>
              </w:rPr>
            </w:pPr>
          </w:p>
        </w:tc>
      </w:tr>
      <w:tr w:rsidR="00F13ABC" w:rsidRPr="00F13ABC" w14:paraId="3B4133C6" w14:textId="77777777" w:rsidTr="00E95BD6">
        <w:trPr>
          <w:trHeight w:val="306"/>
        </w:trPr>
        <w:tc>
          <w:tcPr>
            <w:tcW w:w="1895" w:type="dxa"/>
            <w:vMerge/>
            <w:vAlign w:val="center"/>
          </w:tcPr>
          <w:p w14:paraId="63BE3DED" w14:textId="77777777" w:rsidR="00F13ABC" w:rsidRDefault="00F13ABC" w:rsidP="003C573E">
            <w:pPr>
              <w:spacing w:before="120"/>
              <w:rPr>
                <w:rFonts w:ascii="Arial" w:hAnsi="Arial" w:cs="Arial"/>
                <w:b/>
                <w:sz w:val="16"/>
                <w:szCs w:val="16"/>
              </w:rPr>
            </w:pPr>
          </w:p>
        </w:tc>
        <w:tc>
          <w:tcPr>
            <w:tcW w:w="1728" w:type="dxa"/>
            <w:vMerge/>
            <w:vAlign w:val="center"/>
          </w:tcPr>
          <w:p w14:paraId="145A87FD" w14:textId="77777777" w:rsidR="00F13ABC" w:rsidRPr="00F13ABC" w:rsidRDefault="00F13ABC" w:rsidP="003C573E">
            <w:pPr>
              <w:spacing w:before="120"/>
              <w:jc w:val="center"/>
              <w:rPr>
                <w:rFonts w:ascii="Arial" w:hAnsi="Arial" w:cs="Arial"/>
                <w:sz w:val="16"/>
                <w:szCs w:val="16"/>
              </w:rPr>
            </w:pPr>
          </w:p>
        </w:tc>
        <w:tc>
          <w:tcPr>
            <w:tcW w:w="1467" w:type="dxa"/>
            <w:vAlign w:val="center"/>
          </w:tcPr>
          <w:p w14:paraId="701FB50C" w14:textId="77777777" w:rsidR="00F13ABC" w:rsidRPr="00F13ABC" w:rsidRDefault="00F13ABC" w:rsidP="003C573E">
            <w:pPr>
              <w:spacing w:before="120"/>
              <w:jc w:val="center"/>
              <w:rPr>
                <w:rFonts w:ascii="Arial" w:hAnsi="Arial" w:cs="Arial"/>
                <w:sz w:val="16"/>
                <w:szCs w:val="16"/>
              </w:rPr>
            </w:pPr>
          </w:p>
        </w:tc>
        <w:tc>
          <w:tcPr>
            <w:tcW w:w="1369" w:type="dxa"/>
            <w:vAlign w:val="center"/>
          </w:tcPr>
          <w:p w14:paraId="0B7179C9" w14:textId="56D3BD80" w:rsidR="00F13ABC" w:rsidRPr="00F13ABC" w:rsidRDefault="00F13ABC" w:rsidP="003C573E">
            <w:pPr>
              <w:spacing w:before="120"/>
              <w:jc w:val="center"/>
              <w:rPr>
                <w:rFonts w:ascii="Arial" w:hAnsi="Arial" w:cs="Arial"/>
                <w:sz w:val="16"/>
                <w:szCs w:val="16"/>
              </w:rPr>
            </w:pPr>
            <w:r>
              <w:rPr>
                <w:rFonts w:ascii="Arial" w:hAnsi="Arial" w:cs="Arial"/>
                <w:sz w:val="16"/>
                <w:szCs w:val="16"/>
              </w:rPr>
              <w:t>600</w:t>
            </w:r>
          </w:p>
        </w:tc>
        <w:tc>
          <w:tcPr>
            <w:tcW w:w="1267" w:type="dxa"/>
            <w:vAlign w:val="center"/>
          </w:tcPr>
          <w:p w14:paraId="1B59C134" w14:textId="77777777" w:rsidR="00F13ABC" w:rsidRPr="00F13ABC" w:rsidRDefault="00F13ABC" w:rsidP="003C573E">
            <w:pPr>
              <w:spacing w:before="120"/>
              <w:jc w:val="center"/>
              <w:rPr>
                <w:rFonts w:ascii="Arial" w:hAnsi="Arial" w:cs="Arial"/>
                <w:sz w:val="16"/>
                <w:szCs w:val="16"/>
              </w:rPr>
            </w:pPr>
          </w:p>
        </w:tc>
        <w:tc>
          <w:tcPr>
            <w:tcW w:w="1341" w:type="dxa"/>
            <w:vAlign w:val="center"/>
          </w:tcPr>
          <w:p w14:paraId="5D55AFAC" w14:textId="449A928C" w:rsidR="00F13ABC" w:rsidRPr="00F13ABC" w:rsidRDefault="00E33919" w:rsidP="003C573E">
            <w:pPr>
              <w:spacing w:before="120"/>
              <w:jc w:val="center"/>
              <w:rPr>
                <w:rFonts w:ascii="Arial" w:hAnsi="Arial" w:cs="Arial"/>
                <w:sz w:val="16"/>
                <w:szCs w:val="16"/>
              </w:rPr>
            </w:pPr>
            <w:r>
              <w:rPr>
                <w:rFonts w:ascii="Arial" w:hAnsi="Arial" w:cs="Arial"/>
                <w:sz w:val="16"/>
                <w:szCs w:val="16"/>
              </w:rPr>
              <w:t>0.030</w:t>
            </w:r>
          </w:p>
        </w:tc>
      </w:tr>
      <w:tr w:rsidR="006832E6" w:rsidRPr="00F13ABC" w14:paraId="3936B256" w14:textId="77777777" w:rsidTr="00E95BD6">
        <w:trPr>
          <w:trHeight w:val="306"/>
        </w:trPr>
        <w:tc>
          <w:tcPr>
            <w:tcW w:w="1895" w:type="dxa"/>
            <w:vMerge w:val="restart"/>
            <w:vAlign w:val="center"/>
          </w:tcPr>
          <w:p w14:paraId="438FC3ED" w14:textId="1C0864A4" w:rsidR="006832E6" w:rsidRDefault="006832E6" w:rsidP="003C573E">
            <w:pPr>
              <w:spacing w:before="120"/>
              <w:rPr>
                <w:rFonts w:ascii="Arial" w:hAnsi="Arial" w:cs="Arial"/>
                <w:b/>
                <w:sz w:val="16"/>
                <w:szCs w:val="16"/>
              </w:rPr>
            </w:pPr>
            <w:r>
              <w:rPr>
                <w:rFonts w:ascii="Arial" w:hAnsi="Arial" w:cs="Arial"/>
                <w:b/>
                <w:sz w:val="16"/>
                <w:szCs w:val="16"/>
              </w:rPr>
              <w:t>School incinerators 2020</w:t>
            </w:r>
          </w:p>
        </w:tc>
        <w:tc>
          <w:tcPr>
            <w:tcW w:w="1728" w:type="dxa"/>
            <w:vMerge w:val="restart"/>
            <w:vAlign w:val="center"/>
          </w:tcPr>
          <w:p w14:paraId="7D5C28E8" w14:textId="498220C1" w:rsidR="006832E6" w:rsidRPr="00F13ABC" w:rsidRDefault="006832E6" w:rsidP="003C573E">
            <w:pPr>
              <w:spacing w:before="120"/>
              <w:jc w:val="center"/>
              <w:rPr>
                <w:rFonts w:ascii="Arial" w:hAnsi="Arial" w:cs="Arial"/>
                <w:sz w:val="16"/>
                <w:szCs w:val="16"/>
              </w:rPr>
            </w:pPr>
            <w:r>
              <w:rPr>
                <w:rFonts w:ascii="Arial" w:hAnsi="Arial" w:cs="Arial"/>
                <w:sz w:val="16"/>
                <w:szCs w:val="16"/>
              </w:rPr>
              <w:t>13</w:t>
            </w:r>
          </w:p>
        </w:tc>
        <w:tc>
          <w:tcPr>
            <w:tcW w:w="1467" w:type="dxa"/>
            <w:vAlign w:val="center"/>
          </w:tcPr>
          <w:p w14:paraId="539A3D7F" w14:textId="036CB3F4" w:rsidR="006832E6" w:rsidRPr="00F13ABC" w:rsidRDefault="006832E6" w:rsidP="003C573E">
            <w:pPr>
              <w:spacing w:before="120"/>
              <w:jc w:val="center"/>
              <w:rPr>
                <w:rFonts w:ascii="Arial" w:hAnsi="Arial" w:cs="Arial"/>
                <w:sz w:val="16"/>
                <w:szCs w:val="16"/>
              </w:rPr>
            </w:pPr>
            <w:r>
              <w:rPr>
                <w:rFonts w:ascii="Arial" w:hAnsi="Arial" w:cs="Arial"/>
                <w:sz w:val="16"/>
                <w:szCs w:val="16"/>
              </w:rPr>
              <w:t>300</w:t>
            </w:r>
          </w:p>
        </w:tc>
        <w:tc>
          <w:tcPr>
            <w:tcW w:w="1369" w:type="dxa"/>
            <w:vAlign w:val="center"/>
          </w:tcPr>
          <w:p w14:paraId="5F361CA8" w14:textId="77777777" w:rsidR="006832E6" w:rsidRDefault="006832E6" w:rsidP="003C573E">
            <w:pPr>
              <w:spacing w:before="120"/>
              <w:jc w:val="center"/>
              <w:rPr>
                <w:rFonts w:ascii="Arial" w:hAnsi="Arial" w:cs="Arial"/>
                <w:sz w:val="16"/>
                <w:szCs w:val="16"/>
              </w:rPr>
            </w:pPr>
          </w:p>
        </w:tc>
        <w:tc>
          <w:tcPr>
            <w:tcW w:w="1267" w:type="dxa"/>
            <w:vAlign w:val="center"/>
          </w:tcPr>
          <w:p w14:paraId="39F64BF9" w14:textId="089AC617" w:rsidR="006832E6" w:rsidRPr="00F13ABC" w:rsidRDefault="006832E6" w:rsidP="003C573E">
            <w:pPr>
              <w:spacing w:before="120"/>
              <w:jc w:val="center"/>
              <w:rPr>
                <w:rFonts w:ascii="Arial" w:hAnsi="Arial" w:cs="Arial"/>
                <w:sz w:val="16"/>
                <w:szCs w:val="16"/>
              </w:rPr>
            </w:pPr>
            <w:r>
              <w:rPr>
                <w:rFonts w:ascii="Arial" w:hAnsi="Arial" w:cs="Arial"/>
                <w:sz w:val="16"/>
                <w:szCs w:val="16"/>
              </w:rPr>
              <w:t>0.0039</w:t>
            </w:r>
          </w:p>
        </w:tc>
        <w:tc>
          <w:tcPr>
            <w:tcW w:w="1341" w:type="dxa"/>
            <w:vAlign w:val="center"/>
          </w:tcPr>
          <w:p w14:paraId="38CD5B5C" w14:textId="77777777" w:rsidR="006832E6" w:rsidRDefault="006832E6" w:rsidP="003C573E">
            <w:pPr>
              <w:spacing w:before="120"/>
              <w:jc w:val="center"/>
              <w:rPr>
                <w:rFonts w:ascii="Arial" w:hAnsi="Arial" w:cs="Arial"/>
                <w:sz w:val="16"/>
                <w:szCs w:val="16"/>
              </w:rPr>
            </w:pPr>
          </w:p>
        </w:tc>
      </w:tr>
      <w:tr w:rsidR="006832E6" w:rsidRPr="00F13ABC" w14:paraId="093F2B7A" w14:textId="77777777" w:rsidTr="00E95BD6">
        <w:trPr>
          <w:trHeight w:val="306"/>
        </w:trPr>
        <w:tc>
          <w:tcPr>
            <w:tcW w:w="1895" w:type="dxa"/>
            <w:vMerge/>
            <w:vAlign w:val="center"/>
          </w:tcPr>
          <w:p w14:paraId="2789B053" w14:textId="77777777" w:rsidR="006832E6" w:rsidRDefault="006832E6" w:rsidP="003C573E">
            <w:pPr>
              <w:spacing w:before="120"/>
              <w:rPr>
                <w:rFonts w:ascii="Arial" w:hAnsi="Arial" w:cs="Arial"/>
                <w:b/>
                <w:sz w:val="16"/>
                <w:szCs w:val="16"/>
              </w:rPr>
            </w:pPr>
          </w:p>
        </w:tc>
        <w:tc>
          <w:tcPr>
            <w:tcW w:w="1728" w:type="dxa"/>
            <w:vMerge/>
            <w:vAlign w:val="center"/>
          </w:tcPr>
          <w:p w14:paraId="683E174C" w14:textId="77777777" w:rsidR="006832E6" w:rsidRPr="00F13ABC" w:rsidRDefault="006832E6" w:rsidP="003C573E">
            <w:pPr>
              <w:spacing w:before="120"/>
              <w:jc w:val="center"/>
              <w:rPr>
                <w:rFonts w:ascii="Arial" w:hAnsi="Arial" w:cs="Arial"/>
                <w:sz w:val="16"/>
                <w:szCs w:val="16"/>
              </w:rPr>
            </w:pPr>
          </w:p>
        </w:tc>
        <w:tc>
          <w:tcPr>
            <w:tcW w:w="1467" w:type="dxa"/>
            <w:vAlign w:val="center"/>
          </w:tcPr>
          <w:p w14:paraId="3110B2D3" w14:textId="77777777" w:rsidR="006832E6" w:rsidRPr="00F13ABC" w:rsidRDefault="006832E6" w:rsidP="003C573E">
            <w:pPr>
              <w:spacing w:before="120"/>
              <w:jc w:val="center"/>
              <w:rPr>
                <w:rFonts w:ascii="Arial" w:hAnsi="Arial" w:cs="Arial"/>
                <w:sz w:val="16"/>
                <w:szCs w:val="16"/>
              </w:rPr>
            </w:pPr>
          </w:p>
        </w:tc>
        <w:tc>
          <w:tcPr>
            <w:tcW w:w="1369" w:type="dxa"/>
            <w:vAlign w:val="center"/>
          </w:tcPr>
          <w:p w14:paraId="68A917ED" w14:textId="2A0F7BF2" w:rsidR="006832E6" w:rsidRDefault="006832E6" w:rsidP="003C573E">
            <w:pPr>
              <w:spacing w:before="120"/>
              <w:jc w:val="center"/>
              <w:rPr>
                <w:rFonts w:ascii="Arial" w:hAnsi="Arial" w:cs="Arial"/>
                <w:sz w:val="16"/>
                <w:szCs w:val="16"/>
              </w:rPr>
            </w:pPr>
            <w:r>
              <w:rPr>
                <w:rFonts w:ascii="Arial" w:hAnsi="Arial" w:cs="Arial"/>
                <w:sz w:val="16"/>
                <w:szCs w:val="16"/>
              </w:rPr>
              <w:t>600</w:t>
            </w:r>
          </w:p>
        </w:tc>
        <w:tc>
          <w:tcPr>
            <w:tcW w:w="1267" w:type="dxa"/>
            <w:vAlign w:val="center"/>
          </w:tcPr>
          <w:p w14:paraId="3A07BFAE" w14:textId="77777777" w:rsidR="006832E6" w:rsidRPr="00F13ABC" w:rsidRDefault="006832E6" w:rsidP="003C573E">
            <w:pPr>
              <w:spacing w:before="120"/>
              <w:jc w:val="center"/>
              <w:rPr>
                <w:rFonts w:ascii="Arial" w:hAnsi="Arial" w:cs="Arial"/>
                <w:sz w:val="16"/>
                <w:szCs w:val="16"/>
              </w:rPr>
            </w:pPr>
          </w:p>
        </w:tc>
        <w:tc>
          <w:tcPr>
            <w:tcW w:w="1341" w:type="dxa"/>
            <w:vAlign w:val="center"/>
          </w:tcPr>
          <w:p w14:paraId="56515538" w14:textId="376FF304" w:rsidR="006832E6" w:rsidRDefault="006832E6" w:rsidP="003C573E">
            <w:pPr>
              <w:spacing w:before="120"/>
              <w:jc w:val="center"/>
              <w:rPr>
                <w:rFonts w:ascii="Arial" w:hAnsi="Arial" w:cs="Arial"/>
                <w:sz w:val="16"/>
                <w:szCs w:val="16"/>
              </w:rPr>
            </w:pPr>
            <w:r>
              <w:rPr>
                <w:rFonts w:ascii="Arial" w:hAnsi="Arial" w:cs="Arial"/>
                <w:sz w:val="16"/>
                <w:szCs w:val="16"/>
              </w:rPr>
              <w:t>0.0078</w:t>
            </w:r>
          </w:p>
        </w:tc>
      </w:tr>
    </w:tbl>
    <w:p w14:paraId="14A7EB70" w14:textId="546153E6" w:rsidR="004D05B7" w:rsidRPr="00F13ABC" w:rsidRDefault="004D05B7" w:rsidP="004D05B7">
      <w:pPr>
        <w:tabs>
          <w:tab w:val="left" w:pos="2760"/>
        </w:tabs>
        <w:spacing w:before="120" w:line="300" w:lineRule="atLeast"/>
        <w:jc w:val="both"/>
        <w:rPr>
          <w:rFonts w:ascii="Arial" w:hAnsi="Arial" w:cs="Arial"/>
          <w:b/>
          <w:szCs w:val="18"/>
        </w:rPr>
      </w:pPr>
      <w:r w:rsidRPr="00F13ABC">
        <w:rPr>
          <w:rFonts w:ascii="Arial" w:hAnsi="Arial" w:cs="Arial"/>
          <w:b/>
          <w:szCs w:val="18"/>
        </w:rPr>
        <w:lastRenderedPageBreak/>
        <w:t xml:space="preserve">Certainty assessment for </w:t>
      </w:r>
      <w:r w:rsidR="00CF6D0A">
        <w:rPr>
          <w:rFonts w:ascii="Arial" w:hAnsi="Arial" w:cs="Arial"/>
          <w:b/>
          <w:szCs w:val="18"/>
        </w:rPr>
        <w:t>2020</w:t>
      </w:r>
    </w:p>
    <w:p w14:paraId="08FFEC40" w14:textId="6FDE1797" w:rsidR="004D05B7" w:rsidRPr="00F13ABC" w:rsidRDefault="004D05B7" w:rsidP="004D7538">
      <w:pPr>
        <w:tabs>
          <w:tab w:val="left" w:pos="1701"/>
        </w:tabs>
        <w:spacing w:after="0" w:line="300" w:lineRule="atLeast"/>
        <w:ind w:left="1701" w:hanging="1701"/>
        <w:jc w:val="both"/>
        <w:rPr>
          <w:szCs w:val="18"/>
        </w:rPr>
      </w:pPr>
      <w:r w:rsidRPr="00F13ABC">
        <w:rPr>
          <w:szCs w:val="18"/>
        </w:rPr>
        <w:t xml:space="preserve">Activity data: </w:t>
      </w:r>
      <w:r w:rsidRPr="00F13ABC">
        <w:rPr>
          <w:szCs w:val="18"/>
        </w:rPr>
        <w:tab/>
      </w:r>
      <w:r w:rsidR="00487C8D" w:rsidRPr="00F13ABC">
        <w:rPr>
          <w:szCs w:val="18"/>
        </w:rPr>
        <w:t>S</w:t>
      </w:r>
      <w:r w:rsidR="004D7538" w:rsidRPr="00F13ABC">
        <w:rPr>
          <w:szCs w:val="18"/>
        </w:rPr>
        <w:t>chool incinerators</w:t>
      </w:r>
      <w:r w:rsidR="007D30EE" w:rsidRPr="00F13ABC">
        <w:rPr>
          <w:szCs w:val="18"/>
        </w:rPr>
        <w:t>,</w:t>
      </w:r>
      <w:r w:rsidR="004D7538" w:rsidRPr="00F13ABC">
        <w:rPr>
          <w:szCs w:val="18"/>
        </w:rPr>
        <w:t xml:space="preserve"> </w:t>
      </w:r>
      <w:r w:rsidR="00CF6D0A">
        <w:rPr>
          <w:szCs w:val="18"/>
        </w:rPr>
        <w:t>High</w:t>
      </w:r>
      <w:r w:rsidR="00CF6D0A" w:rsidRPr="00F13ABC">
        <w:rPr>
          <w:szCs w:val="18"/>
        </w:rPr>
        <w:t xml:space="preserve"> </w:t>
      </w:r>
      <w:r w:rsidRPr="00F13ABC">
        <w:rPr>
          <w:szCs w:val="18"/>
        </w:rPr>
        <w:t xml:space="preserve">(because </w:t>
      </w:r>
      <w:r w:rsidR="00487C8D" w:rsidRPr="00F13ABC">
        <w:rPr>
          <w:szCs w:val="18"/>
        </w:rPr>
        <w:t>it is</w:t>
      </w:r>
      <w:r w:rsidRPr="00F13ABC">
        <w:rPr>
          <w:szCs w:val="18"/>
        </w:rPr>
        <w:t xml:space="preserve"> based on </w:t>
      </w:r>
      <w:r w:rsidR="00CF6D0A">
        <w:rPr>
          <w:szCs w:val="18"/>
        </w:rPr>
        <w:t>Ministry data</w:t>
      </w:r>
      <w:r w:rsidRPr="00F13ABC">
        <w:rPr>
          <w:szCs w:val="18"/>
        </w:rPr>
        <w:t>)</w:t>
      </w:r>
    </w:p>
    <w:p w14:paraId="5D170E71" w14:textId="77777777" w:rsidR="004D05B7" w:rsidRPr="00F13ABC" w:rsidRDefault="004D05B7" w:rsidP="004D05B7">
      <w:pPr>
        <w:tabs>
          <w:tab w:val="left" w:pos="1701"/>
        </w:tabs>
        <w:spacing w:line="300" w:lineRule="atLeast"/>
        <w:jc w:val="both"/>
        <w:rPr>
          <w:szCs w:val="18"/>
        </w:rPr>
      </w:pPr>
      <w:r w:rsidRPr="00F13ABC">
        <w:rPr>
          <w:szCs w:val="18"/>
        </w:rPr>
        <w:t xml:space="preserve">Emission factors: </w:t>
      </w:r>
      <w:r w:rsidRPr="00F13ABC">
        <w:rPr>
          <w:szCs w:val="18"/>
        </w:rPr>
        <w:tab/>
        <w:t>Low (because they are based on default factors given in the UNEP Toolkit)</w:t>
      </w:r>
    </w:p>
    <w:p w14:paraId="3BE3F21E" w14:textId="77777777" w:rsidR="007C5795" w:rsidRPr="008E2BED" w:rsidRDefault="007C5795" w:rsidP="00261F78">
      <w:pPr>
        <w:pStyle w:val="Heading2"/>
      </w:pPr>
      <w:bookmarkStart w:id="113" w:name="_Toc112768070"/>
      <w:r w:rsidRPr="008E2BED">
        <w:t>Destruction of animal carcasses</w:t>
      </w:r>
      <w:bookmarkEnd w:id="113"/>
    </w:p>
    <w:p w14:paraId="7A4A1BC4" w14:textId="46554AC6" w:rsidR="00067BEA" w:rsidRPr="002E6064" w:rsidRDefault="60C85137" w:rsidP="00067BEA">
      <w:pPr>
        <w:spacing w:line="300" w:lineRule="atLeast"/>
        <w:jc w:val="both"/>
      </w:pPr>
      <w:bookmarkStart w:id="114" w:name="_Toc358573557"/>
      <w:r>
        <w:t xml:space="preserve">The disposal of animal carcasses in New Zealand using combustion falls into two categories depending on whether the animals are commercial livestock or domestic pets. On-farm disposal of dead livestock occurs by open burning and any releases should be captured under the general “Open Burning” sub-categories of section 8. On the other hand, domestic pets and other small animals are disposed of by controlled incineration. </w:t>
      </w:r>
    </w:p>
    <w:p w14:paraId="4C65C199" w14:textId="1945D419" w:rsidR="00715C7F" w:rsidRDefault="2E199277" w:rsidP="00067BEA">
      <w:pPr>
        <w:spacing w:line="300" w:lineRule="atLeast"/>
        <w:jc w:val="both"/>
      </w:pPr>
      <w:r>
        <w:t xml:space="preserve">For the </w:t>
      </w:r>
      <w:r w:rsidR="551449B3">
        <w:t>current</w:t>
      </w:r>
      <w:r>
        <w:t xml:space="preserve"> </w:t>
      </w:r>
      <w:bookmarkStart w:id="115" w:name="_Int_6gyM1PYg"/>
      <w:r>
        <w:t>Inventory,</w:t>
      </w:r>
      <w:bookmarkEnd w:id="115"/>
      <w:r>
        <w:t xml:space="preserve"> a</w:t>
      </w:r>
      <w:r w:rsidR="60C85137">
        <w:t xml:space="preserve"> survey was conducted of regional councils and local authorities issuing consents for animal cremators and those disposing of animal pathologi</w:t>
      </w:r>
      <w:r w:rsidR="126D0689">
        <w:t xml:space="preserve">cal waste by combustion. </w:t>
      </w:r>
      <w:r w:rsidR="551449B3">
        <w:t>Information was sought about the number of cremators operating in their region</w:t>
      </w:r>
      <w:r w:rsidR="4AB3FF87">
        <w:t xml:space="preserve"> in 2020</w:t>
      </w:r>
      <w:r w:rsidR="551449B3">
        <w:t>, the</w:t>
      </w:r>
      <w:r w:rsidR="4AB3FF87">
        <w:t xml:space="preserve"> total amount of animal material burnt in the year and confirmation that cremators were batch mode with no specific air pollution equipment installed or continuous monitoring of combustion gas concentrations occurring</w:t>
      </w:r>
      <w:r w:rsidR="10173F35">
        <w:t>.</w:t>
      </w:r>
      <w:r w:rsidR="4489C0C2">
        <w:t xml:space="preserve"> Responses were received from all regional councils and relevant local authorities.</w:t>
      </w:r>
    </w:p>
    <w:p w14:paraId="246B29ED" w14:textId="4B805475" w:rsidR="00067BEA" w:rsidRDefault="10173F35" w:rsidP="00067BEA">
      <w:pPr>
        <w:spacing w:line="300" w:lineRule="atLeast"/>
        <w:jc w:val="both"/>
      </w:pPr>
      <w:r>
        <w:t xml:space="preserve">The survey revealed </w:t>
      </w:r>
      <w:r w:rsidR="51F948DF">
        <w:t xml:space="preserve">that </w:t>
      </w:r>
      <w:r w:rsidR="60C85137">
        <w:t xml:space="preserve">there was a total of </w:t>
      </w:r>
      <w:r w:rsidR="51F948DF">
        <w:t>2</w:t>
      </w:r>
      <w:r w:rsidR="4489C0C2">
        <w:t>8</w:t>
      </w:r>
      <w:r w:rsidR="51F948DF">
        <w:t xml:space="preserve"> </w:t>
      </w:r>
      <w:r w:rsidR="60C85137">
        <w:t>consented animal cremators spread throughout the country</w:t>
      </w:r>
      <w:bookmarkStart w:id="116" w:name="_Int_9e69V6vj"/>
      <w:r w:rsidR="51F948DF">
        <w:t xml:space="preserve">. </w:t>
      </w:r>
      <w:bookmarkEnd w:id="116"/>
      <w:r w:rsidR="51F948DF">
        <w:t xml:space="preserve">Annual waste throughput data was available for 12 of these and the average was used to estimate the waste burnt in the remainder. Using this procedure generated a </w:t>
      </w:r>
      <w:r w:rsidR="60C85137">
        <w:t>total</w:t>
      </w:r>
      <w:r w:rsidR="51F948DF">
        <w:t xml:space="preserve"> animal</w:t>
      </w:r>
      <w:r w:rsidR="60C85137">
        <w:t xml:space="preserve"> cremator activity of </w:t>
      </w:r>
      <w:r w:rsidR="4489C0C2">
        <w:t>510</w:t>
      </w:r>
      <w:r w:rsidR="60C85137">
        <w:t xml:space="preserve"> tonnes per annum </w:t>
      </w:r>
      <w:r w:rsidR="21323559">
        <w:t xml:space="preserve">was </w:t>
      </w:r>
      <w:r w:rsidR="60C85137">
        <w:t xml:space="preserve">estimated </w:t>
      </w:r>
      <w:r w:rsidR="126D0689">
        <w:t xml:space="preserve">for </w:t>
      </w:r>
      <w:r w:rsidR="4489C0C2">
        <w:t>2020.</w:t>
      </w:r>
    </w:p>
    <w:p w14:paraId="209D1253" w14:textId="654CC460" w:rsidR="00067BEA" w:rsidRPr="002E6064" w:rsidRDefault="00067BEA" w:rsidP="00067BEA">
      <w:pPr>
        <w:spacing w:line="300" w:lineRule="atLeast"/>
        <w:jc w:val="both"/>
        <w:rPr>
          <w:szCs w:val="18"/>
        </w:rPr>
      </w:pPr>
      <w:r w:rsidRPr="002E6064">
        <w:rPr>
          <w:szCs w:val="18"/>
        </w:rPr>
        <w:t xml:space="preserve">The </w:t>
      </w:r>
      <w:r>
        <w:rPr>
          <w:szCs w:val="18"/>
        </w:rPr>
        <w:t xml:space="preserve">UNEP </w:t>
      </w:r>
      <w:r w:rsidRPr="002E6064">
        <w:rPr>
          <w:szCs w:val="18"/>
        </w:rPr>
        <w:t>Toolkit classifies animal cremators into 3 classes depending on whether the process is continuous or occurs in batches</w:t>
      </w:r>
      <w:r>
        <w:rPr>
          <w:szCs w:val="18"/>
        </w:rPr>
        <w:t>,</w:t>
      </w:r>
      <w:r w:rsidRPr="002E6064">
        <w:rPr>
          <w:szCs w:val="18"/>
        </w:rPr>
        <w:t xml:space="preserve"> and on the performance of air pollution control equipment installed</w:t>
      </w:r>
      <w:r>
        <w:rPr>
          <w:szCs w:val="18"/>
        </w:rPr>
        <w:t>,</w:t>
      </w:r>
      <w:r w:rsidRPr="002E6064">
        <w:rPr>
          <w:szCs w:val="18"/>
        </w:rPr>
        <w:t xml:space="preserve"> and the extent to which combustion gas monitoring occurs during operation. </w:t>
      </w:r>
      <w:r w:rsidR="00C5626B">
        <w:rPr>
          <w:szCs w:val="18"/>
        </w:rPr>
        <w:t xml:space="preserve">Information received from the council and local authority survey confirmed that </w:t>
      </w:r>
      <w:r w:rsidR="000F0020">
        <w:rPr>
          <w:szCs w:val="18"/>
        </w:rPr>
        <w:t>all cremators</w:t>
      </w:r>
      <w:r>
        <w:rPr>
          <w:szCs w:val="18"/>
        </w:rPr>
        <w:t xml:space="preserve"> are covered by the Toolkit’s C</w:t>
      </w:r>
      <w:r w:rsidRPr="002E6064">
        <w:rPr>
          <w:szCs w:val="18"/>
        </w:rPr>
        <w:t>lass 1. This assigns an emission factor of 500</w:t>
      </w:r>
      <w:r>
        <w:rPr>
          <w:szCs w:val="18"/>
        </w:rPr>
        <w:t xml:space="preserve"> </w:t>
      </w:r>
      <w:r w:rsidRPr="002E6064">
        <w:rPr>
          <w:szCs w:val="18"/>
        </w:rPr>
        <w:t>µg/tonne o</w:t>
      </w:r>
      <w:r>
        <w:rPr>
          <w:szCs w:val="18"/>
        </w:rPr>
        <w:t>f carcasses (500 x 10</w:t>
      </w:r>
      <w:r w:rsidRPr="00B77BE4">
        <w:rPr>
          <w:szCs w:val="18"/>
          <w:vertAlign w:val="superscript"/>
        </w:rPr>
        <w:t>-6</w:t>
      </w:r>
      <w:r>
        <w:rPr>
          <w:szCs w:val="18"/>
        </w:rPr>
        <w:t xml:space="preserve"> g TEQ/tonne) to emissions to air, with no r</w:t>
      </w:r>
      <w:r w:rsidRPr="002E6064">
        <w:rPr>
          <w:szCs w:val="18"/>
        </w:rPr>
        <w:t>eleases to other compartments.</w:t>
      </w:r>
    </w:p>
    <w:p w14:paraId="44D4C229" w14:textId="4BF78284" w:rsidR="00067BEA" w:rsidRDefault="004605AB" w:rsidP="00067BEA">
      <w:pPr>
        <w:spacing w:line="300" w:lineRule="atLeast"/>
        <w:jc w:val="both"/>
        <w:rPr>
          <w:szCs w:val="18"/>
        </w:rPr>
      </w:pPr>
      <w:r>
        <w:rPr>
          <w:szCs w:val="18"/>
        </w:rPr>
        <w:t xml:space="preserve">The release estimates for </w:t>
      </w:r>
      <w:r w:rsidR="00AD2DB6">
        <w:rPr>
          <w:szCs w:val="18"/>
        </w:rPr>
        <w:t>2020</w:t>
      </w:r>
      <w:r w:rsidR="00067BEA">
        <w:rPr>
          <w:szCs w:val="18"/>
        </w:rPr>
        <w:t xml:space="preserve"> are shown in Table 3-5, along with</w:t>
      </w:r>
      <w:r>
        <w:rPr>
          <w:szCs w:val="18"/>
        </w:rPr>
        <w:t xml:space="preserve"> previous estimates for 2012</w:t>
      </w:r>
      <w:r w:rsidR="00AD2DB6">
        <w:rPr>
          <w:szCs w:val="18"/>
        </w:rPr>
        <w:t xml:space="preserve"> and 2016</w:t>
      </w:r>
      <w:r w:rsidR="00067BEA" w:rsidRPr="00D31138">
        <w:rPr>
          <w:szCs w:val="18"/>
        </w:rPr>
        <w:t xml:space="preserve"> </w:t>
      </w:r>
    </w:p>
    <w:p w14:paraId="27A48B6C" w14:textId="7E673115" w:rsidR="00067BEA" w:rsidRPr="00A117FA" w:rsidRDefault="00067BEA" w:rsidP="00067BEA">
      <w:pPr>
        <w:pStyle w:val="Caption"/>
        <w:jc w:val="left"/>
        <w:rPr>
          <w:rFonts w:cs="Arial"/>
          <w:szCs w:val="18"/>
        </w:rPr>
      </w:pPr>
      <w:bookmarkStart w:id="117" w:name="_Ref386521742"/>
      <w:r w:rsidRPr="002E6064">
        <w:t xml:space="preserve">Table </w:t>
      </w:r>
      <w:r>
        <w:fldChar w:fldCharType="begin"/>
      </w:r>
      <w:r>
        <w:instrText>STYLEREF 1 \s</w:instrText>
      </w:r>
      <w:r>
        <w:fldChar w:fldCharType="separate"/>
      </w:r>
      <w:r w:rsidR="00141D7F">
        <w:rPr>
          <w:noProof/>
        </w:rPr>
        <w:t>3</w:t>
      </w:r>
      <w:r>
        <w:fldChar w:fldCharType="end"/>
      </w:r>
      <w:r>
        <w:noBreakHyphen/>
      </w:r>
      <w:r>
        <w:fldChar w:fldCharType="begin"/>
      </w:r>
      <w:r>
        <w:instrText>SEQ Table \* ARABIC \s 1</w:instrText>
      </w:r>
      <w:r>
        <w:fldChar w:fldCharType="separate"/>
      </w:r>
      <w:r w:rsidR="00141D7F">
        <w:rPr>
          <w:noProof/>
        </w:rPr>
        <w:t>5</w:t>
      </w:r>
      <w:r>
        <w:fldChar w:fldCharType="end"/>
      </w:r>
      <w:bookmarkEnd w:id="117"/>
      <w:r w:rsidRPr="002E6064">
        <w:t>:</w:t>
      </w:r>
      <w:r w:rsidRPr="00A117FA">
        <w:rPr>
          <w:rFonts w:cs="Arial"/>
        </w:rPr>
        <w:t xml:space="preserve"> </w:t>
      </w:r>
      <w:r>
        <w:rPr>
          <w:rFonts w:cs="Arial"/>
        </w:rPr>
        <w:t>Dioxin</w:t>
      </w:r>
      <w:r w:rsidRPr="00A117FA">
        <w:rPr>
          <w:rFonts w:cs="Arial"/>
        </w:rPr>
        <w:t xml:space="preserve"> releases from </w:t>
      </w:r>
      <w:r>
        <w:rPr>
          <w:rFonts w:cs="Arial"/>
        </w:rPr>
        <w:t>animal carcass disposal</w:t>
      </w:r>
    </w:p>
    <w:tbl>
      <w:tblPr>
        <w:tblStyle w:val="TableGrid"/>
        <w:tblW w:w="8959" w:type="dxa"/>
        <w:tblInd w:w="108" w:type="dxa"/>
        <w:tblLook w:val="04A0" w:firstRow="1" w:lastRow="0" w:firstColumn="1" w:lastColumn="0" w:noHBand="0" w:noVBand="1"/>
      </w:tblPr>
      <w:tblGrid>
        <w:gridCol w:w="969"/>
        <w:gridCol w:w="2168"/>
        <w:gridCol w:w="1831"/>
        <w:gridCol w:w="2054"/>
        <w:gridCol w:w="1937"/>
      </w:tblGrid>
      <w:tr w:rsidR="00067BEA" w:rsidRPr="00956589" w14:paraId="355857A1" w14:textId="77777777" w:rsidTr="00E95BD6">
        <w:tc>
          <w:tcPr>
            <w:tcW w:w="969" w:type="dxa"/>
            <w:vMerge w:val="restart"/>
          </w:tcPr>
          <w:p w14:paraId="6E857749" w14:textId="77777777" w:rsidR="00067BEA" w:rsidRPr="00956589" w:rsidRDefault="00067BEA" w:rsidP="00067BEA">
            <w:pPr>
              <w:spacing w:before="120"/>
              <w:jc w:val="center"/>
              <w:rPr>
                <w:rFonts w:ascii="Arial" w:hAnsi="Arial" w:cs="Arial"/>
                <w:b/>
                <w:sz w:val="16"/>
                <w:szCs w:val="16"/>
              </w:rPr>
            </w:pPr>
          </w:p>
        </w:tc>
        <w:tc>
          <w:tcPr>
            <w:tcW w:w="2168" w:type="dxa"/>
            <w:vMerge w:val="restart"/>
            <w:vAlign w:val="center"/>
          </w:tcPr>
          <w:p w14:paraId="113E2F8C" w14:textId="77777777"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Source</w:t>
            </w:r>
          </w:p>
        </w:tc>
        <w:tc>
          <w:tcPr>
            <w:tcW w:w="1831" w:type="dxa"/>
            <w:vMerge w:val="restart"/>
            <w:vAlign w:val="center"/>
          </w:tcPr>
          <w:p w14:paraId="19B2C349" w14:textId="77777777"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Activity Rate, tonnes/year</w:t>
            </w:r>
          </w:p>
        </w:tc>
        <w:tc>
          <w:tcPr>
            <w:tcW w:w="2054" w:type="dxa"/>
            <w:vAlign w:val="center"/>
          </w:tcPr>
          <w:p w14:paraId="79FA8E8C" w14:textId="77777777"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 xml:space="preserve">Release factors, µg </w:t>
            </w:r>
            <w:r>
              <w:rPr>
                <w:rFonts w:ascii="Arial" w:hAnsi="Arial" w:cs="Arial"/>
                <w:b/>
                <w:sz w:val="16"/>
                <w:szCs w:val="16"/>
              </w:rPr>
              <w:t>TEQ</w:t>
            </w:r>
            <w:r w:rsidRPr="00956589">
              <w:rPr>
                <w:rFonts w:ascii="Arial" w:hAnsi="Arial" w:cs="Arial"/>
                <w:b/>
                <w:sz w:val="16"/>
                <w:szCs w:val="16"/>
              </w:rPr>
              <w:t>/t</w:t>
            </w:r>
          </w:p>
        </w:tc>
        <w:tc>
          <w:tcPr>
            <w:tcW w:w="1937" w:type="dxa"/>
            <w:vAlign w:val="center"/>
          </w:tcPr>
          <w:p w14:paraId="1C3B988F" w14:textId="40A52728"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 xml:space="preserve">Annual releases (g </w:t>
            </w:r>
            <w:r>
              <w:rPr>
                <w:rFonts w:ascii="Arial" w:hAnsi="Arial" w:cs="Arial"/>
                <w:b/>
                <w:sz w:val="16"/>
                <w:szCs w:val="16"/>
              </w:rPr>
              <w:t>TEQ</w:t>
            </w:r>
            <w:r w:rsidRPr="00956589">
              <w:rPr>
                <w:rFonts w:ascii="Arial" w:hAnsi="Arial" w:cs="Arial"/>
                <w:b/>
                <w:sz w:val="16"/>
                <w:szCs w:val="16"/>
              </w:rPr>
              <w:t>/yr)</w:t>
            </w:r>
          </w:p>
        </w:tc>
      </w:tr>
      <w:tr w:rsidR="00067BEA" w:rsidRPr="00956589" w14:paraId="71CB502E" w14:textId="77777777" w:rsidTr="00E95BD6">
        <w:tc>
          <w:tcPr>
            <w:tcW w:w="969" w:type="dxa"/>
            <w:vMerge/>
          </w:tcPr>
          <w:p w14:paraId="19267F60" w14:textId="77777777" w:rsidR="00067BEA" w:rsidRPr="00956589" w:rsidRDefault="00067BEA" w:rsidP="00067BEA">
            <w:pPr>
              <w:spacing w:before="120"/>
              <w:jc w:val="both"/>
              <w:rPr>
                <w:rFonts w:ascii="Arial" w:hAnsi="Arial" w:cs="Arial"/>
                <w:sz w:val="16"/>
                <w:szCs w:val="16"/>
              </w:rPr>
            </w:pPr>
          </w:p>
        </w:tc>
        <w:tc>
          <w:tcPr>
            <w:tcW w:w="2168" w:type="dxa"/>
            <w:vMerge/>
          </w:tcPr>
          <w:p w14:paraId="74F14F14" w14:textId="77777777" w:rsidR="00067BEA" w:rsidRPr="00956589" w:rsidRDefault="00067BEA" w:rsidP="00067BEA">
            <w:pPr>
              <w:spacing w:before="120"/>
              <w:jc w:val="both"/>
              <w:rPr>
                <w:rFonts w:ascii="Arial" w:hAnsi="Arial" w:cs="Arial"/>
                <w:sz w:val="16"/>
                <w:szCs w:val="16"/>
              </w:rPr>
            </w:pPr>
          </w:p>
        </w:tc>
        <w:tc>
          <w:tcPr>
            <w:tcW w:w="1831" w:type="dxa"/>
            <w:vMerge/>
            <w:vAlign w:val="center"/>
          </w:tcPr>
          <w:p w14:paraId="68739DDC" w14:textId="77777777" w:rsidR="00067BEA" w:rsidRPr="00956589" w:rsidRDefault="00067BEA" w:rsidP="00067BEA">
            <w:pPr>
              <w:spacing w:before="120"/>
              <w:jc w:val="center"/>
              <w:rPr>
                <w:rFonts w:ascii="Arial" w:hAnsi="Arial" w:cs="Arial"/>
                <w:sz w:val="16"/>
                <w:szCs w:val="16"/>
              </w:rPr>
            </w:pPr>
          </w:p>
        </w:tc>
        <w:tc>
          <w:tcPr>
            <w:tcW w:w="2054" w:type="dxa"/>
            <w:vAlign w:val="center"/>
          </w:tcPr>
          <w:p w14:paraId="367BFAD5" w14:textId="77777777"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Air</w:t>
            </w:r>
          </w:p>
        </w:tc>
        <w:tc>
          <w:tcPr>
            <w:tcW w:w="1937" w:type="dxa"/>
            <w:vAlign w:val="center"/>
          </w:tcPr>
          <w:p w14:paraId="4D528529" w14:textId="77777777" w:rsidR="00067BEA" w:rsidRPr="00956589" w:rsidRDefault="00067BEA" w:rsidP="00067BEA">
            <w:pPr>
              <w:spacing w:before="120"/>
              <w:jc w:val="center"/>
              <w:rPr>
                <w:rFonts w:ascii="Arial" w:hAnsi="Arial" w:cs="Arial"/>
                <w:b/>
                <w:sz w:val="16"/>
                <w:szCs w:val="16"/>
              </w:rPr>
            </w:pPr>
            <w:r w:rsidRPr="00956589">
              <w:rPr>
                <w:rFonts w:ascii="Arial" w:hAnsi="Arial" w:cs="Arial"/>
                <w:b/>
                <w:sz w:val="16"/>
                <w:szCs w:val="16"/>
              </w:rPr>
              <w:t xml:space="preserve">Air </w:t>
            </w:r>
          </w:p>
        </w:tc>
      </w:tr>
      <w:tr w:rsidR="004605AB" w:rsidRPr="00956589" w14:paraId="73ED95E7" w14:textId="77777777" w:rsidTr="00E95BD6">
        <w:tc>
          <w:tcPr>
            <w:tcW w:w="969" w:type="dxa"/>
          </w:tcPr>
          <w:p w14:paraId="724FBE81" w14:textId="6C321EFC" w:rsidR="004605AB" w:rsidRDefault="004605AB" w:rsidP="00067BEA">
            <w:pPr>
              <w:spacing w:before="120"/>
              <w:rPr>
                <w:rFonts w:ascii="Arial" w:hAnsi="Arial" w:cs="Arial"/>
                <w:b/>
                <w:sz w:val="16"/>
                <w:szCs w:val="16"/>
              </w:rPr>
            </w:pPr>
            <w:r>
              <w:rPr>
                <w:rFonts w:ascii="Arial" w:hAnsi="Arial" w:cs="Arial"/>
                <w:b/>
                <w:sz w:val="16"/>
                <w:szCs w:val="16"/>
              </w:rPr>
              <w:t>2012</w:t>
            </w:r>
          </w:p>
        </w:tc>
        <w:tc>
          <w:tcPr>
            <w:tcW w:w="2168" w:type="dxa"/>
            <w:vAlign w:val="center"/>
          </w:tcPr>
          <w:p w14:paraId="784C5DFD" w14:textId="77777777" w:rsidR="004605AB" w:rsidRDefault="004605AB" w:rsidP="00067BEA">
            <w:pPr>
              <w:spacing w:before="120"/>
              <w:rPr>
                <w:rFonts w:ascii="Arial" w:hAnsi="Arial" w:cs="Arial"/>
                <w:b/>
                <w:sz w:val="16"/>
                <w:szCs w:val="16"/>
              </w:rPr>
            </w:pPr>
            <w:r w:rsidRPr="00F30A90">
              <w:rPr>
                <w:rFonts w:ascii="Arial" w:hAnsi="Arial" w:cs="Arial"/>
                <w:b/>
                <w:sz w:val="16"/>
                <w:szCs w:val="16"/>
              </w:rPr>
              <w:t>Class 1 cremators</w:t>
            </w:r>
          </w:p>
        </w:tc>
        <w:tc>
          <w:tcPr>
            <w:tcW w:w="1831" w:type="dxa"/>
            <w:vAlign w:val="center"/>
          </w:tcPr>
          <w:p w14:paraId="24BE9EBC" w14:textId="18D03276" w:rsidR="004605AB" w:rsidRDefault="004605AB" w:rsidP="00067BEA">
            <w:pPr>
              <w:spacing w:before="120"/>
              <w:jc w:val="center"/>
              <w:rPr>
                <w:rFonts w:ascii="Arial" w:hAnsi="Arial" w:cs="Arial"/>
                <w:sz w:val="16"/>
                <w:szCs w:val="16"/>
              </w:rPr>
            </w:pPr>
            <w:r>
              <w:rPr>
                <w:rFonts w:ascii="Arial" w:hAnsi="Arial" w:cs="Arial"/>
                <w:sz w:val="16"/>
                <w:szCs w:val="16"/>
              </w:rPr>
              <w:t>231</w:t>
            </w:r>
          </w:p>
        </w:tc>
        <w:tc>
          <w:tcPr>
            <w:tcW w:w="2054" w:type="dxa"/>
            <w:vAlign w:val="center"/>
          </w:tcPr>
          <w:p w14:paraId="3FDC5475" w14:textId="770252C6" w:rsidR="004605AB" w:rsidRDefault="004605AB" w:rsidP="00067BEA">
            <w:pPr>
              <w:spacing w:before="120"/>
              <w:jc w:val="center"/>
              <w:rPr>
                <w:rFonts w:ascii="Arial" w:hAnsi="Arial" w:cs="Arial"/>
                <w:sz w:val="16"/>
                <w:szCs w:val="16"/>
              </w:rPr>
            </w:pPr>
            <w:r>
              <w:rPr>
                <w:rFonts w:ascii="Arial" w:hAnsi="Arial" w:cs="Arial"/>
                <w:sz w:val="16"/>
                <w:szCs w:val="16"/>
              </w:rPr>
              <w:t>500</w:t>
            </w:r>
          </w:p>
        </w:tc>
        <w:tc>
          <w:tcPr>
            <w:tcW w:w="1937" w:type="dxa"/>
            <w:vAlign w:val="center"/>
          </w:tcPr>
          <w:p w14:paraId="02A0F542" w14:textId="24430A6E" w:rsidR="004605AB" w:rsidRPr="009E36C6" w:rsidRDefault="004605AB" w:rsidP="00067BEA">
            <w:pPr>
              <w:spacing w:before="120"/>
              <w:jc w:val="center"/>
              <w:rPr>
                <w:rFonts w:ascii="Arial" w:hAnsi="Arial" w:cs="Arial"/>
                <w:b/>
                <w:sz w:val="16"/>
                <w:szCs w:val="16"/>
              </w:rPr>
            </w:pPr>
            <w:r w:rsidRPr="009E36C6">
              <w:rPr>
                <w:rFonts w:ascii="Arial" w:hAnsi="Arial" w:cs="Arial"/>
                <w:b/>
                <w:sz w:val="16"/>
                <w:szCs w:val="16"/>
              </w:rPr>
              <w:t>0.116</w:t>
            </w:r>
          </w:p>
        </w:tc>
      </w:tr>
      <w:tr w:rsidR="00067BEA" w:rsidRPr="00956589" w14:paraId="44F56583" w14:textId="77777777" w:rsidTr="00E95BD6">
        <w:tc>
          <w:tcPr>
            <w:tcW w:w="969" w:type="dxa"/>
          </w:tcPr>
          <w:p w14:paraId="7C9CB035" w14:textId="68079A04" w:rsidR="00067BEA" w:rsidRPr="00DB6251" w:rsidRDefault="004605AB" w:rsidP="00067BEA">
            <w:pPr>
              <w:spacing w:before="120"/>
              <w:rPr>
                <w:rFonts w:ascii="Arial" w:hAnsi="Arial" w:cs="Arial"/>
                <w:b/>
                <w:sz w:val="16"/>
                <w:szCs w:val="16"/>
              </w:rPr>
            </w:pPr>
            <w:r w:rsidRPr="00DB6251">
              <w:rPr>
                <w:rFonts w:ascii="Arial" w:hAnsi="Arial" w:cs="Arial"/>
                <w:b/>
                <w:sz w:val="16"/>
                <w:szCs w:val="16"/>
              </w:rPr>
              <w:t>2016</w:t>
            </w:r>
          </w:p>
        </w:tc>
        <w:tc>
          <w:tcPr>
            <w:tcW w:w="2168" w:type="dxa"/>
            <w:vAlign w:val="center"/>
          </w:tcPr>
          <w:p w14:paraId="2220EA9A" w14:textId="77777777" w:rsidR="00067BEA" w:rsidRPr="00DB6251" w:rsidRDefault="00067BEA" w:rsidP="00067BEA">
            <w:pPr>
              <w:spacing w:before="120"/>
              <w:rPr>
                <w:rFonts w:ascii="Arial" w:hAnsi="Arial" w:cs="Arial"/>
                <w:b/>
                <w:sz w:val="16"/>
                <w:szCs w:val="16"/>
              </w:rPr>
            </w:pPr>
            <w:r w:rsidRPr="00DB6251">
              <w:rPr>
                <w:rFonts w:ascii="Arial" w:hAnsi="Arial" w:cs="Arial"/>
                <w:b/>
                <w:sz w:val="16"/>
                <w:szCs w:val="16"/>
              </w:rPr>
              <w:t>Class 1 cremators</w:t>
            </w:r>
          </w:p>
        </w:tc>
        <w:tc>
          <w:tcPr>
            <w:tcW w:w="1831" w:type="dxa"/>
            <w:vAlign w:val="center"/>
          </w:tcPr>
          <w:p w14:paraId="63D4C779" w14:textId="77777777" w:rsidR="00067BEA" w:rsidRPr="00DB6251" w:rsidRDefault="00067BEA" w:rsidP="00067BEA">
            <w:pPr>
              <w:spacing w:before="120"/>
              <w:jc w:val="center"/>
              <w:rPr>
                <w:rFonts w:ascii="Arial" w:hAnsi="Arial" w:cs="Arial"/>
                <w:sz w:val="16"/>
                <w:szCs w:val="16"/>
              </w:rPr>
            </w:pPr>
            <w:r w:rsidRPr="00DB6251">
              <w:rPr>
                <w:rFonts w:ascii="Arial" w:hAnsi="Arial" w:cs="Arial"/>
                <w:sz w:val="16"/>
                <w:szCs w:val="16"/>
              </w:rPr>
              <w:t>231</w:t>
            </w:r>
          </w:p>
        </w:tc>
        <w:tc>
          <w:tcPr>
            <w:tcW w:w="2054" w:type="dxa"/>
            <w:vAlign w:val="center"/>
          </w:tcPr>
          <w:p w14:paraId="74F54944" w14:textId="77777777" w:rsidR="00067BEA" w:rsidRPr="00DB6251" w:rsidRDefault="00067BEA" w:rsidP="00067BEA">
            <w:pPr>
              <w:spacing w:before="120"/>
              <w:jc w:val="center"/>
              <w:rPr>
                <w:rFonts w:ascii="Arial" w:hAnsi="Arial" w:cs="Arial"/>
                <w:sz w:val="16"/>
                <w:szCs w:val="16"/>
              </w:rPr>
            </w:pPr>
            <w:r w:rsidRPr="00DB6251">
              <w:rPr>
                <w:rFonts w:ascii="Arial" w:hAnsi="Arial" w:cs="Arial"/>
                <w:sz w:val="16"/>
                <w:szCs w:val="16"/>
              </w:rPr>
              <w:t>500</w:t>
            </w:r>
          </w:p>
        </w:tc>
        <w:tc>
          <w:tcPr>
            <w:tcW w:w="1937" w:type="dxa"/>
            <w:vAlign w:val="center"/>
          </w:tcPr>
          <w:p w14:paraId="0108AD85" w14:textId="77777777" w:rsidR="00067BEA" w:rsidRPr="00DB6251" w:rsidRDefault="00067BEA" w:rsidP="00067BEA">
            <w:pPr>
              <w:spacing w:before="120"/>
              <w:jc w:val="center"/>
              <w:rPr>
                <w:rFonts w:ascii="Arial" w:hAnsi="Arial" w:cs="Arial"/>
                <w:b/>
                <w:sz w:val="16"/>
                <w:szCs w:val="16"/>
              </w:rPr>
            </w:pPr>
            <w:r w:rsidRPr="00DB6251">
              <w:rPr>
                <w:rFonts w:ascii="Arial" w:hAnsi="Arial" w:cs="Arial"/>
                <w:b/>
                <w:sz w:val="16"/>
                <w:szCs w:val="16"/>
              </w:rPr>
              <w:t>0.116</w:t>
            </w:r>
          </w:p>
        </w:tc>
      </w:tr>
      <w:tr w:rsidR="00AD2DB6" w:rsidRPr="00956589" w14:paraId="33CEDBC9" w14:textId="77777777" w:rsidTr="00E95BD6">
        <w:tc>
          <w:tcPr>
            <w:tcW w:w="969" w:type="dxa"/>
          </w:tcPr>
          <w:p w14:paraId="264BB620" w14:textId="580546D6" w:rsidR="00AD2DB6" w:rsidRPr="00DB6251" w:rsidRDefault="00AD2DB6" w:rsidP="00067BEA">
            <w:pPr>
              <w:spacing w:before="120"/>
              <w:rPr>
                <w:rFonts w:ascii="Arial" w:hAnsi="Arial" w:cs="Arial"/>
                <w:b/>
                <w:sz w:val="16"/>
                <w:szCs w:val="16"/>
              </w:rPr>
            </w:pPr>
            <w:r>
              <w:rPr>
                <w:rFonts w:ascii="Arial" w:hAnsi="Arial" w:cs="Arial"/>
                <w:b/>
                <w:sz w:val="16"/>
                <w:szCs w:val="16"/>
              </w:rPr>
              <w:t>2020</w:t>
            </w:r>
          </w:p>
        </w:tc>
        <w:tc>
          <w:tcPr>
            <w:tcW w:w="2168" w:type="dxa"/>
            <w:vAlign w:val="center"/>
          </w:tcPr>
          <w:p w14:paraId="4196BAEC" w14:textId="5491CDA5" w:rsidR="00AD2DB6" w:rsidRPr="00DB6251" w:rsidRDefault="00AD2DB6" w:rsidP="00067BEA">
            <w:pPr>
              <w:spacing w:before="120"/>
              <w:rPr>
                <w:rFonts w:ascii="Arial" w:hAnsi="Arial" w:cs="Arial"/>
                <w:b/>
                <w:sz w:val="16"/>
                <w:szCs w:val="16"/>
              </w:rPr>
            </w:pPr>
            <w:r>
              <w:rPr>
                <w:rFonts w:ascii="Arial" w:hAnsi="Arial" w:cs="Arial"/>
                <w:b/>
                <w:sz w:val="16"/>
                <w:szCs w:val="16"/>
              </w:rPr>
              <w:t>Class 1 cremators</w:t>
            </w:r>
          </w:p>
        </w:tc>
        <w:tc>
          <w:tcPr>
            <w:tcW w:w="1831" w:type="dxa"/>
            <w:vAlign w:val="center"/>
          </w:tcPr>
          <w:p w14:paraId="4E8DCCA5" w14:textId="530E8E99" w:rsidR="00AD2DB6" w:rsidRPr="00DB6251" w:rsidRDefault="00AD2DB6" w:rsidP="00067BEA">
            <w:pPr>
              <w:spacing w:before="120"/>
              <w:jc w:val="center"/>
              <w:rPr>
                <w:rFonts w:ascii="Arial" w:hAnsi="Arial" w:cs="Arial"/>
                <w:sz w:val="16"/>
                <w:szCs w:val="16"/>
              </w:rPr>
            </w:pPr>
            <w:r>
              <w:rPr>
                <w:rFonts w:ascii="Arial" w:hAnsi="Arial" w:cs="Arial"/>
                <w:sz w:val="16"/>
                <w:szCs w:val="16"/>
              </w:rPr>
              <w:t>510</w:t>
            </w:r>
          </w:p>
        </w:tc>
        <w:tc>
          <w:tcPr>
            <w:tcW w:w="2054" w:type="dxa"/>
            <w:vAlign w:val="center"/>
          </w:tcPr>
          <w:p w14:paraId="30F0B8C6" w14:textId="16EB2437" w:rsidR="00AD2DB6" w:rsidRPr="00DB6251" w:rsidRDefault="00AD2DB6" w:rsidP="00067BEA">
            <w:pPr>
              <w:spacing w:before="120"/>
              <w:jc w:val="center"/>
              <w:rPr>
                <w:rFonts w:ascii="Arial" w:hAnsi="Arial" w:cs="Arial"/>
                <w:sz w:val="16"/>
                <w:szCs w:val="16"/>
              </w:rPr>
            </w:pPr>
            <w:r>
              <w:rPr>
                <w:rFonts w:ascii="Arial" w:hAnsi="Arial" w:cs="Arial"/>
                <w:sz w:val="16"/>
                <w:szCs w:val="16"/>
              </w:rPr>
              <w:t>500</w:t>
            </w:r>
          </w:p>
        </w:tc>
        <w:tc>
          <w:tcPr>
            <w:tcW w:w="1937" w:type="dxa"/>
            <w:vAlign w:val="center"/>
          </w:tcPr>
          <w:p w14:paraId="1DED4DD0" w14:textId="2F908C91" w:rsidR="00AD2DB6" w:rsidRPr="00DB6251" w:rsidRDefault="00AD2DB6" w:rsidP="00067BEA">
            <w:pPr>
              <w:spacing w:before="120"/>
              <w:jc w:val="center"/>
              <w:rPr>
                <w:rFonts w:ascii="Arial" w:hAnsi="Arial" w:cs="Arial"/>
                <w:b/>
                <w:sz w:val="16"/>
                <w:szCs w:val="16"/>
              </w:rPr>
            </w:pPr>
            <w:r>
              <w:rPr>
                <w:rFonts w:ascii="Arial" w:hAnsi="Arial" w:cs="Arial"/>
                <w:b/>
                <w:sz w:val="16"/>
                <w:szCs w:val="16"/>
              </w:rPr>
              <w:t>0.255</w:t>
            </w:r>
          </w:p>
        </w:tc>
      </w:tr>
    </w:tbl>
    <w:p w14:paraId="523E378E" w14:textId="236D4D7E" w:rsidR="006D1DF1" w:rsidRPr="00BE17CF" w:rsidRDefault="006D1DF1" w:rsidP="006D1DF1">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r>
        <w:rPr>
          <w:rFonts w:ascii="Arial" w:hAnsi="Arial" w:cs="Arial"/>
          <w:b/>
          <w:szCs w:val="18"/>
        </w:rPr>
        <w:t xml:space="preserve"> for 20</w:t>
      </w:r>
      <w:r w:rsidR="00AD2DB6">
        <w:rPr>
          <w:rFonts w:ascii="Arial" w:hAnsi="Arial" w:cs="Arial"/>
          <w:b/>
          <w:szCs w:val="18"/>
        </w:rPr>
        <w:t>20</w:t>
      </w:r>
    </w:p>
    <w:p w14:paraId="37E62FC2" w14:textId="716D7480" w:rsidR="006D1DF1" w:rsidRDefault="006D1DF1" w:rsidP="006D1DF1">
      <w:pPr>
        <w:tabs>
          <w:tab w:val="left" w:pos="1701"/>
        </w:tabs>
        <w:spacing w:after="0" w:line="300" w:lineRule="atLeast"/>
        <w:ind w:left="1701" w:hanging="1701"/>
        <w:jc w:val="both"/>
        <w:rPr>
          <w:szCs w:val="18"/>
        </w:rPr>
      </w:pPr>
      <w:r>
        <w:rPr>
          <w:szCs w:val="18"/>
        </w:rPr>
        <w:t xml:space="preserve">Activity data: </w:t>
      </w:r>
      <w:r>
        <w:rPr>
          <w:szCs w:val="18"/>
        </w:rPr>
        <w:tab/>
      </w:r>
      <w:r w:rsidR="00AD2DB6">
        <w:rPr>
          <w:szCs w:val="18"/>
        </w:rPr>
        <w:t>Medium – High</w:t>
      </w:r>
      <w:r>
        <w:rPr>
          <w:szCs w:val="18"/>
        </w:rPr>
        <w:t xml:space="preserve"> (because it is based on </w:t>
      </w:r>
      <w:r w:rsidR="00AD2DB6">
        <w:rPr>
          <w:szCs w:val="18"/>
        </w:rPr>
        <w:t>survey information</w:t>
      </w:r>
      <w:r>
        <w:rPr>
          <w:szCs w:val="18"/>
        </w:rPr>
        <w:t>)</w:t>
      </w:r>
    </w:p>
    <w:p w14:paraId="14C2F1E8" w14:textId="5CEE9EC4" w:rsidR="00AD2DB6" w:rsidRDefault="006D1DF1" w:rsidP="006D1DF1">
      <w:pPr>
        <w:tabs>
          <w:tab w:val="left" w:pos="1701"/>
        </w:tabs>
        <w:spacing w:line="300" w:lineRule="atLeast"/>
        <w:jc w:val="both"/>
        <w:rPr>
          <w:szCs w:val="18"/>
        </w:rPr>
      </w:pPr>
      <w:r>
        <w:rPr>
          <w:szCs w:val="18"/>
        </w:rPr>
        <w:t xml:space="preserve">Emission factor: </w:t>
      </w:r>
      <w:r>
        <w:rPr>
          <w:szCs w:val="18"/>
        </w:rPr>
        <w:tab/>
        <w:t>Low (</w:t>
      </w:r>
      <w:r w:rsidRPr="00944DCC">
        <w:rPr>
          <w:szCs w:val="18"/>
        </w:rPr>
        <w:t xml:space="preserve">because </w:t>
      </w:r>
      <w:r>
        <w:rPr>
          <w:szCs w:val="18"/>
        </w:rPr>
        <w:t>it is based on default factors given in the UNEP Toolkit)</w:t>
      </w:r>
    </w:p>
    <w:p w14:paraId="494D9AC5" w14:textId="77777777" w:rsidR="00AD2DB6" w:rsidRDefault="00AD2DB6">
      <w:pPr>
        <w:spacing w:after="0"/>
        <w:rPr>
          <w:szCs w:val="18"/>
        </w:rPr>
      </w:pPr>
      <w:r>
        <w:rPr>
          <w:szCs w:val="18"/>
        </w:rPr>
        <w:br w:type="page"/>
      </w:r>
    </w:p>
    <w:p w14:paraId="22CB8A36" w14:textId="0461BFEA" w:rsidR="00C555DA" w:rsidRPr="0044421E" w:rsidRDefault="00C555DA" w:rsidP="00261F78">
      <w:pPr>
        <w:pStyle w:val="Heading2"/>
        <w:rPr>
          <w:rFonts w:eastAsia="Calibri"/>
        </w:rPr>
      </w:pPr>
      <w:bookmarkStart w:id="118" w:name="_Toc112768071"/>
      <w:r w:rsidRPr="0044421E">
        <w:rPr>
          <w:rFonts w:eastAsia="Calibri"/>
        </w:rPr>
        <w:lastRenderedPageBreak/>
        <w:t>Summary for this category</w:t>
      </w:r>
      <w:bookmarkEnd w:id="114"/>
      <w:bookmarkEnd w:id="118"/>
      <w:r w:rsidRPr="0044421E">
        <w:rPr>
          <w:rFonts w:eastAsia="Calibri"/>
        </w:rPr>
        <w:t xml:space="preserve"> </w:t>
      </w:r>
    </w:p>
    <w:p w14:paraId="758203F1" w14:textId="6258DAE8" w:rsidR="00C555DA" w:rsidRPr="0044421E" w:rsidRDefault="00C555DA" w:rsidP="00C555DA">
      <w:pPr>
        <w:spacing w:line="300" w:lineRule="atLeast"/>
        <w:jc w:val="both"/>
        <w:rPr>
          <w:rFonts w:eastAsia="Calibri"/>
          <w:szCs w:val="22"/>
        </w:rPr>
      </w:pPr>
      <w:r w:rsidRPr="0044421E">
        <w:rPr>
          <w:rFonts w:eastAsia="Calibri"/>
          <w:szCs w:val="22"/>
        </w:rPr>
        <w:t xml:space="preserve">The </w:t>
      </w:r>
      <w:r w:rsidR="00AD2DB6">
        <w:rPr>
          <w:rFonts w:eastAsia="Calibri"/>
          <w:szCs w:val="22"/>
        </w:rPr>
        <w:t>2020</w:t>
      </w:r>
      <w:r w:rsidR="00AD2DB6" w:rsidRPr="0044421E">
        <w:rPr>
          <w:rFonts w:eastAsia="Calibri"/>
          <w:szCs w:val="22"/>
        </w:rPr>
        <w:t xml:space="preserve"> </w:t>
      </w:r>
      <w:r w:rsidR="007D30EE" w:rsidRPr="0044421E">
        <w:rPr>
          <w:rFonts w:eastAsia="Calibri"/>
          <w:szCs w:val="22"/>
        </w:rPr>
        <w:t xml:space="preserve">release </w:t>
      </w:r>
      <w:r w:rsidRPr="0044421E">
        <w:rPr>
          <w:rFonts w:eastAsia="Calibri"/>
          <w:szCs w:val="22"/>
        </w:rPr>
        <w:t>estimate</w:t>
      </w:r>
      <w:r w:rsidR="007D30EE" w:rsidRPr="0044421E">
        <w:rPr>
          <w:rFonts w:eastAsia="Calibri"/>
          <w:szCs w:val="22"/>
        </w:rPr>
        <w:t>s</w:t>
      </w:r>
      <w:r w:rsidRPr="0044421E">
        <w:rPr>
          <w:rFonts w:eastAsia="Calibri"/>
          <w:szCs w:val="22"/>
        </w:rPr>
        <w:t xml:space="preserve"> for waste incineration are summarised in </w:t>
      </w:r>
      <w:r w:rsidR="00984033" w:rsidRPr="0044421E">
        <w:rPr>
          <w:rFonts w:eastAsia="Calibri"/>
          <w:szCs w:val="22"/>
        </w:rPr>
        <w:fldChar w:fldCharType="begin"/>
      </w:r>
      <w:r w:rsidR="00984033" w:rsidRPr="0044421E">
        <w:rPr>
          <w:rFonts w:eastAsia="Calibri"/>
          <w:szCs w:val="22"/>
        </w:rPr>
        <w:instrText xml:space="preserve"> REF _Ref358559883 \h </w:instrText>
      </w:r>
      <w:r w:rsidR="00D23222" w:rsidRPr="0044421E">
        <w:rPr>
          <w:rFonts w:eastAsia="Calibri"/>
          <w:szCs w:val="22"/>
        </w:rPr>
        <w:instrText xml:space="preserve"> \* MERGEFORMAT </w:instrText>
      </w:r>
      <w:r w:rsidR="00984033" w:rsidRPr="0044421E">
        <w:rPr>
          <w:rFonts w:eastAsia="Calibri"/>
          <w:szCs w:val="22"/>
        </w:rPr>
      </w:r>
      <w:r w:rsidR="00984033" w:rsidRPr="0044421E">
        <w:rPr>
          <w:rFonts w:eastAsia="Calibri"/>
          <w:szCs w:val="22"/>
        </w:rPr>
        <w:fldChar w:fldCharType="separate"/>
      </w:r>
      <w:r w:rsidR="00141D7F" w:rsidRPr="00141D7F">
        <w:t xml:space="preserve">Table </w:t>
      </w:r>
      <w:r w:rsidR="00141D7F" w:rsidRPr="00141D7F">
        <w:rPr>
          <w:noProof/>
        </w:rPr>
        <w:t>3</w:t>
      </w:r>
      <w:r w:rsidR="00141D7F" w:rsidRPr="00141D7F">
        <w:rPr>
          <w:noProof/>
        </w:rPr>
        <w:noBreakHyphen/>
        <w:t>6</w:t>
      </w:r>
      <w:r w:rsidR="00984033" w:rsidRPr="0044421E">
        <w:rPr>
          <w:rFonts w:eastAsia="Calibri"/>
          <w:szCs w:val="22"/>
        </w:rPr>
        <w:fldChar w:fldCharType="end"/>
      </w:r>
      <w:r w:rsidR="008C0596" w:rsidRPr="0044421E">
        <w:rPr>
          <w:rFonts w:eastAsia="Calibri"/>
          <w:szCs w:val="22"/>
        </w:rPr>
        <w:t xml:space="preserve">, along with the </w:t>
      </w:r>
      <w:r w:rsidR="0044421E">
        <w:rPr>
          <w:rFonts w:eastAsia="Calibri"/>
          <w:szCs w:val="22"/>
        </w:rPr>
        <w:t xml:space="preserve">totals for </w:t>
      </w:r>
      <w:r w:rsidR="00AD2DB6">
        <w:rPr>
          <w:rFonts w:eastAsia="Calibri"/>
          <w:szCs w:val="22"/>
        </w:rPr>
        <w:t xml:space="preserve">2012 </w:t>
      </w:r>
      <w:r w:rsidR="003E1FD2">
        <w:rPr>
          <w:rFonts w:eastAsia="Calibri"/>
          <w:szCs w:val="22"/>
        </w:rPr>
        <w:t xml:space="preserve">and </w:t>
      </w:r>
      <w:r w:rsidR="0044421E">
        <w:rPr>
          <w:rFonts w:eastAsia="Calibri"/>
          <w:szCs w:val="22"/>
        </w:rPr>
        <w:t>201</w:t>
      </w:r>
      <w:r w:rsidR="00AD2DB6">
        <w:rPr>
          <w:rFonts w:eastAsia="Calibri"/>
          <w:szCs w:val="22"/>
        </w:rPr>
        <w:t>6</w:t>
      </w:r>
      <w:r w:rsidR="008C0596" w:rsidRPr="0044421E">
        <w:rPr>
          <w:rFonts w:eastAsia="Calibri"/>
          <w:szCs w:val="22"/>
        </w:rPr>
        <w:t>.</w:t>
      </w:r>
    </w:p>
    <w:p w14:paraId="17DE3BF3" w14:textId="0CAD3F42" w:rsidR="00C555DA" w:rsidRPr="0044421E" w:rsidRDefault="00C555DA" w:rsidP="00101AA8">
      <w:pPr>
        <w:pStyle w:val="Caption"/>
        <w:jc w:val="left"/>
        <w:rPr>
          <w:rFonts w:cs="Arial"/>
          <w:szCs w:val="18"/>
        </w:rPr>
      </w:pPr>
      <w:bookmarkStart w:id="119" w:name="_Ref358559883"/>
      <w:r w:rsidRPr="0044421E">
        <w:rPr>
          <w:rFonts w:cs="Arial"/>
        </w:rPr>
        <w:t xml:space="preserve">Table </w:t>
      </w:r>
      <w:r w:rsidR="00C17BA5" w:rsidRPr="0044421E">
        <w:rPr>
          <w:rFonts w:cs="Arial"/>
        </w:rPr>
        <w:fldChar w:fldCharType="begin"/>
      </w:r>
      <w:r w:rsidR="00C17BA5" w:rsidRPr="0044421E">
        <w:rPr>
          <w:rFonts w:cs="Arial"/>
        </w:rPr>
        <w:instrText xml:space="preserve"> STYLEREF 1 \s </w:instrText>
      </w:r>
      <w:r w:rsidR="00C17BA5" w:rsidRPr="0044421E">
        <w:rPr>
          <w:rFonts w:cs="Arial"/>
        </w:rPr>
        <w:fldChar w:fldCharType="separate"/>
      </w:r>
      <w:r w:rsidR="00141D7F">
        <w:rPr>
          <w:rFonts w:cs="Arial"/>
          <w:noProof/>
        </w:rPr>
        <w:t>3</w:t>
      </w:r>
      <w:r w:rsidR="00C17BA5" w:rsidRPr="0044421E">
        <w:rPr>
          <w:rFonts w:cs="Arial"/>
        </w:rPr>
        <w:fldChar w:fldCharType="end"/>
      </w:r>
      <w:r w:rsidR="00C17BA5" w:rsidRPr="0044421E">
        <w:rPr>
          <w:rFonts w:cs="Arial"/>
        </w:rPr>
        <w:noBreakHyphen/>
      </w:r>
      <w:r w:rsidR="00C17BA5" w:rsidRPr="0044421E">
        <w:rPr>
          <w:rFonts w:cs="Arial"/>
        </w:rPr>
        <w:fldChar w:fldCharType="begin"/>
      </w:r>
      <w:r w:rsidR="00C17BA5" w:rsidRPr="0044421E">
        <w:rPr>
          <w:rFonts w:cs="Arial"/>
        </w:rPr>
        <w:instrText xml:space="preserve"> SEQ Table \* ARABIC \s 1 </w:instrText>
      </w:r>
      <w:r w:rsidR="00C17BA5" w:rsidRPr="0044421E">
        <w:rPr>
          <w:rFonts w:cs="Arial"/>
        </w:rPr>
        <w:fldChar w:fldCharType="separate"/>
      </w:r>
      <w:r w:rsidR="00141D7F">
        <w:rPr>
          <w:rFonts w:cs="Arial"/>
          <w:noProof/>
        </w:rPr>
        <w:t>6</w:t>
      </w:r>
      <w:r w:rsidR="00C17BA5" w:rsidRPr="0044421E">
        <w:rPr>
          <w:rFonts w:cs="Arial"/>
        </w:rPr>
        <w:fldChar w:fldCharType="end"/>
      </w:r>
      <w:bookmarkEnd w:id="119"/>
      <w:r w:rsidRPr="0044421E">
        <w:rPr>
          <w:rFonts w:cs="Arial"/>
        </w:rPr>
        <w:t xml:space="preserve">: Summary of </w:t>
      </w:r>
      <w:r w:rsidR="001B692B" w:rsidRPr="0044421E">
        <w:rPr>
          <w:rFonts w:cs="Arial"/>
        </w:rPr>
        <w:t>the release estimates</w:t>
      </w:r>
      <w:r w:rsidRPr="0044421E">
        <w:rPr>
          <w:rFonts w:cs="Arial"/>
        </w:rPr>
        <w:t xml:space="preserve"> for waste incineration</w:t>
      </w:r>
    </w:p>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9409F9" w:rsidRPr="0044421E" w14:paraId="18B288BB" w14:textId="77777777" w:rsidTr="009409F9">
        <w:tc>
          <w:tcPr>
            <w:tcW w:w="3119" w:type="dxa"/>
            <w:vMerge w:val="restart"/>
            <w:vAlign w:val="center"/>
          </w:tcPr>
          <w:p w14:paraId="43AE9572" w14:textId="77777777" w:rsidR="009409F9" w:rsidRPr="0044421E" w:rsidRDefault="009409F9" w:rsidP="009409F9">
            <w:pPr>
              <w:spacing w:before="120"/>
              <w:rPr>
                <w:rFonts w:ascii="Arial" w:hAnsi="Arial" w:cs="Arial"/>
                <w:b/>
                <w:sz w:val="16"/>
                <w:szCs w:val="16"/>
              </w:rPr>
            </w:pPr>
            <w:r w:rsidRPr="0044421E">
              <w:rPr>
                <w:rFonts w:ascii="Arial" w:hAnsi="Arial" w:cs="Arial"/>
                <w:b/>
                <w:sz w:val="16"/>
                <w:szCs w:val="16"/>
              </w:rPr>
              <w:t>Category</w:t>
            </w:r>
          </w:p>
        </w:tc>
        <w:tc>
          <w:tcPr>
            <w:tcW w:w="6095" w:type="dxa"/>
            <w:gridSpan w:val="5"/>
            <w:vAlign w:val="center"/>
          </w:tcPr>
          <w:p w14:paraId="1BA80AC9" w14:textId="2CF896E3" w:rsidR="009409F9" w:rsidRPr="0044421E" w:rsidRDefault="00B0562A" w:rsidP="00680AA2">
            <w:pPr>
              <w:spacing w:before="120"/>
              <w:jc w:val="center"/>
              <w:rPr>
                <w:rFonts w:ascii="Arial" w:hAnsi="Arial" w:cs="Arial"/>
                <w:b/>
                <w:sz w:val="16"/>
                <w:szCs w:val="16"/>
              </w:rPr>
            </w:pPr>
            <w:r>
              <w:rPr>
                <w:rFonts w:ascii="Arial" w:hAnsi="Arial" w:cs="Arial"/>
                <w:b/>
                <w:sz w:val="16"/>
                <w:szCs w:val="16"/>
              </w:rPr>
              <w:t xml:space="preserve">2020 </w:t>
            </w:r>
            <w:r w:rsidR="00680AA2" w:rsidRPr="0044421E">
              <w:rPr>
                <w:rFonts w:ascii="Arial" w:hAnsi="Arial" w:cs="Arial"/>
                <w:b/>
                <w:sz w:val="16"/>
                <w:szCs w:val="16"/>
              </w:rPr>
              <w:t>dioxin</w:t>
            </w:r>
            <w:r w:rsidR="009409F9" w:rsidRPr="0044421E">
              <w:rPr>
                <w:rFonts w:ascii="Arial" w:hAnsi="Arial" w:cs="Arial"/>
                <w:b/>
                <w:sz w:val="16"/>
                <w:szCs w:val="16"/>
              </w:rPr>
              <w:t xml:space="preserve"> releases (g </w:t>
            </w:r>
            <w:r w:rsidR="0009594D" w:rsidRPr="0044421E">
              <w:rPr>
                <w:rFonts w:ascii="Arial" w:hAnsi="Arial" w:cs="Arial"/>
                <w:b/>
                <w:sz w:val="16"/>
                <w:szCs w:val="16"/>
              </w:rPr>
              <w:t>TEQ</w:t>
            </w:r>
            <w:r w:rsidR="009409F9" w:rsidRPr="0044421E">
              <w:rPr>
                <w:rFonts w:ascii="Arial" w:hAnsi="Arial" w:cs="Arial"/>
                <w:b/>
                <w:sz w:val="16"/>
                <w:szCs w:val="16"/>
              </w:rPr>
              <w:t>/yr)</w:t>
            </w:r>
          </w:p>
        </w:tc>
      </w:tr>
      <w:tr w:rsidR="009409F9" w:rsidRPr="0044421E" w14:paraId="338F4E10" w14:textId="77777777" w:rsidTr="009409F9">
        <w:tc>
          <w:tcPr>
            <w:tcW w:w="3119" w:type="dxa"/>
            <w:vMerge/>
            <w:vAlign w:val="center"/>
          </w:tcPr>
          <w:p w14:paraId="14341AE5" w14:textId="77777777" w:rsidR="009409F9" w:rsidRPr="0044421E" w:rsidRDefault="009409F9" w:rsidP="009409F9">
            <w:pPr>
              <w:spacing w:before="120"/>
              <w:rPr>
                <w:rFonts w:ascii="Arial" w:hAnsi="Arial" w:cs="Arial"/>
                <w:b/>
                <w:sz w:val="16"/>
                <w:szCs w:val="16"/>
              </w:rPr>
            </w:pPr>
          </w:p>
        </w:tc>
        <w:tc>
          <w:tcPr>
            <w:tcW w:w="1219" w:type="dxa"/>
            <w:vAlign w:val="center"/>
          </w:tcPr>
          <w:p w14:paraId="2DF87612" w14:textId="77777777" w:rsidR="009409F9" w:rsidRPr="0044421E" w:rsidRDefault="009409F9" w:rsidP="009409F9">
            <w:pPr>
              <w:spacing w:before="120"/>
              <w:jc w:val="center"/>
              <w:rPr>
                <w:rFonts w:ascii="Arial" w:hAnsi="Arial" w:cs="Arial"/>
                <w:b/>
                <w:sz w:val="16"/>
                <w:szCs w:val="16"/>
              </w:rPr>
            </w:pPr>
            <w:r w:rsidRPr="0044421E">
              <w:rPr>
                <w:rFonts w:ascii="Arial" w:hAnsi="Arial" w:cs="Arial"/>
                <w:b/>
                <w:sz w:val="16"/>
                <w:szCs w:val="16"/>
              </w:rPr>
              <w:t>Air</w:t>
            </w:r>
          </w:p>
        </w:tc>
        <w:tc>
          <w:tcPr>
            <w:tcW w:w="1219" w:type="dxa"/>
            <w:vAlign w:val="center"/>
          </w:tcPr>
          <w:p w14:paraId="2FD650D4" w14:textId="77777777" w:rsidR="009409F9" w:rsidRPr="0044421E" w:rsidRDefault="009409F9" w:rsidP="009409F9">
            <w:pPr>
              <w:spacing w:before="120"/>
              <w:jc w:val="center"/>
              <w:rPr>
                <w:rFonts w:ascii="Arial" w:hAnsi="Arial" w:cs="Arial"/>
                <w:b/>
                <w:sz w:val="16"/>
                <w:szCs w:val="16"/>
              </w:rPr>
            </w:pPr>
            <w:r w:rsidRPr="0044421E">
              <w:rPr>
                <w:rFonts w:ascii="Arial" w:hAnsi="Arial" w:cs="Arial"/>
                <w:b/>
                <w:sz w:val="16"/>
                <w:szCs w:val="16"/>
              </w:rPr>
              <w:t>Water</w:t>
            </w:r>
          </w:p>
        </w:tc>
        <w:tc>
          <w:tcPr>
            <w:tcW w:w="1219" w:type="dxa"/>
            <w:vAlign w:val="center"/>
          </w:tcPr>
          <w:p w14:paraId="4BE7A903" w14:textId="77777777" w:rsidR="009409F9" w:rsidRPr="0044421E" w:rsidRDefault="009409F9" w:rsidP="009409F9">
            <w:pPr>
              <w:spacing w:before="120"/>
              <w:jc w:val="center"/>
              <w:rPr>
                <w:rFonts w:ascii="Arial" w:hAnsi="Arial" w:cs="Arial"/>
                <w:b/>
                <w:sz w:val="16"/>
                <w:szCs w:val="16"/>
              </w:rPr>
            </w:pPr>
            <w:r w:rsidRPr="0044421E">
              <w:rPr>
                <w:rFonts w:ascii="Arial" w:hAnsi="Arial" w:cs="Arial"/>
                <w:b/>
                <w:sz w:val="16"/>
                <w:szCs w:val="16"/>
              </w:rPr>
              <w:t>Land</w:t>
            </w:r>
          </w:p>
        </w:tc>
        <w:tc>
          <w:tcPr>
            <w:tcW w:w="1219" w:type="dxa"/>
            <w:vAlign w:val="center"/>
          </w:tcPr>
          <w:p w14:paraId="114BA352" w14:textId="77777777" w:rsidR="009409F9" w:rsidRPr="0044421E" w:rsidRDefault="009409F9" w:rsidP="009409F9">
            <w:pPr>
              <w:spacing w:before="120"/>
              <w:jc w:val="center"/>
              <w:rPr>
                <w:rFonts w:ascii="Arial" w:hAnsi="Arial" w:cs="Arial"/>
                <w:b/>
                <w:sz w:val="16"/>
                <w:szCs w:val="16"/>
              </w:rPr>
            </w:pPr>
            <w:r w:rsidRPr="0044421E">
              <w:rPr>
                <w:rFonts w:ascii="Arial" w:hAnsi="Arial" w:cs="Arial"/>
                <w:b/>
                <w:sz w:val="16"/>
                <w:szCs w:val="16"/>
              </w:rPr>
              <w:t>Product</w:t>
            </w:r>
          </w:p>
        </w:tc>
        <w:tc>
          <w:tcPr>
            <w:tcW w:w="1219" w:type="dxa"/>
            <w:vAlign w:val="center"/>
          </w:tcPr>
          <w:p w14:paraId="1DC5425B" w14:textId="77777777" w:rsidR="009409F9" w:rsidRPr="0044421E" w:rsidRDefault="009409F9" w:rsidP="009409F9">
            <w:pPr>
              <w:spacing w:before="120"/>
              <w:jc w:val="center"/>
              <w:rPr>
                <w:rFonts w:ascii="Arial" w:hAnsi="Arial" w:cs="Arial"/>
                <w:b/>
                <w:sz w:val="16"/>
                <w:szCs w:val="16"/>
              </w:rPr>
            </w:pPr>
            <w:r w:rsidRPr="0044421E">
              <w:rPr>
                <w:rFonts w:ascii="Arial" w:hAnsi="Arial" w:cs="Arial"/>
                <w:b/>
                <w:sz w:val="16"/>
                <w:szCs w:val="16"/>
              </w:rPr>
              <w:t>Residue</w:t>
            </w:r>
          </w:p>
        </w:tc>
      </w:tr>
      <w:tr w:rsidR="009409F9" w:rsidRPr="0044421E" w14:paraId="5706C52E" w14:textId="77777777" w:rsidTr="009409F9">
        <w:tc>
          <w:tcPr>
            <w:tcW w:w="3119" w:type="dxa"/>
            <w:vAlign w:val="center"/>
          </w:tcPr>
          <w:p w14:paraId="1BB28DB6" w14:textId="77777777" w:rsidR="009409F9" w:rsidRPr="0044421E" w:rsidRDefault="009409F9" w:rsidP="009409F9">
            <w:pPr>
              <w:spacing w:before="120"/>
              <w:rPr>
                <w:rFonts w:ascii="Arial" w:hAnsi="Arial" w:cs="Arial"/>
                <w:sz w:val="16"/>
                <w:szCs w:val="16"/>
              </w:rPr>
            </w:pPr>
            <w:r w:rsidRPr="0044421E">
              <w:rPr>
                <w:rFonts w:ascii="Arial" w:hAnsi="Arial" w:cs="Arial"/>
                <w:sz w:val="16"/>
                <w:szCs w:val="16"/>
              </w:rPr>
              <w:t>Hazardous waste incineration</w:t>
            </w:r>
          </w:p>
        </w:tc>
        <w:tc>
          <w:tcPr>
            <w:tcW w:w="1219" w:type="dxa"/>
            <w:vAlign w:val="center"/>
          </w:tcPr>
          <w:p w14:paraId="2BF3470D" w14:textId="23050D5A" w:rsidR="009409F9" w:rsidRPr="0044421E" w:rsidRDefault="007005AC" w:rsidP="00A95D49">
            <w:pPr>
              <w:spacing w:before="120"/>
              <w:jc w:val="center"/>
              <w:rPr>
                <w:rFonts w:ascii="Arial" w:hAnsi="Arial" w:cs="Arial"/>
                <w:sz w:val="16"/>
                <w:szCs w:val="16"/>
              </w:rPr>
            </w:pPr>
            <w:r>
              <w:rPr>
                <w:rFonts w:ascii="Arial" w:hAnsi="Arial" w:cs="Arial"/>
                <w:sz w:val="16"/>
                <w:szCs w:val="16"/>
              </w:rPr>
              <w:t>0.0000055</w:t>
            </w:r>
          </w:p>
        </w:tc>
        <w:tc>
          <w:tcPr>
            <w:tcW w:w="1219" w:type="dxa"/>
            <w:vAlign w:val="center"/>
          </w:tcPr>
          <w:p w14:paraId="2EF97F96"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34A06A5F"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091D7FEE"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4BC17087" w14:textId="48C78F49" w:rsidR="009409F9" w:rsidRPr="0044421E" w:rsidRDefault="00956E4A" w:rsidP="00A95D49">
            <w:pPr>
              <w:spacing w:before="120"/>
              <w:jc w:val="center"/>
              <w:rPr>
                <w:rFonts w:ascii="Arial" w:hAnsi="Arial" w:cs="Arial"/>
                <w:sz w:val="16"/>
                <w:szCs w:val="16"/>
              </w:rPr>
            </w:pPr>
            <w:r>
              <w:rPr>
                <w:rFonts w:ascii="Arial" w:hAnsi="Arial" w:cs="Arial"/>
                <w:sz w:val="16"/>
                <w:szCs w:val="16"/>
              </w:rPr>
              <w:t>0.00000030</w:t>
            </w:r>
          </w:p>
        </w:tc>
      </w:tr>
      <w:tr w:rsidR="009409F9" w:rsidRPr="0044421E" w14:paraId="637EC5A3" w14:textId="77777777" w:rsidTr="009409F9">
        <w:tc>
          <w:tcPr>
            <w:tcW w:w="3119" w:type="dxa"/>
            <w:vAlign w:val="center"/>
          </w:tcPr>
          <w:p w14:paraId="39C76342" w14:textId="77777777" w:rsidR="009409F9" w:rsidRPr="0044421E" w:rsidRDefault="009409F9" w:rsidP="009409F9">
            <w:pPr>
              <w:spacing w:before="120"/>
              <w:rPr>
                <w:rFonts w:ascii="Arial" w:hAnsi="Arial" w:cs="Arial"/>
                <w:sz w:val="16"/>
                <w:szCs w:val="16"/>
              </w:rPr>
            </w:pPr>
            <w:r w:rsidRPr="0044421E">
              <w:rPr>
                <w:rFonts w:ascii="Arial" w:hAnsi="Arial" w:cs="Arial"/>
                <w:sz w:val="16"/>
                <w:szCs w:val="16"/>
              </w:rPr>
              <w:t>Medical waste incineration</w:t>
            </w:r>
          </w:p>
        </w:tc>
        <w:tc>
          <w:tcPr>
            <w:tcW w:w="1219" w:type="dxa"/>
            <w:vAlign w:val="center"/>
          </w:tcPr>
          <w:p w14:paraId="3137A3E2" w14:textId="377DC5D1" w:rsidR="009409F9" w:rsidRPr="0044421E" w:rsidRDefault="00A54B22" w:rsidP="009409F9">
            <w:pPr>
              <w:spacing w:before="120"/>
              <w:jc w:val="center"/>
              <w:rPr>
                <w:rFonts w:ascii="Arial" w:hAnsi="Arial" w:cs="Arial"/>
                <w:sz w:val="16"/>
                <w:szCs w:val="16"/>
              </w:rPr>
            </w:pPr>
            <w:r>
              <w:rPr>
                <w:rFonts w:ascii="Arial" w:hAnsi="Arial" w:cs="Arial"/>
                <w:sz w:val="16"/>
                <w:szCs w:val="16"/>
              </w:rPr>
              <w:t>0.234</w:t>
            </w:r>
          </w:p>
        </w:tc>
        <w:tc>
          <w:tcPr>
            <w:tcW w:w="1219" w:type="dxa"/>
            <w:vAlign w:val="center"/>
          </w:tcPr>
          <w:p w14:paraId="3E96E4D3"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3DD556AF"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3C6B3DDC"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7930E2EE" w14:textId="18434B2F" w:rsidR="009409F9" w:rsidRPr="0044421E" w:rsidRDefault="00A54B22" w:rsidP="009409F9">
            <w:pPr>
              <w:spacing w:before="120"/>
              <w:jc w:val="center"/>
              <w:rPr>
                <w:rFonts w:ascii="Arial" w:hAnsi="Arial" w:cs="Arial"/>
                <w:sz w:val="16"/>
                <w:szCs w:val="16"/>
              </w:rPr>
            </w:pPr>
            <w:r>
              <w:rPr>
                <w:rFonts w:ascii="Arial" w:hAnsi="Arial" w:cs="Arial"/>
                <w:sz w:val="16"/>
                <w:szCs w:val="16"/>
              </w:rPr>
              <w:t>0.001</w:t>
            </w:r>
            <w:r w:rsidR="00956E4A">
              <w:rPr>
                <w:rFonts w:ascii="Arial" w:hAnsi="Arial" w:cs="Arial"/>
                <w:sz w:val="16"/>
                <w:szCs w:val="16"/>
              </w:rPr>
              <w:t>56</w:t>
            </w:r>
          </w:p>
        </w:tc>
      </w:tr>
      <w:tr w:rsidR="009409F9" w:rsidRPr="0044421E" w14:paraId="00D28D5B" w14:textId="77777777" w:rsidTr="009409F9">
        <w:tc>
          <w:tcPr>
            <w:tcW w:w="3119" w:type="dxa"/>
            <w:vAlign w:val="center"/>
          </w:tcPr>
          <w:p w14:paraId="1170DDC0" w14:textId="77777777" w:rsidR="009409F9" w:rsidRPr="0044421E" w:rsidRDefault="009409F9" w:rsidP="009409F9">
            <w:pPr>
              <w:spacing w:before="120"/>
              <w:rPr>
                <w:rFonts w:ascii="Arial" w:hAnsi="Arial" w:cs="Arial"/>
                <w:sz w:val="16"/>
                <w:szCs w:val="16"/>
              </w:rPr>
            </w:pPr>
            <w:r w:rsidRPr="0044421E">
              <w:rPr>
                <w:rFonts w:ascii="Arial" w:hAnsi="Arial" w:cs="Arial"/>
                <w:sz w:val="16"/>
                <w:szCs w:val="16"/>
              </w:rPr>
              <w:t>Sewage sludge incineration</w:t>
            </w:r>
          </w:p>
        </w:tc>
        <w:tc>
          <w:tcPr>
            <w:tcW w:w="1219" w:type="dxa"/>
            <w:vAlign w:val="center"/>
          </w:tcPr>
          <w:p w14:paraId="31F7D8EE" w14:textId="60731345" w:rsidR="009409F9" w:rsidRPr="0044421E" w:rsidRDefault="00956E4A" w:rsidP="009409F9">
            <w:pPr>
              <w:spacing w:before="120"/>
              <w:jc w:val="center"/>
              <w:rPr>
                <w:rFonts w:ascii="Arial" w:hAnsi="Arial" w:cs="Arial"/>
                <w:sz w:val="16"/>
                <w:szCs w:val="16"/>
              </w:rPr>
            </w:pPr>
            <w:r>
              <w:rPr>
                <w:rFonts w:ascii="Arial" w:hAnsi="Arial" w:cs="Arial"/>
                <w:sz w:val="16"/>
                <w:szCs w:val="16"/>
              </w:rPr>
              <w:t>0.000386</w:t>
            </w:r>
          </w:p>
        </w:tc>
        <w:tc>
          <w:tcPr>
            <w:tcW w:w="1219" w:type="dxa"/>
            <w:vAlign w:val="center"/>
          </w:tcPr>
          <w:p w14:paraId="0C49F58F"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0C5E334A"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14E2442D"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475E1EDB" w14:textId="4AFB9F4F" w:rsidR="009409F9" w:rsidRPr="0044421E" w:rsidRDefault="00351CD7" w:rsidP="009409F9">
            <w:pPr>
              <w:spacing w:before="120"/>
              <w:jc w:val="center"/>
              <w:rPr>
                <w:rFonts w:ascii="Arial" w:hAnsi="Arial" w:cs="Arial"/>
                <w:sz w:val="16"/>
                <w:szCs w:val="16"/>
              </w:rPr>
            </w:pPr>
            <w:r w:rsidRPr="0044421E">
              <w:rPr>
                <w:rFonts w:ascii="Arial" w:hAnsi="Arial" w:cs="Arial"/>
                <w:sz w:val="16"/>
                <w:szCs w:val="16"/>
              </w:rPr>
              <w:t>0.000</w:t>
            </w:r>
            <w:r w:rsidR="00A54B22">
              <w:rPr>
                <w:rFonts w:ascii="Arial" w:hAnsi="Arial" w:cs="Arial"/>
                <w:sz w:val="16"/>
                <w:szCs w:val="16"/>
              </w:rPr>
              <w:t>7</w:t>
            </w:r>
            <w:r w:rsidR="00956E4A">
              <w:rPr>
                <w:rFonts w:ascii="Arial" w:hAnsi="Arial" w:cs="Arial"/>
                <w:sz w:val="16"/>
                <w:szCs w:val="16"/>
              </w:rPr>
              <w:t>88</w:t>
            </w:r>
          </w:p>
        </w:tc>
      </w:tr>
      <w:tr w:rsidR="009409F9" w:rsidRPr="00D53B7C" w14:paraId="4A5A7303" w14:textId="77777777" w:rsidTr="009409F9">
        <w:tc>
          <w:tcPr>
            <w:tcW w:w="3119" w:type="dxa"/>
            <w:vAlign w:val="center"/>
          </w:tcPr>
          <w:p w14:paraId="28858EB6" w14:textId="77777777" w:rsidR="009409F9" w:rsidRPr="0044421E" w:rsidRDefault="009409F9" w:rsidP="009409F9">
            <w:pPr>
              <w:spacing w:before="120"/>
              <w:rPr>
                <w:rFonts w:ascii="Arial" w:hAnsi="Arial" w:cs="Arial"/>
                <w:sz w:val="16"/>
                <w:szCs w:val="16"/>
              </w:rPr>
            </w:pPr>
            <w:r w:rsidRPr="0044421E">
              <w:rPr>
                <w:rFonts w:ascii="Arial" w:hAnsi="Arial" w:cs="Arial"/>
                <w:sz w:val="16"/>
                <w:szCs w:val="16"/>
              </w:rPr>
              <w:t>Wood and Biomass Incineration*</w:t>
            </w:r>
          </w:p>
        </w:tc>
        <w:tc>
          <w:tcPr>
            <w:tcW w:w="1219" w:type="dxa"/>
            <w:vAlign w:val="center"/>
          </w:tcPr>
          <w:p w14:paraId="26C0ADDE" w14:textId="63BEB4B2" w:rsidR="009409F9" w:rsidRPr="0044421E" w:rsidRDefault="00956E4A" w:rsidP="009409F9">
            <w:pPr>
              <w:spacing w:before="120"/>
              <w:jc w:val="center"/>
              <w:rPr>
                <w:rFonts w:ascii="Arial" w:hAnsi="Arial" w:cs="Arial"/>
                <w:sz w:val="16"/>
                <w:szCs w:val="16"/>
              </w:rPr>
            </w:pPr>
            <w:r>
              <w:rPr>
                <w:rFonts w:ascii="Arial" w:hAnsi="Arial" w:cs="Arial"/>
                <w:sz w:val="16"/>
                <w:szCs w:val="16"/>
              </w:rPr>
              <w:t>0.0039</w:t>
            </w:r>
          </w:p>
        </w:tc>
        <w:tc>
          <w:tcPr>
            <w:tcW w:w="1219" w:type="dxa"/>
            <w:vAlign w:val="center"/>
          </w:tcPr>
          <w:p w14:paraId="48DAE325"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1048DB32"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560DD9BD" w14:textId="77777777" w:rsidR="009409F9" w:rsidRPr="0044421E" w:rsidRDefault="009409F9" w:rsidP="009409F9">
            <w:pPr>
              <w:spacing w:before="120"/>
              <w:jc w:val="center"/>
              <w:rPr>
                <w:rFonts w:ascii="Arial" w:hAnsi="Arial" w:cs="Arial"/>
                <w:sz w:val="16"/>
                <w:szCs w:val="16"/>
              </w:rPr>
            </w:pPr>
            <w:r w:rsidRPr="0044421E">
              <w:rPr>
                <w:rFonts w:ascii="Arial" w:hAnsi="Arial" w:cs="Arial"/>
                <w:sz w:val="16"/>
                <w:szCs w:val="16"/>
              </w:rPr>
              <w:t>-</w:t>
            </w:r>
          </w:p>
        </w:tc>
        <w:tc>
          <w:tcPr>
            <w:tcW w:w="1219" w:type="dxa"/>
            <w:vAlign w:val="center"/>
          </w:tcPr>
          <w:p w14:paraId="6C6719EC" w14:textId="437429AF" w:rsidR="009409F9" w:rsidRPr="0044421E" w:rsidRDefault="00956E4A" w:rsidP="009409F9">
            <w:pPr>
              <w:spacing w:before="120"/>
              <w:jc w:val="center"/>
              <w:rPr>
                <w:rFonts w:ascii="Arial" w:hAnsi="Arial" w:cs="Arial"/>
                <w:sz w:val="16"/>
                <w:szCs w:val="16"/>
              </w:rPr>
            </w:pPr>
            <w:r>
              <w:rPr>
                <w:rFonts w:ascii="Arial" w:hAnsi="Arial" w:cs="Arial"/>
                <w:sz w:val="16"/>
                <w:szCs w:val="16"/>
              </w:rPr>
              <w:t>0.00780</w:t>
            </w:r>
          </w:p>
        </w:tc>
      </w:tr>
      <w:tr w:rsidR="00C2619B" w:rsidRPr="00D53B7C" w14:paraId="0FE3582B" w14:textId="77777777" w:rsidTr="009409F9">
        <w:tc>
          <w:tcPr>
            <w:tcW w:w="3119" w:type="dxa"/>
          </w:tcPr>
          <w:p w14:paraId="0AFB12BC" w14:textId="77777777" w:rsidR="00C2619B" w:rsidRPr="008E2BED" w:rsidRDefault="00C2619B" w:rsidP="009409F9">
            <w:pPr>
              <w:spacing w:before="120"/>
              <w:jc w:val="both"/>
              <w:rPr>
                <w:rFonts w:ascii="Arial" w:hAnsi="Arial" w:cs="Arial"/>
                <w:sz w:val="16"/>
                <w:szCs w:val="16"/>
              </w:rPr>
            </w:pPr>
            <w:r w:rsidRPr="008E2BED">
              <w:rPr>
                <w:rFonts w:ascii="Arial" w:hAnsi="Arial" w:cs="Arial"/>
                <w:sz w:val="16"/>
                <w:szCs w:val="16"/>
              </w:rPr>
              <w:t>Destruction of animal carcasses</w:t>
            </w:r>
          </w:p>
        </w:tc>
        <w:tc>
          <w:tcPr>
            <w:tcW w:w="1219" w:type="dxa"/>
            <w:vAlign w:val="center"/>
          </w:tcPr>
          <w:p w14:paraId="5D0A6533" w14:textId="6AD533C7" w:rsidR="00C2619B" w:rsidRPr="008E2BED" w:rsidRDefault="00956E4A" w:rsidP="003975C9">
            <w:pPr>
              <w:spacing w:before="120"/>
              <w:jc w:val="center"/>
              <w:rPr>
                <w:rFonts w:ascii="Arial" w:hAnsi="Arial" w:cs="Arial"/>
                <w:sz w:val="16"/>
                <w:szCs w:val="16"/>
              </w:rPr>
            </w:pPr>
            <w:r>
              <w:rPr>
                <w:rFonts w:ascii="Arial" w:hAnsi="Arial" w:cs="Arial"/>
                <w:sz w:val="16"/>
                <w:szCs w:val="16"/>
              </w:rPr>
              <w:t>0.255</w:t>
            </w:r>
          </w:p>
        </w:tc>
        <w:tc>
          <w:tcPr>
            <w:tcW w:w="1219" w:type="dxa"/>
            <w:vAlign w:val="center"/>
          </w:tcPr>
          <w:p w14:paraId="72D94A7D" w14:textId="6875E9F7" w:rsidR="00C2619B" w:rsidRPr="008E2BED" w:rsidRDefault="00351CD7" w:rsidP="009409F9">
            <w:pPr>
              <w:spacing w:before="120"/>
              <w:jc w:val="center"/>
              <w:rPr>
                <w:rFonts w:ascii="Arial" w:hAnsi="Arial" w:cs="Arial"/>
                <w:sz w:val="16"/>
                <w:szCs w:val="16"/>
              </w:rPr>
            </w:pPr>
            <w:r w:rsidRPr="008E2BED">
              <w:rPr>
                <w:rFonts w:ascii="Arial" w:hAnsi="Arial" w:cs="Arial"/>
                <w:sz w:val="16"/>
                <w:szCs w:val="16"/>
              </w:rPr>
              <w:t>-</w:t>
            </w:r>
          </w:p>
        </w:tc>
        <w:tc>
          <w:tcPr>
            <w:tcW w:w="1219" w:type="dxa"/>
            <w:vAlign w:val="center"/>
          </w:tcPr>
          <w:p w14:paraId="150B8C02" w14:textId="0E9D989A" w:rsidR="00C2619B" w:rsidRPr="008E2BED" w:rsidRDefault="00351CD7" w:rsidP="009409F9">
            <w:pPr>
              <w:spacing w:before="120"/>
              <w:jc w:val="center"/>
              <w:rPr>
                <w:rFonts w:ascii="Arial" w:hAnsi="Arial" w:cs="Arial"/>
                <w:sz w:val="16"/>
                <w:szCs w:val="16"/>
              </w:rPr>
            </w:pPr>
            <w:r w:rsidRPr="008E2BED">
              <w:rPr>
                <w:rFonts w:ascii="Arial" w:hAnsi="Arial" w:cs="Arial"/>
                <w:sz w:val="16"/>
                <w:szCs w:val="16"/>
              </w:rPr>
              <w:t>-</w:t>
            </w:r>
          </w:p>
        </w:tc>
        <w:tc>
          <w:tcPr>
            <w:tcW w:w="1219" w:type="dxa"/>
            <w:vAlign w:val="center"/>
          </w:tcPr>
          <w:p w14:paraId="7706E018" w14:textId="4EF406B0" w:rsidR="00C2619B" w:rsidRPr="008E2BED" w:rsidRDefault="00351CD7" w:rsidP="009409F9">
            <w:pPr>
              <w:spacing w:before="120"/>
              <w:jc w:val="center"/>
              <w:rPr>
                <w:rFonts w:ascii="Arial" w:hAnsi="Arial" w:cs="Arial"/>
                <w:sz w:val="16"/>
                <w:szCs w:val="16"/>
              </w:rPr>
            </w:pPr>
            <w:r w:rsidRPr="008E2BED">
              <w:rPr>
                <w:rFonts w:ascii="Arial" w:hAnsi="Arial" w:cs="Arial"/>
                <w:sz w:val="16"/>
                <w:szCs w:val="16"/>
              </w:rPr>
              <w:t>-</w:t>
            </w:r>
          </w:p>
        </w:tc>
        <w:tc>
          <w:tcPr>
            <w:tcW w:w="1219" w:type="dxa"/>
            <w:vAlign w:val="center"/>
          </w:tcPr>
          <w:p w14:paraId="5DD001D6" w14:textId="21BEDA4F" w:rsidR="00C2619B" w:rsidRPr="008E2BED" w:rsidRDefault="00351CD7" w:rsidP="009409F9">
            <w:pPr>
              <w:spacing w:before="120"/>
              <w:jc w:val="center"/>
              <w:rPr>
                <w:rFonts w:ascii="Arial" w:hAnsi="Arial" w:cs="Arial"/>
                <w:sz w:val="16"/>
                <w:szCs w:val="16"/>
              </w:rPr>
            </w:pPr>
            <w:r w:rsidRPr="008E2BED">
              <w:rPr>
                <w:rFonts w:ascii="Arial" w:hAnsi="Arial" w:cs="Arial"/>
                <w:sz w:val="16"/>
                <w:szCs w:val="16"/>
              </w:rPr>
              <w:t>-</w:t>
            </w:r>
          </w:p>
        </w:tc>
      </w:tr>
      <w:tr w:rsidR="009409F9" w:rsidRPr="00D53B7C" w14:paraId="6F379CB5" w14:textId="77777777" w:rsidTr="009409F9">
        <w:tc>
          <w:tcPr>
            <w:tcW w:w="3119" w:type="dxa"/>
          </w:tcPr>
          <w:p w14:paraId="1FBA32E7" w14:textId="10305BF9" w:rsidR="009409F9" w:rsidRPr="008E2BED" w:rsidRDefault="00B0562A" w:rsidP="009409F9">
            <w:pPr>
              <w:spacing w:before="120"/>
              <w:jc w:val="both"/>
              <w:rPr>
                <w:rFonts w:ascii="Arial" w:hAnsi="Arial" w:cs="Arial"/>
                <w:b/>
                <w:sz w:val="16"/>
                <w:szCs w:val="16"/>
              </w:rPr>
            </w:pPr>
            <w:r>
              <w:rPr>
                <w:rFonts w:ascii="Arial" w:hAnsi="Arial" w:cs="Arial"/>
                <w:b/>
                <w:sz w:val="16"/>
                <w:szCs w:val="16"/>
              </w:rPr>
              <w:t xml:space="preserve">2012 </w:t>
            </w:r>
            <w:r w:rsidR="009232C2">
              <w:rPr>
                <w:rFonts w:ascii="Arial" w:hAnsi="Arial" w:cs="Arial"/>
                <w:b/>
                <w:sz w:val="16"/>
                <w:szCs w:val="16"/>
              </w:rPr>
              <w:t>totals</w:t>
            </w:r>
          </w:p>
        </w:tc>
        <w:tc>
          <w:tcPr>
            <w:tcW w:w="1219" w:type="dxa"/>
            <w:vAlign w:val="center"/>
          </w:tcPr>
          <w:p w14:paraId="453F941F" w14:textId="537C2960" w:rsidR="009409F9" w:rsidRPr="00FB5B1C" w:rsidRDefault="00B0562A" w:rsidP="009409F9">
            <w:pPr>
              <w:spacing w:before="120"/>
              <w:jc w:val="center"/>
              <w:rPr>
                <w:rFonts w:ascii="Arial" w:hAnsi="Arial" w:cs="Arial"/>
                <w:b/>
                <w:sz w:val="16"/>
                <w:szCs w:val="16"/>
              </w:rPr>
            </w:pPr>
            <w:r>
              <w:rPr>
                <w:rFonts w:ascii="Arial" w:hAnsi="Arial" w:cs="Arial"/>
                <w:b/>
                <w:sz w:val="16"/>
                <w:szCs w:val="16"/>
              </w:rPr>
              <w:t>0.794</w:t>
            </w:r>
          </w:p>
        </w:tc>
        <w:tc>
          <w:tcPr>
            <w:tcW w:w="1219" w:type="dxa"/>
            <w:vAlign w:val="center"/>
          </w:tcPr>
          <w:p w14:paraId="332238B0" w14:textId="6896439B" w:rsidR="009409F9" w:rsidRPr="00FB5B1C" w:rsidRDefault="00FB5B1C" w:rsidP="009409F9">
            <w:pPr>
              <w:spacing w:before="120"/>
              <w:jc w:val="center"/>
              <w:rPr>
                <w:rFonts w:ascii="Arial" w:hAnsi="Arial" w:cs="Arial"/>
                <w:b/>
                <w:strike/>
                <w:sz w:val="16"/>
                <w:szCs w:val="16"/>
              </w:rPr>
            </w:pPr>
            <w:r w:rsidRPr="00FB5B1C">
              <w:rPr>
                <w:rFonts w:ascii="Arial" w:hAnsi="Arial" w:cs="Arial"/>
                <w:b/>
                <w:strike/>
                <w:sz w:val="16"/>
                <w:szCs w:val="16"/>
              </w:rPr>
              <w:t>-</w:t>
            </w:r>
          </w:p>
        </w:tc>
        <w:tc>
          <w:tcPr>
            <w:tcW w:w="1219" w:type="dxa"/>
            <w:vAlign w:val="center"/>
          </w:tcPr>
          <w:p w14:paraId="42E58018" w14:textId="5F633947" w:rsidR="009409F9" w:rsidRPr="00FB5B1C" w:rsidRDefault="00FB5B1C" w:rsidP="009409F9">
            <w:pPr>
              <w:spacing w:before="120"/>
              <w:jc w:val="center"/>
              <w:rPr>
                <w:rFonts w:ascii="Arial" w:hAnsi="Arial" w:cs="Arial"/>
                <w:b/>
                <w:strike/>
                <w:sz w:val="16"/>
                <w:szCs w:val="16"/>
              </w:rPr>
            </w:pPr>
            <w:r w:rsidRPr="00FB5B1C">
              <w:rPr>
                <w:rFonts w:ascii="Arial" w:hAnsi="Arial" w:cs="Arial"/>
                <w:b/>
                <w:strike/>
                <w:sz w:val="16"/>
                <w:szCs w:val="16"/>
              </w:rPr>
              <w:t>-</w:t>
            </w:r>
          </w:p>
        </w:tc>
        <w:tc>
          <w:tcPr>
            <w:tcW w:w="1219" w:type="dxa"/>
            <w:vAlign w:val="center"/>
          </w:tcPr>
          <w:p w14:paraId="796FEF7C" w14:textId="1C3E0244" w:rsidR="009409F9" w:rsidRPr="00FB5B1C" w:rsidRDefault="00FB5B1C" w:rsidP="009409F9">
            <w:pPr>
              <w:spacing w:before="120"/>
              <w:jc w:val="center"/>
              <w:rPr>
                <w:rFonts w:ascii="Arial" w:hAnsi="Arial" w:cs="Arial"/>
                <w:b/>
                <w:strike/>
                <w:sz w:val="16"/>
                <w:szCs w:val="16"/>
              </w:rPr>
            </w:pPr>
            <w:r w:rsidRPr="00FB5B1C">
              <w:rPr>
                <w:rFonts w:ascii="Arial" w:hAnsi="Arial" w:cs="Arial"/>
                <w:b/>
                <w:strike/>
                <w:sz w:val="16"/>
                <w:szCs w:val="16"/>
              </w:rPr>
              <w:t>-</w:t>
            </w:r>
          </w:p>
        </w:tc>
        <w:tc>
          <w:tcPr>
            <w:tcW w:w="1219" w:type="dxa"/>
            <w:vAlign w:val="center"/>
          </w:tcPr>
          <w:p w14:paraId="56434EEC" w14:textId="4ED8692B" w:rsidR="009409F9" w:rsidRPr="00FB5B1C" w:rsidRDefault="00FB5B1C" w:rsidP="009409F9">
            <w:pPr>
              <w:spacing w:before="120"/>
              <w:jc w:val="center"/>
              <w:rPr>
                <w:rFonts w:ascii="Arial" w:hAnsi="Arial" w:cs="Arial"/>
                <w:b/>
                <w:sz w:val="16"/>
                <w:szCs w:val="16"/>
              </w:rPr>
            </w:pPr>
            <w:r w:rsidRPr="00FB5B1C">
              <w:rPr>
                <w:rFonts w:ascii="Arial" w:hAnsi="Arial" w:cs="Arial"/>
                <w:b/>
                <w:sz w:val="16"/>
                <w:szCs w:val="16"/>
              </w:rPr>
              <w:t>0.047</w:t>
            </w:r>
          </w:p>
        </w:tc>
      </w:tr>
      <w:tr w:rsidR="00680AA2" w:rsidRPr="00D53B7C" w14:paraId="32F52001" w14:textId="77777777" w:rsidTr="009409F9">
        <w:tc>
          <w:tcPr>
            <w:tcW w:w="3119" w:type="dxa"/>
          </w:tcPr>
          <w:p w14:paraId="2E370A73" w14:textId="6D47B742" w:rsidR="00680AA2" w:rsidRPr="00D53B7C" w:rsidRDefault="00B0562A" w:rsidP="009409F9">
            <w:pPr>
              <w:spacing w:before="120"/>
              <w:jc w:val="both"/>
              <w:rPr>
                <w:rFonts w:ascii="Arial" w:hAnsi="Arial" w:cs="Arial"/>
                <w:b/>
                <w:sz w:val="16"/>
                <w:szCs w:val="16"/>
                <w:highlight w:val="yellow"/>
              </w:rPr>
            </w:pPr>
            <w:r>
              <w:rPr>
                <w:rFonts w:ascii="Arial" w:hAnsi="Arial" w:cs="Arial"/>
                <w:b/>
                <w:sz w:val="16"/>
                <w:szCs w:val="16"/>
              </w:rPr>
              <w:t xml:space="preserve">2016 </w:t>
            </w:r>
            <w:r w:rsidR="00680AA2" w:rsidRPr="0044421E">
              <w:rPr>
                <w:rFonts w:ascii="Arial" w:hAnsi="Arial" w:cs="Arial"/>
                <w:b/>
                <w:sz w:val="16"/>
                <w:szCs w:val="16"/>
              </w:rPr>
              <w:t>totals</w:t>
            </w:r>
          </w:p>
        </w:tc>
        <w:tc>
          <w:tcPr>
            <w:tcW w:w="1219" w:type="dxa"/>
            <w:vAlign w:val="center"/>
          </w:tcPr>
          <w:p w14:paraId="1098BA3E" w14:textId="734E4181" w:rsidR="00680AA2" w:rsidRPr="0044421E" w:rsidRDefault="00B0562A" w:rsidP="009409F9">
            <w:pPr>
              <w:spacing w:before="120"/>
              <w:jc w:val="center"/>
              <w:rPr>
                <w:rFonts w:ascii="Arial" w:hAnsi="Arial" w:cs="Arial"/>
                <w:b/>
                <w:sz w:val="16"/>
                <w:szCs w:val="16"/>
              </w:rPr>
            </w:pPr>
            <w:r w:rsidRPr="00F22D0B">
              <w:rPr>
                <w:rFonts w:ascii="Arial" w:hAnsi="Arial" w:cs="Arial"/>
                <w:b/>
                <w:sz w:val="16"/>
                <w:szCs w:val="16"/>
              </w:rPr>
              <w:t>0.366</w:t>
            </w:r>
          </w:p>
        </w:tc>
        <w:tc>
          <w:tcPr>
            <w:tcW w:w="1219" w:type="dxa"/>
            <w:vAlign w:val="center"/>
          </w:tcPr>
          <w:p w14:paraId="4E2D958B" w14:textId="40341BA1" w:rsidR="00680AA2" w:rsidRPr="0044421E" w:rsidRDefault="008C0596" w:rsidP="009409F9">
            <w:pPr>
              <w:spacing w:before="120"/>
              <w:jc w:val="center"/>
              <w:rPr>
                <w:rFonts w:ascii="Arial" w:hAnsi="Arial" w:cs="Arial"/>
                <w:b/>
                <w:strike/>
                <w:sz w:val="16"/>
                <w:szCs w:val="16"/>
              </w:rPr>
            </w:pPr>
            <w:r w:rsidRPr="0044421E">
              <w:rPr>
                <w:rFonts w:ascii="Arial" w:hAnsi="Arial" w:cs="Arial"/>
                <w:b/>
                <w:strike/>
                <w:sz w:val="16"/>
                <w:szCs w:val="16"/>
              </w:rPr>
              <w:t>-</w:t>
            </w:r>
          </w:p>
        </w:tc>
        <w:tc>
          <w:tcPr>
            <w:tcW w:w="1219" w:type="dxa"/>
            <w:vAlign w:val="center"/>
          </w:tcPr>
          <w:p w14:paraId="45CED81A" w14:textId="2A14C0DD" w:rsidR="00680AA2" w:rsidRPr="0044421E" w:rsidRDefault="008C0596" w:rsidP="009409F9">
            <w:pPr>
              <w:spacing w:before="120"/>
              <w:jc w:val="center"/>
              <w:rPr>
                <w:rFonts w:ascii="Arial" w:hAnsi="Arial" w:cs="Arial"/>
                <w:b/>
                <w:strike/>
                <w:sz w:val="16"/>
                <w:szCs w:val="16"/>
              </w:rPr>
            </w:pPr>
            <w:r w:rsidRPr="0044421E">
              <w:rPr>
                <w:rFonts w:ascii="Arial" w:hAnsi="Arial" w:cs="Arial"/>
                <w:b/>
                <w:strike/>
                <w:sz w:val="16"/>
                <w:szCs w:val="16"/>
              </w:rPr>
              <w:t>-</w:t>
            </w:r>
          </w:p>
        </w:tc>
        <w:tc>
          <w:tcPr>
            <w:tcW w:w="1219" w:type="dxa"/>
            <w:vAlign w:val="center"/>
          </w:tcPr>
          <w:p w14:paraId="2B4538C9" w14:textId="79379BCC" w:rsidR="00680AA2" w:rsidRPr="0044421E" w:rsidRDefault="008C0596" w:rsidP="009409F9">
            <w:pPr>
              <w:spacing w:before="120"/>
              <w:jc w:val="center"/>
              <w:rPr>
                <w:rFonts w:ascii="Arial" w:hAnsi="Arial" w:cs="Arial"/>
                <w:b/>
                <w:strike/>
                <w:sz w:val="16"/>
                <w:szCs w:val="16"/>
              </w:rPr>
            </w:pPr>
            <w:r w:rsidRPr="0044421E">
              <w:rPr>
                <w:rFonts w:ascii="Arial" w:hAnsi="Arial" w:cs="Arial"/>
                <w:b/>
                <w:strike/>
                <w:sz w:val="16"/>
                <w:szCs w:val="16"/>
              </w:rPr>
              <w:t>-</w:t>
            </w:r>
          </w:p>
        </w:tc>
        <w:tc>
          <w:tcPr>
            <w:tcW w:w="1219" w:type="dxa"/>
            <w:vAlign w:val="center"/>
          </w:tcPr>
          <w:p w14:paraId="19A03A9C" w14:textId="6F6EC5C5" w:rsidR="00680AA2" w:rsidRPr="0044421E" w:rsidRDefault="00B0562A" w:rsidP="009409F9">
            <w:pPr>
              <w:spacing w:before="120"/>
              <w:jc w:val="center"/>
              <w:rPr>
                <w:rFonts w:ascii="Arial" w:hAnsi="Arial" w:cs="Arial"/>
                <w:b/>
                <w:sz w:val="16"/>
                <w:szCs w:val="16"/>
              </w:rPr>
            </w:pPr>
            <w:r>
              <w:rPr>
                <w:rFonts w:ascii="Arial" w:hAnsi="Arial" w:cs="Arial"/>
                <w:b/>
                <w:sz w:val="16"/>
                <w:szCs w:val="16"/>
              </w:rPr>
              <w:t>0.032</w:t>
            </w:r>
          </w:p>
        </w:tc>
      </w:tr>
      <w:tr w:rsidR="009232C2" w:rsidRPr="00D53B7C" w14:paraId="4B2F6D9D" w14:textId="77777777" w:rsidTr="009409F9">
        <w:tc>
          <w:tcPr>
            <w:tcW w:w="3119" w:type="dxa"/>
          </w:tcPr>
          <w:p w14:paraId="7642F0F7" w14:textId="5FC8D783" w:rsidR="009232C2" w:rsidRDefault="00B0562A" w:rsidP="009409F9">
            <w:pPr>
              <w:spacing w:before="120"/>
              <w:jc w:val="both"/>
              <w:rPr>
                <w:rFonts w:ascii="Arial" w:hAnsi="Arial" w:cs="Arial"/>
                <w:b/>
                <w:sz w:val="16"/>
                <w:szCs w:val="16"/>
              </w:rPr>
            </w:pPr>
            <w:r>
              <w:rPr>
                <w:rFonts w:ascii="Arial" w:hAnsi="Arial" w:cs="Arial"/>
                <w:b/>
                <w:sz w:val="16"/>
                <w:szCs w:val="16"/>
              </w:rPr>
              <w:t>2020</w:t>
            </w:r>
            <w:r w:rsidRPr="008E2BED">
              <w:rPr>
                <w:rFonts w:ascii="Arial" w:hAnsi="Arial" w:cs="Arial"/>
                <w:b/>
                <w:sz w:val="16"/>
                <w:szCs w:val="16"/>
              </w:rPr>
              <w:t xml:space="preserve"> </w:t>
            </w:r>
            <w:r w:rsidR="009232C2" w:rsidRPr="008E2BED">
              <w:rPr>
                <w:rFonts w:ascii="Arial" w:hAnsi="Arial" w:cs="Arial"/>
                <w:b/>
                <w:sz w:val="16"/>
                <w:szCs w:val="16"/>
              </w:rPr>
              <w:t>totals</w:t>
            </w:r>
          </w:p>
        </w:tc>
        <w:tc>
          <w:tcPr>
            <w:tcW w:w="1219" w:type="dxa"/>
            <w:vAlign w:val="center"/>
          </w:tcPr>
          <w:p w14:paraId="01233C2E" w14:textId="3FAD0BD9" w:rsidR="009232C2" w:rsidRDefault="00956E4A" w:rsidP="009409F9">
            <w:pPr>
              <w:spacing w:before="120"/>
              <w:jc w:val="center"/>
              <w:rPr>
                <w:rFonts w:ascii="Arial" w:hAnsi="Arial" w:cs="Arial"/>
                <w:b/>
                <w:sz w:val="16"/>
                <w:szCs w:val="16"/>
              </w:rPr>
            </w:pPr>
            <w:r>
              <w:rPr>
                <w:rFonts w:ascii="Arial" w:hAnsi="Arial" w:cs="Arial"/>
                <w:b/>
                <w:sz w:val="16"/>
                <w:szCs w:val="16"/>
              </w:rPr>
              <w:t>0.493</w:t>
            </w:r>
          </w:p>
        </w:tc>
        <w:tc>
          <w:tcPr>
            <w:tcW w:w="1219" w:type="dxa"/>
            <w:vAlign w:val="center"/>
          </w:tcPr>
          <w:p w14:paraId="3FC85B58" w14:textId="67AC7DCE" w:rsidR="009232C2" w:rsidRPr="0044421E" w:rsidRDefault="00FB5B1C" w:rsidP="009409F9">
            <w:pPr>
              <w:spacing w:before="120"/>
              <w:jc w:val="center"/>
              <w:rPr>
                <w:rFonts w:ascii="Arial" w:hAnsi="Arial" w:cs="Arial"/>
                <w:b/>
                <w:strike/>
                <w:sz w:val="16"/>
                <w:szCs w:val="16"/>
              </w:rPr>
            </w:pPr>
            <w:r>
              <w:rPr>
                <w:rFonts w:ascii="Arial" w:hAnsi="Arial" w:cs="Arial"/>
                <w:b/>
                <w:strike/>
                <w:sz w:val="16"/>
                <w:szCs w:val="16"/>
              </w:rPr>
              <w:t>-</w:t>
            </w:r>
          </w:p>
        </w:tc>
        <w:tc>
          <w:tcPr>
            <w:tcW w:w="1219" w:type="dxa"/>
            <w:vAlign w:val="center"/>
          </w:tcPr>
          <w:p w14:paraId="04652660" w14:textId="7C9932C7" w:rsidR="009232C2" w:rsidRPr="0044421E" w:rsidRDefault="00FB5B1C" w:rsidP="009409F9">
            <w:pPr>
              <w:spacing w:before="120"/>
              <w:jc w:val="center"/>
              <w:rPr>
                <w:rFonts w:ascii="Arial" w:hAnsi="Arial" w:cs="Arial"/>
                <w:b/>
                <w:strike/>
                <w:sz w:val="16"/>
                <w:szCs w:val="16"/>
              </w:rPr>
            </w:pPr>
            <w:r>
              <w:rPr>
                <w:rFonts w:ascii="Arial" w:hAnsi="Arial" w:cs="Arial"/>
                <w:b/>
                <w:strike/>
                <w:sz w:val="16"/>
                <w:szCs w:val="16"/>
              </w:rPr>
              <w:t>-</w:t>
            </w:r>
          </w:p>
        </w:tc>
        <w:tc>
          <w:tcPr>
            <w:tcW w:w="1219" w:type="dxa"/>
            <w:vAlign w:val="center"/>
          </w:tcPr>
          <w:p w14:paraId="377DE2EE" w14:textId="11E9BBDB" w:rsidR="009232C2" w:rsidRPr="0044421E" w:rsidRDefault="00FB5B1C" w:rsidP="009409F9">
            <w:pPr>
              <w:spacing w:before="120"/>
              <w:jc w:val="center"/>
              <w:rPr>
                <w:rFonts w:ascii="Arial" w:hAnsi="Arial" w:cs="Arial"/>
                <w:b/>
                <w:strike/>
                <w:sz w:val="16"/>
                <w:szCs w:val="16"/>
              </w:rPr>
            </w:pPr>
            <w:r>
              <w:rPr>
                <w:rFonts w:ascii="Arial" w:hAnsi="Arial" w:cs="Arial"/>
                <w:b/>
                <w:strike/>
                <w:sz w:val="16"/>
                <w:szCs w:val="16"/>
              </w:rPr>
              <w:t>-</w:t>
            </w:r>
          </w:p>
        </w:tc>
        <w:tc>
          <w:tcPr>
            <w:tcW w:w="1219" w:type="dxa"/>
            <w:vAlign w:val="center"/>
          </w:tcPr>
          <w:p w14:paraId="737784D2" w14:textId="1C1D1A7D" w:rsidR="009232C2" w:rsidRPr="0044421E" w:rsidRDefault="00956E4A" w:rsidP="009409F9">
            <w:pPr>
              <w:spacing w:before="120"/>
              <w:jc w:val="center"/>
              <w:rPr>
                <w:rFonts w:ascii="Arial" w:hAnsi="Arial" w:cs="Arial"/>
                <w:b/>
                <w:sz w:val="16"/>
                <w:szCs w:val="16"/>
              </w:rPr>
            </w:pPr>
            <w:r>
              <w:rPr>
                <w:rFonts w:ascii="Arial" w:hAnsi="Arial" w:cs="Arial"/>
                <w:b/>
                <w:sz w:val="16"/>
                <w:szCs w:val="16"/>
              </w:rPr>
              <w:t>0.0101</w:t>
            </w:r>
          </w:p>
        </w:tc>
      </w:tr>
    </w:tbl>
    <w:p w14:paraId="4383B7F3" w14:textId="77777777" w:rsidR="00C555DA" w:rsidRPr="009409F9" w:rsidRDefault="009409F9" w:rsidP="000723A3">
      <w:pPr>
        <w:spacing w:before="120" w:after="0"/>
        <w:jc w:val="both"/>
        <w:rPr>
          <w:rFonts w:ascii="Arial" w:hAnsi="Arial" w:cs="Arial"/>
          <w:sz w:val="16"/>
          <w:szCs w:val="18"/>
        </w:rPr>
      </w:pPr>
      <w:r w:rsidRPr="00FC3D5A">
        <w:rPr>
          <w:rFonts w:ascii="Arial" w:hAnsi="Arial" w:cs="Arial"/>
          <w:sz w:val="16"/>
          <w:szCs w:val="18"/>
        </w:rPr>
        <w:t xml:space="preserve">(* this </w:t>
      </w:r>
      <w:r w:rsidR="00E06718" w:rsidRPr="00FC3D5A">
        <w:rPr>
          <w:rFonts w:ascii="Arial" w:hAnsi="Arial" w:cs="Arial"/>
          <w:sz w:val="16"/>
          <w:szCs w:val="18"/>
        </w:rPr>
        <w:t>category</w:t>
      </w:r>
      <w:r w:rsidRPr="00FC3D5A">
        <w:rPr>
          <w:rFonts w:ascii="Arial" w:hAnsi="Arial" w:cs="Arial"/>
          <w:sz w:val="16"/>
          <w:szCs w:val="18"/>
        </w:rPr>
        <w:t xml:space="preserve"> covers school incinerators)</w:t>
      </w:r>
    </w:p>
    <w:p w14:paraId="2F34CA35" w14:textId="77777777" w:rsidR="00044E38" w:rsidRPr="00AA4F49" w:rsidRDefault="00044E38" w:rsidP="00261F78">
      <w:pPr>
        <w:pStyle w:val="Heading1"/>
      </w:pPr>
      <w:r>
        <w:rPr>
          <w:rFonts w:ascii="Verdana" w:hAnsi="Verdana"/>
        </w:rPr>
        <w:br w:type="page"/>
      </w:r>
      <w:bookmarkStart w:id="120" w:name="_Toc112768072"/>
      <w:r w:rsidRPr="00AA4F49">
        <w:lastRenderedPageBreak/>
        <w:t>Ferrous and non-ferrous metal production</w:t>
      </w:r>
      <w:bookmarkEnd w:id="120"/>
    </w:p>
    <w:p w14:paraId="173E206F" w14:textId="01FEE6A0" w:rsidR="00044E38" w:rsidRPr="00AA4F49" w:rsidRDefault="00044E38" w:rsidP="00044E38">
      <w:pPr>
        <w:spacing w:line="300" w:lineRule="atLeast"/>
        <w:jc w:val="both"/>
        <w:rPr>
          <w:szCs w:val="18"/>
        </w:rPr>
      </w:pPr>
      <w:r w:rsidRPr="00AA4F49">
        <w:rPr>
          <w:szCs w:val="18"/>
        </w:rPr>
        <w:t xml:space="preserve">This category covers the following sub-categories </w:t>
      </w:r>
      <w:r w:rsidR="00AA4F49" w:rsidRPr="00AA4F49">
        <w:rPr>
          <w:noProof/>
          <w:szCs w:val="18"/>
        </w:rPr>
        <w:t>(United Nations Environment Programme, 2013)</w:t>
      </w:r>
    </w:p>
    <w:p w14:paraId="456EF93F"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a</w:t>
      </w:r>
      <w:r w:rsidR="00660E20" w:rsidRPr="00AA4F49">
        <w:rPr>
          <w:szCs w:val="18"/>
        </w:rPr>
        <w:tab/>
        <w:t>Iron ore sintering</w:t>
      </w:r>
    </w:p>
    <w:p w14:paraId="4D5CC532"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b</w:t>
      </w:r>
      <w:r w:rsidR="00660E20" w:rsidRPr="00AA4F49">
        <w:rPr>
          <w:szCs w:val="18"/>
        </w:rPr>
        <w:tab/>
        <w:t>Coke production</w:t>
      </w:r>
    </w:p>
    <w:p w14:paraId="7B05EACC"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c</w:t>
      </w:r>
      <w:r w:rsidR="00660E20" w:rsidRPr="00AA4F49">
        <w:rPr>
          <w:szCs w:val="18"/>
        </w:rPr>
        <w:tab/>
        <w:t>Iron and steel production and foundries</w:t>
      </w:r>
    </w:p>
    <w:p w14:paraId="2D0D99EF"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d</w:t>
      </w:r>
      <w:r w:rsidR="00660E20" w:rsidRPr="00AA4F49">
        <w:rPr>
          <w:szCs w:val="18"/>
        </w:rPr>
        <w:tab/>
        <w:t>Copper production</w:t>
      </w:r>
    </w:p>
    <w:p w14:paraId="7DD7292E"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e</w:t>
      </w:r>
      <w:r w:rsidR="00660E20" w:rsidRPr="00AA4F49">
        <w:rPr>
          <w:szCs w:val="18"/>
        </w:rPr>
        <w:tab/>
        <w:t xml:space="preserve">Aluminium production </w:t>
      </w:r>
    </w:p>
    <w:p w14:paraId="4253D53A"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f</w:t>
      </w:r>
      <w:r w:rsidR="00660E20" w:rsidRPr="00AA4F49">
        <w:rPr>
          <w:szCs w:val="18"/>
        </w:rPr>
        <w:tab/>
        <w:t>Lead production</w:t>
      </w:r>
    </w:p>
    <w:p w14:paraId="2527F44E"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g</w:t>
      </w:r>
      <w:r w:rsidR="00660E20" w:rsidRPr="00AA4F49">
        <w:rPr>
          <w:szCs w:val="18"/>
        </w:rPr>
        <w:tab/>
        <w:t>Zinc production</w:t>
      </w:r>
    </w:p>
    <w:p w14:paraId="08D40CD6"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h</w:t>
      </w:r>
      <w:r w:rsidR="00660E20" w:rsidRPr="00AA4F49">
        <w:rPr>
          <w:szCs w:val="18"/>
        </w:rPr>
        <w:tab/>
        <w:t>Brass and bronze production</w:t>
      </w:r>
    </w:p>
    <w:p w14:paraId="49FD1F92"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i</w:t>
      </w:r>
      <w:r w:rsidR="00660E20" w:rsidRPr="00AA4F49">
        <w:rPr>
          <w:szCs w:val="18"/>
        </w:rPr>
        <w:tab/>
        <w:t>Magnesium production</w:t>
      </w:r>
    </w:p>
    <w:p w14:paraId="0EB0F5DD"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j</w:t>
      </w:r>
      <w:r w:rsidR="00660E20" w:rsidRPr="00AA4F49">
        <w:rPr>
          <w:szCs w:val="18"/>
        </w:rPr>
        <w:tab/>
        <w:t>Other non-ferrous metal production</w:t>
      </w:r>
    </w:p>
    <w:p w14:paraId="35D4E040"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k</w:t>
      </w:r>
      <w:r w:rsidR="00660E20" w:rsidRPr="00AA4F49">
        <w:rPr>
          <w:szCs w:val="18"/>
        </w:rPr>
        <w:tab/>
        <w:t>Shredders</w:t>
      </w:r>
    </w:p>
    <w:p w14:paraId="42ABBD3C" w14:textId="77777777" w:rsidR="00660E20" w:rsidRPr="00AA4F49" w:rsidRDefault="008A41C2" w:rsidP="00660E20">
      <w:pPr>
        <w:spacing w:line="300" w:lineRule="atLeast"/>
        <w:ind w:left="720"/>
        <w:jc w:val="both"/>
        <w:rPr>
          <w:szCs w:val="18"/>
        </w:rPr>
      </w:pPr>
      <w:r w:rsidRPr="00AA4F49">
        <w:rPr>
          <w:szCs w:val="18"/>
        </w:rPr>
        <w:t>2</w:t>
      </w:r>
      <w:r w:rsidR="00660E20" w:rsidRPr="00AA4F49">
        <w:rPr>
          <w:szCs w:val="18"/>
        </w:rPr>
        <w:t>l</w:t>
      </w:r>
      <w:r w:rsidR="00660E20" w:rsidRPr="00AA4F49">
        <w:rPr>
          <w:szCs w:val="18"/>
        </w:rPr>
        <w:tab/>
        <w:t>Thermal wire reclamation</w:t>
      </w:r>
    </w:p>
    <w:p w14:paraId="2408EB26" w14:textId="6DA75610" w:rsidR="00FC78B1" w:rsidRPr="00AA4F49" w:rsidRDefault="3E717AD9" w:rsidP="00FC78B1">
      <w:pPr>
        <w:spacing w:line="300" w:lineRule="atLeast"/>
        <w:jc w:val="both"/>
      </w:pPr>
      <w:r>
        <w:t xml:space="preserve">The dioxin releases from metal production processes are </w:t>
      </w:r>
      <w:bookmarkStart w:id="121" w:name="_Int_CY6sIABv"/>
      <w:r>
        <w:t>nearly all</w:t>
      </w:r>
      <w:bookmarkEnd w:id="121"/>
      <w:r>
        <w:t xml:space="preserve"> combustion related. They arise from the incomplete burning of </w:t>
      </w:r>
      <w:bookmarkStart w:id="122" w:name="_Int_IFjCm7YY"/>
      <w:r w:rsidR="43D47D22">
        <w:t>small amounts</w:t>
      </w:r>
      <w:bookmarkEnd w:id="122"/>
      <w:r>
        <w:t xml:space="preserve"> of organic materials involved in production processes. For primary metal production the organic material may be present as a contaminant in the metal ore or may come from the carbon-based materials (eg</w:t>
      </w:r>
      <w:r w:rsidR="3BFEC2CE">
        <w:t>,</w:t>
      </w:r>
      <w:r>
        <w:t xml:space="preserve"> coke) used to promote ore reduction. In the case of secondary metal production, the most significant sources of organic matter are usually contaminants such as oil, grease, </w:t>
      </w:r>
      <w:bookmarkStart w:id="123" w:name="_Int_MiHnwZNn"/>
      <w:r>
        <w:t>paint,</w:t>
      </w:r>
      <w:bookmarkEnd w:id="123"/>
      <w:r>
        <w:t xml:space="preserve"> or </w:t>
      </w:r>
      <w:r w:rsidR="0C7D7D1F">
        <w:t>plastic coatings</w:t>
      </w:r>
      <w:r>
        <w:t xml:space="preserve"> that may be present on the surfaces of the input metals.</w:t>
      </w:r>
      <w:r w:rsidR="4F45171A">
        <w:t xml:space="preserve"> In addition, metals such as copper are known to have a catalytic effect on the rate of dioxin formation.</w:t>
      </w:r>
    </w:p>
    <w:p w14:paraId="545F15E8" w14:textId="7F1AE513" w:rsidR="005E2168" w:rsidRPr="00AA4F49" w:rsidRDefault="005E2168" w:rsidP="00261F78">
      <w:pPr>
        <w:pStyle w:val="Heading2"/>
      </w:pPr>
      <w:bookmarkStart w:id="124" w:name="_Toc112768073"/>
      <w:r w:rsidRPr="00AA4F49">
        <w:t>Iron ore sintering</w:t>
      </w:r>
      <w:bookmarkEnd w:id="124"/>
    </w:p>
    <w:p w14:paraId="2FD8E256" w14:textId="309FF485" w:rsidR="00220D3B" w:rsidRPr="009463F7" w:rsidRDefault="006B5ED1" w:rsidP="00220D3B">
      <w:pPr>
        <w:spacing w:line="300" w:lineRule="exact"/>
      </w:pPr>
      <w:r w:rsidRPr="00AA4F49">
        <w:t>Iron ore sintering is a pre-treatment step in the pro</w:t>
      </w:r>
      <w:r w:rsidR="001D38F6" w:rsidRPr="00AA4F49">
        <w:t>duction of iron. The sintering</w:t>
      </w:r>
      <w:r w:rsidR="001D38F6" w:rsidRPr="00AA4F49">
        <w:rPr>
          <w:lang w:val="en-US"/>
        </w:rPr>
        <w:t xml:space="preserve"> process involves heating of fine iron ore particles with flux and coke </w:t>
      </w:r>
      <w:r w:rsidR="00AF2840" w:rsidRPr="00AA4F49">
        <w:rPr>
          <w:lang w:val="en-US"/>
        </w:rPr>
        <w:t xml:space="preserve">or coal </w:t>
      </w:r>
      <w:r w:rsidR="001D38F6" w:rsidRPr="00AA4F49">
        <w:rPr>
          <w:lang w:val="en-US"/>
        </w:rPr>
        <w:t>fines</w:t>
      </w:r>
      <w:r w:rsidR="009F19C4" w:rsidRPr="00AA4F49">
        <w:rPr>
          <w:lang w:val="en-US"/>
        </w:rPr>
        <w:t>,</w:t>
      </w:r>
      <w:r w:rsidR="001D38F6" w:rsidRPr="00AA4F49">
        <w:rPr>
          <w:lang w:val="en-US"/>
        </w:rPr>
        <w:t xml:space="preserve"> to produce a semi-molten mass that solidifies into porous pieces of sinter with the size and strength characteristics necessary for feeding into </w:t>
      </w:r>
      <w:r w:rsidR="00AF2840" w:rsidRPr="00AA4F49">
        <w:rPr>
          <w:lang w:val="en-US"/>
        </w:rPr>
        <w:t>a</w:t>
      </w:r>
      <w:r w:rsidR="001D38F6" w:rsidRPr="00AA4F49">
        <w:rPr>
          <w:lang w:val="en-US"/>
        </w:rPr>
        <w:t xml:space="preserve"> blast furnace</w:t>
      </w:r>
      <w:r w:rsidR="00AF2840" w:rsidRPr="00AA4F49">
        <w:rPr>
          <w:lang w:val="en-US"/>
        </w:rPr>
        <w:t xml:space="preserve">. This process is not used </w:t>
      </w:r>
      <w:r w:rsidR="005E2168" w:rsidRPr="00AA4F49">
        <w:t xml:space="preserve">in </w:t>
      </w:r>
      <w:r w:rsidR="00AF2840" w:rsidRPr="00AA4F49">
        <w:t xml:space="preserve">the </w:t>
      </w:r>
      <w:r w:rsidR="005E2168" w:rsidRPr="00AA4F49">
        <w:t>N</w:t>
      </w:r>
      <w:r w:rsidR="00AF2840" w:rsidRPr="00AA4F49">
        <w:t xml:space="preserve">ew </w:t>
      </w:r>
      <w:r w:rsidR="005E2168" w:rsidRPr="00AA4F49">
        <w:t>Z</w:t>
      </w:r>
      <w:r w:rsidR="00AF2840" w:rsidRPr="00AA4F49">
        <w:t>ealand steel-making process</w:t>
      </w:r>
      <w:r w:rsidR="009463F7">
        <w:t>.</w:t>
      </w:r>
      <w:r w:rsidR="00AF2840" w:rsidRPr="009463F7">
        <w:t xml:space="preserve"> </w:t>
      </w:r>
    </w:p>
    <w:p w14:paraId="299B52B1" w14:textId="31D600FE" w:rsidR="005E2168" w:rsidRPr="009463F7" w:rsidRDefault="005E2168" w:rsidP="00261F78">
      <w:pPr>
        <w:pStyle w:val="Heading2"/>
      </w:pPr>
      <w:bookmarkStart w:id="125" w:name="_Toc112768074"/>
      <w:r w:rsidRPr="009463F7">
        <w:t>Coke production</w:t>
      </w:r>
      <w:r w:rsidR="00FB4FE6" w:rsidRPr="009463F7">
        <w:t xml:space="preserve"> (and charcoal)</w:t>
      </w:r>
      <w:bookmarkEnd w:id="125"/>
    </w:p>
    <w:p w14:paraId="4E0DC411" w14:textId="794C77CE" w:rsidR="004A2DBE" w:rsidRPr="009463F7" w:rsidRDefault="5B4CD4C7" w:rsidP="00AE3A86">
      <w:pPr>
        <w:spacing w:line="300" w:lineRule="atLeast"/>
        <w:jc w:val="both"/>
      </w:pPr>
      <w:r>
        <w:t>Coke is produced by heating coal under vacuum in a process known as carbonisation. Along with iron ore and limestone it is an essential ingredient in the blast furnace method of steel production</w:t>
      </w:r>
      <w:r w:rsidR="00712A32">
        <w:t>.</w:t>
      </w:r>
      <w:r>
        <w:t xml:space="preserve"> </w:t>
      </w:r>
      <w:r w:rsidR="00843F20">
        <w:t>M</w:t>
      </w:r>
      <w:r>
        <w:t xml:space="preserve">illions of tonnes of coke are produced </w:t>
      </w:r>
      <w:r w:rsidR="39B1006D">
        <w:t xml:space="preserve">globally for this purpose </w:t>
      </w:r>
      <w:r>
        <w:t>each year. However</w:t>
      </w:r>
      <w:r w:rsidR="00843F20">
        <w:t>,</w:t>
      </w:r>
      <w:r>
        <w:t xml:space="preserve"> New Zealand uses a </w:t>
      </w:r>
      <w:bookmarkStart w:id="126" w:name="_Int_q194SGor"/>
      <w:r>
        <w:t>substantially different</w:t>
      </w:r>
      <w:bookmarkEnd w:id="126"/>
      <w:r>
        <w:t xml:space="preserve"> process to reduce iron sands to raw iron</w:t>
      </w:r>
      <w:r w:rsidR="39B1006D">
        <w:t xml:space="preserve"> which employs </w:t>
      </w:r>
      <w:r>
        <w:t>coal rather than coke</w:t>
      </w:r>
      <w:r w:rsidR="39B1006D">
        <w:t xml:space="preserve"> (see s 4.3.1). </w:t>
      </w:r>
      <w:r>
        <w:t xml:space="preserve">Coke does find a use in the steel making plant </w:t>
      </w:r>
      <w:r w:rsidR="26775CA2" w:rsidRPr="0C34660A">
        <w:rPr>
          <w:noProof/>
        </w:rPr>
        <w:t>(New Zealand Steel, 2010)</w:t>
      </w:r>
      <w:r>
        <w:t xml:space="preserve">, but only as a </w:t>
      </w:r>
      <w:bookmarkStart w:id="127" w:name="_Int_kEmdPSWd"/>
      <w:r>
        <w:t>relatively minor</w:t>
      </w:r>
      <w:bookmarkEnd w:id="127"/>
      <w:r>
        <w:t xml:space="preserve"> additive compared to the tonnages of steel produced – for 1 tonne of steel product </w:t>
      </w:r>
      <w:r w:rsidR="24E201D8">
        <w:t xml:space="preserve">only </w:t>
      </w:r>
      <w:r>
        <w:t>14.6 kg of coke is used</w:t>
      </w:r>
      <w:r w:rsidR="551B86A2">
        <w:t xml:space="preserve"> </w:t>
      </w:r>
      <w:r w:rsidR="26775CA2" w:rsidRPr="0C34660A">
        <w:rPr>
          <w:noProof/>
        </w:rPr>
        <w:t>(Jaques, 2002)</w:t>
      </w:r>
      <w:r>
        <w:t>. Total steel produc</w:t>
      </w:r>
      <w:r w:rsidR="3E5EE06F">
        <w:t xml:space="preserve">tion at the plant in </w:t>
      </w:r>
      <w:r w:rsidR="45256E9F">
        <w:t>2020</w:t>
      </w:r>
      <w:r w:rsidR="3E5EE06F">
        <w:t xml:space="preserve"> was </w:t>
      </w:r>
      <w:r w:rsidR="6C9F48CA">
        <w:t xml:space="preserve">601,490 </w:t>
      </w:r>
      <w:r>
        <w:t>tonnes (</w:t>
      </w:r>
      <w:r w:rsidR="22C13E51">
        <w:t>see s 4.3</w:t>
      </w:r>
      <w:r w:rsidR="6C112403">
        <w:t>) which</w:t>
      </w:r>
      <w:r w:rsidR="3E5EE06F">
        <w:t xml:space="preserve"> would have required </w:t>
      </w:r>
      <w:r w:rsidR="6C9F48CA">
        <w:t>8,782</w:t>
      </w:r>
      <w:r>
        <w:t xml:space="preserve"> tonnes of coke. This coke is not produced in New </w:t>
      </w:r>
      <w:r w:rsidR="22C13E51">
        <w:t>Zealand but</w:t>
      </w:r>
      <w:r>
        <w:t xml:space="preserve"> is imported from China</w:t>
      </w:r>
      <w:r w:rsidR="22C13E51">
        <w:t>.</w:t>
      </w:r>
      <w:r w:rsidR="3B94DF35">
        <w:t xml:space="preserve"> </w:t>
      </w:r>
      <w:r w:rsidR="3E5EE06F">
        <w:t>New</w:t>
      </w:r>
      <w:r w:rsidR="698DE0A5">
        <w:t xml:space="preserve"> </w:t>
      </w:r>
      <w:r w:rsidR="3E5EE06F">
        <w:t xml:space="preserve">Zealand has no production of coke. </w:t>
      </w:r>
      <w:r w:rsidR="6C9F48CA" w:rsidRPr="0C34660A">
        <w:rPr>
          <w:noProof/>
        </w:rPr>
        <w:t>(Ministry for the Environment, 2022)</w:t>
      </w:r>
    </w:p>
    <w:p w14:paraId="0127B093" w14:textId="22BEB20F" w:rsidR="004A2DBE" w:rsidRPr="009463F7" w:rsidRDefault="0F3A387E" w:rsidP="00AE3A86">
      <w:pPr>
        <w:spacing w:line="300" w:lineRule="atLeast"/>
        <w:jc w:val="both"/>
      </w:pPr>
      <w:r>
        <w:t>Production of charcoal also involves heating under low oxygen conditions</w:t>
      </w:r>
      <w:r w:rsidR="250EE378">
        <w:t>,</w:t>
      </w:r>
      <w:r>
        <w:t xml:space="preserve"> except that wood rather than coal is </w:t>
      </w:r>
      <w:r w:rsidR="250EE378">
        <w:t xml:space="preserve">used as the starting material. </w:t>
      </w:r>
      <w:r w:rsidR="469BBAF8">
        <w:t xml:space="preserve">The 2012 inventory found that most charcoal available for sale in New Zealand was </w:t>
      </w:r>
      <w:r w:rsidR="469BBAF8">
        <w:lastRenderedPageBreak/>
        <w:t xml:space="preserve">imported product and the </w:t>
      </w:r>
      <w:bookmarkStart w:id="128" w:name="_Int_eW0TOEeX"/>
      <w:r w:rsidR="6B5A8732">
        <w:t>small amounts</w:t>
      </w:r>
      <w:bookmarkEnd w:id="128"/>
      <w:r w:rsidR="469BBAF8">
        <w:t xml:space="preserve"> produced domestically were likely to have a dioxin burden significantly less than 0.001 grams </w:t>
      </w:r>
      <w:r w:rsidR="27017039">
        <w:t>TEQ per year</w:t>
      </w:r>
      <w:r w:rsidR="469BBAF8">
        <w:t>. Consequently, release estimates were not reported,</w:t>
      </w:r>
      <w:r w:rsidR="2D83BE96">
        <w:t xml:space="preserve"> and th</w:t>
      </w:r>
      <w:r w:rsidR="27017039">
        <w:t>is approach has been taken here</w:t>
      </w:r>
      <w:r w:rsidR="469BBAF8">
        <w:t>.</w:t>
      </w:r>
      <w:r>
        <w:t xml:space="preserve"> </w:t>
      </w:r>
    </w:p>
    <w:p w14:paraId="1659CB78" w14:textId="77777777" w:rsidR="00044E38" w:rsidRPr="009463F7" w:rsidRDefault="00660E20" w:rsidP="00261F78">
      <w:pPr>
        <w:pStyle w:val="Heading2"/>
      </w:pPr>
      <w:bookmarkStart w:id="129" w:name="_Toc112768075"/>
      <w:r w:rsidRPr="009463F7">
        <w:t>Iron and steel production and foundries</w:t>
      </w:r>
      <w:bookmarkEnd w:id="129"/>
    </w:p>
    <w:p w14:paraId="4F15BFA4" w14:textId="3BCB293E" w:rsidR="005E2168" w:rsidRPr="009463F7" w:rsidRDefault="00B84DE4" w:rsidP="00B84DE4">
      <w:pPr>
        <w:spacing w:line="300" w:lineRule="atLeast"/>
      </w:pPr>
      <w:r w:rsidRPr="009463F7">
        <w:t>This section of the UNEP Toolkit covers iron and steel plants, iron foundries, and galvanising.</w:t>
      </w:r>
    </w:p>
    <w:p w14:paraId="1065E39A" w14:textId="77777777" w:rsidR="00660E20" w:rsidRPr="009463F7" w:rsidRDefault="00660E20" w:rsidP="00660E20">
      <w:pPr>
        <w:pStyle w:val="Heading3"/>
      </w:pPr>
      <w:bookmarkStart w:id="130" w:name="_Ref381093215"/>
      <w:bookmarkStart w:id="131" w:name="_Toc112768076"/>
      <w:r w:rsidRPr="009463F7">
        <w:t>Primary steel production</w:t>
      </w:r>
      <w:bookmarkEnd w:id="130"/>
      <w:bookmarkEnd w:id="131"/>
    </w:p>
    <w:p w14:paraId="3DE313E5" w14:textId="161B9F48" w:rsidR="00F07508" w:rsidRPr="00AF1200" w:rsidRDefault="020E7085" w:rsidP="0C34660A">
      <w:pPr>
        <w:spacing w:line="300" w:lineRule="atLeast"/>
        <w:jc w:val="both"/>
        <w:rPr>
          <w:highlight w:val="yellow"/>
        </w:rPr>
      </w:pPr>
      <w:r>
        <w:t>The only primary iron and steel production in New Zealand is at the Glenbrook Mill</w:t>
      </w:r>
      <w:r w:rsidR="00114089">
        <w:t>,</w:t>
      </w:r>
      <w:r>
        <w:t xml:space="preserve"> south of Auckland, w</w:t>
      </w:r>
      <w:r w:rsidR="05CB9D78">
        <w:t>hich is owned and operated by New Zealand Steel Ltd</w:t>
      </w:r>
      <w:r>
        <w:t xml:space="preserve">. This plant is </w:t>
      </w:r>
      <w:bookmarkStart w:id="132" w:name="_Int_byxv9p1Q"/>
      <w:r w:rsidR="0C0021E0">
        <w:t>relatively</w:t>
      </w:r>
      <w:r>
        <w:t xml:space="preserve"> unique</w:t>
      </w:r>
      <w:bookmarkEnd w:id="132"/>
      <w:r>
        <w:t xml:space="preserve"> in that </w:t>
      </w:r>
      <w:r w:rsidR="0C0021E0">
        <w:t>the primary source of iron is</w:t>
      </w:r>
      <w:r>
        <w:t xml:space="preserve"> obtain</w:t>
      </w:r>
      <w:r w:rsidR="0C0021E0">
        <w:t>ed from</w:t>
      </w:r>
      <w:r>
        <w:t xml:space="preserve"> nearby reserves of iron sand, which is a mixture of magnetite and t</w:t>
      </w:r>
      <w:r w:rsidR="1B05854F">
        <w:t>itanomagnetite</w:t>
      </w:r>
      <w:r w:rsidR="6CE70622">
        <w:t xml:space="preserve"> </w:t>
      </w:r>
      <w:r w:rsidR="26775CA2" w:rsidRPr="0C34660A">
        <w:rPr>
          <w:noProof/>
        </w:rPr>
        <w:t>(NZ Institute of Chemistry, 1998)</w:t>
      </w:r>
      <w:r>
        <w:t xml:space="preserve">. </w:t>
      </w:r>
      <w:r w:rsidR="0C0021E0">
        <w:t xml:space="preserve">Most conventional steel mills use </w:t>
      </w:r>
      <w:r w:rsidR="1B05854F">
        <w:t xml:space="preserve">an </w:t>
      </w:r>
      <w:r w:rsidR="0C0021E0">
        <w:t>iron ore</w:t>
      </w:r>
      <w:r w:rsidR="41FDF039">
        <w:t xml:space="preserve">, </w:t>
      </w:r>
      <w:r w:rsidR="1B05854F">
        <w:t xml:space="preserve">which is </w:t>
      </w:r>
      <w:r w:rsidR="41FDF039">
        <w:t>usually haematite</w:t>
      </w:r>
      <w:r w:rsidR="0C0021E0">
        <w:t xml:space="preserve">. </w:t>
      </w:r>
      <w:r>
        <w:t xml:space="preserve">The total steel production </w:t>
      </w:r>
      <w:r w:rsidR="05CB9D78">
        <w:t xml:space="preserve">for </w:t>
      </w:r>
      <w:r w:rsidR="45256E9F">
        <w:t>2020</w:t>
      </w:r>
      <w:r w:rsidR="53931B65">
        <w:t xml:space="preserve"> was</w:t>
      </w:r>
      <w:r>
        <w:t xml:space="preserve"> </w:t>
      </w:r>
      <w:r w:rsidR="45256E9F">
        <w:t xml:space="preserve">601,490 </w:t>
      </w:r>
      <w:r>
        <w:t>tonnes and the mill also use</w:t>
      </w:r>
      <w:r w:rsidR="53931B65">
        <w:t>d</w:t>
      </w:r>
      <w:r w:rsidR="05CB9D78">
        <w:t xml:space="preserve"> </w:t>
      </w:r>
      <w:r w:rsidR="45256E9F">
        <w:t xml:space="preserve">782,240 </w:t>
      </w:r>
      <w:r>
        <w:t>tonnes of coal</w:t>
      </w:r>
      <w:r w:rsidR="05CB9D78">
        <w:t>.</w:t>
      </w:r>
      <w:r w:rsidR="41FDF039">
        <w:t xml:space="preserve"> </w:t>
      </w:r>
      <w:r>
        <w:t>(</w:t>
      </w:r>
      <w:r w:rsidR="45256E9F">
        <w:t>D Bryson</w:t>
      </w:r>
      <w:r w:rsidR="53931B65">
        <w:t xml:space="preserve">, </w:t>
      </w:r>
      <w:r w:rsidR="05CB9D78">
        <w:t>New Zealand Steel</w:t>
      </w:r>
      <w:r>
        <w:t xml:space="preserve">, </w:t>
      </w:r>
      <w:r w:rsidR="53931B65">
        <w:t>pers comm,</w:t>
      </w:r>
      <w:r w:rsidR="45256E9F">
        <w:t xml:space="preserve"> 2022</w:t>
      </w:r>
      <w:r>
        <w:t>).</w:t>
      </w:r>
    </w:p>
    <w:p w14:paraId="4B7F1999" w14:textId="1AE5A525" w:rsidR="00660E20" w:rsidRPr="009463F7" w:rsidRDefault="000F32F9" w:rsidP="00044E38">
      <w:pPr>
        <w:spacing w:line="300" w:lineRule="atLeast"/>
        <w:jc w:val="both"/>
        <w:rPr>
          <w:szCs w:val="18"/>
        </w:rPr>
      </w:pPr>
      <w:r w:rsidRPr="009463F7">
        <w:rPr>
          <w:szCs w:val="18"/>
          <w:lang w:val="en-US"/>
        </w:rPr>
        <w:t xml:space="preserve">The </w:t>
      </w:r>
      <w:r w:rsidR="00AC2A05" w:rsidRPr="009463F7">
        <w:rPr>
          <w:szCs w:val="18"/>
          <w:lang w:val="en-US"/>
        </w:rPr>
        <w:t>dioxin</w:t>
      </w:r>
      <w:r w:rsidRPr="009463F7">
        <w:rPr>
          <w:szCs w:val="18"/>
          <w:lang w:val="en-US"/>
        </w:rPr>
        <w:t xml:space="preserve"> </w:t>
      </w:r>
      <w:r w:rsidR="00AC2A05" w:rsidRPr="009463F7">
        <w:rPr>
          <w:szCs w:val="18"/>
          <w:lang w:val="en-US"/>
        </w:rPr>
        <w:t xml:space="preserve">release </w:t>
      </w:r>
      <w:r w:rsidRPr="009463F7">
        <w:rPr>
          <w:szCs w:val="18"/>
          <w:lang w:val="en-US"/>
        </w:rPr>
        <w:t>estimat</w:t>
      </w:r>
      <w:r w:rsidR="001B34F8" w:rsidRPr="009463F7">
        <w:rPr>
          <w:szCs w:val="18"/>
          <w:lang w:val="en-US"/>
        </w:rPr>
        <w:t xml:space="preserve">es for the previous </w:t>
      </w:r>
      <w:r w:rsidRPr="009463F7">
        <w:rPr>
          <w:szCs w:val="18"/>
          <w:lang w:val="en-US"/>
        </w:rPr>
        <w:t>Inventor</w:t>
      </w:r>
      <w:r w:rsidR="00435076" w:rsidRPr="009463F7">
        <w:rPr>
          <w:szCs w:val="18"/>
          <w:lang w:val="en-US"/>
        </w:rPr>
        <w:t>ies</w:t>
      </w:r>
      <w:r w:rsidRPr="009463F7">
        <w:rPr>
          <w:szCs w:val="18"/>
          <w:lang w:val="en-US"/>
        </w:rPr>
        <w:t xml:space="preserve"> </w:t>
      </w:r>
      <w:r w:rsidR="007F4A0D" w:rsidRPr="009463F7">
        <w:rPr>
          <w:szCs w:val="18"/>
          <w:lang w:val="en-US"/>
        </w:rPr>
        <w:t xml:space="preserve">were based on </w:t>
      </w:r>
      <w:r w:rsidRPr="009463F7">
        <w:rPr>
          <w:szCs w:val="18"/>
          <w:lang w:val="en-US"/>
        </w:rPr>
        <w:t xml:space="preserve">emission test results </w:t>
      </w:r>
      <w:r w:rsidR="007F4A0D" w:rsidRPr="009463F7">
        <w:rPr>
          <w:szCs w:val="18"/>
          <w:lang w:val="en-US"/>
        </w:rPr>
        <w:t xml:space="preserve">from </w:t>
      </w:r>
      <w:r w:rsidR="00FC3D5A" w:rsidRPr="009463F7">
        <w:rPr>
          <w:szCs w:val="18"/>
          <w:lang w:val="en-US"/>
        </w:rPr>
        <w:t>the 1990s</w:t>
      </w:r>
      <w:r w:rsidR="007F4A0D" w:rsidRPr="009463F7">
        <w:rPr>
          <w:szCs w:val="18"/>
          <w:lang w:val="en-US"/>
        </w:rPr>
        <w:t xml:space="preserve">. </w:t>
      </w:r>
      <w:r w:rsidR="00CA2274" w:rsidRPr="009463F7">
        <w:rPr>
          <w:szCs w:val="18"/>
          <w:lang w:val="en-US"/>
        </w:rPr>
        <w:t>An</w:t>
      </w:r>
      <w:r w:rsidR="00FC3D5A" w:rsidRPr="009463F7">
        <w:rPr>
          <w:szCs w:val="18"/>
          <w:lang w:val="en-US"/>
        </w:rPr>
        <w:t xml:space="preserve"> </w:t>
      </w:r>
      <w:r w:rsidRPr="009463F7">
        <w:rPr>
          <w:szCs w:val="18"/>
          <w:lang w:val="en-US"/>
        </w:rPr>
        <w:t xml:space="preserve">average </w:t>
      </w:r>
      <w:r w:rsidR="007F4A0D" w:rsidRPr="009463F7">
        <w:rPr>
          <w:szCs w:val="18"/>
          <w:lang w:val="en-US"/>
        </w:rPr>
        <w:t xml:space="preserve">air </w:t>
      </w:r>
      <w:r w:rsidRPr="009463F7">
        <w:rPr>
          <w:szCs w:val="18"/>
          <w:lang w:val="en-US"/>
        </w:rPr>
        <w:t xml:space="preserve">emission factor </w:t>
      </w:r>
      <w:r w:rsidR="00CA2274" w:rsidRPr="009463F7">
        <w:rPr>
          <w:szCs w:val="18"/>
          <w:lang w:val="en-US"/>
        </w:rPr>
        <w:t>of</w:t>
      </w:r>
      <w:r w:rsidRPr="009463F7">
        <w:rPr>
          <w:szCs w:val="18"/>
          <w:lang w:val="en-US"/>
        </w:rPr>
        <w:t xml:space="preserve"> 0.134 µg </w:t>
      </w:r>
      <w:r w:rsidR="0009594D" w:rsidRPr="009463F7">
        <w:rPr>
          <w:szCs w:val="18"/>
          <w:lang w:val="en-US"/>
        </w:rPr>
        <w:t>TEQ</w:t>
      </w:r>
      <w:r w:rsidRPr="009463F7">
        <w:rPr>
          <w:szCs w:val="18"/>
          <w:lang w:val="en-US"/>
        </w:rPr>
        <w:t xml:space="preserve"> </w:t>
      </w:r>
      <w:r w:rsidR="007F4A0D" w:rsidRPr="009463F7">
        <w:rPr>
          <w:szCs w:val="18"/>
          <w:lang w:val="en-US"/>
        </w:rPr>
        <w:t xml:space="preserve">per </w:t>
      </w:r>
      <w:r w:rsidRPr="009463F7">
        <w:rPr>
          <w:szCs w:val="18"/>
          <w:lang w:val="en-US"/>
        </w:rPr>
        <w:t>tonne of steel produced</w:t>
      </w:r>
      <w:r w:rsidR="007F4A0D" w:rsidRPr="009463F7">
        <w:rPr>
          <w:szCs w:val="18"/>
          <w:lang w:val="en-US"/>
        </w:rPr>
        <w:t xml:space="preserve"> </w:t>
      </w:r>
      <w:r w:rsidR="00CA2274" w:rsidRPr="009463F7">
        <w:rPr>
          <w:szCs w:val="18"/>
          <w:lang w:val="en-US"/>
        </w:rPr>
        <w:t>was derived from these results.</w:t>
      </w:r>
      <w:r w:rsidR="00AC2A05" w:rsidRPr="009463F7">
        <w:rPr>
          <w:szCs w:val="18"/>
          <w:lang w:val="en-US"/>
        </w:rPr>
        <w:t xml:space="preserve"> </w:t>
      </w:r>
      <w:r w:rsidR="00CA2274" w:rsidRPr="009463F7">
        <w:rPr>
          <w:szCs w:val="18"/>
          <w:lang w:val="en-US"/>
        </w:rPr>
        <w:t xml:space="preserve">In </w:t>
      </w:r>
      <w:r w:rsidR="007F4A0D" w:rsidRPr="009463F7">
        <w:rPr>
          <w:szCs w:val="18"/>
          <w:lang w:val="en-US"/>
        </w:rPr>
        <w:t xml:space="preserve">the absence of any more recent data, this factor will also be used for the </w:t>
      </w:r>
      <w:r w:rsidR="005F7B99" w:rsidRPr="009463F7">
        <w:rPr>
          <w:szCs w:val="18"/>
          <w:lang w:val="en-US"/>
        </w:rPr>
        <w:t>202</w:t>
      </w:r>
      <w:r w:rsidR="006442BD">
        <w:rPr>
          <w:szCs w:val="18"/>
          <w:lang w:val="en-US"/>
        </w:rPr>
        <w:t>0</w:t>
      </w:r>
      <w:r w:rsidR="00CA2274" w:rsidRPr="009463F7">
        <w:rPr>
          <w:szCs w:val="18"/>
          <w:lang w:val="en-US"/>
        </w:rPr>
        <w:t xml:space="preserve"> </w:t>
      </w:r>
      <w:r w:rsidR="007F4A0D" w:rsidRPr="009463F7">
        <w:rPr>
          <w:szCs w:val="18"/>
          <w:lang w:val="en-US"/>
        </w:rPr>
        <w:t>estimates. The default factors given in the UNEP Toolkit are not relevant because they relate to conventional steel mills using iron ore.</w:t>
      </w:r>
    </w:p>
    <w:p w14:paraId="6605E184" w14:textId="3914CE17" w:rsidR="00474C80" w:rsidRPr="009463F7" w:rsidRDefault="41FDF039" w:rsidP="0C34660A">
      <w:pPr>
        <w:spacing w:line="300" w:lineRule="atLeast"/>
        <w:jc w:val="both"/>
        <w:rPr>
          <w:lang w:val="en-US"/>
        </w:rPr>
      </w:pPr>
      <w:r w:rsidRPr="0C34660A">
        <w:rPr>
          <w:lang w:val="en-US"/>
        </w:rPr>
        <w:t xml:space="preserve">The </w:t>
      </w:r>
      <w:r w:rsidR="6C34C53A" w:rsidRPr="0C34660A">
        <w:rPr>
          <w:lang w:val="en-US"/>
        </w:rPr>
        <w:t xml:space="preserve">wastewater </w:t>
      </w:r>
      <w:r w:rsidRPr="0C34660A">
        <w:rPr>
          <w:lang w:val="en-US"/>
        </w:rPr>
        <w:t>produced by the steel mill is passed through a tr</w:t>
      </w:r>
      <w:r w:rsidR="3FFD8BF0" w:rsidRPr="0C34660A">
        <w:rPr>
          <w:lang w:val="en-US"/>
        </w:rPr>
        <w:t>eatment plant and then both this</w:t>
      </w:r>
      <w:r w:rsidRPr="0C34660A">
        <w:rPr>
          <w:lang w:val="en-US"/>
        </w:rPr>
        <w:t xml:space="preserve"> and the site </w:t>
      </w:r>
      <w:r w:rsidR="6C34C53A" w:rsidRPr="0C34660A">
        <w:rPr>
          <w:lang w:val="en-US"/>
        </w:rPr>
        <w:t>stormwater are discharged to</w:t>
      </w:r>
      <w:r w:rsidR="371B3FCA" w:rsidRPr="0C34660A">
        <w:rPr>
          <w:lang w:val="en-US"/>
        </w:rPr>
        <w:t xml:space="preserve"> a</w:t>
      </w:r>
      <w:r w:rsidR="6C34C53A" w:rsidRPr="0C34660A">
        <w:rPr>
          <w:lang w:val="en-US"/>
        </w:rPr>
        <w:t xml:space="preserve"> water</w:t>
      </w:r>
      <w:r w:rsidR="371B3FCA" w:rsidRPr="0C34660A">
        <w:rPr>
          <w:lang w:val="en-US"/>
        </w:rPr>
        <w:t>way</w:t>
      </w:r>
      <w:r w:rsidR="6C34C53A" w:rsidRPr="0C34660A">
        <w:rPr>
          <w:lang w:val="en-US"/>
        </w:rPr>
        <w:t>. The total discharge f</w:t>
      </w:r>
      <w:r w:rsidR="371B3FCA" w:rsidRPr="0C34660A">
        <w:rPr>
          <w:lang w:val="en-US"/>
        </w:rPr>
        <w:t xml:space="preserve">rom the site </w:t>
      </w:r>
      <w:r w:rsidR="7656A8FB" w:rsidRPr="0C34660A">
        <w:rPr>
          <w:lang w:val="en-US"/>
        </w:rPr>
        <w:t>averages 9603</w:t>
      </w:r>
      <w:r w:rsidR="6ED5203E" w:rsidRPr="0C34660A">
        <w:rPr>
          <w:lang w:val="en-US"/>
        </w:rPr>
        <w:t xml:space="preserve"> </w:t>
      </w:r>
      <w:r w:rsidR="6C34C53A" w:rsidRPr="0C34660A">
        <w:rPr>
          <w:lang w:val="en-US"/>
        </w:rPr>
        <w:t>m</w:t>
      </w:r>
      <w:r w:rsidR="6C34C53A" w:rsidRPr="0C34660A">
        <w:rPr>
          <w:vertAlign w:val="superscript"/>
          <w:lang w:val="en-US"/>
        </w:rPr>
        <w:t>3</w:t>
      </w:r>
      <w:r w:rsidR="6C34C53A" w:rsidRPr="0C34660A">
        <w:rPr>
          <w:lang w:val="en-US"/>
        </w:rPr>
        <w:t xml:space="preserve"> per day</w:t>
      </w:r>
      <w:r w:rsidR="371B3FCA" w:rsidRPr="0C34660A">
        <w:rPr>
          <w:lang w:val="en-US"/>
        </w:rPr>
        <w:t xml:space="preserve"> </w:t>
      </w:r>
      <w:r w:rsidR="7656A8FB">
        <w:t xml:space="preserve">(D Bryson, New Zealand Steel, pers comm, 2022) </w:t>
      </w:r>
      <w:r w:rsidR="371B3FCA" w:rsidRPr="0C34660A">
        <w:rPr>
          <w:lang w:val="en-US"/>
        </w:rPr>
        <w:t>and no dioxins have ever been detected in the</w:t>
      </w:r>
      <w:r w:rsidR="00565F8B">
        <w:rPr>
          <w:lang w:val="en-US"/>
        </w:rPr>
        <w:t xml:space="preserve">, </w:t>
      </w:r>
      <w:r w:rsidR="371B3FCA" w:rsidRPr="0C34660A">
        <w:rPr>
          <w:lang w:val="en-US"/>
        </w:rPr>
        <w:t>now historical</w:t>
      </w:r>
      <w:r w:rsidR="00565F8B">
        <w:rPr>
          <w:lang w:val="en-US"/>
        </w:rPr>
        <w:t>,</w:t>
      </w:r>
      <w:r w:rsidR="371B3FCA" w:rsidRPr="0C34660A">
        <w:rPr>
          <w:lang w:val="en-US"/>
        </w:rPr>
        <w:t xml:space="preserve"> tests on the discharge. The previous inventories used a water </w:t>
      </w:r>
      <w:r w:rsidR="6C34C53A" w:rsidRPr="0C34660A">
        <w:rPr>
          <w:lang w:val="en-US"/>
        </w:rPr>
        <w:t xml:space="preserve">concentration </w:t>
      </w:r>
      <w:r w:rsidR="371B3FCA" w:rsidRPr="0C34660A">
        <w:rPr>
          <w:lang w:val="en-US"/>
        </w:rPr>
        <w:t xml:space="preserve">factor </w:t>
      </w:r>
      <w:r w:rsidR="6C34C53A" w:rsidRPr="0C34660A">
        <w:rPr>
          <w:lang w:val="en-US"/>
        </w:rPr>
        <w:t xml:space="preserve">of 4.7 pg </w:t>
      </w:r>
      <w:r w:rsidR="03DF4226" w:rsidRPr="0C34660A">
        <w:rPr>
          <w:lang w:val="en-US"/>
        </w:rPr>
        <w:t>TEQ</w:t>
      </w:r>
      <w:r w:rsidR="6C34C53A" w:rsidRPr="0C34660A">
        <w:rPr>
          <w:lang w:val="en-US"/>
        </w:rPr>
        <w:t xml:space="preserve"> </w:t>
      </w:r>
      <w:r w:rsidR="371B3FCA" w:rsidRPr="0C34660A">
        <w:rPr>
          <w:lang w:val="en-US"/>
        </w:rPr>
        <w:t xml:space="preserve">per </w:t>
      </w:r>
      <w:r w:rsidR="371B3FCA">
        <w:t>litre</w:t>
      </w:r>
      <w:r w:rsidR="6DC063FE" w:rsidRPr="0C34660A">
        <w:rPr>
          <w:lang w:val="en-US"/>
        </w:rPr>
        <w:t xml:space="preserve"> </w:t>
      </w:r>
      <w:r w:rsidR="6DC063FE">
        <w:t>(4.7 x 10</w:t>
      </w:r>
      <w:r w:rsidR="6DC063FE" w:rsidRPr="0C34660A">
        <w:rPr>
          <w:vertAlign w:val="superscript"/>
        </w:rPr>
        <w:t>-12</w:t>
      </w:r>
      <w:r w:rsidR="6DC063FE">
        <w:t xml:space="preserve"> g TEQ/litre)</w:t>
      </w:r>
      <w:r w:rsidR="371B3FCA" w:rsidRPr="0C34660A">
        <w:rPr>
          <w:lang w:val="en-US"/>
        </w:rPr>
        <w:t xml:space="preserve">, based on a value of 50% of </w:t>
      </w:r>
      <w:r w:rsidR="6C34C53A" w:rsidRPr="0C34660A">
        <w:rPr>
          <w:lang w:val="en-US"/>
        </w:rPr>
        <w:t>the limit of detection</w:t>
      </w:r>
      <w:r w:rsidR="3C7B650A" w:rsidRPr="0C34660A">
        <w:rPr>
          <w:lang w:val="en-US"/>
        </w:rPr>
        <w:t xml:space="preserve">, and this will be used for the </w:t>
      </w:r>
      <w:r w:rsidR="7656A8FB" w:rsidRPr="0C34660A">
        <w:rPr>
          <w:lang w:val="en-US"/>
        </w:rPr>
        <w:t>2020</w:t>
      </w:r>
      <w:r w:rsidR="6ED5203E" w:rsidRPr="0C34660A">
        <w:rPr>
          <w:lang w:val="en-US"/>
        </w:rPr>
        <w:t xml:space="preserve"> </w:t>
      </w:r>
      <w:r w:rsidR="3C7B650A" w:rsidRPr="0C34660A">
        <w:rPr>
          <w:lang w:val="en-US"/>
        </w:rPr>
        <w:t>estimates in the absence of any more suitable factor</w:t>
      </w:r>
      <w:r w:rsidR="6C34C53A" w:rsidRPr="0C34660A">
        <w:rPr>
          <w:lang w:val="en-US"/>
        </w:rPr>
        <w:t>.</w:t>
      </w:r>
    </w:p>
    <w:p w14:paraId="0AA9641E" w14:textId="0B65BC7C" w:rsidR="000F32F9" w:rsidRPr="009463F7" w:rsidRDefault="3C7B650A" w:rsidP="0C34660A">
      <w:pPr>
        <w:spacing w:line="300" w:lineRule="atLeast"/>
        <w:jc w:val="both"/>
        <w:rPr>
          <w:lang w:val="en-US"/>
        </w:rPr>
      </w:pPr>
      <w:r w:rsidRPr="0C34660A">
        <w:rPr>
          <w:lang w:val="en-US"/>
        </w:rPr>
        <w:t xml:space="preserve">The steel mill generated </w:t>
      </w:r>
      <w:r w:rsidR="59BBE61A" w:rsidRPr="0C34660A">
        <w:rPr>
          <w:lang w:val="en-US"/>
        </w:rPr>
        <w:t xml:space="preserve">19,028 </w:t>
      </w:r>
      <w:r w:rsidRPr="0C34660A">
        <w:rPr>
          <w:lang w:val="en-US"/>
        </w:rPr>
        <w:t xml:space="preserve">tonnes (dry weight) of </w:t>
      </w:r>
      <w:r w:rsidR="1B05854F" w:rsidRPr="0C34660A">
        <w:rPr>
          <w:lang w:val="en-US"/>
        </w:rPr>
        <w:t xml:space="preserve">solid </w:t>
      </w:r>
      <w:r w:rsidRPr="0C34660A">
        <w:rPr>
          <w:lang w:val="en-US"/>
        </w:rPr>
        <w:t>waste</w:t>
      </w:r>
      <w:r w:rsidR="1B05854F" w:rsidRPr="0C34660A">
        <w:rPr>
          <w:lang w:val="en-US"/>
        </w:rPr>
        <w:t>s</w:t>
      </w:r>
      <w:r w:rsidRPr="0C34660A">
        <w:rPr>
          <w:lang w:val="en-US"/>
        </w:rPr>
        <w:t xml:space="preserve"> in </w:t>
      </w:r>
      <w:r w:rsidR="59BBE61A" w:rsidRPr="0C34660A">
        <w:rPr>
          <w:lang w:val="en-US"/>
        </w:rPr>
        <w:t>2020</w:t>
      </w:r>
      <w:r w:rsidRPr="0C34660A">
        <w:rPr>
          <w:lang w:val="en-US"/>
        </w:rPr>
        <w:t xml:space="preserve">, which </w:t>
      </w:r>
      <w:r w:rsidR="1B05854F" w:rsidRPr="0C34660A">
        <w:rPr>
          <w:lang w:val="en-US"/>
        </w:rPr>
        <w:t>were</w:t>
      </w:r>
      <w:r w:rsidRPr="0C34660A">
        <w:rPr>
          <w:lang w:val="en-US"/>
        </w:rPr>
        <w:t xml:space="preserve"> disposed in a site landfill</w:t>
      </w:r>
      <w:r w:rsidR="53931B65" w:rsidRPr="0C34660A">
        <w:rPr>
          <w:lang w:val="en-US"/>
        </w:rPr>
        <w:t>.</w:t>
      </w:r>
      <w:r w:rsidRPr="0C34660A">
        <w:rPr>
          <w:lang w:val="en-US"/>
        </w:rPr>
        <w:t xml:space="preserve"> </w:t>
      </w:r>
      <w:r w:rsidR="59BBE61A" w:rsidRPr="0C34660A">
        <w:rPr>
          <w:lang w:val="en-US"/>
        </w:rPr>
        <w:t xml:space="preserve">This is a significant reduction on the 60,300 tonnes reported for the 2016 Inventory </w:t>
      </w:r>
      <w:r w:rsidR="169A7D15" w:rsidRPr="0C34660A">
        <w:rPr>
          <w:lang w:val="en-US"/>
        </w:rPr>
        <w:t xml:space="preserve">and results from the new practice of recycling sand and char </w:t>
      </w:r>
      <w:bookmarkStart w:id="133" w:name="_Int_OUAM5kZa"/>
      <w:r w:rsidR="169A7D15" w:rsidRPr="0C34660A">
        <w:rPr>
          <w:lang w:val="en-US"/>
        </w:rPr>
        <w:t>wastes</w:t>
      </w:r>
      <w:bookmarkEnd w:id="133"/>
      <w:r w:rsidR="169A7D15" w:rsidRPr="0C34660A">
        <w:rPr>
          <w:lang w:val="en-US"/>
        </w:rPr>
        <w:t xml:space="preserve"> through the </w:t>
      </w:r>
      <w:r w:rsidR="005F0A37">
        <w:rPr>
          <w:lang w:val="en-US"/>
        </w:rPr>
        <w:t>k</w:t>
      </w:r>
      <w:r w:rsidR="169A7D15" w:rsidRPr="0C34660A">
        <w:rPr>
          <w:lang w:val="en-US"/>
        </w:rPr>
        <w:t xml:space="preserve">ilns. </w:t>
      </w:r>
      <w:r w:rsidRPr="0C34660A">
        <w:rPr>
          <w:lang w:val="en-US"/>
        </w:rPr>
        <w:t xml:space="preserve">There have been no recent tests </w:t>
      </w:r>
      <w:r w:rsidR="0987BDA4" w:rsidRPr="0C34660A">
        <w:rPr>
          <w:lang w:val="en-US"/>
        </w:rPr>
        <w:t>for the dioxin content of these wastes, so the historical factors used in the</w:t>
      </w:r>
      <w:r w:rsidR="169A7D15" w:rsidRPr="0C34660A">
        <w:rPr>
          <w:lang w:val="en-US"/>
        </w:rPr>
        <w:t xml:space="preserve"> previous</w:t>
      </w:r>
      <w:r w:rsidR="5848B5F4" w:rsidRPr="0C34660A">
        <w:rPr>
          <w:lang w:val="en-US"/>
        </w:rPr>
        <w:t xml:space="preserve"> Inventories </w:t>
      </w:r>
      <w:r w:rsidR="0987BDA4" w:rsidRPr="0C34660A">
        <w:rPr>
          <w:lang w:val="en-US"/>
        </w:rPr>
        <w:t>will also be used here.</w:t>
      </w:r>
      <w:r w:rsidR="70675EEC" w:rsidRPr="0C34660A">
        <w:rPr>
          <w:lang w:val="en-US"/>
        </w:rPr>
        <w:t xml:space="preserve"> It should be noted that for this source the waste residues are shown as a release to land, because </w:t>
      </w:r>
      <w:r w:rsidR="5ABB1C5D" w:rsidRPr="0C34660A">
        <w:rPr>
          <w:lang w:val="en-US"/>
        </w:rPr>
        <w:t>they are disposed of on-site. When wastes are disposed off-site, they are recorded as a residue release, mainly because the actual disposal method is often not certain.</w:t>
      </w:r>
    </w:p>
    <w:p w14:paraId="1F727A3D" w14:textId="356F550F" w:rsidR="005375FD" w:rsidRDefault="00464868" w:rsidP="00464868">
      <w:pPr>
        <w:spacing w:line="300" w:lineRule="atLeast"/>
        <w:jc w:val="both"/>
        <w:rPr>
          <w:szCs w:val="18"/>
          <w:highlight w:val="yellow"/>
        </w:rPr>
      </w:pPr>
      <w:r w:rsidRPr="009463F7">
        <w:rPr>
          <w:szCs w:val="18"/>
        </w:rPr>
        <w:t xml:space="preserve">The current release estimates for primary steel production are shown in </w:t>
      </w:r>
      <w:r w:rsidR="00B65B87" w:rsidRPr="009463F7">
        <w:rPr>
          <w:szCs w:val="18"/>
        </w:rPr>
        <w:t>Table 4-1</w:t>
      </w:r>
      <w:r w:rsidRPr="009463F7">
        <w:rPr>
          <w:szCs w:val="18"/>
        </w:rPr>
        <w:t xml:space="preserve">, along </w:t>
      </w:r>
      <w:r w:rsidR="00FC3D5A" w:rsidRPr="009463F7">
        <w:rPr>
          <w:szCs w:val="18"/>
        </w:rPr>
        <w:t>with the estimates from the 2012</w:t>
      </w:r>
      <w:r w:rsidRPr="009463F7">
        <w:rPr>
          <w:szCs w:val="18"/>
        </w:rPr>
        <w:t xml:space="preserve"> </w:t>
      </w:r>
      <w:r w:rsidR="00D81440">
        <w:rPr>
          <w:szCs w:val="18"/>
        </w:rPr>
        <w:t xml:space="preserve">and 2016 </w:t>
      </w:r>
      <w:r w:rsidRPr="009463F7">
        <w:rPr>
          <w:szCs w:val="18"/>
        </w:rPr>
        <w:t>Inventor</w:t>
      </w:r>
      <w:r w:rsidR="00D81440">
        <w:rPr>
          <w:szCs w:val="18"/>
        </w:rPr>
        <w:t>ies</w:t>
      </w:r>
      <w:r w:rsidRPr="009463F7">
        <w:rPr>
          <w:szCs w:val="18"/>
        </w:rPr>
        <w:t xml:space="preserve">. There are no releases in </w:t>
      </w:r>
      <w:r w:rsidR="000F6164" w:rsidRPr="009463F7">
        <w:rPr>
          <w:szCs w:val="18"/>
        </w:rPr>
        <w:t xml:space="preserve">residues or in </w:t>
      </w:r>
      <w:r w:rsidRPr="009463F7">
        <w:rPr>
          <w:szCs w:val="18"/>
        </w:rPr>
        <w:t>products.</w:t>
      </w:r>
    </w:p>
    <w:p w14:paraId="07638A19" w14:textId="77777777" w:rsidR="005375FD" w:rsidRDefault="005375FD">
      <w:pPr>
        <w:spacing w:after="0"/>
        <w:rPr>
          <w:szCs w:val="18"/>
          <w:highlight w:val="yellow"/>
        </w:rPr>
      </w:pPr>
      <w:r>
        <w:rPr>
          <w:szCs w:val="18"/>
          <w:highlight w:val="yellow"/>
        </w:rPr>
        <w:br w:type="page"/>
      </w:r>
    </w:p>
    <w:p w14:paraId="0FCC9E3F" w14:textId="698B4DFC" w:rsidR="009D3448" w:rsidRPr="009463F7" w:rsidRDefault="009D3448" w:rsidP="009D3448">
      <w:pPr>
        <w:pStyle w:val="Caption"/>
        <w:jc w:val="left"/>
        <w:rPr>
          <w:rFonts w:cs="Arial"/>
          <w:szCs w:val="18"/>
        </w:rPr>
      </w:pPr>
      <w:r w:rsidRPr="009463F7">
        <w:rPr>
          <w:rFonts w:cs="Arial"/>
        </w:rPr>
        <w:lastRenderedPageBreak/>
        <w:t xml:space="preserve">Table </w:t>
      </w:r>
      <w:r w:rsidRPr="009463F7">
        <w:rPr>
          <w:rFonts w:cs="Arial"/>
        </w:rPr>
        <w:fldChar w:fldCharType="begin"/>
      </w:r>
      <w:r w:rsidRPr="009463F7">
        <w:rPr>
          <w:rFonts w:cs="Arial"/>
        </w:rPr>
        <w:instrText xml:space="preserve"> STYLEREF 1 \s </w:instrText>
      </w:r>
      <w:r w:rsidRPr="009463F7">
        <w:rPr>
          <w:rFonts w:cs="Arial"/>
        </w:rPr>
        <w:fldChar w:fldCharType="separate"/>
      </w:r>
      <w:r w:rsidR="00141D7F">
        <w:rPr>
          <w:rFonts w:cs="Arial"/>
          <w:noProof/>
        </w:rPr>
        <w:t>4</w:t>
      </w:r>
      <w:r w:rsidRPr="009463F7">
        <w:rPr>
          <w:rFonts w:cs="Arial"/>
        </w:rPr>
        <w:fldChar w:fldCharType="end"/>
      </w:r>
      <w:r w:rsidRPr="009463F7">
        <w:rPr>
          <w:rFonts w:cs="Arial"/>
        </w:rPr>
        <w:noBreakHyphen/>
      </w:r>
      <w:r w:rsidRPr="009463F7">
        <w:rPr>
          <w:rFonts w:cs="Arial"/>
        </w:rPr>
        <w:fldChar w:fldCharType="begin"/>
      </w:r>
      <w:r w:rsidRPr="009463F7">
        <w:rPr>
          <w:rFonts w:cs="Arial"/>
        </w:rPr>
        <w:instrText xml:space="preserve"> SEQ Table \* ARABIC \s 1 </w:instrText>
      </w:r>
      <w:r w:rsidRPr="009463F7">
        <w:rPr>
          <w:rFonts w:cs="Arial"/>
        </w:rPr>
        <w:fldChar w:fldCharType="separate"/>
      </w:r>
      <w:r w:rsidR="00141D7F">
        <w:rPr>
          <w:rFonts w:cs="Arial"/>
          <w:noProof/>
        </w:rPr>
        <w:t>1</w:t>
      </w:r>
      <w:r w:rsidRPr="009463F7">
        <w:rPr>
          <w:rFonts w:cs="Arial"/>
        </w:rPr>
        <w:fldChar w:fldCharType="end"/>
      </w:r>
      <w:r w:rsidRPr="009463F7">
        <w:rPr>
          <w:rFonts w:cs="Arial"/>
        </w:rPr>
        <w:t>: Dioxin releases from primary steel production</w:t>
      </w:r>
    </w:p>
    <w:tbl>
      <w:tblPr>
        <w:tblStyle w:val="TableGrid"/>
        <w:tblW w:w="0" w:type="auto"/>
        <w:tblLook w:val="04A0" w:firstRow="1" w:lastRow="0" w:firstColumn="1" w:lastColumn="0" w:noHBand="0" w:noVBand="1"/>
      </w:tblPr>
      <w:tblGrid>
        <w:gridCol w:w="633"/>
        <w:gridCol w:w="2100"/>
        <w:gridCol w:w="1182"/>
        <w:gridCol w:w="980"/>
        <w:gridCol w:w="1099"/>
        <w:gridCol w:w="985"/>
        <w:gridCol w:w="977"/>
        <w:gridCol w:w="1105"/>
      </w:tblGrid>
      <w:tr w:rsidR="00361DD4" w:rsidRPr="00640DF1" w14:paraId="2E7587CE" w14:textId="77777777" w:rsidTr="00647D89">
        <w:tc>
          <w:tcPr>
            <w:tcW w:w="633" w:type="dxa"/>
            <w:vMerge w:val="restart"/>
            <w:vAlign w:val="center"/>
          </w:tcPr>
          <w:p w14:paraId="6BDCDCAE"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Year</w:t>
            </w:r>
          </w:p>
        </w:tc>
        <w:tc>
          <w:tcPr>
            <w:tcW w:w="2100" w:type="dxa"/>
            <w:vMerge w:val="restart"/>
            <w:vAlign w:val="center"/>
          </w:tcPr>
          <w:p w14:paraId="130AED5C"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Activity Rates</w:t>
            </w:r>
          </w:p>
        </w:tc>
        <w:tc>
          <w:tcPr>
            <w:tcW w:w="3261" w:type="dxa"/>
            <w:gridSpan w:val="3"/>
            <w:vAlign w:val="center"/>
          </w:tcPr>
          <w:p w14:paraId="25409659"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Release factors</w:t>
            </w:r>
            <w:r w:rsidRPr="009463F7">
              <w:rPr>
                <w:rFonts w:ascii="Arial" w:hAnsi="Arial" w:cs="Arial"/>
                <w:sz w:val="16"/>
                <w:szCs w:val="18"/>
              </w:rPr>
              <w:t xml:space="preserve"> </w:t>
            </w:r>
            <w:r w:rsidRPr="009463F7">
              <w:rPr>
                <w:rFonts w:ascii="Arial" w:hAnsi="Arial" w:cs="Arial"/>
                <w:sz w:val="16"/>
                <w:szCs w:val="18"/>
              </w:rPr>
              <w:br/>
              <w:t>(</w:t>
            </w:r>
            <w:r w:rsidRPr="009463F7">
              <w:rPr>
                <w:rFonts w:ascii="Arial" w:hAnsi="Arial" w:cs="Arial"/>
                <w:b/>
                <w:sz w:val="16"/>
                <w:szCs w:val="18"/>
              </w:rPr>
              <w:t>µg TEQ/tonne or pg TEQ/litre (for water))</w:t>
            </w:r>
          </w:p>
        </w:tc>
        <w:tc>
          <w:tcPr>
            <w:tcW w:w="3067" w:type="dxa"/>
            <w:gridSpan w:val="3"/>
            <w:vAlign w:val="center"/>
          </w:tcPr>
          <w:p w14:paraId="39D4A974"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Annual releases (g TEQ/yr)</w:t>
            </w:r>
          </w:p>
        </w:tc>
      </w:tr>
      <w:tr w:rsidR="005375FD" w:rsidRPr="00640DF1" w14:paraId="722A9A8E" w14:textId="77777777" w:rsidTr="00E95BD6">
        <w:tc>
          <w:tcPr>
            <w:tcW w:w="633" w:type="dxa"/>
            <w:vMerge/>
          </w:tcPr>
          <w:p w14:paraId="6DE7BA4E" w14:textId="77777777" w:rsidR="00361DD4" w:rsidRPr="009463F7" w:rsidRDefault="00361DD4" w:rsidP="00361DD4">
            <w:pPr>
              <w:spacing w:before="120"/>
              <w:jc w:val="both"/>
              <w:rPr>
                <w:rFonts w:ascii="Arial" w:hAnsi="Arial" w:cs="Arial"/>
                <w:sz w:val="16"/>
                <w:szCs w:val="18"/>
              </w:rPr>
            </w:pPr>
          </w:p>
        </w:tc>
        <w:tc>
          <w:tcPr>
            <w:tcW w:w="2100" w:type="dxa"/>
            <w:vMerge/>
            <w:vAlign w:val="center"/>
          </w:tcPr>
          <w:p w14:paraId="6DE345AF" w14:textId="77777777" w:rsidR="00361DD4" w:rsidRPr="009463F7" w:rsidRDefault="00361DD4" w:rsidP="00361DD4">
            <w:pPr>
              <w:spacing w:before="120"/>
              <w:jc w:val="center"/>
              <w:rPr>
                <w:rFonts w:ascii="Arial" w:hAnsi="Arial" w:cs="Arial"/>
                <w:sz w:val="16"/>
                <w:szCs w:val="18"/>
              </w:rPr>
            </w:pPr>
          </w:p>
        </w:tc>
        <w:tc>
          <w:tcPr>
            <w:tcW w:w="1182" w:type="dxa"/>
            <w:vAlign w:val="center"/>
          </w:tcPr>
          <w:p w14:paraId="42F53473"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Air</w:t>
            </w:r>
          </w:p>
        </w:tc>
        <w:tc>
          <w:tcPr>
            <w:tcW w:w="980" w:type="dxa"/>
            <w:vAlign w:val="center"/>
          </w:tcPr>
          <w:p w14:paraId="53E9EC94"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Water</w:t>
            </w:r>
          </w:p>
        </w:tc>
        <w:tc>
          <w:tcPr>
            <w:tcW w:w="1099" w:type="dxa"/>
            <w:vAlign w:val="center"/>
          </w:tcPr>
          <w:p w14:paraId="5025CA93"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Land</w:t>
            </w:r>
          </w:p>
        </w:tc>
        <w:tc>
          <w:tcPr>
            <w:tcW w:w="985" w:type="dxa"/>
            <w:vAlign w:val="center"/>
          </w:tcPr>
          <w:p w14:paraId="54D936F4"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Air</w:t>
            </w:r>
          </w:p>
        </w:tc>
        <w:tc>
          <w:tcPr>
            <w:tcW w:w="977" w:type="dxa"/>
            <w:vAlign w:val="center"/>
          </w:tcPr>
          <w:p w14:paraId="2C1E0868"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Water</w:t>
            </w:r>
          </w:p>
        </w:tc>
        <w:tc>
          <w:tcPr>
            <w:tcW w:w="1105" w:type="dxa"/>
            <w:vAlign w:val="center"/>
          </w:tcPr>
          <w:p w14:paraId="1735487D" w14:textId="77777777" w:rsidR="00361DD4" w:rsidRPr="009463F7" w:rsidRDefault="00361DD4" w:rsidP="00361DD4">
            <w:pPr>
              <w:spacing w:before="120"/>
              <w:jc w:val="center"/>
              <w:rPr>
                <w:rFonts w:ascii="Arial" w:hAnsi="Arial" w:cs="Arial"/>
                <w:b/>
                <w:sz w:val="16"/>
                <w:szCs w:val="18"/>
              </w:rPr>
            </w:pPr>
            <w:r w:rsidRPr="009463F7">
              <w:rPr>
                <w:rFonts w:ascii="Arial" w:hAnsi="Arial" w:cs="Arial"/>
                <w:b/>
                <w:sz w:val="16"/>
                <w:szCs w:val="18"/>
              </w:rPr>
              <w:t>Land</w:t>
            </w:r>
          </w:p>
        </w:tc>
      </w:tr>
      <w:tr w:rsidR="005375FD" w:rsidRPr="00640DF1" w14:paraId="1644711B" w14:textId="77777777" w:rsidTr="00E95BD6">
        <w:tc>
          <w:tcPr>
            <w:tcW w:w="633" w:type="dxa"/>
            <w:vMerge w:val="restart"/>
            <w:vAlign w:val="center"/>
          </w:tcPr>
          <w:p w14:paraId="67782DCC" w14:textId="4217CEEA" w:rsidR="00361DD4" w:rsidRPr="009463F7" w:rsidRDefault="00361DD4" w:rsidP="00361DD4">
            <w:pPr>
              <w:spacing w:before="120"/>
              <w:rPr>
                <w:rFonts w:ascii="Arial" w:hAnsi="Arial" w:cs="Arial"/>
                <w:b/>
                <w:sz w:val="16"/>
                <w:szCs w:val="18"/>
              </w:rPr>
            </w:pPr>
            <w:r w:rsidRPr="009463F7">
              <w:rPr>
                <w:rFonts w:ascii="Arial" w:hAnsi="Arial" w:cs="Arial"/>
                <w:b/>
                <w:sz w:val="16"/>
                <w:szCs w:val="18"/>
              </w:rPr>
              <w:t>2012</w:t>
            </w:r>
          </w:p>
        </w:tc>
        <w:tc>
          <w:tcPr>
            <w:tcW w:w="2100" w:type="dxa"/>
            <w:vAlign w:val="center"/>
          </w:tcPr>
          <w:p w14:paraId="0881E0D3" w14:textId="3FDC103D"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609,000 tonnes of steel</w:t>
            </w:r>
          </w:p>
        </w:tc>
        <w:tc>
          <w:tcPr>
            <w:tcW w:w="1182" w:type="dxa"/>
            <w:vAlign w:val="center"/>
          </w:tcPr>
          <w:p w14:paraId="799ABFD6" w14:textId="43702F7D"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0.134</w:t>
            </w:r>
          </w:p>
        </w:tc>
        <w:tc>
          <w:tcPr>
            <w:tcW w:w="980" w:type="dxa"/>
          </w:tcPr>
          <w:p w14:paraId="40BE75FE" w14:textId="7BE5B763"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099" w:type="dxa"/>
            <w:vAlign w:val="center"/>
          </w:tcPr>
          <w:p w14:paraId="65C177D9" w14:textId="7ABCDAC9"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5" w:type="dxa"/>
            <w:vAlign w:val="center"/>
          </w:tcPr>
          <w:p w14:paraId="4A1FB339" w14:textId="4E2610D3"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0.082</w:t>
            </w:r>
          </w:p>
        </w:tc>
        <w:tc>
          <w:tcPr>
            <w:tcW w:w="977" w:type="dxa"/>
          </w:tcPr>
          <w:p w14:paraId="3D2B610E" w14:textId="785CCBDE"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105" w:type="dxa"/>
            <w:vAlign w:val="center"/>
          </w:tcPr>
          <w:p w14:paraId="44373DA3" w14:textId="4EAF4C4F"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r>
      <w:tr w:rsidR="005375FD" w:rsidRPr="00640DF1" w14:paraId="25D1618A" w14:textId="77777777" w:rsidTr="00E95BD6">
        <w:tc>
          <w:tcPr>
            <w:tcW w:w="633" w:type="dxa"/>
            <w:vMerge/>
            <w:vAlign w:val="center"/>
          </w:tcPr>
          <w:p w14:paraId="5AB3D8F2" w14:textId="77777777" w:rsidR="00361DD4" w:rsidRPr="009463F7" w:rsidRDefault="00361DD4" w:rsidP="00361DD4">
            <w:pPr>
              <w:spacing w:before="120"/>
              <w:rPr>
                <w:rFonts w:ascii="Arial" w:hAnsi="Arial" w:cs="Arial"/>
                <w:b/>
                <w:sz w:val="16"/>
                <w:szCs w:val="18"/>
              </w:rPr>
            </w:pPr>
          </w:p>
        </w:tc>
        <w:tc>
          <w:tcPr>
            <w:tcW w:w="2100" w:type="dxa"/>
            <w:vAlign w:val="center"/>
          </w:tcPr>
          <w:p w14:paraId="4096A856" w14:textId="05A4688A"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3.05 x 10</w:t>
            </w:r>
            <w:r w:rsidRPr="009463F7">
              <w:rPr>
                <w:rFonts w:ascii="Arial" w:hAnsi="Arial" w:cs="Arial"/>
                <w:sz w:val="16"/>
                <w:szCs w:val="18"/>
                <w:vertAlign w:val="superscript"/>
              </w:rPr>
              <w:t>6</w:t>
            </w:r>
            <w:r w:rsidRPr="009463F7">
              <w:rPr>
                <w:rFonts w:ascii="Arial" w:hAnsi="Arial" w:cs="Arial"/>
                <w:sz w:val="16"/>
                <w:szCs w:val="18"/>
              </w:rPr>
              <w:t xml:space="preserve"> m</w:t>
            </w:r>
            <w:r w:rsidRPr="009463F7">
              <w:rPr>
                <w:rFonts w:ascii="Arial" w:hAnsi="Arial" w:cs="Arial"/>
                <w:sz w:val="16"/>
                <w:szCs w:val="18"/>
                <w:vertAlign w:val="superscript"/>
              </w:rPr>
              <w:t>3</w:t>
            </w:r>
            <w:r w:rsidRPr="009463F7">
              <w:rPr>
                <w:rFonts w:ascii="Arial" w:hAnsi="Arial" w:cs="Arial"/>
                <w:sz w:val="16"/>
                <w:szCs w:val="18"/>
              </w:rPr>
              <w:t xml:space="preserve"> water</w:t>
            </w:r>
          </w:p>
        </w:tc>
        <w:tc>
          <w:tcPr>
            <w:tcW w:w="1182" w:type="dxa"/>
            <w:vAlign w:val="center"/>
          </w:tcPr>
          <w:p w14:paraId="6EC4BEB6" w14:textId="516E3882"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0" w:type="dxa"/>
          </w:tcPr>
          <w:p w14:paraId="0CD5334C" w14:textId="590C19D2"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4.7</w:t>
            </w:r>
          </w:p>
        </w:tc>
        <w:tc>
          <w:tcPr>
            <w:tcW w:w="1099" w:type="dxa"/>
            <w:vAlign w:val="center"/>
          </w:tcPr>
          <w:p w14:paraId="6A1DA2BA" w14:textId="10EFB046"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5" w:type="dxa"/>
            <w:vAlign w:val="center"/>
          </w:tcPr>
          <w:p w14:paraId="0DF8BBA6" w14:textId="7364A6E4"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77" w:type="dxa"/>
          </w:tcPr>
          <w:p w14:paraId="1A438F5F" w14:textId="3E801592"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0.0143</w:t>
            </w:r>
          </w:p>
        </w:tc>
        <w:tc>
          <w:tcPr>
            <w:tcW w:w="1105" w:type="dxa"/>
            <w:vAlign w:val="center"/>
          </w:tcPr>
          <w:p w14:paraId="2CDFEE9A" w14:textId="69856EE9"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r>
      <w:tr w:rsidR="005375FD" w:rsidRPr="00640DF1" w14:paraId="21512FB7" w14:textId="77777777" w:rsidTr="00E95BD6">
        <w:tc>
          <w:tcPr>
            <w:tcW w:w="633" w:type="dxa"/>
            <w:vMerge/>
            <w:vAlign w:val="center"/>
          </w:tcPr>
          <w:p w14:paraId="6C97AB92" w14:textId="77777777" w:rsidR="00361DD4" w:rsidRPr="009463F7" w:rsidRDefault="00361DD4" w:rsidP="00361DD4">
            <w:pPr>
              <w:spacing w:before="120"/>
              <w:rPr>
                <w:rFonts w:ascii="Arial" w:hAnsi="Arial" w:cs="Arial"/>
                <w:b/>
                <w:sz w:val="16"/>
                <w:szCs w:val="18"/>
              </w:rPr>
            </w:pPr>
          </w:p>
        </w:tc>
        <w:tc>
          <w:tcPr>
            <w:tcW w:w="2100" w:type="dxa"/>
            <w:vAlign w:val="center"/>
          </w:tcPr>
          <w:p w14:paraId="119DE1F9" w14:textId="04734BB8"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45,320 tonnes of waste</w:t>
            </w:r>
          </w:p>
        </w:tc>
        <w:tc>
          <w:tcPr>
            <w:tcW w:w="1182" w:type="dxa"/>
            <w:vAlign w:val="center"/>
          </w:tcPr>
          <w:p w14:paraId="70F2D084" w14:textId="02BEC697"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0" w:type="dxa"/>
          </w:tcPr>
          <w:p w14:paraId="2E364799" w14:textId="6D929D3E"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099" w:type="dxa"/>
            <w:vAlign w:val="center"/>
          </w:tcPr>
          <w:p w14:paraId="736584C8" w14:textId="28F66752"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4.55</w:t>
            </w:r>
          </w:p>
        </w:tc>
        <w:tc>
          <w:tcPr>
            <w:tcW w:w="985" w:type="dxa"/>
            <w:vAlign w:val="center"/>
          </w:tcPr>
          <w:p w14:paraId="18A3E272" w14:textId="18DB409B"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77" w:type="dxa"/>
          </w:tcPr>
          <w:p w14:paraId="6232F791" w14:textId="7077966B"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105" w:type="dxa"/>
            <w:vAlign w:val="center"/>
          </w:tcPr>
          <w:p w14:paraId="585072CE" w14:textId="457AD6BD"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0.206</w:t>
            </w:r>
          </w:p>
        </w:tc>
      </w:tr>
      <w:tr w:rsidR="005375FD" w:rsidRPr="00640DF1" w14:paraId="712D5FC2" w14:textId="77777777" w:rsidTr="00E95BD6">
        <w:tc>
          <w:tcPr>
            <w:tcW w:w="633" w:type="dxa"/>
            <w:vMerge w:val="restart"/>
            <w:vAlign w:val="center"/>
          </w:tcPr>
          <w:p w14:paraId="42A04204" w14:textId="0D457180" w:rsidR="00361DD4" w:rsidRPr="009463F7" w:rsidRDefault="00361DD4" w:rsidP="00361DD4">
            <w:pPr>
              <w:spacing w:before="120"/>
              <w:rPr>
                <w:rFonts w:ascii="Arial" w:hAnsi="Arial" w:cs="Arial"/>
                <w:b/>
                <w:sz w:val="16"/>
                <w:szCs w:val="18"/>
              </w:rPr>
            </w:pPr>
            <w:r w:rsidRPr="009463F7">
              <w:rPr>
                <w:rFonts w:ascii="Arial" w:hAnsi="Arial" w:cs="Arial"/>
                <w:b/>
                <w:sz w:val="16"/>
                <w:szCs w:val="18"/>
              </w:rPr>
              <w:t>2016</w:t>
            </w:r>
          </w:p>
        </w:tc>
        <w:tc>
          <w:tcPr>
            <w:tcW w:w="2100" w:type="dxa"/>
            <w:vAlign w:val="center"/>
          </w:tcPr>
          <w:p w14:paraId="191178AF" w14:textId="312552BA"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585,770 tonnes of steel</w:t>
            </w:r>
          </w:p>
        </w:tc>
        <w:tc>
          <w:tcPr>
            <w:tcW w:w="1182" w:type="dxa"/>
            <w:vAlign w:val="center"/>
          </w:tcPr>
          <w:p w14:paraId="4E4F9443" w14:textId="51AEB8EF"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0.134</w:t>
            </w:r>
          </w:p>
        </w:tc>
        <w:tc>
          <w:tcPr>
            <w:tcW w:w="980" w:type="dxa"/>
          </w:tcPr>
          <w:p w14:paraId="5DF79B24" w14:textId="1EB472CF"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099" w:type="dxa"/>
            <w:vAlign w:val="center"/>
          </w:tcPr>
          <w:p w14:paraId="7F0794E2" w14:textId="5C2CB61E"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5" w:type="dxa"/>
            <w:vAlign w:val="center"/>
          </w:tcPr>
          <w:p w14:paraId="60E79604" w14:textId="316066EB"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0.078</w:t>
            </w:r>
          </w:p>
        </w:tc>
        <w:tc>
          <w:tcPr>
            <w:tcW w:w="977" w:type="dxa"/>
          </w:tcPr>
          <w:p w14:paraId="2F72F14B" w14:textId="238BA048"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105" w:type="dxa"/>
            <w:vAlign w:val="center"/>
          </w:tcPr>
          <w:p w14:paraId="679F9BEA" w14:textId="4DF91624"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r>
      <w:tr w:rsidR="005375FD" w:rsidRPr="00640DF1" w14:paraId="1F8C9741" w14:textId="77777777" w:rsidTr="00E95BD6">
        <w:tc>
          <w:tcPr>
            <w:tcW w:w="633" w:type="dxa"/>
            <w:vMerge/>
            <w:vAlign w:val="center"/>
          </w:tcPr>
          <w:p w14:paraId="74BF8A10" w14:textId="77777777" w:rsidR="00361DD4" w:rsidRPr="009463F7" w:rsidRDefault="00361DD4" w:rsidP="00361DD4">
            <w:pPr>
              <w:spacing w:before="120"/>
              <w:rPr>
                <w:rFonts w:ascii="Arial" w:hAnsi="Arial" w:cs="Arial"/>
                <w:b/>
                <w:sz w:val="16"/>
                <w:szCs w:val="18"/>
              </w:rPr>
            </w:pPr>
          </w:p>
        </w:tc>
        <w:tc>
          <w:tcPr>
            <w:tcW w:w="2100" w:type="dxa"/>
            <w:vAlign w:val="center"/>
          </w:tcPr>
          <w:p w14:paraId="732079ED" w14:textId="30E8719C"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3.2 x 10</w:t>
            </w:r>
            <w:r w:rsidRPr="009463F7">
              <w:rPr>
                <w:rFonts w:ascii="Arial" w:hAnsi="Arial" w:cs="Arial"/>
                <w:sz w:val="16"/>
                <w:szCs w:val="18"/>
                <w:vertAlign w:val="superscript"/>
              </w:rPr>
              <w:t>6</w:t>
            </w:r>
            <w:r w:rsidRPr="009463F7">
              <w:rPr>
                <w:rFonts w:ascii="Arial" w:hAnsi="Arial" w:cs="Arial"/>
                <w:sz w:val="16"/>
                <w:szCs w:val="18"/>
              </w:rPr>
              <w:t xml:space="preserve"> m</w:t>
            </w:r>
            <w:r w:rsidRPr="009463F7">
              <w:rPr>
                <w:rFonts w:ascii="Arial" w:hAnsi="Arial" w:cs="Arial"/>
                <w:sz w:val="16"/>
                <w:szCs w:val="18"/>
                <w:vertAlign w:val="superscript"/>
              </w:rPr>
              <w:t>3</w:t>
            </w:r>
            <w:r w:rsidRPr="009463F7">
              <w:rPr>
                <w:rFonts w:ascii="Arial" w:hAnsi="Arial" w:cs="Arial"/>
                <w:sz w:val="16"/>
                <w:szCs w:val="18"/>
              </w:rPr>
              <w:t xml:space="preserve"> water</w:t>
            </w:r>
          </w:p>
        </w:tc>
        <w:tc>
          <w:tcPr>
            <w:tcW w:w="1182" w:type="dxa"/>
            <w:vAlign w:val="center"/>
          </w:tcPr>
          <w:p w14:paraId="3FF26B83" w14:textId="2643DBC0"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0" w:type="dxa"/>
          </w:tcPr>
          <w:p w14:paraId="52136884" w14:textId="2CD58AEE"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4.7</w:t>
            </w:r>
          </w:p>
        </w:tc>
        <w:tc>
          <w:tcPr>
            <w:tcW w:w="1099" w:type="dxa"/>
            <w:vAlign w:val="center"/>
          </w:tcPr>
          <w:p w14:paraId="4D9D6752" w14:textId="7D57C69C"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5" w:type="dxa"/>
            <w:vAlign w:val="center"/>
          </w:tcPr>
          <w:p w14:paraId="2A9186B0" w14:textId="4F0875C2"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77" w:type="dxa"/>
          </w:tcPr>
          <w:p w14:paraId="2BE8D5DF" w14:textId="4B8B5523"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0.0149</w:t>
            </w:r>
          </w:p>
        </w:tc>
        <w:tc>
          <w:tcPr>
            <w:tcW w:w="1105" w:type="dxa"/>
            <w:vAlign w:val="center"/>
          </w:tcPr>
          <w:p w14:paraId="1E618DE0" w14:textId="3AE41D51"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r>
      <w:tr w:rsidR="005375FD" w:rsidRPr="00640DF1" w14:paraId="76A2C965" w14:textId="77777777" w:rsidTr="00E95BD6">
        <w:tc>
          <w:tcPr>
            <w:tcW w:w="633" w:type="dxa"/>
            <w:vMerge/>
            <w:vAlign w:val="center"/>
          </w:tcPr>
          <w:p w14:paraId="6F935A06" w14:textId="77777777" w:rsidR="00361DD4" w:rsidRPr="009463F7" w:rsidRDefault="00361DD4" w:rsidP="00361DD4">
            <w:pPr>
              <w:spacing w:before="120"/>
              <w:rPr>
                <w:rFonts w:ascii="Arial" w:hAnsi="Arial" w:cs="Arial"/>
                <w:b/>
                <w:sz w:val="16"/>
                <w:szCs w:val="18"/>
              </w:rPr>
            </w:pPr>
          </w:p>
        </w:tc>
        <w:tc>
          <w:tcPr>
            <w:tcW w:w="2100" w:type="dxa"/>
            <w:vAlign w:val="center"/>
          </w:tcPr>
          <w:p w14:paraId="02F187FA" w14:textId="71C115EF"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60,300 tonnes of waste</w:t>
            </w:r>
          </w:p>
        </w:tc>
        <w:tc>
          <w:tcPr>
            <w:tcW w:w="1182" w:type="dxa"/>
            <w:vAlign w:val="center"/>
          </w:tcPr>
          <w:p w14:paraId="06FA3599" w14:textId="40A88236"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80" w:type="dxa"/>
          </w:tcPr>
          <w:p w14:paraId="47E6F5C4" w14:textId="355DF4FB"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099" w:type="dxa"/>
            <w:vAlign w:val="center"/>
          </w:tcPr>
          <w:p w14:paraId="026F401B" w14:textId="4A71214A"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4.55</w:t>
            </w:r>
          </w:p>
        </w:tc>
        <w:tc>
          <w:tcPr>
            <w:tcW w:w="985" w:type="dxa"/>
            <w:vAlign w:val="center"/>
          </w:tcPr>
          <w:p w14:paraId="00FB032F" w14:textId="19CCCB4F"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977" w:type="dxa"/>
          </w:tcPr>
          <w:p w14:paraId="38B5DE78" w14:textId="0376EEBE"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w:t>
            </w:r>
          </w:p>
        </w:tc>
        <w:tc>
          <w:tcPr>
            <w:tcW w:w="1105" w:type="dxa"/>
            <w:vAlign w:val="center"/>
          </w:tcPr>
          <w:p w14:paraId="34247B81" w14:textId="2ECD8D80" w:rsidR="00361DD4" w:rsidRPr="009463F7" w:rsidRDefault="00361DD4" w:rsidP="00361DD4">
            <w:pPr>
              <w:spacing w:before="120"/>
              <w:jc w:val="center"/>
              <w:rPr>
                <w:rFonts w:ascii="Arial" w:hAnsi="Arial" w:cs="Arial"/>
                <w:sz w:val="16"/>
                <w:szCs w:val="18"/>
              </w:rPr>
            </w:pPr>
            <w:r w:rsidRPr="009463F7">
              <w:rPr>
                <w:rFonts w:ascii="Arial" w:hAnsi="Arial" w:cs="Arial"/>
                <w:sz w:val="16"/>
                <w:szCs w:val="18"/>
              </w:rPr>
              <w:t>0.274</w:t>
            </w:r>
          </w:p>
        </w:tc>
      </w:tr>
      <w:tr w:rsidR="005375FD" w:rsidRPr="00640DF1" w14:paraId="2F4811D0" w14:textId="77777777" w:rsidTr="00E95BD6">
        <w:tc>
          <w:tcPr>
            <w:tcW w:w="633" w:type="dxa"/>
            <w:vMerge w:val="restart"/>
            <w:vAlign w:val="center"/>
          </w:tcPr>
          <w:p w14:paraId="23993A7D" w14:textId="08CDFAEF" w:rsidR="005375FD" w:rsidRPr="009463F7" w:rsidRDefault="005375FD" w:rsidP="00361DD4">
            <w:pPr>
              <w:spacing w:before="120"/>
              <w:rPr>
                <w:rFonts w:ascii="Arial" w:hAnsi="Arial" w:cs="Arial"/>
                <w:b/>
                <w:sz w:val="16"/>
                <w:szCs w:val="18"/>
              </w:rPr>
            </w:pPr>
            <w:r w:rsidRPr="009463F7">
              <w:rPr>
                <w:rFonts w:ascii="Arial" w:hAnsi="Arial" w:cs="Arial"/>
                <w:b/>
                <w:sz w:val="16"/>
                <w:szCs w:val="18"/>
              </w:rPr>
              <w:t>2020</w:t>
            </w:r>
          </w:p>
        </w:tc>
        <w:tc>
          <w:tcPr>
            <w:tcW w:w="2100" w:type="dxa"/>
            <w:vAlign w:val="center"/>
          </w:tcPr>
          <w:p w14:paraId="486590EC" w14:textId="210F3E57" w:rsidR="005375FD" w:rsidRPr="009463F7" w:rsidRDefault="005375FD" w:rsidP="00361DD4">
            <w:pPr>
              <w:spacing w:before="120"/>
              <w:jc w:val="center"/>
              <w:rPr>
                <w:rFonts w:ascii="Arial" w:hAnsi="Arial" w:cs="Arial"/>
                <w:sz w:val="16"/>
                <w:szCs w:val="18"/>
              </w:rPr>
            </w:pPr>
            <w:r w:rsidRPr="009463F7">
              <w:rPr>
                <w:rFonts w:ascii="Arial" w:hAnsi="Arial" w:cs="Arial"/>
                <w:sz w:val="16"/>
                <w:szCs w:val="18"/>
              </w:rPr>
              <w:t>601,490 tonnes of steel</w:t>
            </w:r>
          </w:p>
        </w:tc>
        <w:tc>
          <w:tcPr>
            <w:tcW w:w="1182" w:type="dxa"/>
            <w:vAlign w:val="center"/>
          </w:tcPr>
          <w:p w14:paraId="7B757A75" w14:textId="2EF79B89" w:rsidR="005375FD" w:rsidRPr="009463F7" w:rsidRDefault="005375FD" w:rsidP="00361DD4">
            <w:pPr>
              <w:spacing w:before="120"/>
              <w:jc w:val="center"/>
              <w:rPr>
                <w:rFonts w:ascii="Arial" w:hAnsi="Arial" w:cs="Arial"/>
                <w:sz w:val="16"/>
                <w:szCs w:val="18"/>
              </w:rPr>
            </w:pPr>
            <w:r w:rsidRPr="009463F7">
              <w:rPr>
                <w:rFonts w:ascii="Arial" w:hAnsi="Arial" w:cs="Arial"/>
                <w:sz w:val="16"/>
                <w:szCs w:val="18"/>
              </w:rPr>
              <w:t>0.134</w:t>
            </w:r>
          </w:p>
        </w:tc>
        <w:tc>
          <w:tcPr>
            <w:tcW w:w="980" w:type="dxa"/>
          </w:tcPr>
          <w:p w14:paraId="64E7DAB4" w14:textId="77777777" w:rsidR="005375FD" w:rsidRPr="009463F7" w:rsidRDefault="005375FD" w:rsidP="00361DD4">
            <w:pPr>
              <w:spacing w:before="120"/>
              <w:jc w:val="center"/>
              <w:rPr>
                <w:rFonts w:ascii="Arial" w:hAnsi="Arial" w:cs="Arial"/>
                <w:sz w:val="16"/>
                <w:szCs w:val="18"/>
              </w:rPr>
            </w:pPr>
          </w:p>
        </w:tc>
        <w:tc>
          <w:tcPr>
            <w:tcW w:w="1099" w:type="dxa"/>
            <w:vAlign w:val="center"/>
          </w:tcPr>
          <w:p w14:paraId="2DBE2381" w14:textId="77777777" w:rsidR="005375FD" w:rsidRPr="009463F7" w:rsidRDefault="005375FD" w:rsidP="00361DD4">
            <w:pPr>
              <w:spacing w:before="120"/>
              <w:jc w:val="center"/>
              <w:rPr>
                <w:rFonts w:ascii="Arial" w:hAnsi="Arial" w:cs="Arial"/>
                <w:sz w:val="16"/>
                <w:szCs w:val="18"/>
              </w:rPr>
            </w:pPr>
          </w:p>
        </w:tc>
        <w:tc>
          <w:tcPr>
            <w:tcW w:w="985" w:type="dxa"/>
            <w:vAlign w:val="center"/>
          </w:tcPr>
          <w:p w14:paraId="7264C5DB" w14:textId="56C36E1B" w:rsidR="005375FD" w:rsidRPr="009463F7" w:rsidRDefault="005375FD" w:rsidP="00361DD4">
            <w:pPr>
              <w:spacing w:before="120"/>
              <w:jc w:val="center"/>
              <w:rPr>
                <w:rFonts w:ascii="Arial" w:hAnsi="Arial" w:cs="Arial"/>
                <w:sz w:val="16"/>
                <w:szCs w:val="18"/>
              </w:rPr>
            </w:pPr>
            <w:r w:rsidRPr="009463F7">
              <w:rPr>
                <w:rFonts w:ascii="Arial" w:hAnsi="Arial" w:cs="Arial"/>
                <w:sz w:val="16"/>
                <w:szCs w:val="18"/>
              </w:rPr>
              <w:t>0.0806</w:t>
            </w:r>
          </w:p>
        </w:tc>
        <w:tc>
          <w:tcPr>
            <w:tcW w:w="977" w:type="dxa"/>
          </w:tcPr>
          <w:p w14:paraId="1F075307" w14:textId="77777777" w:rsidR="005375FD" w:rsidRPr="009463F7" w:rsidRDefault="005375FD" w:rsidP="00361DD4">
            <w:pPr>
              <w:spacing w:before="120"/>
              <w:jc w:val="center"/>
              <w:rPr>
                <w:rFonts w:ascii="Arial" w:hAnsi="Arial" w:cs="Arial"/>
                <w:sz w:val="16"/>
                <w:szCs w:val="18"/>
              </w:rPr>
            </w:pPr>
          </w:p>
        </w:tc>
        <w:tc>
          <w:tcPr>
            <w:tcW w:w="1105" w:type="dxa"/>
            <w:vAlign w:val="center"/>
          </w:tcPr>
          <w:p w14:paraId="7708FFBE" w14:textId="77777777" w:rsidR="005375FD" w:rsidRPr="009463F7" w:rsidRDefault="005375FD" w:rsidP="00361DD4">
            <w:pPr>
              <w:spacing w:before="120"/>
              <w:jc w:val="center"/>
              <w:rPr>
                <w:rFonts w:ascii="Arial" w:hAnsi="Arial" w:cs="Arial"/>
                <w:sz w:val="16"/>
                <w:szCs w:val="18"/>
              </w:rPr>
            </w:pPr>
          </w:p>
        </w:tc>
      </w:tr>
      <w:tr w:rsidR="005375FD" w:rsidRPr="00640DF1" w14:paraId="657BEEE9" w14:textId="77777777" w:rsidTr="00E95BD6">
        <w:tc>
          <w:tcPr>
            <w:tcW w:w="633" w:type="dxa"/>
            <w:vMerge/>
            <w:vAlign w:val="center"/>
          </w:tcPr>
          <w:p w14:paraId="31487F7A" w14:textId="77777777" w:rsidR="005375FD" w:rsidRPr="009463F7" w:rsidRDefault="005375FD" w:rsidP="00361DD4">
            <w:pPr>
              <w:spacing w:before="120"/>
              <w:rPr>
                <w:rFonts w:ascii="Arial" w:hAnsi="Arial" w:cs="Arial"/>
                <w:b/>
                <w:sz w:val="16"/>
                <w:szCs w:val="18"/>
              </w:rPr>
            </w:pPr>
          </w:p>
        </w:tc>
        <w:tc>
          <w:tcPr>
            <w:tcW w:w="2100" w:type="dxa"/>
            <w:vAlign w:val="center"/>
          </w:tcPr>
          <w:p w14:paraId="454F26D0" w14:textId="016BD7D0"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3.50 x 10</w:t>
            </w:r>
            <w:r w:rsidRPr="009463F7">
              <w:rPr>
                <w:rFonts w:ascii="Arial" w:hAnsi="Arial" w:cs="Arial"/>
                <w:sz w:val="16"/>
                <w:szCs w:val="18"/>
                <w:vertAlign w:val="superscript"/>
              </w:rPr>
              <w:t xml:space="preserve">6 </w:t>
            </w:r>
            <w:r w:rsidR="00906315" w:rsidRPr="009463F7">
              <w:rPr>
                <w:rFonts w:ascii="Arial" w:hAnsi="Arial" w:cs="Arial"/>
                <w:sz w:val="16"/>
                <w:szCs w:val="18"/>
              </w:rPr>
              <w:t>m</w:t>
            </w:r>
            <w:r w:rsidR="00906315" w:rsidRPr="009463F7">
              <w:rPr>
                <w:rFonts w:ascii="Arial" w:hAnsi="Arial" w:cs="Arial"/>
                <w:sz w:val="16"/>
                <w:szCs w:val="18"/>
                <w:vertAlign w:val="superscript"/>
              </w:rPr>
              <w:t>3</w:t>
            </w:r>
            <w:r w:rsidR="00906315" w:rsidRPr="009463F7">
              <w:rPr>
                <w:rFonts w:ascii="Arial" w:hAnsi="Arial" w:cs="Arial"/>
                <w:sz w:val="16"/>
                <w:szCs w:val="18"/>
              </w:rPr>
              <w:t xml:space="preserve"> water</w:t>
            </w:r>
          </w:p>
        </w:tc>
        <w:tc>
          <w:tcPr>
            <w:tcW w:w="1182" w:type="dxa"/>
            <w:vAlign w:val="center"/>
          </w:tcPr>
          <w:p w14:paraId="0890DBF2" w14:textId="77777777" w:rsidR="005375FD" w:rsidRPr="009463F7" w:rsidRDefault="005375FD" w:rsidP="00361DD4">
            <w:pPr>
              <w:spacing w:before="120"/>
              <w:jc w:val="center"/>
              <w:rPr>
                <w:rFonts w:ascii="Arial" w:hAnsi="Arial" w:cs="Arial"/>
                <w:sz w:val="16"/>
                <w:szCs w:val="18"/>
              </w:rPr>
            </w:pPr>
          </w:p>
        </w:tc>
        <w:tc>
          <w:tcPr>
            <w:tcW w:w="980" w:type="dxa"/>
          </w:tcPr>
          <w:p w14:paraId="38529959" w14:textId="16DAAA46"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4.7</w:t>
            </w:r>
          </w:p>
        </w:tc>
        <w:tc>
          <w:tcPr>
            <w:tcW w:w="1099" w:type="dxa"/>
            <w:vAlign w:val="center"/>
          </w:tcPr>
          <w:p w14:paraId="53D1BB48" w14:textId="77777777" w:rsidR="005375FD" w:rsidRPr="009463F7" w:rsidRDefault="005375FD" w:rsidP="00361DD4">
            <w:pPr>
              <w:spacing w:before="120"/>
              <w:jc w:val="center"/>
              <w:rPr>
                <w:rFonts w:ascii="Arial" w:hAnsi="Arial" w:cs="Arial"/>
                <w:sz w:val="16"/>
                <w:szCs w:val="18"/>
              </w:rPr>
            </w:pPr>
          </w:p>
        </w:tc>
        <w:tc>
          <w:tcPr>
            <w:tcW w:w="985" w:type="dxa"/>
            <w:vAlign w:val="center"/>
          </w:tcPr>
          <w:p w14:paraId="300A8BBB" w14:textId="77777777" w:rsidR="005375FD" w:rsidRPr="009463F7" w:rsidRDefault="005375FD" w:rsidP="00361DD4">
            <w:pPr>
              <w:spacing w:before="120"/>
              <w:jc w:val="center"/>
              <w:rPr>
                <w:rFonts w:ascii="Arial" w:hAnsi="Arial" w:cs="Arial"/>
                <w:sz w:val="16"/>
                <w:szCs w:val="18"/>
              </w:rPr>
            </w:pPr>
          </w:p>
        </w:tc>
        <w:tc>
          <w:tcPr>
            <w:tcW w:w="977" w:type="dxa"/>
          </w:tcPr>
          <w:p w14:paraId="1F9F3EDB" w14:textId="29750DAF"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0.0165</w:t>
            </w:r>
          </w:p>
        </w:tc>
        <w:tc>
          <w:tcPr>
            <w:tcW w:w="1105" w:type="dxa"/>
            <w:vAlign w:val="center"/>
          </w:tcPr>
          <w:p w14:paraId="3B3B1AB2" w14:textId="77777777" w:rsidR="005375FD" w:rsidRPr="009463F7" w:rsidRDefault="005375FD" w:rsidP="00361DD4">
            <w:pPr>
              <w:spacing w:before="120"/>
              <w:jc w:val="center"/>
              <w:rPr>
                <w:rFonts w:ascii="Arial" w:hAnsi="Arial" w:cs="Arial"/>
                <w:sz w:val="16"/>
                <w:szCs w:val="18"/>
              </w:rPr>
            </w:pPr>
          </w:p>
        </w:tc>
      </w:tr>
      <w:tr w:rsidR="005375FD" w:rsidRPr="00640DF1" w14:paraId="1A932702" w14:textId="77777777" w:rsidTr="00E95BD6">
        <w:tc>
          <w:tcPr>
            <w:tcW w:w="633" w:type="dxa"/>
            <w:vMerge/>
            <w:vAlign w:val="center"/>
          </w:tcPr>
          <w:p w14:paraId="2C127809" w14:textId="77777777" w:rsidR="005375FD" w:rsidRPr="009463F7" w:rsidRDefault="005375FD" w:rsidP="00361DD4">
            <w:pPr>
              <w:spacing w:before="120"/>
              <w:rPr>
                <w:rFonts w:ascii="Arial" w:hAnsi="Arial" w:cs="Arial"/>
                <w:b/>
                <w:sz w:val="16"/>
                <w:szCs w:val="18"/>
              </w:rPr>
            </w:pPr>
          </w:p>
        </w:tc>
        <w:tc>
          <w:tcPr>
            <w:tcW w:w="2100" w:type="dxa"/>
            <w:vAlign w:val="center"/>
          </w:tcPr>
          <w:p w14:paraId="5B93B753" w14:textId="0AD1C0C2"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 xml:space="preserve">19,028 </w:t>
            </w:r>
            <w:r w:rsidR="00906315" w:rsidRPr="009463F7">
              <w:rPr>
                <w:rFonts w:ascii="Arial" w:hAnsi="Arial" w:cs="Arial"/>
                <w:sz w:val="16"/>
                <w:szCs w:val="18"/>
              </w:rPr>
              <w:t>tonnes of waste</w:t>
            </w:r>
          </w:p>
        </w:tc>
        <w:tc>
          <w:tcPr>
            <w:tcW w:w="1182" w:type="dxa"/>
            <w:vAlign w:val="center"/>
          </w:tcPr>
          <w:p w14:paraId="4CECE4FC" w14:textId="77777777" w:rsidR="005375FD" w:rsidRPr="009463F7" w:rsidRDefault="005375FD" w:rsidP="00361DD4">
            <w:pPr>
              <w:spacing w:before="120"/>
              <w:jc w:val="center"/>
              <w:rPr>
                <w:rFonts w:ascii="Arial" w:hAnsi="Arial" w:cs="Arial"/>
                <w:sz w:val="16"/>
                <w:szCs w:val="18"/>
              </w:rPr>
            </w:pPr>
          </w:p>
        </w:tc>
        <w:tc>
          <w:tcPr>
            <w:tcW w:w="980" w:type="dxa"/>
          </w:tcPr>
          <w:p w14:paraId="37197EB9" w14:textId="77777777" w:rsidR="005375FD" w:rsidRPr="009463F7" w:rsidRDefault="005375FD" w:rsidP="00361DD4">
            <w:pPr>
              <w:spacing w:before="120"/>
              <w:jc w:val="center"/>
              <w:rPr>
                <w:rFonts w:ascii="Arial" w:hAnsi="Arial" w:cs="Arial"/>
                <w:sz w:val="16"/>
                <w:szCs w:val="18"/>
              </w:rPr>
            </w:pPr>
          </w:p>
        </w:tc>
        <w:tc>
          <w:tcPr>
            <w:tcW w:w="1099" w:type="dxa"/>
            <w:vAlign w:val="center"/>
          </w:tcPr>
          <w:p w14:paraId="681F5D9D" w14:textId="382BAB8B"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4.55</w:t>
            </w:r>
          </w:p>
        </w:tc>
        <w:tc>
          <w:tcPr>
            <w:tcW w:w="985" w:type="dxa"/>
            <w:vAlign w:val="center"/>
          </w:tcPr>
          <w:p w14:paraId="16574B25" w14:textId="77777777" w:rsidR="005375FD" w:rsidRPr="009463F7" w:rsidRDefault="005375FD" w:rsidP="00361DD4">
            <w:pPr>
              <w:spacing w:before="120"/>
              <w:jc w:val="center"/>
              <w:rPr>
                <w:rFonts w:ascii="Arial" w:hAnsi="Arial" w:cs="Arial"/>
                <w:sz w:val="16"/>
                <w:szCs w:val="18"/>
              </w:rPr>
            </w:pPr>
          </w:p>
        </w:tc>
        <w:tc>
          <w:tcPr>
            <w:tcW w:w="977" w:type="dxa"/>
          </w:tcPr>
          <w:p w14:paraId="2DEA8EA1" w14:textId="77777777" w:rsidR="005375FD" w:rsidRPr="009463F7" w:rsidRDefault="005375FD" w:rsidP="00361DD4">
            <w:pPr>
              <w:spacing w:before="120"/>
              <w:jc w:val="center"/>
              <w:rPr>
                <w:rFonts w:ascii="Arial" w:hAnsi="Arial" w:cs="Arial"/>
                <w:sz w:val="16"/>
                <w:szCs w:val="18"/>
              </w:rPr>
            </w:pPr>
          </w:p>
        </w:tc>
        <w:tc>
          <w:tcPr>
            <w:tcW w:w="1105" w:type="dxa"/>
            <w:vAlign w:val="center"/>
          </w:tcPr>
          <w:p w14:paraId="1A6E7535" w14:textId="798E1E2D" w:rsidR="005375FD" w:rsidRPr="009463F7" w:rsidRDefault="00A83F63" w:rsidP="00361DD4">
            <w:pPr>
              <w:spacing w:before="120"/>
              <w:jc w:val="center"/>
              <w:rPr>
                <w:rFonts w:ascii="Arial" w:hAnsi="Arial" w:cs="Arial"/>
                <w:sz w:val="16"/>
                <w:szCs w:val="18"/>
              </w:rPr>
            </w:pPr>
            <w:r w:rsidRPr="009463F7">
              <w:rPr>
                <w:rFonts w:ascii="Arial" w:hAnsi="Arial" w:cs="Arial"/>
                <w:sz w:val="16"/>
                <w:szCs w:val="18"/>
              </w:rPr>
              <w:t>0.0866</w:t>
            </w:r>
          </w:p>
        </w:tc>
      </w:tr>
    </w:tbl>
    <w:p w14:paraId="71D4EB32" w14:textId="32429782" w:rsidR="00464868" w:rsidRPr="009463F7" w:rsidRDefault="00464868" w:rsidP="00464868">
      <w:pPr>
        <w:tabs>
          <w:tab w:val="left" w:pos="2760"/>
        </w:tabs>
        <w:spacing w:before="120" w:line="300" w:lineRule="atLeast"/>
        <w:jc w:val="both"/>
        <w:rPr>
          <w:rFonts w:ascii="Arial" w:hAnsi="Arial" w:cs="Arial"/>
          <w:b/>
          <w:szCs w:val="18"/>
        </w:rPr>
      </w:pPr>
      <w:r w:rsidRPr="009463F7">
        <w:rPr>
          <w:rFonts w:ascii="Arial" w:hAnsi="Arial" w:cs="Arial"/>
          <w:b/>
          <w:szCs w:val="18"/>
        </w:rPr>
        <w:t xml:space="preserve">Certainty assessment for </w:t>
      </w:r>
      <w:r w:rsidR="005375FD" w:rsidRPr="009463F7">
        <w:rPr>
          <w:rFonts w:ascii="Arial" w:hAnsi="Arial" w:cs="Arial"/>
          <w:b/>
          <w:szCs w:val="18"/>
        </w:rPr>
        <w:t>2020</w:t>
      </w:r>
    </w:p>
    <w:p w14:paraId="104FD820" w14:textId="77777777" w:rsidR="00464868" w:rsidRPr="009463F7" w:rsidRDefault="00464868" w:rsidP="00464868">
      <w:pPr>
        <w:tabs>
          <w:tab w:val="left" w:pos="1701"/>
        </w:tabs>
        <w:spacing w:after="0" w:line="300" w:lineRule="atLeast"/>
        <w:jc w:val="both"/>
        <w:rPr>
          <w:szCs w:val="18"/>
        </w:rPr>
      </w:pPr>
      <w:r w:rsidRPr="009463F7">
        <w:rPr>
          <w:szCs w:val="18"/>
        </w:rPr>
        <w:t xml:space="preserve">Activity data: </w:t>
      </w:r>
      <w:r w:rsidRPr="009463F7">
        <w:rPr>
          <w:szCs w:val="18"/>
        </w:rPr>
        <w:tab/>
        <w:t xml:space="preserve">Medium (because they are based on </w:t>
      </w:r>
      <w:r w:rsidR="000F6164" w:rsidRPr="009463F7">
        <w:rPr>
          <w:szCs w:val="18"/>
        </w:rPr>
        <w:t>company</w:t>
      </w:r>
      <w:r w:rsidRPr="009463F7">
        <w:rPr>
          <w:szCs w:val="18"/>
        </w:rPr>
        <w:t xml:space="preserve"> estimates)</w:t>
      </w:r>
    </w:p>
    <w:p w14:paraId="6222F9F2" w14:textId="77777777" w:rsidR="00464868" w:rsidRPr="009463F7" w:rsidRDefault="00464868" w:rsidP="00464868">
      <w:pPr>
        <w:tabs>
          <w:tab w:val="left" w:pos="1701"/>
        </w:tabs>
        <w:spacing w:line="300" w:lineRule="atLeast"/>
        <w:jc w:val="both"/>
        <w:rPr>
          <w:szCs w:val="18"/>
        </w:rPr>
      </w:pPr>
      <w:r w:rsidRPr="009463F7">
        <w:rPr>
          <w:szCs w:val="18"/>
        </w:rPr>
        <w:t xml:space="preserve">Emission factors: </w:t>
      </w:r>
      <w:r w:rsidRPr="009463F7">
        <w:rPr>
          <w:szCs w:val="18"/>
        </w:rPr>
        <w:tab/>
      </w:r>
      <w:r w:rsidR="000F6164" w:rsidRPr="009463F7">
        <w:rPr>
          <w:szCs w:val="18"/>
        </w:rPr>
        <w:t>Medium</w:t>
      </w:r>
      <w:r w:rsidRPr="009463F7">
        <w:rPr>
          <w:szCs w:val="18"/>
        </w:rPr>
        <w:t xml:space="preserve"> (because they are based on </w:t>
      </w:r>
      <w:r w:rsidR="000F6164" w:rsidRPr="009463F7">
        <w:rPr>
          <w:szCs w:val="18"/>
        </w:rPr>
        <w:t>historical site data</w:t>
      </w:r>
      <w:r w:rsidRPr="009463F7">
        <w:rPr>
          <w:szCs w:val="18"/>
        </w:rPr>
        <w:t>)</w:t>
      </w:r>
    </w:p>
    <w:p w14:paraId="71AA46E3" w14:textId="77777777" w:rsidR="008211F6" w:rsidRPr="009463F7" w:rsidRDefault="008211F6" w:rsidP="008211F6">
      <w:pPr>
        <w:pStyle w:val="Heading3"/>
      </w:pPr>
      <w:bookmarkStart w:id="134" w:name="_Ref381261041"/>
      <w:bookmarkStart w:id="135" w:name="_Toc112768077"/>
      <w:r w:rsidRPr="009463F7">
        <w:t>Secondary steel production</w:t>
      </w:r>
      <w:bookmarkEnd w:id="134"/>
      <w:bookmarkEnd w:id="135"/>
    </w:p>
    <w:p w14:paraId="24ADA2A6" w14:textId="62CA485A" w:rsidR="009400A4" w:rsidRPr="009463F7" w:rsidRDefault="68776435" w:rsidP="001671B4">
      <w:pPr>
        <w:spacing w:line="300" w:lineRule="atLeast"/>
        <w:jc w:val="both"/>
      </w:pPr>
      <w:r w:rsidRPr="0C34660A">
        <w:rPr>
          <w:lang w:val="en-US"/>
        </w:rPr>
        <w:t>Until October 2015 Pacific Steel operated an electric arc furnace at its Otahuhu site</w:t>
      </w:r>
      <w:r w:rsidR="3ADC2B03" w:rsidRPr="0C34660A">
        <w:rPr>
          <w:lang w:val="en-US"/>
        </w:rPr>
        <w:t xml:space="preserve"> in Auckland</w:t>
      </w:r>
      <w:r w:rsidRPr="0C34660A">
        <w:rPr>
          <w:lang w:val="en-US"/>
        </w:rPr>
        <w:t xml:space="preserve"> processing recycled scrap steel. The company’s production assets were </w:t>
      </w:r>
      <w:r w:rsidR="5848B5F4" w:rsidRPr="0C34660A">
        <w:rPr>
          <w:lang w:val="en-US"/>
        </w:rPr>
        <w:t xml:space="preserve">then purchased by </w:t>
      </w:r>
      <w:r w:rsidRPr="0C34660A">
        <w:rPr>
          <w:lang w:val="en-US"/>
        </w:rPr>
        <w:t>New Zealand Steel</w:t>
      </w:r>
      <w:r w:rsidR="5848B5F4" w:rsidRPr="0C34660A">
        <w:rPr>
          <w:lang w:val="en-US"/>
        </w:rPr>
        <w:t xml:space="preserve"> Ltd</w:t>
      </w:r>
      <w:r w:rsidR="29A6CD05" w:rsidRPr="0C34660A">
        <w:rPr>
          <w:lang w:val="en-US"/>
        </w:rPr>
        <w:t xml:space="preserve">. </w:t>
      </w:r>
      <w:r w:rsidRPr="0C34660A">
        <w:rPr>
          <w:lang w:val="en-US"/>
        </w:rPr>
        <w:t>Consequently, all steel manufactured in New Zealand is now made at New Zealand Steel’s Glenbrook site from newly produced iron – that is there is no domestic steel production using recycled steel scrap</w:t>
      </w:r>
      <w:r w:rsidR="6690CB5F" w:rsidRPr="0C34660A">
        <w:rPr>
          <w:noProof/>
        </w:rPr>
        <w:t xml:space="preserve"> (Ministry for the Environment, 2022)</w:t>
      </w:r>
      <w:r w:rsidRPr="0C34660A">
        <w:rPr>
          <w:lang w:val="en-US"/>
        </w:rPr>
        <w:t>.</w:t>
      </w:r>
    </w:p>
    <w:p w14:paraId="344580BD" w14:textId="7EDA1373" w:rsidR="00A409D9" w:rsidRPr="009463F7" w:rsidRDefault="00A409D9" w:rsidP="00A409D9">
      <w:pPr>
        <w:spacing w:line="300" w:lineRule="atLeast"/>
        <w:jc w:val="both"/>
        <w:rPr>
          <w:szCs w:val="18"/>
        </w:rPr>
      </w:pPr>
      <w:r w:rsidRPr="009463F7">
        <w:rPr>
          <w:szCs w:val="18"/>
        </w:rPr>
        <w:t>The</w:t>
      </w:r>
      <w:r w:rsidR="005C5DC4" w:rsidRPr="009463F7">
        <w:rPr>
          <w:szCs w:val="18"/>
        </w:rPr>
        <w:t xml:space="preserve"> </w:t>
      </w:r>
      <w:r w:rsidRPr="009463F7">
        <w:rPr>
          <w:szCs w:val="18"/>
        </w:rPr>
        <w:t>release estimates for secondary steel production are shown in</w:t>
      </w:r>
      <w:r w:rsidR="00FA4706" w:rsidRPr="009463F7">
        <w:rPr>
          <w:szCs w:val="18"/>
        </w:rPr>
        <w:t xml:space="preserve"> </w:t>
      </w:r>
      <w:r w:rsidR="00FA4706" w:rsidRPr="009463F7">
        <w:rPr>
          <w:szCs w:val="18"/>
        </w:rPr>
        <w:fldChar w:fldCharType="begin"/>
      </w:r>
      <w:r w:rsidR="00FA4706" w:rsidRPr="009463F7">
        <w:rPr>
          <w:szCs w:val="18"/>
        </w:rPr>
        <w:instrText xml:space="preserve"> REF _Ref359667787 \h  \* MERGEFORMAT </w:instrText>
      </w:r>
      <w:r w:rsidR="00FA4706" w:rsidRPr="009463F7">
        <w:rPr>
          <w:szCs w:val="18"/>
        </w:rPr>
      </w:r>
      <w:r w:rsidR="00FA4706" w:rsidRPr="009463F7">
        <w:rPr>
          <w:szCs w:val="18"/>
        </w:rPr>
        <w:fldChar w:fldCharType="separate"/>
      </w:r>
      <w:r w:rsidR="00141D7F" w:rsidRPr="00141D7F">
        <w:t xml:space="preserve">Table </w:t>
      </w:r>
      <w:r w:rsidR="00141D7F" w:rsidRPr="00141D7F">
        <w:rPr>
          <w:noProof/>
        </w:rPr>
        <w:t>4</w:t>
      </w:r>
      <w:r w:rsidR="00141D7F" w:rsidRPr="00141D7F">
        <w:rPr>
          <w:noProof/>
        </w:rPr>
        <w:noBreakHyphen/>
        <w:t>2</w:t>
      </w:r>
      <w:r w:rsidR="00FA4706" w:rsidRPr="009463F7">
        <w:rPr>
          <w:szCs w:val="18"/>
        </w:rPr>
        <w:fldChar w:fldCharType="end"/>
      </w:r>
      <w:r w:rsidR="005C5DC4" w:rsidRPr="009463F7">
        <w:rPr>
          <w:szCs w:val="18"/>
        </w:rPr>
        <w:t>.</w:t>
      </w:r>
    </w:p>
    <w:p w14:paraId="6968A29B" w14:textId="5058A222" w:rsidR="00A409D9" w:rsidRPr="009463F7" w:rsidRDefault="00A409D9" w:rsidP="00101AA8">
      <w:pPr>
        <w:pStyle w:val="Caption"/>
        <w:jc w:val="left"/>
        <w:rPr>
          <w:rFonts w:cs="Arial"/>
          <w:szCs w:val="18"/>
        </w:rPr>
      </w:pPr>
      <w:bookmarkStart w:id="136" w:name="_Ref359667787"/>
      <w:r w:rsidRPr="009463F7">
        <w:rPr>
          <w:rFonts w:cs="Arial"/>
        </w:rPr>
        <w:t xml:space="preserve">Table </w:t>
      </w:r>
      <w:r w:rsidR="00C17BA5" w:rsidRPr="009463F7">
        <w:rPr>
          <w:rFonts w:cs="Arial"/>
        </w:rPr>
        <w:fldChar w:fldCharType="begin"/>
      </w:r>
      <w:r w:rsidR="00C17BA5" w:rsidRPr="009463F7">
        <w:rPr>
          <w:rFonts w:cs="Arial"/>
        </w:rPr>
        <w:instrText xml:space="preserve"> STYLEREF 1 \s </w:instrText>
      </w:r>
      <w:r w:rsidR="00C17BA5" w:rsidRPr="009463F7">
        <w:rPr>
          <w:rFonts w:cs="Arial"/>
        </w:rPr>
        <w:fldChar w:fldCharType="separate"/>
      </w:r>
      <w:r w:rsidR="00141D7F">
        <w:rPr>
          <w:rFonts w:cs="Arial"/>
          <w:noProof/>
        </w:rPr>
        <w:t>4</w:t>
      </w:r>
      <w:r w:rsidR="00C17BA5" w:rsidRPr="009463F7">
        <w:rPr>
          <w:rFonts w:cs="Arial"/>
        </w:rPr>
        <w:fldChar w:fldCharType="end"/>
      </w:r>
      <w:r w:rsidR="00C17BA5" w:rsidRPr="009463F7">
        <w:rPr>
          <w:rFonts w:cs="Arial"/>
        </w:rPr>
        <w:noBreakHyphen/>
      </w:r>
      <w:r w:rsidR="00C17BA5" w:rsidRPr="009463F7">
        <w:rPr>
          <w:rFonts w:cs="Arial"/>
        </w:rPr>
        <w:fldChar w:fldCharType="begin"/>
      </w:r>
      <w:r w:rsidR="00C17BA5" w:rsidRPr="009463F7">
        <w:rPr>
          <w:rFonts w:cs="Arial"/>
        </w:rPr>
        <w:instrText xml:space="preserve"> SEQ Table \* ARABIC \s 1 </w:instrText>
      </w:r>
      <w:r w:rsidR="00C17BA5" w:rsidRPr="009463F7">
        <w:rPr>
          <w:rFonts w:cs="Arial"/>
        </w:rPr>
        <w:fldChar w:fldCharType="separate"/>
      </w:r>
      <w:r w:rsidR="00141D7F">
        <w:rPr>
          <w:rFonts w:cs="Arial"/>
          <w:noProof/>
        </w:rPr>
        <w:t>2</w:t>
      </w:r>
      <w:r w:rsidR="00C17BA5" w:rsidRPr="009463F7">
        <w:rPr>
          <w:rFonts w:cs="Arial"/>
        </w:rPr>
        <w:fldChar w:fldCharType="end"/>
      </w:r>
      <w:bookmarkEnd w:id="136"/>
      <w:r w:rsidRPr="009463F7">
        <w:rPr>
          <w:rFonts w:cs="Arial"/>
        </w:rPr>
        <w:t xml:space="preserve">: </w:t>
      </w:r>
      <w:r w:rsidR="00C6411E" w:rsidRPr="009463F7">
        <w:rPr>
          <w:rFonts w:cs="Arial"/>
        </w:rPr>
        <w:t>Dioxin</w:t>
      </w:r>
      <w:r w:rsidRPr="009463F7">
        <w:rPr>
          <w:rFonts w:cs="Arial"/>
        </w:rPr>
        <w:t xml:space="preserve"> releases from secondary steel production</w:t>
      </w:r>
    </w:p>
    <w:tbl>
      <w:tblPr>
        <w:tblStyle w:val="TableGrid"/>
        <w:tblW w:w="0" w:type="auto"/>
        <w:tblLook w:val="04A0" w:firstRow="1" w:lastRow="0" w:firstColumn="1" w:lastColumn="0" w:noHBand="0" w:noVBand="1"/>
      </w:tblPr>
      <w:tblGrid>
        <w:gridCol w:w="802"/>
        <w:gridCol w:w="1313"/>
        <w:gridCol w:w="1300"/>
        <w:gridCol w:w="1431"/>
        <w:gridCol w:w="1451"/>
        <w:gridCol w:w="1353"/>
        <w:gridCol w:w="1411"/>
      </w:tblGrid>
      <w:tr w:rsidR="00A409D9" w:rsidRPr="00AF1200" w14:paraId="2A7D91BF" w14:textId="77777777" w:rsidTr="00647D89">
        <w:tc>
          <w:tcPr>
            <w:tcW w:w="802" w:type="dxa"/>
            <w:vMerge w:val="restart"/>
            <w:vAlign w:val="center"/>
          </w:tcPr>
          <w:p w14:paraId="6E330D3E" w14:textId="77777777" w:rsidR="00A409D9" w:rsidRPr="009463F7" w:rsidRDefault="00A409D9" w:rsidP="00783EC2">
            <w:pPr>
              <w:spacing w:before="120"/>
              <w:jc w:val="center"/>
              <w:rPr>
                <w:rFonts w:ascii="Arial" w:hAnsi="Arial" w:cs="Arial"/>
                <w:b/>
                <w:sz w:val="16"/>
                <w:szCs w:val="18"/>
              </w:rPr>
            </w:pPr>
            <w:r w:rsidRPr="009463F7">
              <w:rPr>
                <w:rFonts w:ascii="Arial" w:hAnsi="Arial" w:cs="Arial"/>
                <w:b/>
                <w:sz w:val="16"/>
                <w:szCs w:val="18"/>
              </w:rPr>
              <w:t>Year</w:t>
            </w:r>
          </w:p>
        </w:tc>
        <w:tc>
          <w:tcPr>
            <w:tcW w:w="2613" w:type="dxa"/>
            <w:gridSpan w:val="2"/>
            <w:vAlign w:val="center"/>
          </w:tcPr>
          <w:p w14:paraId="378FE3CF" w14:textId="77777777" w:rsidR="00A409D9" w:rsidRPr="009463F7" w:rsidRDefault="00A409D9" w:rsidP="00DC13E5">
            <w:pPr>
              <w:spacing w:before="120"/>
              <w:jc w:val="center"/>
              <w:rPr>
                <w:rFonts w:ascii="Arial" w:hAnsi="Arial" w:cs="Arial"/>
                <w:b/>
                <w:sz w:val="16"/>
                <w:szCs w:val="18"/>
              </w:rPr>
            </w:pPr>
            <w:r w:rsidRPr="009463F7">
              <w:rPr>
                <w:rFonts w:ascii="Arial" w:hAnsi="Arial" w:cs="Arial"/>
                <w:b/>
                <w:sz w:val="16"/>
                <w:szCs w:val="18"/>
              </w:rPr>
              <w:t>Activity Rate</w:t>
            </w:r>
            <w:r w:rsidR="007E24A1" w:rsidRPr="009463F7">
              <w:rPr>
                <w:rFonts w:ascii="Arial" w:hAnsi="Arial" w:cs="Arial"/>
                <w:b/>
                <w:sz w:val="16"/>
                <w:szCs w:val="18"/>
              </w:rPr>
              <w:t>, tonnes/yr</w:t>
            </w:r>
          </w:p>
        </w:tc>
        <w:tc>
          <w:tcPr>
            <w:tcW w:w="2882" w:type="dxa"/>
            <w:gridSpan w:val="2"/>
            <w:vAlign w:val="center"/>
          </w:tcPr>
          <w:p w14:paraId="26233F69" w14:textId="0C0F72BF" w:rsidR="00A409D9" w:rsidRPr="009463F7" w:rsidRDefault="00A409D9" w:rsidP="00A409D9">
            <w:pPr>
              <w:spacing w:before="120"/>
              <w:jc w:val="center"/>
              <w:rPr>
                <w:rFonts w:ascii="Arial" w:hAnsi="Arial" w:cs="Arial"/>
                <w:b/>
                <w:sz w:val="16"/>
                <w:szCs w:val="18"/>
              </w:rPr>
            </w:pPr>
            <w:r w:rsidRPr="009463F7">
              <w:rPr>
                <w:rFonts w:ascii="Arial" w:hAnsi="Arial" w:cs="Arial"/>
                <w:b/>
                <w:sz w:val="16"/>
                <w:szCs w:val="18"/>
              </w:rPr>
              <w:t>Release factors</w:t>
            </w:r>
            <w:r w:rsidRPr="009463F7">
              <w:rPr>
                <w:rFonts w:ascii="Arial" w:hAnsi="Arial" w:cs="Arial"/>
                <w:sz w:val="16"/>
                <w:szCs w:val="18"/>
              </w:rPr>
              <w:t xml:space="preserve"> </w:t>
            </w:r>
            <w:r w:rsidRPr="009463F7">
              <w:rPr>
                <w:rFonts w:ascii="Arial" w:hAnsi="Arial" w:cs="Arial"/>
                <w:sz w:val="16"/>
                <w:szCs w:val="18"/>
              </w:rPr>
              <w:br/>
              <w:t>(</w:t>
            </w:r>
            <w:r w:rsidRPr="009463F7">
              <w:rPr>
                <w:rFonts w:ascii="Arial" w:hAnsi="Arial" w:cs="Arial"/>
                <w:b/>
                <w:sz w:val="16"/>
                <w:szCs w:val="18"/>
              </w:rPr>
              <w:t xml:space="preserve">µg </w:t>
            </w:r>
            <w:r w:rsidR="0009594D" w:rsidRPr="009463F7">
              <w:rPr>
                <w:rFonts w:ascii="Arial" w:hAnsi="Arial" w:cs="Arial"/>
                <w:b/>
                <w:sz w:val="16"/>
                <w:szCs w:val="18"/>
              </w:rPr>
              <w:t>TEQ</w:t>
            </w:r>
            <w:r w:rsidRPr="009463F7">
              <w:rPr>
                <w:rFonts w:ascii="Arial" w:hAnsi="Arial" w:cs="Arial"/>
                <w:b/>
                <w:sz w:val="16"/>
                <w:szCs w:val="18"/>
              </w:rPr>
              <w:t>/tonne of steel or dust)</w:t>
            </w:r>
          </w:p>
        </w:tc>
        <w:tc>
          <w:tcPr>
            <w:tcW w:w="2764" w:type="dxa"/>
            <w:gridSpan w:val="2"/>
            <w:vAlign w:val="center"/>
          </w:tcPr>
          <w:p w14:paraId="3144765D" w14:textId="47B1B00D" w:rsidR="00A409D9" w:rsidRPr="009463F7" w:rsidRDefault="00A409D9" w:rsidP="00783EC2">
            <w:pPr>
              <w:spacing w:before="120"/>
              <w:jc w:val="center"/>
              <w:rPr>
                <w:rFonts w:ascii="Arial" w:hAnsi="Arial" w:cs="Arial"/>
                <w:b/>
                <w:sz w:val="16"/>
                <w:szCs w:val="18"/>
              </w:rPr>
            </w:pPr>
            <w:r w:rsidRPr="009463F7">
              <w:rPr>
                <w:rFonts w:ascii="Arial" w:hAnsi="Arial" w:cs="Arial"/>
                <w:b/>
                <w:sz w:val="16"/>
                <w:szCs w:val="18"/>
              </w:rPr>
              <w:t xml:space="preserve">Annual releases (g </w:t>
            </w:r>
            <w:r w:rsidR="0009594D" w:rsidRPr="009463F7">
              <w:rPr>
                <w:rFonts w:ascii="Arial" w:hAnsi="Arial" w:cs="Arial"/>
                <w:b/>
                <w:sz w:val="16"/>
                <w:szCs w:val="18"/>
              </w:rPr>
              <w:t>TEQ</w:t>
            </w:r>
            <w:r w:rsidRPr="009463F7">
              <w:rPr>
                <w:rFonts w:ascii="Arial" w:hAnsi="Arial" w:cs="Arial"/>
                <w:b/>
                <w:sz w:val="16"/>
                <w:szCs w:val="18"/>
              </w:rPr>
              <w:t>/yr)</w:t>
            </w:r>
          </w:p>
        </w:tc>
      </w:tr>
      <w:tr w:rsidR="007E24A1" w:rsidRPr="00AF1200" w14:paraId="092CF2F5" w14:textId="77777777" w:rsidTr="00E95BD6">
        <w:tc>
          <w:tcPr>
            <w:tcW w:w="802" w:type="dxa"/>
            <w:vMerge/>
          </w:tcPr>
          <w:p w14:paraId="2E4D1C90" w14:textId="77777777" w:rsidR="007E24A1" w:rsidRPr="009463F7" w:rsidRDefault="007E24A1" w:rsidP="00783EC2">
            <w:pPr>
              <w:spacing w:before="120"/>
              <w:jc w:val="both"/>
              <w:rPr>
                <w:rFonts w:ascii="Arial" w:hAnsi="Arial" w:cs="Arial"/>
                <w:sz w:val="16"/>
                <w:szCs w:val="18"/>
              </w:rPr>
            </w:pPr>
          </w:p>
        </w:tc>
        <w:tc>
          <w:tcPr>
            <w:tcW w:w="1313" w:type="dxa"/>
            <w:vAlign w:val="center"/>
          </w:tcPr>
          <w:p w14:paraId="5F4D816C" w14:textId="77777777" w:rsidR="007E24A1" w:rsidRPr="009463F7" w:rsidRDefault="007E24A1" w:rsidP="00783EC2">
            <w:pPr>
              <w:spacing w:before="120"/>
              <w:jc w:val="center"/>
              <w:rPr>
                <w:rFonts w:ascii="Arial" w:hAnsi="Arial" w:cs="Arial"/>
                <w:b/>
                <w:sz w:val="16"/>
                <w:szCs w:val="18"/>
              </w:rPr>
            </w:pPr>
            <w:r w:rsidRPr="009463F7">
              <w:rPr>
                <w:rFonts w:ascii="Arial" w:hAnsi="Arial" w:cs="Arial"/>
                <w:b/>
                <w:sz w:val="16"/>
                <w:szCs w:val="18"/>
              </w:rPr>
              <w:t>Steel</w:t>
            </w:r>
          </w:p>
        </w:tc>
        <w:tc>
          <w:tcPr>
            <w:tcW w:w="1300" w:type="dxa"/>
            <w:vAlign w:val="center"/>
          </w:tcPr>
          <w:p w14:paraId="3B6B0685" w14:textId="77777777" w:rsidR="007E24A1" w:rsidRPr="009463F7" w:rsidRDefault="007E24A1" w:rsidP="00783EC2">
            <w:pPr>
              <w:spacing w:before="120"/>
              <w:jc w:val="center"/>
              <w:rPr>
                <w:rFonts w:ascii="Arial" w:hAnsi="Arial" w:cs="Arial"/>
                <w:b/>
                <w:sz w:val="16"/>
                <w:szCs w:val="18"/>
              </w:rPr>
            </w:pPr>
            <w:r w:rsidRPr="009463F7">
              <w:rPr>
                <w:rFonts w:ascii="Arial" w:hAnsi="Arial" w:cs="Arial"/>
                <w:b/>
                <w:sz w:val="16"/>
                <w:szCs w:val="18"/>
              </w:rPr>
              <w:t>Dust</w:t>
            </w:r>
          </w:p>
        </w:tc>
        <w:tc>
          <w:tcPr>
            <w:tcW w:w="1431" w:type="dxa"/>
            <w:vAlign w:val="center"/>
          </w:tcPr>
          <w:p w14:paraId="13E5E094" w14:textId="77777777" w:rsidR="007E24A1" w:rsidRPr="009463F7" w:rsidRDefault="007E24A1" w:rsidP="00783EC2">
            <w:pPr>
              <w:spacing w:before="120"/>
              <w:jc w:val="center"/>
              <w:rPr>
                <w:rFonts w:ascii="Arial" w:hAnsi="Arial" w:cs="Arial"/>
                <w:b/>
                <w:sz w:val="16"/>
                <w:szCs w:val="18"/>
              </w:rPr>
            </w:pPr>
            <w:r w:rsidRPr="009463F7">
              <w:rPr>
                <w:rFonts w:ascii="Arial" w:hAnsi="Arial" w:cs="Arial"/>
                <w:b/>
                <w:sz w:val="16"/>
                <w:szCs w:val="18"/>
              </w:rPr>
              <w:t>Air</w:t>
            </w:r>
          </w:p>
        </w:tc>
        <w:tc>
          <w:tcPr>
            <w:tcW w:w="1451" w:type="dxa"/>
            <w:vAlign w:val="center"/>
          </w:tcPr>
          <w:p w14:paraId="74E55372" w14:textId="77777777" w:rsidR="007E24A1" w:rsidRPr="009463F7" w:rsidRDefault="007E24A1" w:rsidP="00783EC2">
            <w:pPr>
              <w:spacing w:before="120"/>
              <w:jc w:val="center"/>
              <w:rPr>
                <w:rFonts w:ascii="Arial" w:hAnsi="Arial" w:cs="Arial"/>
                <w:b/>
                <w:sz w:val="16"/>
                <w:szCs w:val="18"/>
              </w:rPr>
            </w:pPr>
            <w:r w:rsidRPr="009463F7">
              <w:rPr>
                <w:rFonts w:ascii="Arial" w:hAnsi="Arial" w:cs="Arial"/>
                <w:b/>
                <w:sz w:val="16"/>
                <w:szCs w:val="18"/>
              </w:rPr>
              <w:t>Residue</w:t>
            </w:r>
          </w:p>
        </w:tc>
        <w:tc>
          <w:tcPr>
            <w:tcW w:w="1353" w:type="dxa"/>
            <w:vAlign w:val="center"/>
          </w:tcPr>
          <w:p w14:paraId="1CBF39C6" w14:textId="77777777" w:rsidR="007E24A1" w:rsidRPr="009463F7" w:rsidRDefault="007E24A1" w:rsidP="00783EC2">
            <w:pPr>
              <w:spacing w:before="120"/>
              <w:jc w:val="center"/>
              <w:rPr>
                <w:rFonts w:ascii="Arial" w:hAnsi="Arial" w:cs="Arial"/>
                <w:b/>
                <w:sz w:val="16"/>
                <w:szCs w:val="18"/>
              </w:rPr>
            </w:pPr>
            <w:r w:rsidRPr="009463F7">
              <w:rPr>
                <w:rFonts w:ascii="Arial" w:hAnsi="Arial" w:cs="Arial"/>
                <w:b/>
                <w:sz w:val="16"/>
                <w:szCs w:val="18"/>
              </w:rPr>
              <w:t>Air</w:t>
            </w:r>
          </w:p>
        </w:tc>
        <w:tc>
          <w:tcPr>
            <w:tcW w:w="1411" w:type="dxa"/>
            <w:vAlign w:val="center"/>
          </w:tcPr>
          <w:p w14:paraId="6F18100F" w14:textId="77777777" w:rsidR="007E24A1" w:rsidRPr="009463F7" w:rsidRDefault="007E24A1" w:rsidP="00A409D9">
            <w:pPr>
              <w:spacing w:before="120"/>
              <w:jc w:val="center"/>
              <w:rPr>
                <w:rFonts w:ascii="Arial" w:hAnsi="Arial" w:cs="Arial"/>
                <w:b/>
                <w:sz w:val="16"/>
                <w:szCs w:val="18"/>
              </w:rPr>
            </w:pPr>
            <w:r w:rsidRPr="009463F7">
              <w:rPr>
                <w:rFonts w:ascii="Arial" w:hAnsi="Arial" w:cs="Arial"/>
                <w:b/>
                <w:sz w:val="16"/>
                <w:szCs w:val="18"/>
              </w:rPr>
              <w:t>Residue</w:t>
            </w:r>
          </w:p>
        </w:tc>
      </w:tr>
      <w:tr w:rsidR="00B9674F" w:rsidRPr="00AF1200" w14:paraId="6FA9B7E1" w14:textId="77777777" w:rsidTr="00E95BD6">
        <w:tc>
          <w:tcPr>
            <w:tcW w:w="802" w:type="dxa"/>
            <w:vMerge w:val="restart"/>
            <w:vAlign w:val="center"/>
          </w:tcPr>
          <w:p w14:paraId="1C715CE0" w14:textId="67DA2E08" w:rsidR="00B9674F" w:rsidRPr="009463F7" w:rsidRDefault="00B9674F" w:rsidP="00783EC2">
            <w:pPr>
              <w:spacing w:before="120"/>
              <w:rPr>
                <w:rFonts w:ascii="Arial" w:hAnsi="Arial" w:cs="Arial"/>
                <w:b/>
                <w:sz w:val="16"/>
                <w:szCs w:val="18"/>
              </w:rPr>
            </w:pPr>
            <w:r w:rsidRPr="009463F7">
              <w:rPr>
                <w:rFonts w:ascii="Arial" w:hAnsi="Arial" w:cs="Arial"/>
                <w:b/>
                <w:sz w:val="16"/>
                <w:szCs w:val="18"/>
              </w:rPr>
              <w:t>2012</w:t>
            </w:r>
          </w:p>
        </w:tc>
        <w:tc>
          <w:tcPr>
            <w:tcW w:w="1313" w:type="dxa"/>
            <w:vAlign w:val="center"/>
          </w:tcPr>
          <w:p w14:paraId="4404B5DF" w14:textId="782FC9F3" w:rsidR="00B9674F" w:rsidRPr="009463F7" w:rsidRDefault="00B9674F" w:rsidP="00ED5B48">
            <w:pPr>
              <w:spacing w:before="120"/>
              <w:jc w:val="center"/>
              <w:rPr>
                <w:rFonts w:ascii="Arial" w:hAnsi="Arial" w:cs="Arial"/>
                <w:sz w:val="16"/>
                <w:szCs w:val="18"/>
              </w:rPr>
            </w:pPr>
            <w:r w:rsidRPr="009463F7">
              <w:rPr>
                <w:rFonts w:ascii="Arial" w:hAnsi="Arial" w:cs="Arial"/>
                <w:sz w:val="16"/>
                <w:szCs w:val="18"/>
              </w:rPr>
              <w:t xml:space="preserve">240,000 </w:t>
            </w:r>
          </w:p>
        </w:tc>
        <w:tc>
          <w:tcPr>
            <w:tcW w:w="1300" w:type="dxa"/>
            <w:vAlign w:val="center"/>
          </w:tcPr>
          <w:p w14:paraId="03C20435" w14:textId="5C635BD9" w:rsidR="00B9674F" w:rsidRPr="009463F7" w:rsidRDefault="00B9674F" w:rsidP="00783EC2">
            <w:pPr>
              <w:spacing w:before="120"/>
              <w:jc w:val="center"/>
              <w:rPr>
                <w:rFonts w:ascii="Arial" w:hAnsi="Arial" w:cs="Arial"/>
                <w:sz w:val="16"/>
                <w:szCs w:val="18"/>
              </w:rPr>
            </w:pPr>
          </w:p>
        </w:tc>
        <w:tc>
          <w:tcPr>
            <w:tcW w:w="1431" w:type="dxa"/>
            <w:vAlign w:val="center"/>
          </w:tcPr>
          <w:p w14:paraId="452810B6" w14:textId="00EC63F8" w:rsidR="00B9674F" w:rsidRPr="009463F7" w:rsidRDefault="00B9674F" w:rsidP="00783EC2">
            <w:pPr>
              <w:spacing w:before="120"/>
              <w:jc w:val="center"/>
              <w:rPr>
                <w:rFonts w:ascii="Arial" w:hAnsi="Arial" w:cs="Arial"/>
                <w:sz w:val="16"/>
                <w:szCs w:val="18"/>
              </w:rPr>
            </w:pPr>
            <w:r w:rsidRPr="009463F7">
              <w:rPr>
                <w:rFonts w:ascii="Arial" w:hAnsi="Arial" w:cs="Arial"/>
                <w:sz w:val="16"/>
                <w:szCs w:val="18"/>
              </w:rPr>
              <w:t>0.15</w:t>
            </w:r>
          </w:p>
        </w:tc>
        <w:tc>
          <w:tcPr>
            <w:tcW w:w="1451" w:type="dxa"/>
            <w:vAlign w:val="center"/>
          </w:tcPr>
          <w:p w14:paraId="2D15FD72" w14:textId="7EECB4A4" w:rsidR="00B9674F" w:rsidRPr="009463F7" w:rsidRDefault="00B9674F" w:rsidP="00ED5B48">
            <w:pPr>
              <w:spacing w:before="120"/>
              <w:jc w:val="center"/>
              <w:rPr>
                <w:rFonts w:ascii="Arial" w:hAnsi="Arial" w:cs="Arial"/>
                <w:sz w:val="16"/>
                <w:szCs w:val="18"/>
              </w:rPr>
            </w:pPr>
            <w:r w:rsidRPr="009463F7">
              <w:rPr>
                <w:rFonts w:ascii="Arial" w:hAnsi="Arial" w:cs="Arial"/>
                <w:sz w:val="16"/>
                <w:szCs w:val="18"/>
              </w:rPr>
              <w:t>-</w:t>
            </w:r>
          </w:p>
        </w:tc>
        <w:tc>
          <w:tcPr>
            <w:tcW w:w="1353" w:type="dxa"/>
            <w:vAlign w:val="center"/>
          </w:tcPr>
          <w:p w14:paraId="3FA8C466" w14:textId="3DE6B1CF" w:rsidR="00B9674F" w:rsidRPr="009463F7" w:rsidRDefault="00B9674F" w:rsidP="00783EC2">
            <w:pPr>
              <w:spacing w:before="120"/>
              <w:jc w:val="center"/>
              <w:rPr>
                <w:rFonts w:ascii="Arial" w:hAnsi="Arial" w:cs="Arial"/>
                <w:sz w:val="16"/>
                <w:szCs w:val="18"/>
              </w:rPr>
            </w:pPr>
            <w:r w:rsidRPr="009463F7">
              <w:rPr>
                <w:rFonts w:ascii="Arial" w:hAnsi="Arial" w:cs="Arial"/>
                <w:sz w:val="16"/>
                <w:szCs w:val="18"/>
              </w:rPr>
              <w:t>0.036</w:t>
            </w:r>
          </w:p>
        </w:tc>
        <w:tc>
          <w:tcPr>
            <w:tcW w:w="1411" w:type="dxa"/>
          </w:tcPr>
          <w:p w14:paraId="4883498E" w14:textId="56401C14" w:rsidR="00B9674F" w:rsidRPr="009463F7" w:rsidRDefault="00B9674F" w:rsidP="00ED5B48">
            <w:pPr>
              <w:spacing w:before="120"/>
              <w:jc w:val="center"/>
              <w:rPr>
                <w:rFonts w:ascii="Arial" w:hAnsi="Arial" w:cs="Arial"/>
                <w:sz w:val="16"/>
                <w:szCs w:val="18"/>
              </w:rPr>
            </w:pPr>
          </w:p>
        </w:tc>
      </w:tr>
      <w:tr w:rsidR="00B9674F" w:rsidRPr="00AF1200" w14:paraId="57073BB3" w14:textId="77777777" w:rsidTr="00E95BD6">
        <w:tc>
          <w:tcPr>
            <w:tcW w:w="802" w:type="dxa"/>
            <w:vMerge/>
            <w:vAlign w:val="center"/>
          </w:tcPr>
          <w:p w14:paraId="51F16895" w14:textId="77777777" w:rsidR="00B9674F" w:rsidRPr="009463F7" w:rsidRDefault="00B9674F" w:rsidP="00783EC2">
            <w:pPr>
              <w:spacing w:before="120"/>
              <w:rPr>
                <w:rFonts w:ascii="Arial" w:hAnsi="Arial" w:cs="Arial"/>
                <w:b/>
                <w:sz w:val="16"/>
                <w:szCs w:val="18"/>
              </w:rPr>
            </w:pPr>
          </w:p>
        </w:tc>
        <w:tc>
          <w:tcPr>
            <w:tcW w:w="1313" w:type="dxa"/>
            <w:vAlign w:val="center"/>
          </w:tcPr>
          <w:p w14:paraId="3545ED5A" w14:textId="3B9A6804" w:rsidR="00B9674F" w:rsidRPr="009463F7" w:rsidRDefault="00B9674F" w:rsidP="00ED5B48">
            <w:pPr>
              <w:spacing w:before="120"/>
              <w:jc w:val="center"/>
              <w:rPr>
                <w:rFonts w:ascii="Arial" w:hAnsi="Arial" w:cs="Arial"/>
                <w:sz w:val="16"/>
                <w:szCs w:val="18"/>
              </w:rPr>
            </w:pPr>
            <w:r w:rsidRPr="009463F7">
              <w:rPr>
                <w:rFonts w:ascii="Arial" w:hAnsi="Arial" w:cs="Arial"/>
                <w:sz w:val="16"/>
                <w:szCs w:val="18"/>
              </w:rPr>
              <w:t>-</w:t>
            </w:r>
          </w:p>
        </w:tc>
        <w:tc>
          <w:tcPr>
            <w:tcW w:w="1300" w:type="dxa"/>
            <w:vAlign w:val="center"/>
          </w:tcPr>
          <w:p w14:paraId="56AF6BA3" w14:textId="4EDD1744" w:rsidR="00B9674F" w:rsidRPr="009463F7" w:rsidRDefault="00B9674F" w:rsidP="00783EC2">
            <w:pPr>
              <w:spacing w:before="120"/>
              <w:jc w:val="center"/>
              <w:rPr>
                <w:rFonts w:ascii="Arial" w:hAnsi="Arial" w:cs="Arial"/>
                <w:sz w:val="16"/>
                <w:szCs w:val="18"/>
              </w:rPr>
            </w:pPr>
            <w:r w:rsidRPr="009463F7">
              <w:rPr>
                <w:rFonts w:ascii="Arial" w:hAnsi="Arial" w:cs="Arial"/>
                <w:sz w:val="16"/>
                <w:szCs w:val="18"/>
              </w:rPr>
              <w:t>4.0</w:t>
            </w:r>
          </w:p>
        </w:tc>
        <w:tc>
          <w:tcPr>
            <w:tcW w:w="1431" w:type="dxa"/>
            <w:vAlign w:val="center"/>
          </w:tcPr>
          <w:p w14:paraId="22C1332B" w14:textId="2CCD9453" w:rsidR="00B9674F" w:rsidRPr="009463F7" w:rsidRDefault="00B9674F" w:rsidP="00783EC2">
            <w:pPr>
              <w:spacing w:before="120"/>
              <w:jc w:val="center"/>
              <w:rPr>
                <w:rFonts w:ascii="Arial" w:hAnsi="Arial" w:cs="Arial"/>
                <w:sz w:val="16"/>
                <w:szCs w:val="18"/>
              </w:rPr>
            </w:pPr>
            <w:r w:rsidRPr="009463F7">
              <w:rPr>
                <w:rFonts w:ascii="Arial" w:hAnsi="Arial" w:cs="Arial"/>
                <w:sz w:val="16"/>
                <w:szCs w:val="18"/>
              </w:rPr>
              <w:t>-</w:t>
            </w:r>
          </w:p>
        </w:tc>
        <w:tc>
          <w:tcPr>
            <w:tcW w:w="1451" w:type="dxa"/>
            <w:vAlign w:val="center"/>
          </w:tcPr>
          <w:p w14:paraId="68D4C220" w14:textId="11BDB3C7" w:rsidR="00B9674F" w:rsidRPr="009463F7" w:rsidRDefault="00B9674F" w:rsidP="00ED5B48">
            <w:pPr>
              <w:spacing w:before="120"/>
              <w:jc w:val="center"/>
              <w:rPr>
                <w:rFonts w:ascii="Arial" w:hAnsi="Arial" w:cs="Arial"/>
                <w:sz w:val="16"/>
                <w:szCs w:val="18"/>
              </w:rPr>
            </w:pPr>
            <w:r w:rsidRPr="009463F7">
              <w:rPr>
                <w:rFonts w:ascii="Arial" w:hAnsi="Arial" w:cs="Arial"/>
                <w:sz w:val="16"/>
                <w:szCs w:val="18"/>
              </w:rPr>
              <w:t>700</w:t>
            </w:r>
          </w:p>
        </w:tc>
        <w:tc>
          <w:tcPr>
            <w:tcW w:w="1353" w:type="dxa"/>
            <w:vAlign w:val="center"/>
          </w:tcPr>
          <w:p w14:paraId="452826BB" w14:textId="54F9CAA1" w:rsidR="00B9674F" w:rsidRPr="009463F7" w:rsidRDefault="00B9674F" w:rsidP="00783EC2">
            <w:pPr>
              <w:spacing w:before="120"/>
              <w:jc w:val="center"/>
              <w:rPr>
                <w:rFonts w:ascii="Arial" w:hAnsi="Arial" w:cs="Arial"/>
                <w:sz w:val="16"/>
                <w:szCs w:val="18"/>
              </w:rPr>
            </w:pPr>
            <w:r w:rsidRPr="009463F7">
              <w:rPr>
                <w:rFonts w:ascii="Arial" w:hAnsi="Arial" w:cs="Arial"/>
                <w:sz w:val="16"/>
                <w:szCs w:val="18"/>
              </w:rPr>
              <w:t>-</w:t>
            </w:r>
          </w:p>
        </w:tc>
        <w:tc>
          <w:tcPr>
            <w:tcW w:w="1411" w:type="dxa"/>
          </w:tcPr>
          <w:p w14:paraId="3062BD5C" w14:textId="4E61431E" w:rsidR="00B9674F" w:rsidRPr="009463F7" w:rsidRDefault="00B9674F" w:rsidP="00ED5B48">
            <w:pPr>
              <w:spacing w:before="120"/>
              <w:jc w:val="center"/>
              <w:rPr>
                <w:rFonts w:ascii="Arial" w:hAnsi="Arial" w:cs="Arial"/>
                <w:sz w:val="16"/>
                <w:szCs w:val="18"/>
              </w:rPr>
            </w:pPr>
            <w:r w:rsidRPr="009463F7">
              <w:rPr>
                <w:rFonts w:ascii="Arial" w:hAnsi="Arial" w:cs="Arial"/>
                <w:sz w:val="16"/>
                <w:szCs w:val="18"/>
              </w:rPr>
              <w:t>2.8</w:t>
            </w:r>
          </w:p>
        </w:tc>
      </w:tr>
      <w:tr w:rsidR="00EF3638" w:rsidRPr="00AF1200" w14:paraId="0FF0FCC4" w14:textId="77777777" w:rsidTr="00E95BD6">
        <w:tc>
          <w:tcPr>
            <w:tcW w:w="802" w:type="dxa"/>
            <w:vMerge w:val="restart"/>
            <w:vAlign w:val="center"/>
          </w:tcPr>
          <w:p w14:paraId="5D003723" w14:textId="0458A866" w:rsidR="00EF3638" w:rsidRPr="009463F7" w:rsidRDefault="00B9674F" w:rsidP="00783EC2">
            <w:pPr>
              <w:spacing w:before="120"/>
              <w:rPr>
                <w:rFonts w:ascii="Arial" w:hAnsi="Arial" w:cs="Arial"/>
                <w:b/>
                <w:sz w:val="16"/>
                <w:szCs w:val="18"/>
              </w:rPr>
            </w:pPr>
            <w:r w:rsidRPr="009463F7">
              <w:rPr>
                <w:rFonts w:ascii="Arial" w:hAnsi="Arial" w:cs="Arial"/>
                <w:b/>
                <w:sz w:val="16"/>
                <w:szCs w:val="18"/>
              </w:rPr>
              <w:t>2016</w:t>
            </w:r>
          </w:p>
        </w:tc>
        <w:tc>
          <w:tcPr>
            <w:tcW w:w="1313" w:type="dxa"/>
            <w:vAlign w:val="center"/>
          </w:tcPr>
          <w:p w14:paraId="6C50120E" w14:textId="58410401" w:rsidR="00EF3638" w:rsidRPr="009463F7" w:rsidRDefault="00B9674F" w:rsidP="00ED5B48">
            <w:pPr>
              <w:spacing w:before="120"/>
              <w:jc w:val="center"/>
              <w:rPr>
                <w:rFonts w:ascii="Arial" w:hAnsi="Arial" w:cs="Arial"/>
                <w:sz w:val="16"/>
                <w:szCs w:val="18"/>
              </w:rPr>
            </w:pPr>
            <w:r w:rsidRPr="009463F7">
              <w:rPr>
                <w:rFonts w:ascii="Arial" w:hAnsi="Arial" w:cs="Arial"/>
                <w:sz w:val="16"/>
                <w:szCs w:val="18"/>
              </w:rPr>
              <w:t>0</w:t>
            </w:r>
          </w:p>
        </w:tc>
        <w:tc>
          <w:tcPr>
            <w:tcW w:w="1300" w:type="dxa"/>
            <w:vAlign w:val="center"/>
          </w:tcPr>
          <w:p w14:paraId="56D182D8" w14:textId="2527DE59" w:rsidR="00EF3638" w:rsidRPr="009463F7" w:rsidRDefault="00EF3638" w:rsidP="00783EC2">
            <w:pPr>
              <w:spacing w:before="120"/>
              <w:jc w:val="center"/>
              <w:rPr>
                <w:rFonts w:ascii="Arial" w:hAnsi="Arial" w:cs="Arial"/>
                <w:sz w:val="16"/>
                <w:szCs w:val="18"/>
              </w:rPr>
            </w:pPr>
          </w:p>
        </w:tc>
        <w:tc>
          <w:tcPr>
            <w:tcW w:w="1431" w:type="dxa"/>
            <w:vAlign w:val="center"/>
          </w:tcPr>
          <w:p w14:paraId="3E9577B4" w14:textId="26C49E6C" w:rsidR="00EF3638" w:rsidRPr="009463F7" w:rsidRDefault="00B9674F" w:rsidP="00783EC2">
            <w:pPr>
              <w:spacing w:before="120"/>
              <w:jc w:val="center"/>
              <w:rPr>
                <w:rFonts w:ascii="Arial" w:hAnsi="Arial" w:cs="Arial"/>
                <w:sz w:val="16"/>
                <w:szCs w:val="18"/>
              </w:rPr>
            </w:pPr>
            <w:r w:rsidRPr="009463F7">
              <w:rPr>
                <w:rFonts w:ascii="Arial" w:hAnsi="Arial" w:cs="Arial"/>
                <w:sz w:val="16"/>
                <w:szCs w:val="18"/>
              </w:rPr>
              <w:t>0.15</w:t>
            </w:r>
          </w:p>
        </w:tc>
        <w:tc>
          <w:tcPr>
            <w:tcW w:w="1451" w:type="dxa"/>
            <w:vAlign w:val="center"/>
          </w:tcPr>
          <w:p w14:paraId="071E0910" w14:textId="6F72AD61" w:rsidR="00EF3638" w:rsidRPr="009463F7" w:rsidRDefault="00EF3638" w:rsidP="00ED5B48">
            <w:pPr>
              <w:spacing w:before="120"/>
              <w:jc w:val="center"/>
              <w:rPr>
                <w:rFonts w:ascii="Arial" w:hAnsi="Arial" w:cs="Arial"/>
                <w:sz w:val="16"/>
                <w:szCs w:val="18"/>
              </w:rPr>
            </w:pPr>
          </w:p>
        </w:tc>
        <w:tc>
          <w:tcPr>
            <w:tcW w:w="1353" w:type="dxa"/>
            <w:vAlign w:val="center"/>
          </w:tcPr>
          <w:p w14:paraId="264E6808" w14:textId="4E16B9DC" w:rsidR="00EF3638" w:rsidRPr="009463F7" w:rsidRDefault="00B9674F" w:rsidP="00783EC2">
            <w:pPr>
              <w:spacing w:before="120"/>
              <w:jc w:val="center"/>
              <w:rPr>
                <w:rFonts w:ascii="Arial" w:hAnsi="Arial" w:cs="Arial"/>
                <w:sz w:val="16"/>
                <w:szCs w:val="18"/>
              </w:rPr>
            </w:pPr>
            <w:r w:rsidRPr="009463F7">
              <w:rPr>
                <w:rFonts w:ascii="Arial" w:hAnsi="Arial" w:cs="Arial"/>
                <w:sz w:val="16"/>
                <w:szCs w:val="18"/>
              </w:rPr>
              <w:t>0.0</w:t>
            </w:r>
          </w:p>
        </w:tc>
        <w:tc>
          <w:tcPr>
            <w:tcW w:w="1411" w:type="dxa"/>
          </w:tcPr>
          <w:p w14:paraId="28F9BDBE" w14:textId="56700876" w:rsidR="00EF3638" w:rsidRPr="009463F7" w:rsidRDefault="00EF3638" w:rsidP="00783EC2">
            <w:pPr>
              <w:spacing w:before="120"/>
              <w:jc w:val="center"/>
              <w:rPr>
                <w:rFonts w:ascii="Arial" w:hAnsi="Arial" w:cs="Arial"/>
                <w:sz w:val="16"/>
                <w:szCs w:val="18"/>
              </w:rPr>
            </w:pPr>
          </w:p>
        </w:tc>
      </w:tr>
      <w:tr w:rsidR="00EF3638" w:rsidRPr="00AF1200" w14:paraId="2DB9FF74" w14:textId="77777777" w:rsidTr="00E95BD6">
        <w:tc>
          <w:tcPr>
            <w:tcW w:w="802" w:type="dxa"/>
            <w:vMerge/>
            <w:vAlign w:val="center"/>
          </w:tcPr>
          <w:p w14:paraId="6A12E13D" w14:textId="77777777" w:rsidR="00EF3638" w:rsidRPr="009463F7" w:rsidRDefault="00EF3638" w:rsidP="00783EC2">
            <w:pPr>
              <w:spacing w:before="120"/>
              <w:rPr>
                <w:rFonts w:ascii="Arial" w:hAnsi="Arial" w:cs="Arial"/>
                <w:b/>
                <w:sz w:val="16"/>
                <w:szCs w:val="18"/>
              </w:rPr>
            </w:pPr>
          </w:p>
        </w:tc>
        <w:tc>
          <w:tcPr>
            <w:tcW w:w="1313" w:type="dxa"/>
            <w:vAlign w:val="center"/>
          </w:tcPr>
          <w:p w14:paraId="7157D452" w14:textId="5BFF2F0C" w:rsidR="00EF3638" w:rsidRPr="009463F7" w:rsidRDefault="00EF3638" w:rsidP="00ED5B48">
            <w:pPr>
              <w:spacing w:before="120"/>
              <w:jc w:val="center"/>
              <w:rPr>
                <w:rFonts w:ascii="Arial" w:hAnsi="Arial" w:cs="Arial"/>
                <w:sz w:val="16"/>
                <w:szCs w:val="18"/>
              </w:rPr>
            </w:pPr>
          </w:p>
        </w:tc>
        <w:tc>
          <w:tcPr>
            <w:tcW w:w="1300" w:type="dxa"/>
            <w:vAlign w:val="center"/>
          </w:tcPr>
          <w:p w14:paraId="517954F5" w14:textId="514387FC" w:rsidR="00EF3638" w:rsidRPr="009463F7" w:rsidRDefault="00B9674F" w:rsidP="00783EC2">
            <w:pPr>
              <w:spacing w:before="120"/>
              <w:jc w:val="center"/>
              <w:rPr>
                <w:rFonts w:ascii="Arial" w:hAnsi="Arial" w:cs="Arial"/>
                <w:sz w:val="16"/>
                <w:szCs w:val="18"/>
              </w:rPr>
            </w:pPr>
            <w:r w:rsidRPr="009463F7">
              <w:rPr>
                <w:rFonts w:ascii="Arial" w:hAnsi="Arial" w:cs="Arial"/>
                <w:sz w:val="16"/>
                <w:szCs w:val="18"/>
              </w:rPr>
              <w:t>0</w:t>
            </w:r>
          </w:p>
        </w:tc>
        <w:tc>
          <w:tcPr>
            <w:tcW w:w="1431" w:type="dxa"/>
            <w:vAlign w:val="center"/>
          </w:tcPr>
          <w:p w14:paraId="36BD2EEB" w14:textId="0B738387" w:rsidR="00EF3638" w:rsidRPr="009463F7" w:rsidRDefault="00EF3638" w:rsidP="00783EC2">
            <w:pPr>
              <w:spacing w:before="120"/>
              <w:jc w:val="center"/>
              <w:rPr>
                <w:rFonts w:ascii="Arial" w:hAnsi="Arial" w:cs="Arial"/>
                <w:sz w:val="16"/>
                <w:szCs w:val="18"/>
              </w:rPr>
            </w:pPr>
          </w:p>
        </w:tc>
        <w:tc>
          <w:tcPr>
            <w:tcW w:w="1451" w:type="dxa"/>
            <w:vAlign w:val="center"/>
          </w:tcPr>
          <w:p w14:paraId="12BDC723" w14:textId="5FFE60D6" w:rsidR="00EF3638" w:rsidRPr="009463F7" w:rsidRDefault="00B9674F" w:rsidP="00ED5B48">
            <w:pPr>
              <w:spacing w:before="120"/>
              <w:jc w:val="center"/>
              <w:rPr>
                <w:rFonts w:ascii="Arial" w:hAnsi="Arial" w:cs="Arial"/>
                <w:sz w:val="16"/>
                <w:szCs w:val="18"/>
              </w:rPr>
            </w:pPr>
            <w:r w:rsidRPr="009463F7">
              <w:rPr>
                <w:rFonts w:ascii="Arial" w:hAnsi="Arial" w:cs="Arial"/>
                <w:sz w:val="16"/>
                <w:szCs w:val="18"/>
              </w:rPr>
              <w:t>700</w:t>
            </w:r>
          </w:p>
        </w:tc>
        <w:tc>
          <w:tcPr>
            <w:tcW w:w="1353" w:type="dxa"/>
            <w:vAlign w:val="center"/>
          </w:tcPr>
          <w:p w14:paraId="158D546C" w14:textId="2C7B8CFA" w:rsidR="00EF3638" w:rsidRPr="009463F7" w:rsidRDefault="00EF3638" w:rsidP="00783EC2">
            <w:pPr>
              <w:spacing w:before="120"/>
              <w:jc w:val="center"/>
              <w:rPr>
                <w:rFonts w:ascii="Arial" w:hAnsi="Arial" w:cs="Arial"/>
                <w:sz w:val="16"/>
                <w:szCs w:val="18"/>
              </w:rPr>
            </w:pPr>
          </w:p>
        </w:tc>
        <w:tc>
          <w:tcPr>
            <w:tcW w:w="1411" w:type="dxa"/>
          </w:tcPr>
          <w:p w14:paraId="69EC6A61" w14:textId="72853290" w:rsidR="00EF3638" w:rsidRPr="009463F7" w:rsidRDefault="00B9674F" w:rsidP="00783EC2">
            <w:pPr>
              <w:spacing w:before="120"/>
              <w:jc w:val="center"/>
              <w:rPr>
                <w:rFonts w:ascii="Arial" w:hAnsi="Arial" w:cs="Arial"/>
                <w:sz w:val="16"/>
                <w:szCs w:val="18"/>
              </w:rPr>
            </w:pPr>
            <w:r w:rsidRPr="009463F7">
              <w:rPr>
                <w:rFonts w:ascii="Arial" w:hAnsi="Arial" w:cs="Arial"/>
                <w:sz w:val="16"/>
                <w:szCs w:val="18"/>
              </w:rPr>
              <w:t>0.0</w:t>
            </w:r>
          </w:p>
        </w:tc>
      </w:tr>
      <w:tr w:rsidR="0099406A" w:rsidRPr="00AF1200" w14:paraId="4F55D584" w14:textId="77777777" w:rsidTr="00E95BD6">
        <w:tc>
          <w:tcPr>
            <w:tcW w:w="802" w:type="dxa"/>
            <w:vMerge w:val="restart"/>
            <w:vAlign w:val="center"/>
          </w:tcPr>
          <w:p w14:paraId="53E0F0DB" w14:textId="520F4EC7" w:rsidR="0099406A" w:rsidRPr="009463F7" w:rsidRDefault="0099406A" w:rsidP="00783EC2">
            <w:pPr>
              <w:spacing w:before="120"/>
              <w:rPr>
                <w:rFonts w:ascii="Arial" w:hAnsi="Arial" w:cs="Arial"/>
                <w:b/>
                <w:sz w:val="16"/>
                <w:szCs w:val="18"/>
              </w:rPr>
            </w:pPr>
            <w:r w:rsidRPr="009463F7">
              <w:rPr>
                <w:rFonts w:ascii="Arial" w:hAnsi="Arial" w:cs="Arial"/>
                <w:b/>
                <w:sz w:val="16"/>
                <w:szCs w:val="18"/>
              </w:rPr>
              <w:t>2020</w:t>
            </w:r>
          </w:p>
        </w:tc>
        <w:tc>
          <w:tcPr>
            <w:tcW w:w="1313" w:type="dxa"/>
            <w:vAlign w:val="center"/>
          </w:tcPr>
          <w:p w14:paraId="7784E5A9" w14:textId="0E481E0F" w:rsidR="0099406A" w:rsidRPr="009463F7" w:rsidRDefault="0099406A" w:rsidP="00ED5B48">
            <w:pPr>
              <w:spacing w:before="120"/>
              <w:jc w:val="center"/>
              <w:rPr>
                <w:rFonts w:ascii="Arial" w:hAnsi="Arial" w:cs="Arial"/>
                <w:sz w:val="16"/>
                <w:szCs w:val="18"/>
              </w:rPr>
            </w:pPr>
            <w:r w:rsidRPr="009463F7">
              <w:rPr>
                <w:rFonts w:ascii="Arial" w:hAnsi="Arial" w:cs="Arial"/>
                <w:sz w:val="16"/>
                <w:szCs w:val="18"/>
              </w:rPr>
              <w:t>0</w:t>
            </w:r>
          </w:p>
        </w:tc>
        <w:tc>
          <w:tcPr>
            <w:tcW w:w="1300" w:type="dxa"/>
            <w:vAlign w:val="center"/>
          </w:tcPr>
          <w:p w14:paraId="406B7802" w14:textId="77777777" w:rsidR="0099406A" w:rsidRPr="009463F7" w:rsidRDefault="0099406A" w:rsidP="00783EC2">
            <w:pPr>
              <w:spacing w:before="120"/>
              <w:jc w:val="center"/>
              <w:rPr>
                <w:rFonts w:ascii="Arial" w:hAnsi="Arial" w:cs="Arial"/>
                <w:sz w:val="16"/>
                <w:szCs w:val="18"/>
              </w:rPr>
            </w:pPr>
          </w:p>
        </w:tc>
        <w:tc>
          <w:tcPr>
            <w:tcW w:w="1431" w:type="dxa"/>
            <w:vAlign w:val="center"/>
          </w:tcPr>
          <w:p w14:paraId="75E7C90D" w14:textId="30F487AB" w:rsidR="0099406A" w:rsidRPr="009463F7" w:rsidRDefault="0099406A" w:rsidP="00783EC2">
            <w:pPr>
              <w:spacing w:before="120"/>
              <w:jc w:val="center"/>
              <w:rPr>
                <w:rFonts w:ascii="Arial" w:hAnsi="Arial" w:cs="Arial"/>
                <w:sz w:val="16"/>
                <w:szCs w:val="18"/>
              </w:rPr>
            </w:pPr>
            <w:r w:rsidRPr="009463F7">
              <w:rPr>
                <w:rFonts w:ascii="Arial" w:hAnsi="Arial" w:cs="Arial"/>
                <w:sz w:val="16"/>
                <w:szCs w:val="18"/>
              </w:rPr>
              <w:t>0.15</w:t>
            </w:r>
          </w:p>
        </w:tc>
        <w:tc>
          <w:tcPr>
            <w:tcW w:w="1451" w:type="dxa"/>
            <w:vAlign w:val="center"/>
          </w:tcPr>
          <w:p w14:paraId="5819003E" w14:textId="77777777" w:rsidR="0099406A" w:rsidRPr="009463F7" w:rsidRDefault="0099406A" w:rsidP="00ED5B48">
            <w:pPr>
              <w:spacing w:before="120"/>
              <w:jc w:val="center"/>
              <w:rPr>
                <w:rFonts w:ascii="Arial" w:hAnsi="Arial" w:cs="Arial"/>
                <w:sz w:val="16"/>
                <w:szCs w:val="18"/>
              </w:rPr>
            </w:pPr>
          </w:p>
        </w:tc>
        <w:tc>
          <w:tcPr>
            <w:tcW w:w="1353" w:type="dxa"/>
            <w:vAlign w:val="center"/>
          </w:tcPr>
          <w:p w14:paraId="522B2290" w14:textId="1C7CE335" w:rsidR="0099406A" w:rsidRPr="009463F7" w:rsidRDefault="0099406A" w:rsidP="00783EC2">
            <w:pPr>
              <w:spacing w:before="120"/>
              <w:jc w:val="center"/>
              <w:rPr>
                <w:rFonts w:ascii="Arial" w:hAnsi="Arial" w:cs="Arial"/>
                <w:sz w:val="16"/>
                <w:szCs w:val="18"/>
              </w:rPr>
            </w:pPr>
            <w:r w:rsidRPr="009463F7">
              <w:rPr>
                <w:rFonts w:ascii="Arial" w:hAnsi="Arial" w:cs="Arial"/>
                <w:sz w:val="16"/>
                <w:szCs w:val="18"/>
              </w:rPr>
              <w:t>0.0</w:t>
            </w:r>
          </w:p>
        </w:tc>
        <w:tc>
          <w:tcPr>
            <w:tcW w:w="1411" w:type="dxa"/>
          </w:tcPr>
          <w:p w14:paraId="5BD9D88F" w14:textId="77777777" w:rsidR="0099406A" w:rsidRPr="009463F7" w:rsidRDefault="0099406A" w:rsidP="00783EC2">
            <w:pPr>
              <w:spacing w:before="120"/>
              <w:jc w:val="center"/>
              <w:rPr>
                <w:rFonts w:ascii="Arial" w:hAnsi="Arial" w:cs="Arial"/>
                <w:sz w:val="16"/>
                <w:szCs w:val="18"/>
              </w:rPr>
            </w:pPr>
          </w:p>
        </w:tc>
      </w:tr>
      <w:tr w:rsidR="0099406A" w:rsidRPr="00AF1200" w14:paraId="19CE6CB1" w14:textId="77777777" w:rsidTr="00E95BD6">
        <w:tc>
          <w:tcPr>
            <w:tcW w:w="802" w:type="dxa"/>
            <w:vMerge/>
            <w:vAlign w:val="center"/>
          </w:tcPr>
          <w:p w14:paraId="08281EBC" w14:textId="77777777" w:rsidR="0099406A" w:rsidRPr="009463F7" w:rsidRDefault="0099406A" w:rsidP="00783EC2">
            <w:pPr>
              <w:spacing w:before="120"/>
              <w:rPr>
                <w:rFonts w:ascii="Arial" w:hAnsi="Arial" w:cs="Arial"/>
                <w:b/>
                <w:sz w:val="16"/>
                <w:szCs w:val="18"/>
              </w:rPr>
            </w:pPr>
          </w:p>
        </w:tc>
        <w:tc>
          <w:tcPr>
            <w:tcW w:w="1313" w:type="dxa"/>
            <w:vAlign w:val="center"/>
          </w:tcPr>
          <w:p w14:paraId="062FC002" w14:textId="77777777" w:rsidR="0099406A" w:rsidRPr="009463F7" w:rsidRDefault="0099406A" w:rsidP="00ED5B48">
            <w:pPr>
              <w:spacing w:before="120"/>
              <w:jc w:val="center"/>
              <w:rPr>
                <w:rFonts w:ascii="Arial" w:hAnsi="Arial" w:cs="Arial"/>
                <w:sz w:val="16"/>
                <w:szCs w:val="18"/>
              </w:rPr>
            </w:pPr>
          </w:p>
        </w:tc>
        <w:tc>
          <w:tcPr>
            <w:tcW w:w="1300" w:type="dxa"/>
            <w:vAlign w:val="center"/>
          </w:tcPr>
          <w:p w14:paraId="70E5B88F" w14:textId="141AD5B4" w:rsidR="0099406A" w:rsidRPr="009463F7" w:rsidRDefault="0099406A" w:rsidP="00783EC2">
            <w:pPr>
              <w:spacing w:before="120"/>
              <w:jc w:val="center"/>
              <w:rPr>
                <w:rFonts w:ascii="Arial" w:hAnsi="Arial" w:cs="Arial"/>
                <w:sz w:val="16"/>
                <w:szCs w:val="18"/>
              </w:rPr>
            </w:pPr>
            <w:r w:rsidRPr="009463F7">
              <w:rPr>
                <w:rFonts w:ascii="Arial" w:hAnsi="Arial" w:cs="Arial"/>
                <w:sz w:val="16"/>
                <w:szCs w:val="18"/>
              </w:rPr>
              <w:t>0</w:t>
            </w:r>
          </w:p>
        </w:tc>
        <w:tc>
          <w:tcPr>
            <w:tcW w:w="1431" w:type="dxa"/>
            <w:vAlign w:val="center"/>
          </w:tcPr>
          <w:p w14:paraId="37E629C1" w14:textId="77777777" w:rsidR="0099406A" w:rsidRPr="009463F7" w:rsidRDefault="0099406A" w:rsidP="00783EC2">
            <w:pPr>
              <w:spacing w:before="120"/>
              <w:jc w:val="center"/>
              <w:rPr>
                <w:rFonts w:ascii="Arial" w:hAnsi="Arial" w:cs="Arial"/>
                <w:sz w:val="16"/>
                <w:szCs w:val="18"/>
              </w:rPr>
            </w:pPr>
          </w:p>
        </w:tc>
        <w:tc>
          <w:tcPr>
            <w:tcW w:w="1451" w:type="dxa"/>
            <w:vAlign w:val="center"/>
          </w:tcPr>
          <w:p w14:paraId="13DCA8DB" w14:textId="341CD6C6" w:rsidR="0099406A" w:rsidRPr="009463F7" w:rsidRDefault="0099406A" w:rsidP="00ED5B48">
            <w:pPr>
              <w:spacing w:before="120"/>
              <w:jc w:val="center"/>
              <w:rPr>
                <w:rFonts w:ascii="Arial" w:hAnsi="Arial" w:cs="Arial"/>
                <w:sz w:val="16"/>
                <w:szCs w:val="18"/>
              </w:rPr>
            </w:pPr>
            <w:r w:rsidRPr="009463F7">
              <w:rPr>
                <w:rFonts w:ascii="Arial" w:hAnsi="Arial" w:cs="Arial"/>
                <w:sz w:val="16"/>
                <w:szCs w:val="18"/>
              </w:rPr>
              <w:t>700</w:t>
            </w:r>
          </w:p>
        </w:tc>
        <w:tc>
          <w:tcPr>
            <w:tcW w:w="1353" w:type="dxa"/>
            <w:vAlign w:val="center"/>
          </w:tcPr>
          <w:p w14:paraId="1346A7F0" w14:textId="77777777" w:rsidR="0099406A" w:rsidRPr="009463F7" w:rsidRDefault="0099406A" w:rsidP="00783EC2">
            <w:pPr>
              <w:spacing w:before="120"/>
              <w:jc w:val="center"/>
              <w:rPr>
                <w:rFonts w:ascii="Arial" w:hAnsi="Arial" w:cs="Arial"/>
                <w:sz w:val="16"/>
                <w:szCs w:val="18"/>
              </w:rPr>
            </w:pPr>
          </w:p>
        </w:tc>
        <w:tc>
          <w:tcPr>
            <w:tcW w:w="1411" w:type="dxa"/>
          </w:tcPr>
          <w:p w14:paraId="18A55584" w14:textId="3654326D" w:rsidR="0099406A" w:rsidRPr="009463F7" w:rsidRDefault="0099406A" w:rsidP="00783EC2">
            <w:pPr>
              <w:spacing w:before="120"/>
              <w:jc w:val="center"/>
              <w:rPr>
                <w:rFonts w:ascii="Arial" w:hAnsi="Arial" w:cs="Arial"/>
                <w:sz w:val="16"/>
                <w:szCs w:val="18"/>
              </w:rPr>
            </w:pPr>
            <w:r w:rsidRPr="009463F7">
              <w:rPr>
                <w:rFonts w:ascii="Arial" w:hAnsi="Arial" w:cs="Arial"/>
                <w:sz w:val="16"/>
                <w:szCs w:val="18"/>
              </w:rPr>
              <w:t>0.0</w:t>
            </w:r>
          </w:p>
        </w:tc>
      </w:tr>
    </w:tbl>
    <w:p w14:paraId="2B1D9D68" w14:textId="102BE49A" w:rsidR="00A409D9" w:rsidRPr="009463F7" w:rsidRDefault="00131B63" w:rsidP="00A409D9">
      <w:pPr>
        <w:tabs>
          <w:tab w:val="left" w:pos="2760"/>
        </w:tabs>
        <w:spacing w:before="120" w:line="300" w:lineRule="atLeast"/>
        <w:jc w:val="both"/>
        <w:rPr>
          <w:rFonts w:ascii="Arial" w:hAnsi="Arial" w:cs="Arial"/>
          <w:b/>
          <w:szCs w:val="18"/>
        </w:rPr>
      </w:pPr>
      <w:r w:rsidRPr="009463F7">
        <w:rPr>
          <w:rFonts w:ascii="Arial" w:hAnsi="Arial" w:cs="Arial"/>
          <w:b/>
          <w:szCs w:val="18"/>
        </w:rPr>
        <w:lastRenderedPageBreak/>
        <w:t xml:space="preserve">Certainty assessment for </w:t>
      </w:r>
      <w:r w:rsidR="00102279">
        <w:rPr>
          <w:rFonts w:ascii="Arial" w:hAnsi="Arial" w:cs="Arial"/>
          <w:b/>
          <w:szCs w:val="18"/>
        </w:rPr>
        <w:t>2020</w:t>
      </w:r>
    </w:p>
    <w:p w14:paraId="2A2C6D15" w14:textId="63B957B5" w:rsidR="00A409D9" w:rsidRPr="009463F7" w:rsidRDefault="00A409D9" w:rsidP="00A409D9">
      <w:pPr>
        <w:tabs>
          <w:tab w:val="left" w:pos="1701"/>
        </w:tabs>
        <w:spacing w:after="0" w:line="300" w:lineRule="atLeast"/>
        <w:jc w:val="both"/>
        <w:rPr>
          <w:szCs w:val="18"/>
        </w:rPr>
      </w:pPr>
      <w:r w:rsidRPr="009463F7">
        <w:rPr>
          <w:szCs w:val="18"/>
        </w:rPr>
        <w:t xml:space="preserve">Activity data: </w:t>
      </w:r>
      <w:r w:rsidRPr="009463F7">
        <w:rPr>
          <w:szCs w:val="18"/>
        </w:rPr>
        <w:tab/>
      </w:r>
      <w:r w:rsidR="00131B63" w:rsidRPr="009463F7">
        <w:rPr>
          <w:szCs w:val="18"/>
        </w:rPr>
        <w:t>High</w:t>
      </w:r>
      <w:r w:rsidRPr="009463F7">
        <w:rPr>
          <w:szCs w:val="18"/>
        </w:rPr>
        <w:t xml:space="preserve"> (because </w:t>
      </w:r>
      <w:r w:rsidR="009F314F" w:rsidRPr="009463F7">
        <w:rPr>
          <w:szCs w:val="18"/>
        </w:rPr>
        <w:t>there is no secondary steel production</w:t>
      </w:r>
      <w:r w:rsidRPr="009463F7">
        <w:rPr>
          <w:szCs w:val="18"/>
        </w:rPr>
        <w:t>)</w:t>
      </w:r>
    </w:p>
    <w:p w14:paraId="0561915B" w14:textId="6190F9AD" w:rsidR="00A409D9" w:rsidRPr="009463F7" w:rsidRDefault="00A409D9" w:rsidP="00A409D9">
      <w:pPr>
        <w:tabs>
          <w:tab w:val="left" w:pos="1701"/>
        </w:tabs>
        <w:spacing w:line="300" w:lineRule="atLeast"/>
        <w:jc w:val="both"/>
        <w:rPr>
          <w:szCs w:val="18"/>
        </w:rPr>
      </w:pPr>
      <w:r w:rsidRPr="009463F7">
        <w:rPr>
          <w:szCs w:val="18"/>
        </w:rPr>
        <w:t xml:space="preserve">Emission factors: </w:t>
      </w:r>
      <w:r w:rsidRPr="009463F7">
        <w:rPr>
          <w:szCs w:val="18"/>
        </w:rPr>
        <w:tab/>
      </w:r>
      <w:r w:rsidR="009F19C4" w:rsidRPr="009463F7">
        <w:rPr>
          <w:szCs w:val="18"/>
        </w:rPr>
        <w:t xml:space="preserve">High </w:t>
      </w:r>
      <w:r w:rsidRPr="009463F7">
        <w:rPr>
          <w:szCs w:val="18"/>
        </w:rPr>
        <w:t xml:space="preserve">(because they </w:t>
      </w:r>
      <w:r w:rsidR="00102279">
        <w:rPr>
          <w:szCs w:val="18"/>
        </w:rPr>
        <w:t>were</w:t>
      </w:r>
      <w:r w:rsidRPr="009463F7">
        <w:rPr>
          <w:szCs w:val="18"/>
        </w:rPr>
        <w:t xml:space="preserve"> based on </w:t>
      </w:r>
      <w:r w:rsidR="009F19C4" w:rsidRPr="009463F7">
        <w:rPr>
          <w:szCs w:val="18"/>
        </w:rPr>
        <w:t>annual test</w:t>
      </w:r>
      <w:r w:rsidRPr="009463F7">
        <w:rPr>
          <w:szCs w:val="18"/>
        </w:rPr>
        <w:t xml:space="preserve"> data)</w:t>
      </w:r>
    </w:p>
    <w:p w14:paraId="41C932AE" w14:textId="77777777" w:rsidR="00AF10A8" w:rsidRPr="009463F7" w:rsidRDefault="00AF10A8" w:rsidP="00AF10A8">
      <w:pPr>
        <w:pStyle w:val="Heading3"/>
      </w:pPr>
      <w:bookmarkStart w:id="137" w:name="_Toc112768078"/>
      <w:r w:rsidRPr="009463F7">
        <w:t>Iron foundries</w:t>
      </w:r>
      <w:bookmarkEnd w:id="137"/>
    </w:p>
    <w:p w14:paraId="2D7068E0" w14:textId="668A530C" w:rsidR="00C22305" w:rsidRPr="00AA4F49" w:rsidRDefault="4E96C1D4" w:rsidP="0C34660A">
      <w:pPr>
        <w:spacing w:line="300" w:lineRule="atLeast"/>
        <w:jc w:val="both"/>
        <w:rPr>
          <w:rFonts w:eastAsia="Calibri"/>
        </w:rPr>
      </w:pPr>
      <w:r w:rsidRPr="0C34660A">
        <w:rPr>
          <w:rFonts w:eastAsia="Calibri"/>
        </w:rPr>
        <w:t xml:space="preserve">Iron foundries manufacture cast-iron products from scrap iron, pig iron and internal plant returns (manufacturing rejects and wastes). Alloying materials such as silicon, magnesium, copper, </w:t>
      </w:r>
      <w:bookmarkStart w:id="138" w:name="_Int_JMGbvDpP"/>
      <w:r w:rsidRPr="0C34660A">
        <w:rPr>
          <w:rFonts w:eastAsia="Calibri"/>
        </w:rPr>
        <w:t>nickel,</w:t>
      </w:r>
      <w:bookmarkEnd w:id="138"/>
      <w:r w:rsidRPr="0C34660A">
        <w:rPr>
          <w:rFonts w:eastAsia="Calibri"/>
        </w:rPr>
        <w:t xml:space="preserve"> and carbon may also be added to the charge, along with fluxing materials which often include chlorides or fluorides. The basic foundry operations </w:t>
      </w:r>
      <w:bookmarkStart w:id="139" w:name="_Int_cKRpotkg"/>
      <w:r w:rsidRPr="0C34660A">
        <w:rPr>
          <w:rFonts w:eastAsia="Calibri"/>
        </w:rPr>
        <w:t>are:</w:t>
      </w:r>
      <w:bookmarkEnd w:id="139"/>
      <w:r w:rsidRPr="0C34660A">
        <w:rPr>
          <w:rFonts w:eastAsia="Calibri"/>
        </w:rPr>
        <w:t xml:space="preserve"> raw material handling and preparation, mould and core production, metal melting and alloying, casting, and mould breakout, followed by finishing processes such as trimming, cleaning, and polishing. A variety of furnaces can be used for metal melting, including electric arc and induction furnaces, cupolas, and oil- or gas-fired crucibles. The melting operations have the greatest potential for dioxin releases to air, especially when processing contaminated scrap, and there can also be releases via furnace residues, such as slag and dross </w:t>
      </w:r>
      <w:r w:rsidR="4D7F3E93" w:rsidRPr="0C34660A">
        <w:rPr>
          <w:rFonts w:eastAsia="Calibri"/>
          <w:noProof/>
        </w:rPr>
        <w:t>(United Nations Environment Programme, 2013)</w:t>
      </w:r>
      <w:r w:rsidRPr="0C34660A">
        <w:rPr>
          <w:rFonts w:eastAsia="Calibri"/>
        </w:rPr>
        <w:t>.</w:t>
      </w:r>
    </w:p>
    <w:p w14:paraId="4C74302E" w14:textId="4348C692" w:rsidR="00C22305" w:rsidRPr="00AA4F49" w:rsidRDefault="4D7F3E93" w:rsidP="0C34660A">
      <w:pPr>
        <w:spacing w:line="300" w:lineRule="atLeast"/>
        <w:jc w:val="both"/>
        <w:rPr>
          <w:rFonts w:eastAsia="Calibri"/>
        </w:rPr>
      </w:pPr>
      <w:r w:rsidRPr="0C34660A">
        <w:rPr>
          <w:rFonts w:eastAsia="Calibri"/>
        </w:rPr>
        <w:t>The closure of Precision Foundries (formerly Masport Foundry)</w:t>
      </w:r>
      <w:r w:rsidR="2853AB9E" w:rsidRPr="0C34660A">
        <w:rPr>
          <w:rFonts w:eastAsia="Calibri"/>
        </w:rPr>
        <w:t xml:space="preserve"> in Auckland</w:t>
      </w:r>
      <w:r w:rsidRPr="0C34660A">
        <w:rPr>
          <w:rFonts w:eastAsia="Calibri"/>
        </w:rPr>
        <w:t xml:space="preserve"> at the end of 2017 </w:t>
      </w:r>
      <w:r w:rsidR="2853AB9E" w:rsidRPr="0C34660A">
        <w:rPr>
          <w:rFonts w:eastAsia="Calibri"/>
        </w:rPr>
        <w:t xml:space="preserve">coupled with </w:t>
      </w:r>
      <w:r w:rsidR="7B15042F" w:rsidRPr="0C34660A">
        <w:rPr>
          <w:rFonts w:eastAsia="Calibri"/>
        </w:rPr>
        <w:t xml:space="preserve">A and G Price in Thames </w:t>
      </w:r>
      <w:r w:rsidR="2853AB9E" w:rsidRPr="0C34660A">
        <w:rPr>
          <w:rFonts w:eastAsia="Calibri"/>
        </w:rPr>
        <w:t xml:space="preserve">emerging from receivership with a reduced workforce have been key influences in the reduction of foundry production since the previous inventory as these were the two largest foundries in New Zealand. Total foundry production for 2020 has been estimated at 1300 tonnes. </w:t>
      </w:r>
    </w:p>
    <w:p w14:paraId="20692BE4" w14:textId="0FEB297D" w:rsidR="00C22305" w:rsidRPr="009463F7" w:rsidRDefault="00C22305" w:rsidP="00C22305">
      <w:pPr>
        <w:spacing w:line="300" w:lineRule="atLeast"/>
        <w:jc w:val="both"/>
        <w:rPr>
          <w:szCs w:val="18"/>
        </w:rPr>
      </w:pPr>
      <w:r w:rsidRPr="00AA4F49">
        <w:rPr>
          <w:szCs w:val="18"/>
        </w:rPr>
        <w:t>The current release estimates for iron foundries are shown in</w:t>
      </w:r>
      <w:r w:rsidR="009463F7">
        <w:rPr>
          <w:szCs w:val="18"/>
        </w:rPr>
        <w:t xml:space="preserve"> Table 4-3</w:t>
      </w:r>
      <w:r w:rsidRPr="009463F7">
        <w:rPr>
          <w:szCs w:val="18"/>
        </w:rPr>
        <w:t xml:space="preserve">, along </w:t>
      </w:r>
      <w:r w:rsidR="009F314F" w:rsidRPr="009463F7">
        <w:rPr>
          <w:szCs w:val="18"/>
        </w:rPr>
        <w:t>with the estimates from the 2012</w:t>
      </w:r>
      <w:r w:rsidRPr="009463F7">
        <w:rPr>
          <w:szCs w:val="18"/>
        </w:rPr>
        <w:t xml:space="preserve"> </w:t>
      </w:r>
      <w:r w:rsidR="00B973BB">
        <w:rPr>
          <w:szCs w:val="18"/>
        </w:rPr>
        <w:t xml:space="preserve">and 2016 </w:t>
      </w:r>
      <w:r w:rsidRPr="009463F7">
        <w:rPr>
          <w:szCs w:val="18"/>
        </w:rPr>
        <w:t>Inventor</w:t>
      </w:r>
      <w:r w:rsidR="00B973BB">
        <w:rPr>
          <w:szCs w:val="18"/>
        </w:rPr>
        <w:t>ies</w:t>
      </w:r>
      <w:r w:rsidRPr="009463F7">
        <w:rPr>
          <w:szCs w:val="18"/>
        </w:rPr>
        <w:t>. The estimates for releases to air for both years are based on a factor of 8.2 µg TEQ per tonne of metal (1 µg TEQ/tonne = 1 x 10</w:t>
      </w:r>
      <w:r w:rsidRPr="009463F7">
        <w:rPr>
          <w:szCs w:val="18"/>
          <w:vertAlign w:val="superscript"/>
        </w:rPr>
        <w:t>-6</w:t>
      </w:r>
      <w:r w:rsidRPr="009463F7">
        <w:rPr>
          <w:szCs w:val="18"/>
        </w:rPr>
        <w:t xml:space="preserve"> g TEQ/tonne), which was derived from a 2002 industry survey </w:t>
      </w:r>
      <w:r w:rsidR="009463F7" w:rsidRPr="009463F7">
        <w:rPr>
          <w:noProof/>
          <w:szCs w:val="18"/>
        </w:rPr>
        <w:t>(Ministry for the Environment, 2004)</w:t>
      </w:r>
      <w:r w:rsidRPr="009463F7">
        <w:rPr>
          <w:szCs w:val="18"/>
        </w:rPr>
        <w:t xml:space="preserve"> and is marginally lower than the default factor of 10 </w:t>
      </w:r>
      <w:r w:rsidRPr="009463F7">
        <w:rPr>
          <w:szCs w:val="18"/>
          <w:lang w:val="en-US"/>
        </w:rPr>
        <w:t xml:space="preserve">µg TEQ per tonne </w:t>
      </w:r>
      <w:r w:rsidRPr="009463F7">
        <w:rPr>
          <w:szCs w:val="18"/>
        </w:rPr>
        <w:t>given in the UNEP Toolkit. The releases in residues are based on the Toolkit factor of 8 µg TEQ per tonne of metal.</w:t>
      </w:r>
    </w:p>
    <w:p w14:paraId="7DC59D85" w14:textId="67866068" w:rsidR="00C22305" w:rsidRPr="009463F7" w:rsidRDefault="00C22305" w:rsidP="00C22305">
      <w:pPr>
        <w:pStyle w:val="Caption"/>
        <w:jc w:val="left"/>
        <w:rPr>
          <w:rFonts w:cs="Arial"/>
          <w:szCs w:val="18"/>
        </w:rPr>
      </w:pPr>
      <w:bookmarkStart w:id="140" w:name="_Ref391204330"/>
      <w:r w:rsidRPr="009463F7">
        <w:rPr>
          <w:rFonts w:cs="Arial"/>
        </w:rPr>
        <w:t xml:space="preserve">Table </w:t>
      </w:r>
      <w:r w:rsidRPr="009463F7">
        <w:rPr>
          <w:rFonts w:cs="Arial"/>
        </w:rPr>
        <w:fldChar w:fldCharType="begin"/>
      </w:r>
      <w:r w:rsidRPr="009463F7">
        <w:rPr>
          <w:rFonts w:cs="Arial"/>
        </w:rPr>
        <w:instrText xml:space="preserve"> STYLEREF 1 \s </w:instrText>
      </w:r>
      <w:r w:rsidRPr="009463F7">
        <w:rPr>
          <w:rFonts w:cs="Arial"/>
        </w:rPr>
        <w:fldChar w:fldCharType="separate"/>
      </w:r>
      <w:r w:rsidR="00141D7F">
        <w:rPr>
          <w:rFonts w:cs="Arial"/>
          <w:noProof/>
        </w:rPr>
        <w:t>4</w:t>
      </w:r>
      <w:r w:rsidRPr="009463F7">
        <w:rPr>
          <w:rFonts w:cs="Arial"/>
        </w:rPr>
        <w:fldChar w:fldCharType="end"/>
      </w:r>
      <w:r w:rsidRPr="009463F7">
        <w:rPr>
          <w:rFonts w:cs="Arial"/>
        </w:rPr>
        <w:noBreakHyphen/>
      </w:r>
      <w:r w:rsidRPr="009463F7">
        <w:rPr>
          <w:rFonts w:cs="Arial"/>
        </w:rPr>
        <w:fldChar w:fldCharType="begin"/>
      </w:r>
      <w:r w:rsidRPr="009463F7">
        <w:rPr>
          <w:rFonts w:cs="Arial"/>
        </w:rPr>
        <w:instrText xml:space="preserve"> SEQ Table \* ARABIC \s 1 </w:instrText>
      </w:r>
      <w:r w:rsidRPr="009463F7">
        <w:rPr>
          <w:rFonts w:cs="Arial"/>
        </w:rPr>
        <w:fldChar w:fldCharType="separate"/>
      </w:r>
      <w:r w:rsidR="00141D7F">
        <w:rPr>
          <w:rFonts w:cs="Arial"/>
          <w:noProof/>
        </w:rPr>
        <w:t>3</w:t>
      </w:r>
      <w:r w:rsidRPr="009463F7">
        <w:rPr>
          <w:rFonts w:cs="Arial"/>
        </w:rPr>
        <w:fldChar w:fldCharType="end"/>
      </w:r>
      <w:bookmarkEnd w:id="140"/>
      <w:r w:rsidRPr="009463F7">
        <w:rPr>
          <w:rFonts w:cs="Arial"/>
        </w:rPr>
        <w:t>: Dioxin releases from iron foundries</w:t>
      </w:r>
    </w:p>
    <w:tbl>
      <w:tblPr>
        <w:tblStyle w:val="TableGrid"/>
        <w:tblW w:w="0" w:type="auto"/>
        <w:tblLook w:val="04A0" w:firstRow="1" w:lastRow="0" w:firstColumn="1" w:lastColumn="0" w:noHBand="0" w:noVBand="1"/>
      </w:tblPr>
      <w:tblGrid>
        <w:gridCol w:w="806"/>
        <w:gridCol w:w="2610"/>
        <w:gridCol w:w="1442"/>
        <w:gridCol w:w="928"/>
        <w:gridCol w:w="1366"/>
        <w:gridCol w:w="1376"/>
      </w:tblGrid>
      <w:tr w:rsidR="00C22305" w:rsidRPr="00B973BB" w14:paraId="69FE9FFC" w14:textId="77777777" w:rsidTr="009463F7">
        <w:tc>
          <w:tcPr>
            <w:tcW w:w="806" w:type="dxa"/>
            <w:vMerge w:val="restart"/>
            <w:vAlign w:val="center"/>
          </w:tcPr>
          <w:p w14:paraId="2138F366"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Year</w:t>
            </w:r>
          </w:p>
        </w:tc>
        <w:tc>
          <w:tcPr>
            <w:tcW w:w="2610" w:type="dxa"/>
            <w:vMerge w:val="restart"/>
            <w:vAlign w:val="center"/>
          </w:tcPr>
          <w:p w14:paraId="20DE621A"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Activity Rate</w:t>
            </w:r>
            <w:r w:rsidRPr="009463F7">
              <w:rPr>
                <w:rFonts w:ascii="Arial" w:hAnsi="Arial" w:cs="Arial"/>
                <w:b/>
                <w:sz w:val="16"/>
                <w:szCs w:val="18"/>
              </w:rPr>
              <w:br/>
              <w:t>tonnes of iron per year</w:t>
            </w:r>
          </w:p>
        </w:tc>
        <w:tc>
          <w:tcPr>
            <w:tcW w:w="2370" w:type="dxa"/>
            <w:gridSpan w:val="2"/>
            <w:vAlign w:val="center"/>
          </w:tcPr>
          <w:p w14:paraId="0E665551"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Release factors</w:t>
            </w:r>
            <w:r w:rsidRPr="009463F7">
              <w:rPr>
                <w:rFonts w:ascii="Arial" w:hAnsi="Arial" w:cs="Arial"/>
                <w:sz w:val="16"/>
                <w:szCs w:val="18"/>
              </w:rPr>
              <w:t xml:space="preserve"> </w:t>
            </w:r>
            <w:r w:rsidRPr="009463F7">
              <w:rPr>
                <w:rFonts w:ascii="Arial" w:hAnsi="Arial" w:cs="Arial"/>
                <w:sz w:val="16"/>
                <w:szCs w:val="18"/>
              </w:rPr>
              <w:br/>
              <w:t>(</w:t>
            </w:r>
            <w:r w:rsidRPr="009463F7">
              <w:rPr>
                <w:rFonts w:ascii="Arial" w:hAnsi="Arial" w:cs="Arial"/>
                <w:b/>
                <w:sz w:val="16"/>
                <w:szCs w:val="18"/>
              </w:rPr>
              <w:t>µg TEQ/tonne of iron)</w:t>
            </w:r>
          </w:p>
        </w:tc>
        <w:tc>
          <w:tcPr>
            <w:tcW w:w="2742" w:type="dxa"/>
            <w:gridSpan w:val="2"/>
            <w:vAlign w:val="center"/>
          </w:tcPr>
          <w:p w14:paraId="06E3BE0D"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Annual releases (g TEQ/yr)</w:t>
            </w:r>
          </w:p>
        </w:tc>
      </w:tr>
      <w:tr w:rsidR="00C22305" w:rsidRPr="00B973BB" w14:paraId="1C7CF020" w14:textId="77777777" w:rsidTr="009463F7">
        <w:tc>
          <w:tcPr>
            <w:tcW w:w="806" w:type="dxa"/>
            <w:vMerge/>
          </w:tcPr>
          <w:p w14:paraId="684C6747" w14:textId="77777777" w:rsidR="00C22305" w:rsidRPr="009463F7" w:rsidRDefault="00C22305" w:rsidP="00492830">
            <w:pPr>
              <w:spacing w:before="120"/>
              <w:jc w:val="both"/>
              <w:rPr>
                <w:rFonts w:ascii="Arial" w:hAnsi="Arial" w:cs="Arial"/>
                <w:sz w:val="16"/>
                <w:szCs w:val="18"/>
              </w:rPr>
            </w:pPr>
          </w:p>
        </w:tc>
        <w:tc>
          <w:tcPr>
            <w:tcW w:w="2610" w:type="dxa"/>
            <w:vMerge/>
            <w:vAlign w:val="center"/>
          </w:tcPr>
          <w:p w14:paraId="5622FBBD" w14:textId="77777777" w:rsidR="00C22305" w:rsidRPr="009463F7" w:rsidRDefault="00C22305" w:rsidP="00492830">
            <w:pPr>
              <w:spacing w:before="120"/>
              <w:jc w:val="center"/>
              <w:rPr>
                <w:rFonts w:ascii="Arial" w:hAnsi="Arial" w:cs="Arial"/>
                <w:b/>
                <w:sz w:val="16"/>
                <w:szCs w:val="18"/>
              </w:rPr>
            </w:pPr>
          </w:p>
        </w:tc>
        <w:tc>
          <w:tcPr>
            <w:tcW w:w="1442" w:type="dxa"/>
            <w:vAlign w:val="center"/>
          </w:tcPr>
          <w:p w14:paraId="17205F8C"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Air</w:t>
            </w:r>
          </w:p>
        </w:tc>
        <w:tc>
          <w:tcPr>
            <w:tcW w:w="928" w:type="dxa"/>
            <w:vAlign w:val="center"/>
          </w:tcPr>
          <w:p w14:paraId="4FFE4830"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Residue</w:t>
            </w:r>
          </w:p>
        </w:tc>
        <w:tc>
          <w:tcPr>
            <w:tcW w:w="1366" w:type="dxa"/>
            <w:vAlign w:val="center"/>
          </w:tcPr>
          <w:p w14:paraId="69243A78"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Air</w:t>
            </w:r>
          </w:p>
        </w:tc>
        <w:tc>
          <w:tcPr>
            <w:tcW w:w="1376" w:type="dxa"/>
            <w:vAlign w:val="center"/>
          </w:tcPr>
          <w:p w14:paraId="2DE3F00D" w14:textId="77777777" w:rsidR="00C22305" w:rsidRPr="009463F7" w:rsidRDefault="00C22305" w:rsidP="00492830">
            <w:pPr>
              <w:spacing w:before="120"/>
              <w:jc w:val="center"/>
              <w:rPr>
                <w:rFonts w:ascii="Arial" w:hAnsi="Arial" w:cs="Arial"/>
                <w:b/>
                <w:sz w:val="16"/>
                <w:szCs w:val="18"/>
              </w:rPr>
            </w:pPr>
            <w:r w:rsidRPr="009463F7">
              <w:rPr>
                <w:rFonts w:ascii="Arial" w:hAnsi="Arial" w:cs="Arial"/>
                <w:b/>
                <w:sz w:val="16"/>
                <w:szCs w:val="18"/>
              </w:rPr>
              <w:t>Residue</w:t>
            </w:r>
          </w:p>
        </w:tc>
      </w:tr>
      <w:tr w:rsidR="00FF159D" w:rsidRPr="00B973BB" w14:paraId="463838E3" w14:textId="77777777" w:rsidTr="009463F7">
        <w:tc>
          <w:tcPr>
            <w:tcW w:w="806" w:type="dxa"/>
            <w:vMerge w:val="restart"/>
            <w:vAlign w:val="center"/>
          </w:tcPr>
          <w:p w14:paraId="0014C775" w14:textId="0CBC3FA3" w:rsidR="00FF159D" w:rsidRPr="009463F7" w:rsidRDefault="00FF159D" w:rsidP="00492830">
            <w:pPr>
              <w:spacing w:before="120"/>
              <w:rPr>
                <w:rFonts w:ascii="Arial" w:hAnsi="Arial" w:cs="Arial"/>
                <w:b/>
                <w:sz w:val="16"/>
                <w:szCs w:val="18"/>
              </w:rPr>
            </w:pPr>
            <w:r w:rsidRPr="009463F7">
              <w:rPr>
                <w:rFonts w:ascii="Arial" w:hAnsi="Arial" w:cs="Arial"/>
                <w:b/>
                <w:sz w:val="16"/>
                <w:szCs w:val="18"/>
              </w:rPr>
              <w:t>2012</w:t>
            </w:r>
          </w:p>
        </w:tc>
        <w:tc>
          <w:tcPr>
            <w:tcW w:w="2610" w:type="dxa"/>
            <w:vMerge w:val="restart"/>
            <w:vAlign w:val="center"/>
          </w:tcPr>
          <w:p w14:paraId="38348016" w14:textId="2CE20856" w:rsidR="00FF159D" w:rsidRPr="009463F7" w:rsidRDefault="00FF159D" w:rsidP="00492830">
            <w:pPr>
              <w:spacing w:before="120"/>
              <w:jc w:val="center"/>
              <w:rPr>
                <w:rFonts w:ascii="Arial" w:hAnsi="Arial" w:cs="Arial"/>
                <w:sz w:val="16"/>
                <w:szCs w:val="18"/>
              </w:rPr>
            </w:pPr>
            <w:r w:rsidRPr="009463F7">
              <w:rPr>
                <w:rFonts w:ascii="Arial" w:hAnsi="Arial" w:cs="Arial"/>
                <w:sz w:val="16"/>
                <w:szCs w:val="18"/>
              </w:rPr>
              <w:t xml:space="preserve">16,000 </w:t>
            </w:r>
          </w:p>
        </w:tc>
        <w:tc>
          <w:tcPr>
            <w:tcW w:w="1442" w:type="dxa"/>
            <w:vAlign w:val="center"/>
          </w:tcPr>
          <w:p w14:paraId="5122A8C1" w14:textId="7666A6F4" w:rsidR="00FF159D" w:rsidRPr="009463F7" w:rsidRDefault="00FF159D" w:rsidP="00492830">
            <w:pPr>
              <w:spacing w:before="120"/>
              <w:jc w:val="center"/>
              <w:rPr>
                <w:rFonts w:ascii="Arial" w:hAnsi="Arial" w:cs="Arial"/>
                <w:sz w:val="16"/>
                <w:szCs w:val="18"/>
              </w:rPr>
            </w:pPr>
            <w:r w:rsidRPr="009463F7">
              <w:rPr>
                <w:rFonts w:ascii="Arial" w:hAnsi="Arial" w:cs="Arial"/>
                <w:sz w:val="16"/>
                <w:szCs w:val="18"/>
              </w:rPr>
              <w:t>8.2</w:t>
            </w:r>
          </w:p>
        </w:tc>
        <w:tc>
          <w:tcPr>
            <w:tcW w:w="928" w:type="dxa"/>
            <w:vAlign w:val="center"/>
          </w:tcPr>
          <w:p w14:paraId="39B0D6A5" w14:textId="77777777" w:rsidR="00FF159D" w:rsidRPr="009463F7" w:rsidRDefault="00FF159D" w:rsidP="00492830">
            <w:pPr>
              <w:spacing w:before="120"/>
              <w:jc w:val="center"/>
              <w:rPr>
                <w:rFonts w:ascii="Arial" w:hAnsi="Arial" w:cs="Arial"/>
                <w:sz w:val="16"/>
                <w:szCs w:val="18"/>
              </w:rPr>
            </w:pPr>
          </w:p>
        </w:tc>
        <w:tc>
          <w:tcPr>
            <w:tcW w:w="1366" w:type="dxa"/>
            <w:vAlign w:val="center"/>
          </w:tcPr>
          <w:p w14:paraId="50274C4F" w14:textId="5B1FC511" w:rsidR="00FF159D" w:rsidRPr="009463F7" w:rsidRDefault="00FF159D" w:rsidP="00492830">
            <w:pPr>
              <w:spacing w:before="120"/>
              <w:jc w:val="center"/>
              <w:rPr>
                <w:rFonts w:ascii="Arial" w:hAnsi="Arial" w:cs="Arial"/>
                <w:sz w:val="16"/>
                <w:szCs w:val="18"/>
              </w:rPr>
            </w:pPr>
            <w:r w:rsidRPr="009463F7">
              <w:rPr>
                <w:rFonts w:ascii="Arial" w:hAnsi="Arial" w:cs="Arial"/>
                <w:sz w:val="16"/>
                <w:szCs w:val="18"/>
              </w:rPr>
              <w:t>0.131</w:t>
            </w:r>
          </w:p>
        </w:tc>
        <w:tc>
          <w:tcPr>
            <w:tcW w:w="1376" w:type="dxa"/>
          </w:tcPr>
          <w:p w14:paraId="0EA760C6" w14:textId="77777777" w:rsidR="00FF159D" w:rsidRPr="009463F7" w:rsidRDefault="00FF159D" w:rsidP="00492830">
            <w:pPr>
              <w:spacing w:before="120"/>
              <w:jc w:val="center"/>
              <w:rPr>
                <w:rFonts w:ascii="Arial" w:hAnsi="Arial" w:cs="Arial"/>
                <w:sz w:val="16"/>
                <w:szCs w:val="18"/>
              </w:rPr>
            </w:pPr>
          </w:p>
        </w:tc>
      </w:tr>
      <w:tr w:rsidR="00FF159D" w:rsidRPr="00B973BB" w14:paraId="51CAB4A0" w14:textId="77777777" w:rsidTr="009463F7">
        <w:tc>
          <w:tcPr>
            <w:tcW w:w="806" w:type="dxa"/>
            <w:vMerge/>
            <w:vAlign w:val="center"/>
          </w:tcPr>
          <w:p w14:paraId="75EB35B4" w14:textId="77777777" w:rsidR="00FF159D" w:rsidRPr="009463F7" w:rsidRDefault="00FF159D" w:rsidP="00492830">
            <w:pPr>
              <w:spacing w:before="120"/>
              <w:rPr>
                <w:rFonts w:ascii="Arial" w:hAnsi="Arial" w:cs="Arial"/>
                <w:b/>
                <w:sz w:val="16"/>
                <w:szCs w:val="18"/>
              </w:rPr>
            </w:pPr>
          </w:p>
        </w:tc>
        <w:tc>
          <w:tcPr>
            <w:tcW w:w="2610" w:type="dxa"/>
            <w:vMerge/>
            <w:vAlign w:val="center"/>
          </w:tcPr>
          <w:p w14:paraId="5B78210B" w14:textId="77777777" w:rsidR="00FF159D" w:rsidRPr="009463F7" w:rsidRDefault="00FF159D" w:rsidP="00492830">
            <w:pPr>
              <w:spacing w:before="120"/>
              <w:jc w:val="center"/>
              <w:rPr>
                <w:rFonts w:ascii="Arial" w:hAnsi="Arial" w:cs="Arial"/>
                <w:sz w:val="16"/>
                <w:szCs w:val="18"/>
              </w:rPr>
            </w:pPr>
          </w:p>
        </w:tc>
        <w:tc>
          <w:tcPr>
            <w:tcW w:w="1442" w:type="dxa"/>
            <w:vAlign w:val="center"/>
          </w:tcPr>
          <w:p w14:paraId="2A9876FE" w14:textId="77777777" w:rsidR="00FF159D" w:rsidRPr="009463F7" w:rsidRDefault="00FF159D" w:rsidP="00492830">
            <w:pPr>
              <w:spacing w:before="120"/>
              <w:jc w:val="center"/>
              <w:rPr>
                <w:rFonts w:ascii="Arial" w:hAnsi="Arial" w:cs="Arial"/>
                <w:sz w:val="16"/>
                <w:szCs w:val="18"/>
              </w:rPr>
            </w:pPr>
          </w:p>
        </w:tc>
        <w:tc>
          <w:tcPr>
            <w:tcW w:w="928" w:type="dxa"/>
            <w:vAlign w:val="center"/>
          </w:tcPr>
          <w:p w14:paraId="3619B981" w14:textId="6CD802B4" w:rsidR="00FF159D" w:rsidRPr="009463F7" w:rsidRDefault="00FF159D" w:rsidP="00492830">
            <w:pPr>
              <w:spacing w:before="120"/>
              <w:jc w:val="center"/>
              <w:rPr>
                <w:rFonts w:ascii="Arial" w:hAnsi="Arial" w:cs="Arial"/>
                <w:sz w:val="16"/>
                <w:szCs w:val="18"/>
              </w:rPr>
            </w:pPr>
            <w:r w:rsidRPr="009463F7">
              <w:rPr>
                <w:rFonts w:ascii="Arial" w:hAnsi="Arial" w:cs="Arial"/>
                <w:sz w:val="16"/>
                <w:szCs w:val="18"/>
              </w:rPr>
              <w:t>8</w:t>
            </w:r>
          </w:p>
        </w:tc>
        <w:tc>
          <w:tcPr>
            <w:tcW w:w="1366" w:type="dxa"/>
            <w:vAlign w:val="center"/>
          </w:tcPr>
          <w:p w14:paraId="13EE4B6E" w14:textId="77777777" w:rsidR="00FF159D" w:rsidRPr="009463F7" w:rsidRDefault="00FF159D" w:rsidP="00492830">
            <w:pPr>
              <w:spacing w:before="120"/>
              <w:jc w:val="center"/>
              <w:rPr>
                <w:rFonts w:ascii="Arial" w:hAnsi="Arial" w:cs="Arial"/>
                <w:sz w:val="16"/>
                <w:szCs w:val="18"/>
              </w:rPr>
            </w:pPr>
          </w:p>
        </w:tc>
        <w:tc>
          <w:tcPr>
            <w:tcW w:w="1376" w:type="dxa"/>
          </w:tcPr>
          <w:p w14:paraId="37D06BF7" w14:textId="35EC91F3" w:rsidR="00FF159D" w:rsidRPr="009463F7" w:rsidRDefault="00FF159D" w:rsidP="00492830">
            <w:pPr>
              <w:spacing w:before="120"/>
              <w:jc w:val="center"/>
              <w:rPr>
                <w:rFonts w:ascii="Arial" w:hAnsi="Arial" w:cs="Arial"/>
                <w:sz w:val="16"/>
                <w:szCs w:val="18"/>
              </w:rPr>
            </w:pPr>
            <w:r w:rsidRPr="009463F7">
              <w:rPr>
                <w:rFonts w:ascii="Arial" w:hAnsi="Arial" w:cs="Arial"/>
                <w:sz w:val="16"/>
                <w:szCs w:val="18"/>
              </w:rPr>
              <w:t>0.083</w:t>
            </w:r>
          </w:p>
        </w:tc>
      </w:tr>
      <w:tr w:rsidR="00C22305" w:rsidRPr="00B973BB" w14:paraId="36451989" w14:textId="77777777" w:rsidTr="009463F7">
        <w:tc>
          <w:tcPr>
            <w:tcW w:w="806" w:type="dxa"/>
            <w:vMerge w:val="restart"/>
            <w:vAlign w:val="center"/>
          </w:tcPr>
          <w:p w14:paraId="68804C6B" w14:textId="4FA7F9F5" w:rsidR="00C22305" w:rsidRPr="009463F7" w:rsidRDefault="00FF159D" w:rsidP="00492830">
            <w:pPr>
              <w:spacing w:before="120"/>
              <w:rPr>
                <w:rFonts w:ascii="Arial" w:hAnsi="Arial" w:cs="Arial"/>
                <w:b/>
                <w:sz w:val="16"/>
                <w:szCs w:val="18"/>
              </w:rPr>
            </w:pPr>
            <w:r w:rsidRPr="009463F7">
              <w:rPr>
                <w:rFonts w:ascii="Arial" w:hAnsi="Arial" w:cs="Arial"/>
                <w:b/>
                <w:sz w:val="16"/>
                <w:szCs w:val="18"/>
              </w:rPr>
              <w:t>2016</w:t>
            </w:r>
          </w:p>
        </w:tc>
        <w:tc>
          <w:tcPr>
            <w:tcW w:w="2610" w:type="dxa"/>
            <w:vMerge w:val="restart"/>
            <w:vAlign w:val="center"/>
          </w:tcPr>
          <w:p w14:paraId="1D008D19" w14:textId="1E7BD01B" w:rsidR="00C22305" w:rsidRPr="009463F7" w:rsidRDefault="005C4532" w:rsidP="00492830">
            <w:pPr>
              <w:spacing w:before="120"/>
              <w:jc w:val="center"/>
              <w:rPr>
                <w:rFonts w:ascii="Arial" w:hAnsi="Arial" w:cs="Arial"/>
                <w:sz w:val="16"/>
                <w:szCs w:val="18"/>
              </w:rPr>
            </w:pPr>
            <w:r w:rsidRPr="009463F7">
              <w:rPr>
                <w:rFonts w:ascii="Arial" w:hAnsi="Arial" w:cs="Arial"/>
                <w:sz w:val="16"/>
                <w:szCs w:val="18"/>
              </w:rPr>
              <w:t>8,800</w:t>
            </w:r>
          </w:p>
        </w:tc>
        <w:tc>
          <w:tcPr>
            <w:tcW w:w="1442" w:type="dxa"/>
            <w:vAlign w:val="center"/>
          </w:tcPr>
          <w:p w14:paraId="3931C4F6" w14:textId="2D8AD287" w:rsidR="00C22305" w:rsidRPr="009463F7" w:rsidRDefault="00FF159D" w:rsidP="00492830">
            <w:pPr>
              <w:spacing w:before="120"/>
              <w:jc w:val="center"/>
              <w:rPr>
                <w:rFonts w:ascii="Arial" w:hAnsi="Arial" w:cs="Arial"/>
                <w:sz w:val="16"/>
                <w:szCs w:val="18"/>
              </w:rPr>
            </w:pPr>
            <w:r w:rsidRPr="009463F7">
              <w:rPr>
                <w:rFonts w:ascii="Arial" w:hAnsi="Arial" w:cs="Arial"/>
                <w:sz w:val="16"/>
                <w:szCs w:val="18"/>
              </w:rPr>
              <w:t>8.2</w:t>
            </w:r>
          </w:p>
        </w:tc>
        <w:tc>
          <w:tcPr>
            <w:tcW w:w="928" w:type="dxa"/>
            <w:vAlign w:val="center"/>
          </w:tcPr>
          <w:p w14:paraId="455DD2C8" w14:textId="77777777" w:rsidR="00C22305" w:rsidRPr="009463F7" w:rsidRDefault="00C22305" w:rsidP="00492830">
            <w:pPr>
              <w:spacing w:before="120"/>
              <w:jc w:val="center"/>
              <w:rPr>
                <w:rFonts w:ascii="Arial" w:hAnsi="Arial" w:cs="Arial"/>
                <w:sz w:val="16"/>
                <w:szCs w:val="18"/>
              </w:rPr>
            </w:pPr>
          </w:p>
        </w:tc>
        <w:tc>
          <w:tcPr>
            <w:tcW w:w="1366" w:type="dxa"/>
            <w:vAlign w:val="center"/>
          </w:tcPr>
          <w:p w14:paraId="3B6C0C16" w14:textId="20A23EE2" w:rsidR="00C22305" w:rsidRPr="009463F7" w:rsidRDefault="00FF159D" w:rsidP="00492830">
            <w:pPr>
              <w:spacing w:before="120"/>
              <w:jc w:val="center"/>
              <w:rPr>
                <w:rFonts w:ascii="Arial" w:hAnsi="Arial" w:cs="Arial"/>
                <w:sz w:val="16"/>
                <w:szCs w:val="18"/>
              </w:rPr>
            </w:pPr>
            <w:r w:rsidRPr="009463F7">
              <w:rPr>
                <w:rFonts w:ascii="Arial" w:hAnsi="Arial" w:cs="Arial"/>
                <w:sz w:val="16"/>
                <w:szCs w:val="18"/>
              </w:rPr>
              <w:t>0.0</w:t>
            </w:r>
            <w:r w:rsidR="005C4532" w:rsidRPr="009463F7">
              <w:rPr>
                <w:rFonts w:ascii="Arial" w:hAnsi="Arial" w:cs="Arial"/>
                <w:sz w:val="16"/>
                <w:szCs w:val="18"/>
              </w:rPr>
              <w:t>72</w:t>
            </w:r>
          </w:p>
        </w:tc>
        <w:tc>
          <w:tcPr>
            <w:tcW w:w="1376" w:type="dxa"/>
          </w:tcPr>
          <w:p w14:paraId="3B188222" w14:textId="77777777" w:rsidR="00C22305" w:rsidRPr="009463F7" w:rsidRDefault="00C22305" w:rsidP="00492830">
            <w:pPr>
              <w:spacing w:before="120"/>
              <w:jc w:val="center"/>
              <w:rPr>
                <w:rFonts w:ascii="Arial" w:hAnsi="Arial" w:cs="Arial"/>
                <w:sz w:val="16"/>
                <w:szCs w:val="18"/>
              </w:rPr>
            </w:pPr>
          </w:p>
        </w:tc>
      </w:tr>
      <w:tr w:rsidR="00C22305" w:rsidRPr="00B973BB" w14:paraId="1580BA93" w14:textId="77777777" w:rsidTr="009463F7">
        <w:tc>
          <w:tcPr>
            <w:tcW w:w="806" w:type="dxa"/>
            <w:vMerge/>
            <w:vAlign w:val="center"/>
          </w:tcPr>
          <w:p w14:paraId="13F165AE" w14:textId="77777777" w:rsidR="00C22305" w:rsidRPr="009463F7" w:rsidRDefault="00C22305" w:rsidP="00492830">
            <w:pPr>
              <w:spacing w:before="120"/>
              <w:rPr>
                <w:rFonts w:ascii="Arial" w:hAnsi="Arial" w:cs="Arial"/>
                <w:b/>
                <w:sz w:val="16"/>
                <w:szCs w:val="18"/>
              </w:rPr>
            </w:pPr>
          </w:p>
        </w:tc>
        <w:tc>
          <w:tcPr>
            <w:tcW w:w="2610" w:type="dxa"/>
            <w:vMerge/>
            <w:vAlign w:val="center"/>
          </w:tcPr>
          <w:p w14:paraId="2ED66D93" w14:textId="77777777" w:rsidR="00C22305" w:rsidRPr="009463F7" w:rsidRDefault="00C22305" w:rsidP="00492830">
            <w:pPr>
              <w:spacing w:before="120"/>
              <w:jc w:val="center"/>
              <w:rPr>
                <w:rFonts w:ascii="Arial" w:hAnsi="Arial" w:cs="Arial"/>
                <w:sz w:val="16"/>
                <w:szCs w:val="18"/>
              </w:rPr>
            </w:pPr>
          </w:p>
        </w:tc>
        <w:tc>
          <w:tcPr>
            <w:tcW w:w="1442" w:type="dxa"/>
            <w:vAlign w:val="center"/>
          </w:tcPr>
          <w:p w14:paraId="73365E11" w14:textId="77777777" w:rsidR="00C22305" w:rsidRPr="009463F7" w:rsidRDefault="00C22305" w:rsidP="00492830">
            <w:pPr>
              <w:spacing w:before="120"/>
              <w:jc w:val="center"/>
              <w:rPr>
                <w:rFonts w:ascii="Arial" w:hAnsi="Arial" w:cs="Arial"/>
                <w:sz w:val="16"/>
                <w:szCs w:val="18"/>
              </w:rPr>
            </w:pPr>
          </w:p>
        </w:tc>
        <w:tc>
          <w:tcPr>
            <w:tcW w:w="928" w:type="dxa"/>
            <w:vAlign w:val="center"/>
          </w:tcPr>
          <w:p w14:paraId="07C39ED3" w14:textId="4B595F9A" w:rsidR="00C22305" w:rsidRPr="009463F7" w:rsidRDefault="00FF159D" w:rsidP="00492830">
            <w:pPr>
              <w:spacing w:before="120"/>
              <w:jc w:val="center"/>
              <w:rPr>
                <w:rFonts w:ascii="Arial" w:hAnsi="Arial" w:cs="Arial"/>
                <w:sz w:val="16"/>
                <w:szCs w:val="18"/>
              </w:rPr>
            </w:pPr>
            <w:r w:rsidRPr="009463F7">
              <w:rPr>
                <w:rFonts w:ascii="Arial" w:hAnsi="Arial" w:cs="Arial"/>
                <w:sz w:val="16"/>
                <w:szCs w:val="18"/>
              </w:rPr>
              <w:t>8</w:t>
            </w:r>
          </w:p>
        </w:tc>
        <w:tc>
          <w:tcPr>
            <w:tcW w:w="1366" w:type="dxa"/>
            <w:vAlign w:val="center"/>
          </w:tcPr>
          <w:p w14:paraId="76B0C6A9" w14:textId="77777777" w:rsidR="00C22305" w:rsidRPr="009463F7" w:rsidRDefault="00C22305" w:rsidP="00492830">
            <w:pPr>
              <w:spacing w:before="120"/>
              <w:jc w:val="center"/>
              <w:rPr>
                <w:rFonts w:ascii="Arial" w:hAnsi="Arial" w:cs="Arial"/>
                <w:sz w:val="16"/>
                <w:szCs w:val="18"/>
              </w:rPr>
            </w:pPr>
          </w:p>
        </w:tc>
        <w:tc>
          <w:tcPr>
            <w:tcW w:w="1376" w:type="dxa"/>
          </w:tcPr>
          <w:p w14:paraId="76C24291" w14:textId="2EE633AF" w:rsidR="00C22305" w:rsidRPr="009463F7" w:rsidRDefault="0062525C" w:rsidP="00492830">
            <w:pPr>
              <w:spacing w:before="120"/>
              <w:jc w:val="center"/>
              <w:rPr>
                <w:rFonts w:ascii="Arial" w:hAnsi="Arial" w:cs="Arial"/>
                <w:sz w:val="16"/>
                <w:szCs w:val="18"/>
              </w:rPr>
            </w:pPr>
            <w:r w:rsidRPr="009463F7">
              <w:rPr>
                <w:rFonts w:ascii="Arial" w:hAnsi="Arial" w:cs="Arial"/>
                <w:sz w:val="16"/>
                <w:szCs w:val="18"/>
              </w:rPr>
              <w:t>0.070</w:t>
            </w:r>
          </w:p>
        </w:tc>
      </w:tr>
      <w:tr w:rsidR="00B973BB" w:rsidRPr="00B973BB" w14:paraId="4CB2EA98" w14:textId="77777777" w:rsidTr="009463F7">
        <w:tc>
          <w:tcPr>
            <w:tcW w:w="806" w:type="dxa"/>
            <w:vMerge w:val="restart"/>
            <w:vAlign w:val="center"/>
          </w:tcPr>
          <w:p w14:paraId="77894B38" w14:textId="57A0FD0A" w:rsidR="00B973BB" w:rsidRPr="00B973BB" w:rsidRDefault="00B973BB" w:rsidP="00492830">
            <w:pPr>
              <w:spacing w:before="120"/>
              <w:rPr>
                <w:rFonts w:ascii="Arial" w:hAnsi="Arial" w:cs="Arial"/>
                <w:b/>
                <w:sz w:val="16"/>
                <w:szCs w:val="18"/>
              </w:rPr>
            </w:pPr>
            <w:r>
              <w:rPr>
                <w:rFonts w:ascii="Arial" w:hAnsi="Arial" w:cs="Arial"/>
                <w:b/>
                <w:sz w:val="16"/>
                <w:szCs w:val="18"/>
              </w:rPr>
              <w:t>2020</w:t>
            </w:r>
          </w:p>
        </w:tc>
        <w:tc>
          <w:tcPr>
            <w:tcW w:w="2610" w:type="dxa"/>
            <w:vMerge w:val="restart"/>
            <w:vAlign w:val="center"/>
          </w:tcPr>
          <w:p w14:paraId="6917AC29" w14:textId="42DA9F9A" w:rsidR="00B973BB" w:rsidRPr="00B973BB" w:rsidRDefault="00B973BB" w:rsidP="00492830">
            <w:pPr>
              <w:spacing w:before="120"/>
              <w:jc w:val="center"/>
              <w:rPr>
                <w:rFonts w:ascii="Arial" w:hAnsi="Arial" w:cs="Arial"/>
                <w:sz w:val="16"/>
                <w:szCs w:val="18"/>
              </w:rPr>
            </w:pPr>
            <w:r>
              <w:rPr>
                <w:rFonts w:ascii="Arial" w:hAnsi="Arial" w:cs="Arial"/>
                <w:sz w:val="16"/>
                <w:szCs w:val="18"/>
              </w:rPr>
              <w:t>1,300</w:t>
            </w:r>
          </w:p>
        </w:tc>
        <w:tc>
          <w:tcPr>
            <w:tcW w:w="1442" w:type="dxa"/>
            <w:vAlign w:val="center"/>
          </w:tcPr>
          <w:p w14:paraId="4C3494CF" w14:textId="7479EABC" w:rsidR="00B973BB" w:rsidRPr="00B973BB" w:rsidRDefault="00B973BB" w:rsidP="00492830">
            <w:pPr>
              <w:spacing w:before="120"/>
              <w:jc w:val="center"/>
              <w:rPr>
                <w:rFonts w:ascii="Arial" w:hAnsi="Arial" w:cs="Arial"/>
                <w:sz w:val="16"/>
                <w:szCs w:val="18"/>
              </w:rPr>
            </w:pPr>
            <w:r>
              <w:rPr>
                <w:rFonts w:ascii="Arial" w:hAnsi="Arial" w:cs="Arial"/>
                <w:sz w:val="16"/>
                <w:szCs w:val="18"/>
              </w:rPr>
              <w:t>8.2</w:t>
            </w:r>
          </w:p>
        </w:tc>
        <w:tc>
          <w:tcPr>
            <w:tcW w:w="928" w:type="dxa"/>
            <w:vAlign w:val="center"/>
          </w:tcPr>
          <w:p w14:paraId="183DA2F7" w14:textId="77777777" w:rsidR="00B973BB" w:rsidRPr="00B973BB" w:rsidRDefault="00B973BB" w:rsidP="00492830">
            <w:pPr>
              <w:spacing w:before="120"/>
              <w:jc w:val="center"/>
              <w:rPr>
                <w:rFonts w:ascii="Arial" w:hAnsi="Arial" w:cs="Arial"/>
                <w:sz w:val="16"/>
                <w:szCs w:val="18"/>
              </w:rPr>
            </w:pPr>
          </w:p>
        </w:tc>
        <w:tc>
          <w:tcPr>
            <w:tcW w:w="1366" w:type="dxa"/>
            <w:vAlign w:val="center"/>
          </w:tcPr>
          <w:p w14:paraId="0FA1A870" w14:textId="47CDEA29" w:rsidR="00B973BB" w:rsidRPr="00B973BB" w:rsidRDefault="007F26E6" w:rsidP="00492830">
            <w:pPr>
              <w:spacing w:before="120"/>
              <w:jc w:val="center"/>
              <w:rPr>
                <w:rFonts w:ascii="Arial" w:hAnsi="Arial" w:cs="Arial"/>
                <w:sz w:val="16"/>
                <w:szCs w:val="18"/>
              </w:rPr>
            </w:pPr>
            <w:r>
              <w:rPr>
                <w:rFonts w:ascii="Arial" w:hAnsi="Arial" w:cs="Arial"/>
                <w:sz w:val="16"/>
                <w:szCs w:val="18"/>
              </w:rPr>
              <w:t>0.011</w:t>
            </w:r>
          </w:p>
        </w:tc>
        <w:tc>
          <w:tcPr>
            <w:tcW w:w="1376" w:type="dxa"/>
          </w:tcPr>
          <w:p w14:paraId="47C787D6" w14:textId="77777777" w:rsidR="00B973BB" w:rsidRPr="00B973BB" w:rsidRDefault="00B973BB" w:rsidP="00492830">
            <w:pPr>
              <w:spacing w:before="120"/>
              <w:jc w:val="center"/>
              <w:rPr>
                <w:rFonts w:ascii="Arial" w:hAnsi="Arial" w:cs="Arial"/>
                <w:sz w:val="16"/>
                <w:szCs w:val="18"/>
              </w:rPr>
            </w:pPr>
          </w:p>
        </w:tc>
      </w:tr>
      <w:tr w:rsidR="00B973BB" w:rsidRPr="00B973BB" w14:paraId="1E2EDF81" w14:textId="77777777" w:rsidTr="009463F7">
        <w:tc>
          <w:tcPr>
            <w:tcW w:w="806" w:type="dxa"/>
            <w:vMerge/>
            <w:vAlign w:val="center"/>
          </w:tcPr>
          <w:p w14:paraId="4E4F9689" w14:textId="77777777" w:rsidR="00B973BB" w:rsidRPr="00B973BB" w:rsidRDefault="00B973BB" w:rsidP="00492830">
            <w:pPr>
              <w:spacing w:before="120"/>
              <w:rPr>
                <w:rFonts w:ascii="Arial" w:hAnsi="Arial" w:cs="Arial"/>
                <w:b/>
                <w:sz w:val="16"/>
                <w:szCs w:val="18"/>
              </w:rPr>
            </w:pPr>
          </w:p>
        </w:tc>
        <w:tc>
          <w:tcPr>
            <w:tcW w:w="2610" w:type="dxa"/>
            <w:vMerge/>
            <w:vAlign w:val="center"/>
          </w:tcPr>
          <w:p w14:paraId="5E4EE527" w14:textId="77777777" w:rsidR="00B973BB" w:rsidRPr="00B973BB" w:rsidRDefault="00B973BB" w:rsidP="00492830">
            <w:pPr>
              <w:spacing w:before="120"/>
              <w:jc w:val="center"/>
              <w:rPr>
                <w:rFonts w:ascii="Arial" w:hAnsi="Arial" w:cs="Arial"/>
                <w:sz w:val="16"/>
                <w:szCs w:val="18"/>
              </w:rPr>
            </w:pPr>
          </w:p>
        </w:tc>
        <w:tc>
          <w:tcPr>
            <w:tcW w:w="1442" w:type="dxa"/>
            <w:vAlign w:val="center"/>
          </w:tcPr>
          <w:p w14:paraId="13B9EBC7" w14:textId="77777777" w:rsidR="00B973BB" w:rsidRPr="00B973BB" w:rsidRDefault="00B973BB" w:rsidP="00492830">
            <w:pPr>
              <w:spacing w:before="120"/>
              <w:jc w:val="center"/>
              <w:rPr>
                <w:rFonts w:ascii="Arial" w:hAnsi="Arial" w:cs="Arial"/>
                <w:sz w:val="16"/>
                <w:szCs w:val="18"/>
              </w:rPr>
            </w:pPr>
          </w:p>
        </w:tc>
        <w:tc>
          <w:tcPr>
            <w:tcW w:w="928" w:type="dxa"/>
            <w:vAlign w:val="center"/>
          </w:tcPr>
          <w:p w14:paraId="5E96E644" w14:textId="0BD6B44B" w:rsidR="00B973BB" w:rsidRPr="00B973BB" w:rsidRDefault="00B973BB" w:rsidP="00492830">
            <w:pPr>
              <w:spacing w:before="120"/>
              <w:jc w:val="center"/>
              <w:rPr>
                <w:rFonts w:ascii="Arial" w:hAnsi="Arial" w:cs="Arial"/>
                <w:sz w:val="16"/>
                <w:szCs w:val="18"/>
              </w:rPr>
            </w:pPr>
            <w:r>
              <w:rPr>
                <w:rFonts w:ascii="Arial" w:hAnsi="Arial" w:cs="Arial"/>
                <w:sz w:val="16"/>
                <w:szCs w:val="18"/>
              </w:rPr>
              <w:t>8</w:t>
            </w:r>
          </w:p>
        </w:tc>
        <w:tc>
          <w:tcPr>
            <w:tcW w:w="1366" w:type="dxa"/>
            <w:vAlign w:val="center"/>
          </w:tcPr>
          <w:p w14:paraId="5E0CA8A6" w14:textId="77777777" w:rsidR="00B973BB" w:rsidRPr="00B973BB" w:rsidRDefault="00B973BB" w:rsidP="00492830">
            <w:pPr>
              <w:spacing w:before="120"/>
              <w:jc w:val="center"/>
              <w:rPr>
                <w:rFonts w:ascii="Arial" w:hAnsi="Arial" w:cs="Arial"/>
                <w:sz w:val="16"/>
                <w:szCs w:val="18"/>
              </w:rPr>
            </w:pPr>
          </w:p>
        </w:tc>
        <w:tc>
          <w:tcPr>
            <w:tcW w:w="1376" w:type="dxa"/>
          </w:tcPr>
          <w:p w14:paraId="26AEE25D" w14:textId="6C398B39" w:rsidR="00B973BB" w:rsidRPr="00B973BB" w:rsidRDefault="007F26E6" w:rsidP="00492830">
            <w:pPr>
              <w:spacing w:before="120"/>
              <w:jc w:val="center"/>
              <w:rPr>
                <w:rFonts w:ascii="Arial" w:hAnsi="Arial" w:cs="Arial"/>
                <w:sz w:val="16"/>
                <w:szCs w:val="18"/>
              </w:rPr>
            </w:pPr>
            <w:r>
              <w:rPr>
                <w:rFonts w:ascii="Arial" w:hAnsi="Arial" w:cs="Arial"/>
                <w:sz w:val="16"/>
                <w:szCs w:val="18"/>
              </w:rPr>
              <w:t>0.0104</w:t>
            </w:r>
          </w:p>
        </w:tc>
      </w:tr>
    </w:tbl>
    <w:p w14:paraId="068263A9" w14:textId="2928F1BB" w:rsidR="00C22305" w:rsidRPr="009463F7" w:rsidRDefault="006E06B8" w:rsidP="00C22305">
      <w:pPr>
        <w:tabs>
          <w:tab w:val="left" w:pos="2760"/>
        </w:tabs>
        <w:spacing w:before="120" w:line="300" w:lineRule="atLeast"/>
        <w:jc w:val="both"/>
        <w:rPr>
          <w:rFonts w:ascii="Arial" w:hAnsi="Arial" w:cs="Arial"/>
          <w:b/>
          <w:szCs w:val="18"/>
        </w:rPr>
      </w:pPr>
      <w:r w:rsidRPr="009463F7">
        <w:rPr>
          <w:rFonts w:ascii="Arial" w:hAnsi="Arial" w:cs="Arial"/>
          <w:b/>
          <w:szCs w:val="18"/>
        </w:rPr>
        <w:t>C</w:t>
      </w:r>
      <w:r w:rsidR="00C22305" w:rsidRPr="009463F7">
        <w:rPr>
          <w:rFonts w:ascii="Arial" w:hAnsi="Arial" w:cs="Arial"/>
          <w:b/>
          <w:szCs w:val="18"/>
        </w:rPr>
        <w:t xml:space="preserve">ertainty assessment for </w:t>
      </w:r>
      <w:r w:rsidR="00B973BB" w:rsidRPr="009463F7">
        <w:rPr>
          <w:rFonts w:ascii="Arial" w:hAnsi="Arial" w:cs="Arial"/>
          <w:b/>
          <w:szCs w:val="18"/>
        </w:rPr>
        <w:t>2020</w:t>
      </w:r>
    </w:p>
    <w:p w14:paraId="5335FE18" w14:textId="77777777" w:rsidR="00C22305" w:rsidRPr="009463F7" w:rsidRDefault="00C22305" w:rsidP="00C22305">
      <w:pPr>
        <w:tabs>
          <w:tab w:val="left" w:pos="1701"/>
        </w:tabs>
        <w:spacing w:after="0" w:line="300" w:lineRule="atLeast"/>
        <w:jc w:val="both"/>
        <w:rPr>
          <w:szCs w:val="18"/>
        </w:rPr>
      </w:pPr>
      <w:r w:rsidRPr="009463F7">
        <w:rPr>
          <w:szCs w:val="18"/>
        </w:rPr>
        <w:t xml:space="preserve">Activity data: </w:t>
      </w:r>
      <w:r w:rsidRPr="009463F7">
        <w:rPr>
          <w:szCs w:val="18"/>
        </w:rPr>
        <w:tab/>
        <w:t>Medium (because they are based on survey data)</w:t>
      </w:r>
    </w:p>
    <w:p w14:paraId="5961C54B" w14:textId="77777777" w:rsidR="00C22305" w:rsidRPr="009463F7" w:rsidRDefault="00C22305" w:rsidP="00C22305">
      <w:pPr>
        <w:tabs>
          <w:tab w:val="left" w:pos="1701"/>
        </w:tabs>
        <w:spacing w:line="300" w:lineRule="atLeast"/>
        <w:jc w:val="both"/>
        <w:rPr>
          <w:szCs w:val="18"/>
        </w:rPr>
      </w:pPr>
      <w:r w:rsidRPr="009463F7">
        <w:rPr>
          <w:szCs w:val="18"/>
        </w:rPr>
        <w:t xml:space="preserve">Emission factors: </w:t>
      </w:r>
      <w:r w:rsidRPr="009463F7">
        <w:rPr>
          <w:szCs w:val="18"/>
        </w:rPr>
        <w:tab/>
        <w:t>Medium (because they are based on historical NZ emission data)</w:t>
      </w:r>
    </w:p>
    <w:p w14:paraId="6FCFD0DC" w14:textId="3C0A73DA" w:rsidR="00C22305" w:rsidRPr="009463F7" w:rsidRDefault="00C22305" w:rsidP="00C22305">
      <w:pPr>
        <w:pStyle w:val="Heading3"/>
      </w:pPr>
      <w:bookmarkStart w:id="141" w:name="_Toc112768079"/>
      <w:r w:rsidRPr="009463F7">
        <w:lastRenderedPageBreak/>
        <w:t>Hot-dip galvanising plants</w:t>
      </w:r>
      <w:bookmarkEnd w:id="141"/>
    </w:p>
    <w:p w14:paraId="34774390" w14:textId="3DCAF59D" w:rsidR="00C22305" w:rsidRPr="003D73C3" w:rsidRDefault="00C22305" w:rsidP="00C22305">
      <w:pPr>
        <w:spacing w:line="300" w:lineRule="atLeast"/>
        <w:jc w:val="both"/>
        <w:rPr>
          <w:rFonts w:eastAsia="Calibri"/>
          <w:szCs w:val="18"/>
        </w:rPr>
      </w:pPr>
      <w:r w:rsidRPr="009463F7">
        <w:rPr>
          <w:rFonts w:eastAsia="Calibri"/>
          <w:szCs w:val="18"/>
        </w:rPr>
        <w:t xml:space="preserve">Galvanising refers to the process of coating iron or steel with a thin layer of zinc to provide long-term protection against corrosion. The hot-dip process involves pre-cleaning of the metal by immersion in acidic and/or alkaline cleaning baths, treatment with a fluxing agent (such as zinc ammonium chloride), and then immersion in a bath of molten zinc at a temperature of around 450°C. Hot-dip galvanising has been identified as a potential source of dioxins </w:t>
      </w:r>
      <w:r w:rsidR="00AA4F49" w:rsidRPr="00AA4F49">
        <w:rPr>
          <w:rFonts w:eastAsia="Calibri"/>
          <w:noProof/>
          <w:szCs w:val="18"/>
        </w:rPr>
        <w:t>(United Nations Environment Programme, 2013)</w:t>
      </w:r>
      <w:r w:rsidRPr="003D73C3">
        <w:rPr>
          <w:rFonts w:eastAsia="Calibri"/>
          <w:szCs w:val="18"/>
        </w:rPr>
        <w:t>.</w:t>
      </w:r>
    </w:p>
    <w:p w14:paraId="4C17B0F4" w14:textId="0EB3E1F1" w:rsidR="00C22305" w:rsidRPr="003D73C3" w:rsidRDefault="441846EF" w:rsidP="0021362B">
      <w:pPr>
        <w:spacing w:line="300" w:lineRule="atLeast"/>
        <w:jc w:val="both"/>
        <w:rPr>
          <w:rFonts w:ascii="Arial" w:hAnsi="Arial" w:cs="Arial"/>
          <w:b/>
          <w:bCs/>
        </w:rPr>
      </w:pPr>
      <w:r w:rsidRPr="0C34660A">
        <w:rPr>
          <w:rFonts w:eastAsia="Calibri"/>
        </w:rPr>
        <w:t xml:space="preserve">Information on galvanising activity at New Zealand Steel has been obtained directly from the company </w:t>
      </w:r>
      <w:r w:rsidR="0DD904CD" w:rsidRPr="0C34660A">
        <w:rPr>
          <w:rFonts w:eastAsia="Calibri"/>
        </w:rPr>
        <w:t xml:space="preserve">which performs </w:t>
      </w:r>
      <w:proofErr w:type="gramStart"/>
      <w:r w:rsidR="0DD904CD" w:rsidRPr="0C34660A">
        <w:rPr>
          <w:rFonts w:eastAsia="Calibri"/>
        </w:rPr>
        <w:t xml:space="preserve">the </w:t>
      </w:r>
      <w:r w:rsidR="00D5546A">
        <w:rPr>
          <w:rFonts w:eastAsia="Calibri"/>
        </w:rPr>
        <w:t>majority</w:t>
      </w:r>
      <w:r w:rsidR="0DD904CD" w:rsidRPr="0C34660A">
        <w:rPr>
          <w:rFonts w:eastAsia="Calibri"/>
        </w:rPr>
        <w:t xml:space="preserve"> of</w:t>
      </w:r>
      <w:proofErr w:type="gramEnd"/>
      <w:r w:rsidR="0DD904CD" w:rsidRPr="0C34660A">
        <w:rPr>
          <w:rFonts w:eastAsia="Calibri"/>
        </w:rPr>
        <w:t xml:space="preserve"> galvanising in New Zealand</w:t>
      </w:r>
      <w:r w:rsidR="075C451C" w:rsidRPr="0C34660A">
        <w:rPr>
          <w:rFonts w:eastAsia="Calibri"/>
        </w:rPr>
        <w:t xml:space="preserve"> (D Bryson, pers comm, 2022)</w:t>
      </w:r>
      <w:r w:rsidR="0DD904CD" w:rsidRPr="0C34660A">
        <w:rPr>
          <w:rFonts w:eastAsia="Calibri"/>
        </w:rPr>
        <w:t>.</w:t>
      </w:r>
      <w:r w:rsidRPr="0C34660A">
        <w:rPr>
          <w:rFonts w:eastAsia="Calibri"/>
        </w:rPr>
        <w:t xml:space="preserve"> </w:t>
      </w:r>
      <w:r w:rsidR="3C987E01">
        <w:t xml:space="preserve">For </w:t>
      </w:r>
      <w:r w:rsidR="3647EBBA">
        <w:t xml:space="preserve">the </w:t>
      </w:r>
      <w:r w:rsidR="3C987E01">
        <w:t xml:space="preserve">2012 </w:t>
      </w:r>
      <w:r w:rsidR="3647EBBA">
        <w:t xml:space="preserve">Inventory </w:t>
      </w:r>
      <w:r w:rsidR="49545C52">
        <w:t>production</w:t>
      </w:r>
      <w:r w:rsidR="3647EBBA">
        <w:t xml:space="preserve"> information for</w:t>
      </w:r>
      <w:r w:rsidR="14DD73D0">
        <w:t xml:space="preserve"> </w:t>
      </w:r>
      <w:r w:rsidR="3C987E01" w:rsidRPr="0C34660A">
        <w:rPr>
          <w:rFonts w:eastAsia="Calibri"/>
        </w:rPr>
        <w:t>t</w:t>
      </w:r>
      <w:r w:rsidR="4E96C1D4" w:rsidRPr="0C34660A">
        <w:rPr>
          <w:rFonts w:eastAsia="Calibri"/>
        </w:rPr>
        <w:t xml:space="preserve">he </w:t>
      </w:r>
      <w:r w:rsidR="3C987E01" w:rsidRPr="0C34660A">
        <w:rPr>
          <w:rFonts w:eastAsia="Calibri"/>
        </w:rPr>
        <w:t>remaining</w:t>
      </w:r>
      <w:r w:rsidR="4E96C1D4" w:rsidRPr="0C34660A">
        <w:rPr>
          <w:rFonts w:eastAsia="Calibri"/>
        </w:rPr>
        <w:t xml:space="preserve"> galvanising industry </w:t>
      </w:r>
      <w:r w:rsidR="3647EBBA" w:rsidRPr="0C34660A">
        <w:rPr>
          <w:rFonts w:eastAsia="Calibri"/>
        </w:rPr>
        <w:t xml:space="preserve">was </w:t>
      </w:r>
      <w:r w:rsidR="4E96C1D4" w:rsidRPr="0C34660A">
        <w:rPr>
          <w:rFonts w:eastAsia="Calibri"/>
        </w:rPr>
        <w:t xml:space="preserve">obtained from the Galvanising Association of New Zealand </w:t>
      </w:r>
      <w:r w:rsidR="175F300B" w:rsidRPr="0C34660A">
        <w:rPr>
          <w:rFonts w:eastAsia="Calibri"/>
        </w:rPr>
        <w:t>(J Notley, pers comm, 2014) who</w:t>
      </w:r>
      <w:r w:rsidRPr="0C34660A">
        <w:rPr>
          <w:rFonts w:eastAsia="Calibri"/>
        </w:rPr>
        <w:t xml:space="preserve"> request</w:t>
      </w:r>
      <w:r w:rsidR="175F300B" w:rsidRPr="0C34660A">
        <w:rPr>
          <w:rFonts w:eastAsia="Calibri"/>
        </w:rPr>
        <w:t>ed</w:t>
      </w:r>
      <w:r w:rsidRPr="0C34660A">
        <w:rPr>
          <w:rFonts w:eastAsia="Calibri"/>
        </w:rPr>
        <w:t xml:space="preserve"> that the information be kept </w:t>
      </w:r>
      <w:r w:rsidR="175F300B" w:rsidRPr="0C34660A">
        <w:rPr>
          <w:rFonts w:eastAsia="Calibri"/>
        </w:rPr>
        <w:t>confidential.</w:t>
      </w:r>
      <w:r w:rsidR="14DD73D0" w:rsidRPr="0C34660A">
        <w:rPr>
          <w:rFonts w:eastAsia="Calibri"/>
        </w:rPr>
        <w:t xml:space="preserve"> </w:t>
      </w:r>
      <w:r w:rsidR="3647EBBA" w:rsidRPr="0C34660A">
        <w:rPr>
          <w:rFonts w:eastAsia="Calibri"/>
        </w:rPr>
        <w:t xml:space="preserve">It has not been possible to obtain similar information from the Galvanising Association of New Zealand </w:t>
      </w:r>
      <w:r w:rsidR="5D01D5F7" w:rsidRPr="0C34660A">
        <w:rPr>
          <w:rFonts w:eastAsia="Calibri"/>
        </w:rPr>
        <w:t xml:space="preserve">since then, </w:t>
      </w:r>
      <w:r w:rsidR="3647EBBA" w:rsidRPr="0C34660A">
        <w:rPr>
          <w:rFonts w:eastAsia="Calibri"/>
        </w:rPr>
        <w:t>so production has been assumed to be at 2012 levels for these plants</w:t>
      </w:r>
      <w:r w:rsidR="1EFFECD4" w:rsidRPr="0C34660A">
        <w:rPr>
          <w:rFonts w:eastAsia="Calibri"/>
        </w:rPr>
        <w:t xml:space="preserve"> with </w:t>
      </w:r>
      <w:r w:rsidR="49545C52" w:rsidRPr="0C34660A">
        <w:rPr>
          <w:rFonts w:eastAsia="Calibri"/>
        </w:rPr>
        <w:t>it</w:t>
      </w:r>
      <w:r w:rsidR="1EFFECD4" w:rsidRPr="0C34660A">
        <w:rPr>
          <w:rFonts w:eastAsia="Calibri"/>
        </w:rPr>
        <w:t xml:space="preserve"> remaining confidential.</w:t>
      </w:r>
      <w:r w:rsidR="4E96C1D4" w:rsidRPr="0C34660A">
        <w:rPr>
          <w:rFonts w:eastAsia="Calibri"/>
        </w:rPr>
        <w:t xml:space="preserve"> </w:t>
      </w:r>
      <w:r w:rsidR="6704EB76" w:rsidRPr="0C34660A">
        <w:rPr>
          <w:rFonts w:eastAsia="Calibri"/>
        </w:rPr>
        <w:t>R</w:t>
      </w:r>
      <w:r w:rsidR="4E96C1D4" w:rsidRPr="0C34660A">
        <w:rPr>
          <w:rFonts w:eastAsia="Calibri"/>
        </w:rPr>
        <w:t xml:space="preserve">elease estimates </w:t>
      </w:r>
      <w:r w:rsidR="6704EB76" w:rsidRPr="0C34660A">
        <w:rPr>
          <w:rFonts w:eastAsia="Calibri"/>
        </w:rPr>
        <w:t>for 2012</w:t>
      </w:r>
      <w:r w:rsidR="1EFFECD4" w:rsidRPr="0C34660A">
        <w:rPr>
          <w:rFonts w:eastAsia="Calibri"/>
        </w:rPr>
        <w:t xml:space="preserve">, </w:t>
      </w:r>
      <w:r w:rsidR="6704EB76" w:rsidRPr="0C34660A">
        <w:rPr>
          <w:rFonts w:eastAsia="Calibri"/>
        </w:rPr>
        <w:t>2016</w:t>
      </w:r>
      <w:r w:rsidR="1EFFECD4" w:rsidRPr="0C34660A">
        <w:rPr>
          <w:rFonts w:eastAsia="Calibri"/>
        </w:rPr>
        <w:t xml:space="preserve"> and 2020</w:t>
      </w:r>
      <w:r w:rsidR="6704EB76" w:rsidRPr="0C34660A">
        <w:rPr>
          <w:rFonts w:eastAsia="Calibri"/>
        </w:rPr>
        <w:t xml:space="preserve"> are </w:t>
      </w:r>
      <w:r w:rsidR="4E96C1D4" w:rsidRPr="0C34660A">
        <w:rPr>
          <w:rFonts w:eastAsia="Calibri"/>
        </w:rPr>
        <w:t>shown in the table below.</w:t>
      </w:r>
    </w:p>
    <w:p w14:paraId="43EC6831" w14:textId="079F33EA" w:rsidR="00C22305" w:rsidRPr="003D73C3" w:rsidRDefault="00C22305" w:rsidP="00C22305">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4</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4</w:t>
      </w:r>
      <w:r w:rsidRPr="003D73C3">
        <w:rPr>
          <w:rFonts w:cs="Arial"/>
        </w:rPr>
        <w:fldChar w:fldCharType="end"/>
      </w:r>
      <w:r w:rsidRPr="003D73C3">
        <w:rPr>
          <w:rFonts w:cs="Arial"/>
        </w:rPr>
        <w:t>: Dioxin releases from hot-dip galvanising</w:t>
      </w:r>
    </w:p>
    <w:tbl>
      <w:tblPr>
        <w:tblStyle w:val="TableGrid"/>
        <w:tblW w:w="0" w:type="auto"/>
        <w:tblLook w:val="04A0" w:firstRow="1" w:lastRow="0" w:firstColumn="1" w:lastColumn="0" w:noHBand="0" w:noVBand="1"/>
      </w:tblPr>
      <w:tblGrid>
        <w:gridCol w:w="3486"/>
        <w:gridCol w:w="2764"/>
        <w:gridCol w:w="2766"/>
      </w:tblGrid>
      <w:tr w:rsidR="00C22305" w:rsidRPr="00AF1200" w14:paraId="03696D1D" w14:textId="77777777" w:rsidTr="007968A4">
        <w:tc>
          <w:tcPr>
            <w:tcW w:w="3486" w:type="dxa"/>
            <w:vMerge w:val="restart"/>
            <w:vAlign w:val="center"/>
          </w:tcPr>
          <w:p w14:paraId="5F65FAB0" w14:textId="77777777" w:rsidR="00C22305" w:rsidRPr="003D73C3" w:rsidRDefault="00C22305" w:rsidP="00492830">
            <w:pPr>
              <w:spacing w:before="120"/>
              <w:jc w:val="center"/>
              <w:rPr>
                <w:rFonts w:ascii="Arial" w:hAnsi="Arial" w:cs="Arial"/>
                <w:b/>
                <w:sz w:val="16"/>
                <w:szCs w:val="18"/>
              </w:rPr>
            </w:pPr>
            <w:r w:rsidRPr="003D73C3">
              <w:rPr>
                <w:rFonts w:ascii="Arial" w:hAnsi="Arial" w:cs="Arial"/>
                <w:b/>
                <w:sz w:val="16"/>
                <w:szCs w:val="18"/>
              </w:rPr>
              <w:t>Year</w:t>
            </w:r>
          </w:p>
        </w:tc>
        <w:tc>
          <w:tcPr>
            <w:tcW w:w="5530" w:type="dxa"/>
            <w:gridSpan w:val="2"/>
            <w:vAlign w:val="center"/>
          </w:tcPr>
          <w:p w14:paraId="664F1870" w14:textId="77777777" w:rsidR="00C22305" w:rsidRPr="003D73C3" w:rsidRDefault="00C22305" w:rsidP="00492830">
            <w:pPr>
              <w:spacing w:before="120"/>
              <w:jc w:val="center"/>
              <w:rPr>
                <w:rFonts w:ascii="Arial" w:hAnsi="Arial" w:cs="Arial"/>
                <w:b/>
                <w:sz w:val="16"/>
                <w:szCs w:val="18"/>
              </w:rPr>
            </w:pPr>
            <w:r w:rsidRPr="003D73C3">
              <w:rPr>
                <w:rFonts w:ascii="Arial" w:hAnsi="Arial" w:cs="Arial"/>
                <w:b/>
                <w:sz w:val="16"/>
                <w:szCs w:val="18"/>
              </w:rPr>
              <w:t>Annual releases (g TEQ/yr)</w:t>
            </w:r>
          </w:p>
        </w:tc>
      </w:tr>
      <w:tr w:rsidR="00C22305" w:rsidRPr="00AF1200" w14:paraId="74F70B4B" w14:textId="77777777" w:rsidTr="007968A4">
        <w:tc>
          <w:tcPr>
            <w:tcW w:w="3486" w:type="dxa"/>
            <w:vMerge/>
          </w:tcPr>
          <w:p w14:paraId="7E8B9EA3" w14:textId="77777777" w:rsidR="00C22305" w:rsidRPr="003D73C3" w:rsidRDefault="00C22305" w:rsidP="00492830">
            <w:pPr>
              <w:spacing w:before="120"/>
              <w:jc w:val="center"/>
              <w:rPr>
                <w:rFonts w:ascii="Arial" w:hAnsi="Arial" w:cs="Arial"/>
                <w:sz w:val="16"/>
                <w:szCs w:val="18"/>
              </w:rPr>
            </w:pPr>
          </w:p>
        </w:tc>
        <w:tc>
          <w:tcPr>
            <w:tcW w:w="2764" w:type="dxa"/>
            <w:vAlign w:val="center"/>
          </w:tcPr>
          <w:p w14:paraId="4D51E0C1" w14:textId="77777777" w:rsidR="00C22305" w:rsidRPr="003D73C3" w:rsidRDefault="00C22305" w:rsidP="00492830">
            <w:pPr>
              <w:spacing w:before="120"/>
              <w:jc w:val="center"/>
              <w:rPr>
                <w:rFonts w:ascii="Arial" w:hAnsi="Arial" w:cs="Arial"/>
                <w:b/>
                <w:sz w:val="16"/>
                <w:szCs w:val="18"/>
              </w:rPr>
            </w:pPr>
            <w:r w:rsidRPr="003D73C3">
              <w:rPr>
                <w:rFonts w:ascii="Arial" w:hAnsi="Arial" w:cs="Arial"/>
                <w:b/>
                <w:sz w:val="16"/>
                <w:szCs w:val="18"/>
              </w:rPr>
              <w:t>Air</w:t>
            </w:r>
          </w:p>
        </w:tc>
        <w:tc>
          <w:tcPr>
            <w:tcW w:w="2766" w:type="dxa"/>
            <w:vAlign w:val="center"/>
          </w:tcPr>
          <w:p w14:paraId="59282A99" w14:textId="77777777" w:rsidR="00C22305" w:rsidRPr="003D73C3" w:rsidRDefault="00C22305" w:rsidP="00492830">
            <w:pPr>
              <w:spacing w:before="120"/>
              <w:jc w:val="center"/>
              <w:rPr>
                <w:rFonts w:ascii="Arial" w:hAnsi="Arial" w:cs="Arial"/>
                <w:b/>
                <w:sz w:val="16"/>
                <w:szCs w:val="18"/>
              </w:rPr>
            </w:pPr>
            <w:r w:rsidRPr="003D73C3">
              <w:rPr>
                <w:rFonts w:ascii="Arial" w:hAnsi="Arial" w:cs="Arial"/>
                <w:b/>
                <w:sz w:val="16"/>
                <w:szCs w:val="18"/>
              </w:rPr>
              <w:t>Residue</w:t>
            </w:r>
          </w:p>
        </w:tc>
      </w:tr>
      <w:tr w:rsidR="00C22305" w:rsidRPr="00AF1200" w14:paraId="1A48E5FD" w14:textId="77777777" w:rsidTr="007968A4">
        <w:trPr>
          <w:trHeight w:val="544"/>
        </w:trPr>
        <w:tc>
          <w:tcPr>
            <w:tcW w:w="3486" w:type="dxa"/>
            <w:vAlign w:val="center"/>
          </w:tcPr>
          <w:p w14:paraId="447922AC" w14:textId="3D45CF09" w:rsidR="00C22305" w:rsidRPr="003D73C3" w:rsidRDefault="00862EFE" w:rsidP="00492830">
            <w:pPr>
              <w:spacing w:before="120"/>
              <w:jc w:val="center"/>
              <w:rPr>
                <w:rFonts w:ascii="Arial" w:hAnsi="Arial" w:cs="Arial"/>
                <w:b/>
                <w:sz w:val="16"/>
                <w:szCs w:val="18"/>
              </w:rPr>
            </w:pPr>
            <w:r w:rsidRPr="003D73C3">
              <w:rPr>
                <w:rFonts w:ascii="Arial" w:hAnsi="Arial" w:cs="Arial"/>
                <w:b/>
                <w:sz w:val="16"/>
                <w:szCs w:val="18"/>
              </w:rPr>
              <w:t>2012</w:t>
            </w:r>
            <w:r w:rsidR="00C40A3A" w:rsidRPr="003D73C3">
              <w:rPr>
                <w:rFonts w:ascii="Arial" w:hAnsi="Arial" w:cs="Arial"/>
                <w:b/>
                <w:sz w:val="16"/>
                <w:szCs w:val="18"/>
              </w:rPr>
              <w:t xml:space="preserve"> </w:t>
            </w:r>
          </w:p>
        </w:tc>
        <w:tc>
          <w:tcPr>
            <w:tcW w:w="2764" w:type="dxa"/>
            <w:vAlign w:val="center"/>
          </w:tcPr>
          <w:p w14:paraId="76340602" w14:textId="73399FEC" w:rsidR="00C22305" w:rsidRPr="003D73C3" w:rsidRDefault="00862EFE" w:rsidP="00492830">
            <w:pPr>
              <w:spacing w:before="120"/>
              <w:jc w:val="center"/>
              <w:rPr>
                <w:rFonts w:ascii="Arial" w:hAnsi="Arial" w:cs="Arial"/>
                <w:sz w:val="16"/>
                <w:szCs w:val="18"/>
              </w:rPr>
            </w:pPr>
            <w:r w:rsidRPr="003D73C3">
              <w:rPr>
                <w:rFonts w:ascii="Arial" w:hAnsi="Arial" w:cs="Arial"/>
                <w:sz w:val="16"/>
                <w:szCs w:val="18"/>
              </w:rPr>
              <w:t>0.00557</w:t>
            </w:r>
          </w:p>
        </w:tc>
        <w:tc>
          <w:tcPr>
            <w:tcW w:w="2766" w:type="dxa"/>
            <w:vAlign w:val="center"/>
          </w:tcPr>
          <w:p w14:paraId="44D77FA6" w14:textId="04B90D76" w:rsidR="00C22305" w:rsidRPr="003D73C3" w:rsidRDefault="00862EFE" w:rsidP="004B3512">
            <w:pPr>
              <w:spacing w:before="120"/>
              <w:jc w:val="center"/>
              <w:rPr>
                <w:rFonts w:ascii="Arial" w:hAnsi="Arial" w:cs="Arial"/>
                <w:sz w:val="16"/>
                <w:szCs w:val="18"/>
              </w:rPr>
            </w:pPr>
            <w:r w:rsidRPr="003D73C3">
              <w:rPr>
                <w:rFonts w:ascii="Arial" w:hAnsi="Arial" w:cs="Arial"/>
                <w:sz w:val="16"/>
                <w:szCs w:val="18"/>
              </w:rPr>
              <w:t>0.245</w:t>
            </w:r>
          </w:p>
        </w:tc>
      </w:tr>
      <w:tr w:rsidR="00C22305" w:rsidRPr="00AF1200" w14:paraId="2410E252" w14:textId="77777777" w:rsidTr="007968A4">
        <w:trPr>
          <w:trHeight w:val="504"/>
        </w:trPr>
        <w:tc>
          <w:tcPr>
            <w:tcW w:w="3486" w:type="dxa"/>
            <w:vAlign w:val="center"/>
          </w:tcPr>
          <w:p w14:paraId="79ABD6D9" w14:textId="07737419" w:rsidR="00C22305" w:rsidRPr="003D73C3" w:rsidRDefault="00862EFE" w:rsidP="00492830">
            <w:pPr>
              <w:spacing w:before="120"/>
              <w:jc w:val="center"/>
              <w:rPr>
                <w:rFonts w:ascii="Arial" w:hAnsi="Arial" w:cs="Arial"/>
                <w:b/>
                <w:sz w:val="16"/>
                <w:szCs w:val="18"/>
              </w:rPr>
            </w:pPr>
            <w:r w:rsidRPr="003D73C3">
              <w:rPr>
                <w:rFonts w:ascii="Arial" w:hAnsi="Arial" w:cs="Arial"/>
                <w:b/>
                <w:sz w:val="16"/>
                <w:szCs w:val="18"/>
              </w:rPr>
              <w:t>2016</w:t>
            </w:r>
          </w:p>
        </w:tc>
        <w:tc>
          <w:tcPr>
            <w:tcW w:w="2764" w:type="dxa"/>
            <w:vAlign w:val="center"/>
          </w:tcPr>
          <w:p w14:paraId="505E4F06" w14:textId="4A460A8F" w:rsidR="00C22305" w:rsidRPr="003D73C3" w:rsidRDefault="00862EFE" w:rsidP="00492830">
            <w:pPr>
              <w:spacing w:before="120"/>
              <w:jc w:val="center"/>
              <w:rPr>
                <w:rFonts w:ascii="Arial" w:hAnsi="Arial" w:cs="Arial"/>
                <w:sz w:val="16"/>
                <w:szCs w:val="18"/>
              </w:rPr>
            </w:pPr>
            <w:r w:rsidRPr="003D73C3">
              <w:rPr>
                <w:rFonts w:ascii="Arial" w:hAnsi="Arial" w:cs="Arial"/>
                <w:sz w:val="16"/>
                <w:szCs w:val="18"/>
              </w:rPr>
              <w:t>0.00727</w:t>
            </w:r>
          </w:p>
        </w:tc>
        <w:tc>
          <w:tcPr>
            <w:tcW w:w="2766" w:type="dxa"/>
            <w:vAlign w:val="center"/>
          </w:tcPr>
          <w:p w14:paraId="4D0A6D53" w14:textId="7C0FED9B" w:rsidR="00C22305" w:rsidRPr="003D73C3" w:rsidRDefault="00862EFE" w:rsidP="00492830">
            <w:pPr>
              <w:spacing w:before="120"/>
              <w:jc w:val="center"/>
              <w:rPr>
                <w:rFonts w:ascii="Arial" w:hAnsi="Arial" w:cs="Arial"/>
                <w:sz w:val="16"/>
                <w:szCs w:val="18"/>
              </w:rPr>
            </w:pPr>
            <w:r w:rsidRPr="003D73C3">
              <w:rPr>
                <w:rFonts w:ascii="Arial" w:hAnsi="Arial" w:cs="Arial"/>
                <w:sz w:val="16"/>
                <w:szCs w:val="18"/>
              </w:rPr>
              <w:t>0.268</w:t>
            </w:r>
          </w:p>
        </w:tc>
      </w:tr>
      <w:tr w:rsidR="00DA5E21" w:rsidRPr="00AF1200" w14:paraId="5AC59CC8" w14:textId="77777777" w:rsidTr="007968A4">
        <w:trPr>
          <w:trHeight w:val="504"/>
        </w:trPr>
        <w:tc>
          <w:tcPr>
            <w:tcW w:w="3486" w:type="dxa"/>
            <w:vAlign w:val="center"/>
          </w:tcPr>
          <w:p w14:paraId="1A61A713" w14:textId="6E7017AC" w:rsidR="00DA5E21" w:rsidRPr="003D73C3" w:rsidRDefault="00DA5E21" w:rsidP="00492830">
            <w:pPr>
              <w:spacing w:before="120"/>
              <w:jc w:val="center"/>
              <w:rPr>
                <w:rFonts w:ascii="Arial" w:hAnsi="Arial" w:cs="Arial"/>
                <w:b/>
                <w:sz w:val="16"/>
                <w:szCs w:val="18"/>
              </w:rPr>
            </w:pPr>
            <w:r>
              <w:rPr>
                <w:rFonts w:ascii="Arial" w:hAnsi="Arial" w:cs="Arial"/>
                <w:b/>
                <w:sz w:val="16"/>
                <w:szCs w:val="18"/>
              </w:rPr>
              <w:t>2020</w:t>
            </w:r>
          </w:p>
        </w:tc>
        <w:tc>
          <w:tcPr>
            <w:tcW w:w="2764" w:type="dxa"/>
            <w:vAlign w:val="center"/>
          </w:tcPr>
          <w:p w14:paraId="2F535713" w14:textId="07C3FB8D" w:rsidR="00DA5E21" w:rsidRPr="003D73C3" w:rsidRDefault="00DA5E21" w:rsidP="00492830">
            <w:pPr>
              <w:spacing w:before="120"/>
              <w:jc w:val="center"/>
              <w:rPr>
                <w:rFonts w:ascii="Arial" w:hAnsi="Arial" w:cs="Arial"/>
                <w:sz w:val="16"/>
                <w:szCs w:val="18"/>
              </w:rPr>
            </w:pPr>
            <w:r>
              <w:rPr>
                <w:rFonts w:ascii="Arial" w:hAnsi="Arial" w:cs="Arial"/>
                <w:sz w:val="16"/>
                <w:szCs w:val="18"/>
              </w:rPr>
              <w:t>0.00581</w:t>
            </w:r>
          </w:p>
        </w:tc>
        <w:tc>
          <w:tcPr>
            <w:tcW w:w="2766" w:type="dxa"/>
            <w:vAlign w:val="center"/>
          </w:tcPr>
          <w:p w14:paraId="2B403F35" w14:textId="0327ABFE" w:rsidR="00DA5E21" w:rsidRPr="003D73C3" w:rsidRDefault="00DA5E21" w:rsidP="00492830">
            <w:pPr>
              <w:spacing w:before="120"/>
              <w:jc w:val="center"/>
              <w:rPr>
                <w:rFonts w:ascii="Arial" w:hAnsi="Arial" w:cs="Arial"/>
                <w:sz w:val="16"/>
                <w:szCs w:val="18"/>
              </w:rPr>
            </w:pPr>
            <w:r>
              <w:rPr>
                <w:rFonts w:ascii="Arial" w:hAnsi="Arial" w:cs="Arial"/>
                <w:sz w:val="16"/>
                <w:szCs w:val="18"/>
              </w:rPr>
              <w:t>0.261</w:t>
            </w:r>
          </w:p>
        </w:tc>
      </w:tr>
    </w:tbl>
    <w:p w14:paraId="36C71D1C" w14:textId="725A570F" w:rsidR="00C22305" w:rsidRPr="003D73C3" w:rsidRDefault="00C22305" w:rsidP="00C22305">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DA5E21" w:rsidRPr="003D73C3">
        <w:rPr>
          <w:rFonts w:ascii="Arial" w:hAnsi="Arial" w:cs="Arial"/>
          <w:b/>
          <w:szCs w:val="18"/>
        </w:rPr>
        <w:t>2020</w:t>
      </w:r>
    </w:p>
    <w:p w14:paraId="0FB4934A" w14:textId="77777777" w:rsidR="00C22305" w:rsidRPr="003D73C3" w:rsidRDefault="00C22305" w:rsidP="00C22305">
      <w:pPr>
        <w:tabs>
          <w:tab w:val="left" w:pos="1701"/>
        </w:tabs>
        <w:spacing w:after="0" w:line="300" w:lineRule="atLeast"/>
        <w:jc w:val="both"/>
        <w:rPr>
          <w:szCs w:val="18"/>
        </w:rPr>
      </w:pPr>
      <w:r w:rsidRPr="003D73C3">
        <w:rPr>
          <w:szCs w:val="18"/>
        </w:rPr>
        <w:t xml:space="preserve">Activity data: </w:t>
      </w:r>
      <w:r w:rsidRPr="003D73C3">
        <w:rPr>
          <w:szCs w:val="18"/>
        </w:rPr>
        <w:tab/>
        <w:t>High (because they are based on industry data)</w:t>
      </w:r>
    </w:p>
    <w:p w14:paraId="1D8348BD" w14:textId="77777777" w:rsidR="00C22305" w:rsidRPr="003D73C3" w:rsidRDefault="00C22305" w:rsidP="00C22305">
      <w:pPr>
        <w:tabs>
          <w:tab w:val="left" w:pos="1701"/>
        </w:tabs>
        <w:spacing w:line="300" w:lineRule="atLeast"/>
        <w:jc w:val="both"/>
        <w:rPr>
          <w:szCs w:val="18"/>
        </w:rPr>
      </w:pPr>
      <w:r w:rsidRPr="003D73C3">
        <w:rPr>
          <w:szCs w:val="18"/>
        </w:rPr>
        <w:t xml:space="preserve">Emission factors: </w:t>
      </w:r>
      <w:r w:rsidRPr="003D73C3">
        <w:rPr>
          <w:szCs w:val="18"/>
        </w:rPr>
        <w:tab/>
        <w:t>Low (because they are based on the default factors given in the UNEP Toolkit)</w:t>
      </w:r>
    </w:p>
    <w:p w14:paraId="18EE7F6B" w14:textId="14D79ADF" w:rsidR="00C22305" w:rsidRPr="003D73C3" w:rsidRDefault="00C22305" w:rsidP="00C22305">
      <w:pPr>
        <w:pStyle w:val="Heading3"/>
      </w:pPr>
      <w:bookmarkStart w:id="142" w:name="_Toc112768080"/>
      <w:r w:rsidRPr="003D73C3">
        <w:t>Primary aluminium production</w:t>
      </w:r>
      <w:bookmarkEnd w:id="142"/>
    </w:p>
    <w:p w14:paraId="109AFBE6" w14:textId="77777777" w:rsidR="00C22305" w:rsidRPr="003D73C3" w:rsidRDefault="00C22305" w:rsidP="00C22305">
      <w:pPr>
        <w:spacing w:line="300" w:lineRule="atLeast"/>
        <w:jc w:val="both"/>
        <w:rPr>
          <w:szCs w:val="18"/>
        </w:rPr>
      </w:pPr>
      <w:r w:rsidRPr="003D73C3">
        <w:rPr>
          <w:szCs w:val="18"/>
        </w:rPr>
        <w:t xml:space="preserve">The only primary aluminium smelter in New Zealand is located at Tiwai Point in Southland. It produces approximately 350,000 tonnes of aluminium per year by the pre-bake Hall-Heroult process, with most production in the form of high-purity ingots. </w:t>
      </w:r>
    </w:p>
    <w:p w14:paraId="24BE59BC" w14:textId="64050867" w:rsidR="00C22305" w:rsidRPr="003D73C3" w:rsidRDefault="00C22305" w:rsidP="00C22305">
      <w:pPr>
        <w:spacing w:line="300" w:lineRule="atLeast"/>
        <w:jc w:val="both"/>
        <w:rPr>
          <w:szCs w:val="18"/>
        </w:rPr>
      </w:pPr>
      <w:r w:rsidRPr="003D73C3">
        <w:rPr>
          <w:szCs w:val="18"/>
        </w:rPr>
        <w:t xml:space="preserve">Primary aluminium production was listed as a potential source of dioxins in the first edition of the UNEP Toolkit, although no data had been published to show that this was the case. However, more recent assessments indicate that it is no longer thought to be a significant source </w:t>
      </w:r>
      <w:r w:rsidR="003D73C3" w:rsidRPr="003D73C3">
        <w:rPr>
          <w:noProof/>
          <w:szCs w:val="18"/>
        </w:rPr>
        <w:t>(United Nations Environment Programme, 2013)</w:t>
      </w:r>
      <w:r w:rsidRPr="003D73C3">
        <w:rPr>
          <w:szCs w:val="18"/>
        </w:rPr>
        <w:t>.</w:t>
      </w:r>
    </w:p>
    <w:p w14:paraId="35853719" w14:textId="77777777" w:rsidR="00C22305" w:rsidRPr="003D73C3" w:rsidRDefault="00C22305" w:rsidP="00C22305">
      <w:pPr>
        <w:pStyle w:val="Heading3"/>
      </w:pPr>
      <w:bookmarkStart w:id="143" w:name="_Toc112768081"/>
      <w:r w:rsidRPr="003D73C3">
        <w:t>Secondary aluminium production</w:t>
      </w:r>
      <w:bookmarkEnd w:id="143"/>
    </w:p>
    <w:p w14:paraId="529F7D97" w14:textId="186CE6B8" w:rsidR="00C22305" w:rsidRPr="003D73C3" w:rsidRDefault="4E96C1D4" w:rsidP="00C22305">
      <w:pPr>
        <w:spacing w:line="300" w:lineRule="atLeast"/>
        <w:jc w:val="both"/>
      </w:pPr>
      <w:r>
        <w:t>The industries included in this subcategory are metal recyclers, who recover aluminium from mixed scrap, and manufacturers of cast aluminium products, such as alloy wheels and engine parts. Much of the manufacturing uses aluminium ingots and clean aluminium scrap but may also include aluminium recovery from in-house metal wastes. Scrap metal and mixed metal wastes may contain organic impurities such as plastics, paints and solvents, and their presence can result in increased formation and release of dioxins.</w:t>
      </w:r>
    </w:p>
    <w:p w14:paraId="4BA1FCF2" w14:textId="37EB85D8" w:rsidR="00C22305" w:rsidRPr="003D73C3" w:rsidRDefault="007D2107" w:rsidP="00C22305">
      <w:pPr>
        <w:spacing w:line="300" w:lineRule="atLeast"/>
        <w:jc w:val="both"/>
        <w:rPr>
          <w:rFonts w:eastAsia="Calibri"/>
          <w:szCs w:val="18"/>
        </w:rPr>
      </w:pPr>
      <w:r w:rsidRPr="003D73C3">
        <w:rPr>
          <w:rFonts w:eastAsia="Calibri"/>
          <w:szCs w:val="18"/>
        </w:rPr>
        <w:t xml:space="preserve">Secondary aluminium processors with estimated annual production over 100 tonnes were surveyed </w:t>
      </w:r>
      <w:r w:rsidR="00EB1D5D">
        <w:rPr>
          <w:rFonts w:eastAsia="Calibri"/>
          <w:szCs w:val="18"/>
        </w:rPr>
        <w:t>for their production in 2020.</w:t>
      </w:r>
      <w:r w:rsidR="006E06B8" w:rsidRPr="00AA4F49">
        <w:rPr>
          <w:rFonts w:eastAsia="Calibri"/>
          <w:szCs w:val="18"/>
        </w:rPr>
        <w:t xml:space="preserve"> </w:t>
      </w:r>
      <w:r w:rsidR="00C40A3A" w:rsidRPr="00AA4F49">
        <w:rPr>
          <w:rFonts w:eastAsia="Calibri"/>
          <w:szCs w:val="18"/>
        </w:rPr>
        <w:t xml:space="preserve">Concerns raised by industry members over production confidentiality have meant that it is </w:t>
      </w:r>
      <w:r w:rsidR="00C40A3A" w:rsidRPr="00AA4F49">
        <w:rPr>
          <w:rFonts w:eastAsia="Calibri"/>
          <w:szCs w:val="18"/>
        </w:rPr>
        <w:lastRenderedPageBreak/>
        <w:t>possible to publish only the estimated dioxin releases for this category</w:t>
      </w:r>
      <w:r w:rsidR="002F0958">
        <w:rPr>
          <w:rFonts w:eastAsia="Calibri"/>
          <w:szCs w:val="18"/>
        </w:rPr>
        <w:t>.</w:t>
      </w:r>
      <w:r w:rsidR="00C40A3A" w:rsidRPr="00AA4F49">
        <w:rPr>
          <w:rFonts w:eastAsia="Calibri"/>
          <w:szCs w:val="18"/>
        </w:rPr>
        <w:t xml:space="preserve"> </w:t>
      </w:r>
      <w:r w:rsidR="002F0958">
        <w:rPr>
          <w:rFonts w:eastAsia="Calibri"/>
          <w:szCs w:val="18"/>
        </w:rPr>
        <w:t>T</w:t>
      </w:r>
      <w:r w:rsidR="00C40A3A" w:rsidRPr="00AA4F49">
        <w:rPr>
          <w:rFonts w:eastAsia="Calibri"/>
          <w:szCs w:val="18"/>
        </w:rPr>
        <w:t>hese are shown in Table 4-5 along with the estimates for the 2012</w:t>
      </w:r>
      <w:r w:rsidR="00EB1D5D">
        <w:rPr>
          <w:rFonts w:eastAsia="Calibri"/>
          <w:szCs w:val="18"/>
        </w:rPr>
        <w:t xml:space="preserve"> and 2016 Inventories</w:t>
      </w:r>
      <w:r w:rsidR="00C40A3A" w:rsidRPr="003D73C3">
        <w:rPr>
          <w:rFonts w:eastAsia="Calibri"/>
          <w:szCs w:val="18"/>
        </w:rPr>
        <w:t>.</w:t>
      </w:r>
    </w:p>
    <w:p w14:paraId="4DDAEEBB" w14:textId="0F35207D" w:rsidR="0062525C" w:rsidRPr="003D73C3" w:rsidRDefault="00C22305" w:rsidP="0062525C">
      <w:pPr>
        <w:pStyle w:val="Caption"/>
        <w:jc w:val="left"/>
        <w:rPr>
          <w:rFonts w:cs="Arial"/>
        </w:rPr>
      </w:pPr>
      <w:bookmarkStart w:id="144" w:name="_Ref391214976"/>
      <w:r w:rsidRPr="003D73C3">
        <w:rPr>
          <w:rFonts w:cs="Arial"/>
        </w:rPr>
        <w:t>Table</w:t>
      </w:r>
      <w:r w:rsidR="003D73C3">
        <w:rPr>
          <w:rFonts w:cs="Arial"/>
        </w:rPr>
        <w:t xml:space="preserve"> 4</w:t>
      </w:r>
      <w:r w:rsidRPr="003D73C3">
        <w:rPr>
          <w:rFonts w:cs="Arial"/>
        </w:rPr>
        <w:t xml:space="preserve"> </w:t>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5</w:t>
      </w:r>
      <w:r w:rsidRPr="003D73C3">
        <w:rPr>
          <w:rFonts w:cs="Arial"/>
        </w:rPr>
        <w:fldChar w:fldCharType="end"/>
      </w:r>
      <w:bookmarkEnd w:id="144"/>
      <w:r w:rsidRPr="003D73C3">
        <w:rPr>
          <w:rFonts w:cs="Arial"/>
        </w:rPr>
        <w:t>: Dioxin releases from secondary aluminium production</w:t>
      </w:r>
    </w:p>
    <w:tbl>
      <w:tblPr>
        <w:tblStyle w:val="TableGrid"/>
        <w:tblW w:w="0" w:type="auto"/>
        <w:tblLook w:val="04A0" w:firstRow="1" w:lastRow="0" w:firstColumn="1" w:lastColumn="0" w:noHBand="0" w:noVBand="1"/>
      </w:tblPr>
      <w:tblGrid>
        <w:gridCol w:w="3486"/>
        <w:gridCol w:w="2764"/>
        <w:gridCol w:w="2811"/>
      </w:tblGrid>
      <w:tr w:rsidR="0062525C" w:rsidRPr="00EB1D5D" w14:paraId="50BF8782" w14:textId="77777777" w:rsidTr="00647D89">
        <w:tc>
          <w:tcPr>
            <w:tcW w:w="3486" w:type="dxa"/>
            <w:vMerge w:val="restart"/>
            <w:vAlign w:val="center"/>
          </w:tcPr>
          <w:p w14:paraId="77BD1308" w14:textId="77777777"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Year</w:t>
            </w:r>
          </w:p>
        </w:tc>
        <w:tc>
          <w:tcPr>
            <w:tcW w:w="5575" w:type="dxa"/>
            <w:gridSpan w:val="2"/>
            <w:vAlign w:val="center"/>
          </w:tcPr>
          <w:p w14:paraId="2B900FEB" w14:textId="165AB27E"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Annual releases (g TEQ/yr)</w:t>
            </w:r>
          </w:p>
        </w:tc>
      </w:tr>
      <w:tr w:rsidR="0062525C" w:rsidRPr="00EB1D5D" w14:paraId="7045FD04" w14:textId="77777777" w:rsidTr="00E95BD6">
        <w:tc>
          <w:tcPr>
            <w:tcW w:w="3486" w:type="dxa"/>
            <w:vMerge/>
          </w:tcPr>
          <w:p w14:paraId="5EBE5799" w14:textId="77777777" w:rsidR="0062525C" w:rsidRPr="003D73C3" w:rsidRDefault="0062525C" w:rsidP="007751EE">
            <w:pPr>
              <w:spacing w:before="120"/>
              <w:jc w:val="center"/>
              <w:rPr>
                <w:rFonts w:ascii="Arial" w:hAnsi="Arial" w:cs="Arial"/>
                <w:sz w:val="16"/>
                <w:szCs w:val="18"/>
              </w:rPr>
            </w:pPr>
          </w:p>
        </w:tc>
        <w:tc>
          <w:tcPr>
            <w:tcW w:w="2764" w:type="dxa"/>
            <w:vAlign w:val="center"/>
          </w:tcPr>
          <w:p w14:paraId="47336C76" w14:textId="77777777"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Air</w:t>
            </w:r>
          </w:p>
        </w:tc>
        <w:tc>
          <w:tcPr>
            <w:tcW w:w="2811" w:type="dxa"/>
            <w:vAlign w:val="center"/>
          </w:tcPr>
          <w:p w14:paraId="1AD4C994" w14:textId="77777777"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Residue</w:t>
            </w:r>
          </w:p>
        </w:tc>
      </w:tr>
      <w:tr w:rsidR="0062525C" w:rsidRPr="00EB1D5D" w14:paraId="7EC7F97C" w14:textId="77777777" w:rsidTr="00E95BD6">
        <w:trPr>
          <w:trHeight w:val="544"/>
        </w:trPr>
        <w:tc>
          <w:tcPr>
            <w:tcW w:w="3486" w:type="dxa"/>
            <w:vAlign w:val="center"/>
          </w:tcPr>
          <w:p w14:paraId="480882E1" w14:textId="77777777"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 xml:space="preserve">2012 </w:t>
            </w:r>
          </w:p>
        </w:tc>
        <w:tc>
          <w:tcPr>
            <w:tcW w:w="2764" w:type="dxa"/>
            <w:vAlign w:val="center"/>
          </w:tcPr>
          <w:p w14:paraId="0991D852" w14:textId="77777777" w:rsidR="0062525C" w:rsidRPr="003D73C3" w:rsidRDefault="0062525C" w:rsidP="007751EE">
            <w:pPr>
              <w:spacing w:before="120"/>
              <w:jc w:val="center"/>
              <w:rPr>
                <w:rFonts w:ascii="Arial" w:hAnsi="Arial" w:cs="Arial"/>
                <w:sz w:val="16"/>
                <w:szCs w:val="18"/>
              </w:rPr>
            </w:pPr>
            <w:r w:rsidRPr="003D73C3">
              <w:rPr>
                <w:rFonts w:ascii="Arial" w:hAnsi="Arial" w:cs="Arial"/>
                <w:sz w:val="16"/>
                <w:szCs w:val="18"/>
              </w:rPr>
              <w:t>0.044</w:t>
            </w:r>
          </w:p>
        </w:tc>
        <w:tc>
          <w:tcPr>
            <w:tcW w:w="2811" w:type="dxa"/>
            <w:vAlign w:val="center"/>
          </w:tcPr>
          <w:p w14:paraId="3B246874" w14:textId="77777777" w:rsidR="0062525C" w:rsidRPr="003D73C3" w:rsidRDefault="0062525C" w:rsidP="007751EE">
            <w:pPr>
              <w:spacing w:before="120"/>
              <w:jc w:val="center"/>
              <w:rPr>
                <w:rFonts w:ascii="Arial" w:hAnsi="Arial" w:cs="Arial"/>
                <w:sz w:val="16"/>
                <w:szCs w:val="18"/>
              </w:rPr>
            </w:pPr>
            <w:r w:rsidRPr="003D73C3">
              <w:rPr>
                <w:rFonts w:ascii="Arial" w:hAnsi="Arial" w:cs="Arial"/>
                <w:sz w:val="16"/>
                <w:szCs w:val="18"/>
              </w:rPr>
              <w:t>4.05</w:t>
            </w:r>
          </w:p>
        </w:tc>
      </w:tr>
      <w:tr w:rsidR="0062525C" w:rsidRPr="00EB1D5D" w14:paraId="0023C3F6" w14:textId="77777777" w:rsidTr="00E95BD6">
        <w:trPr>
          <w:trHeight w:val="504"/>
        </w:trPr>
        <w:tc>
          <w:tcPr>
            <w:tcW w:w="3486" w:type="dxa"/>
            <w:vAlign w:val="center"/>
          </w:tcPr>
          <w:p w14:paraId="58BB17F6" w14:textId="77777777" w:rsidR="0062525C" w:rsidRPr="003D73C3" w:rsidRDefault="0062525C" w:rsidP="007751EE">
            <w:pPr>
              <w:spacing w:before="120"/>
              <w:jc w:val="center"/>
              <w:rPr>
                <w:rFonts w:ascii="Arial" w:hAnsi="Arial" w:cs="Arial"/>
                <w:b/>
                <w:sz w:val="16"/>
                <w:szCs w:val="18"/>
              </w:rPr>
            </w:pPr>
            <w:r w:rsidRPr="003D73C3">
              <w:rPr>
                <w:rFonts w:ascii="Arial" w:hAnsi="Arial" w:cs="Arial"/>
                <w:b/>
                <w:sz w:val="16"/>
                <w:szCs w:val="18"/>
              </w:rPr>
              <w:t>2016</w:t>
            </w:r>
          </w:p>
        </w:tc>
        <w:tc>
          <w:tcPr>
            <w:tcW w:w="2764" w:type="dxa"/>
            <w:vAlign w:val="center"/>
          </w:tcPr>
          <w:p w14:paraId="1C931342" w14:textId="77777777" w:rsidR="0062525C" w:rsidRPr="003D73C3" w:rsidRDefault="0062525C" w:rsidP="007751EE">
            <w:pPr>
              <w:spacing w:before="120"/>
              <w:jc w:val="center"/>
              <w:rPr>
                <w:rFonts w:ascii="Arial" w:hAnsi="Arial" w:cs="Arial"/>
                <w:sz w:val="16"/>
                <w:szCs w:val="18"/>
              </w:rPr>
            </w:pPr>
            <w:r w:rsidRPr="003D73C3">
              <w:rPr>
                <w:rFonts w:ascii="Arial" w:hAnsi="Arial" w:cs="Arial"/>
                <w:sz w:val="16"/>
                <w:szCs w:val="18"/>
              </w:rPr>
              <w:t>0.039</w:t>
            </w:r>
          </w:p>
        </w:tc>
        <w:tc>
          <w:tcPr>
            <w:tcW w:w="2811" w:type="dxa"/>
            <w:vAlign w:val="center"/>
          </w:tcPr>
          <w:p w14:paraId="51568B1D" w14:textId="4192D0EA" w:rsidR="0062525C" w:rsidRPr="003D73C3" w:rsidRDefault="0062525C" w:rsidP="007751EE">
            <w:pPr>
              <w:spacing w:before="120"/>
              <w:jc w:val="center"/>
              <w:rPr>
                <w:rFonts w:ascii="Arial" w:hAnsi="Arial" w:cs="Arial"/>
                <w:sz w:val="16"/>
                <w:szCs w:val="18"/>
              </w:rPr>
            </w:pPr>
            <w:r w:rsidRPr="003D73C3">
              <w:rPr>
                <w:rFonts w:ascii="Arial" w:hAnsi="Arial" w:cs="Arial"/>
                <w:sz w:val="16"/>
                <w:szCs w:val="18"/>
              </w:rPr>
              <w:t>3.6</w:t>
            </w:r>
            <w:r w:rsidR="00C83B60" w:rsidRPr="003D73C3">
              <w:rPr>
                <w:rFonts w:ascii="Arial" w:hAnsi="Arial" w:cs="Arial"/>
                <w:sz w:val="16"/>
                <w:szCs w:val="18"/>
              </w:rPr>
              <w:t>3</w:t>
            </w:r>
          </w:p>
        </w:tc>
      </w:tr>
      <w:tr w:rsidR="00EB1D5D" w:rsidRPr="00EB1D5D" w14:paraId="7390227E" w14:textId="77777777" w:rsidTr="00E95BD6">
        <w:trPr>
          <w:trHeight w:val="504"/>
        </w:trPr>
        <w:tc>
          <w:tcPr>
            <w:tcW w:w="3486" w:type="dxa"/>
            <w:vAlign w:val="center"/>
          </w:tcPr>
          <w:p w14:paraId="6B972814" w14:textId="4F37B877" w:rsidR="00EB1D5D" w:rsidRPr="00EB1D5D" w:rsidRDefault="00EB1D5D" w:rsidP="007751EE">
            <w:pPr>
              <w:spacing w:before="120"/>
              <w:jc w:val="center"/>
              <w:rPr>
                <w:rFonts w:ascii="Arial" w:hAnsi="Arial" w:cs="Arial"/>
                <w:b/>
                <w:sz w:val="16"/>
                <w:szCs w:val="18"/>
              </w:rPr>
            </w:pPr>
            <w:r>
              <w:rPr>
                <w:rFonts w:ascii="Arial" w:hAnsi="Arial" w:cs="Arial"/>
                <w:b/>
                <w:sz w:val="16"/>
                <w:szCs w:val="18"/>
              </w:rPr>
              <w:t>2020</w:t>
            </w:r>
          </w:p>
        </w:tc>
        <w:tc>
          <w:tcPr>
            <w:tcW w:w="2764" w:type="dxa"/>
            <w:vAlign w:val="center"/>
          </w:tcPr>
          <w:p w14:paraId="20E96FB8" w14:textId="7F59275D" w:rsidR="00EB1D5D" w:rsidRPr="00EB1D5D" w:rsidRDefault="00EB1D5D" w:rsidP="007751EE">
            <w:pPr>
              <w:spacing w:before="120"/>
              <w:jc w:val="center"/>
              <w:rPr>
                <w:rFonts w:ascii="Arial" w:hAnsi="Arial" w:cs="Arial"/>
                <w:sz w:val="16"/>
                <w:szCs w:val="18"/>
              </w:rPr>
            </w:pPr>
            <w:r>
              <w:rPr>
                <w:rFonts w:ascii="Arial" w:hAnsi="Arial" w:cs="Arial"/>
                <w:sz w:val="16"/>
                <w:szCs w:val="18"/>
              </w:rPr>
              <w:t>0.023</w:t>
            </w:r>
          </w:p>
        </w:tc>
        <w:tc>
          <w:tcPr>
            <w:tcW w:w="2811" w:type="dxa"/>
            <w:vAlign w:val="center"/>
          </w:tcPr>
          <w:p w14:paraId="366FA16A" w14:textId="3F34AD81" w:rsidR="00EB1D5D" w:rsidRPr="00EB1D5D" w:rsidRDefault="00EB1D5D" w:rsidP="007751EE">
            <w:pPr>
              <w:spacing w:before="120"/>
              <w:jc w:val="center"/>
              <w:rPr>
                <w:rFonts w:ascii="Arial" w:hAnsi="Arial" w:cs="Arial"/>
                <w:sz w:val="16"/>
                <w:szCs w:val="18"/>
              </w:rPr>
            </w:pPr>
            <w:r>
              <w:rPr>
                <w:rFonts w:ascii="Arial" w:hAnsi="Arial" w:cs="Arial"/>
                <w:sz w:val="16"/>
                <w:szCs w:val="18"/>
              </w:rPr>
              <w:t>2.17</w:t>
            </w:r>
          </w:p>
        </w:tc>
      </w:tr>
    </w:tbl>
    <w:p w14:paraId="049C0D65" w14:textId="0760B182" w:rsidR="00C22305" w:rsidRPr="003D73C3" w:rsidRDefault="00C22305" w:rsidP="00C22305">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EB1D5D">
        <w:rPr>
          <w:rFonts w:ascii="Arial" w:hAnsi="Arial" w:cs="Arial"/>
          <w:b/>
          <w:szCs w:val="18"/>
        </w:rPr>
        <w:t>2020</w:t>
      </w:r>
    </w:p>
    <w:p w14:paraId="71BA8FD7" w14:textId="77777777" w:rsidR="00C22305" w:rsidRPr="003D73C3" w:rsidRDefault="00C22305" w:rsidP="00C22305">
      <w:pPr>
        <w:tabs>
          <w:tab w:val="left" w:pos="1701"/>
        </w:tabs>
        <w:spacing w:after="0" w:line="300" w:lineRule="atLeast"/>
        <w:jc w:val="both"/>
        <w:rPr>
          <w:szCs w:val="18"/>
        </w:rPr>
      </w:pPr>
      <w:r w:rsidRPr="003D73C3">
        <w:rPr>
          <w:szCs w:val="18"/>
        </w:rPr>
        <w:t xml:space="preserve">Activity data: </w:t>
      </w:r>
      <w:r w:rsidRPr="003D73C3">
        <w:rPr>
          <w:szCs w:val="18"/>
        </w:rPr>
        <w:tab/>
        <w:t>Medium (because they are based on survey data)</w:t>
      </w:r>
    </w:p>
    <w:p w14:paraId="70CE5122" w14:textId="3B322DB7" w:rsidR="00C22305" w:rsidRPr="003D73C3" w:rsidRDefault="00C22305" w:rsidP="003A5A40">
      <w:pPr>
        <w:tabs>
          <w:tab w:val="left" w:pos="1701"/>
        </w:tabs>
        <w:spacing w:line="300" w:lineRule="atLeast"/>
        <w:jc w:val="both"/>
        <w:rPr>
          <w:szCs w:val="18"/>
        </w:rPr>
      </w:pPr>
      <w:r w:rsidRPr="003D73C3">
        <w:rPr>
          <w:szCs w:val="18"/>
        </w:rPr>
        <w:t xml:space="preserve">Emission factors: </w:t>
      </w:r>
      <w:r w:rsidRPr="003D73C3">
        <w:rPr>
          <w:szCs w:val="18"/>
        </w:rPr>
        <w:tab/>
        <w:t>Medium (because they are based on historical NZ data)</w:t>
      </w:r>
    </w:p>
    <w:p w14:paraId="360B7A04" w14:textId="77777777" w:rsidR="00C22305" w:rsidRPr="003D73C3" w:rsidRDefault="00C22305" w:rsidP="00261F78">
      <w:pPr>
        <w:pStyle w:val="Heading2"/>
      </w:pPr>
      <w:bookmarkStart w:id="145" w:name="_Toc112768082"/>
      <w:r w:rsidRPr="003D73C3">
        <w:t>Lead production</w:t>
      </w:r>
      <w:bookmarkEnd w:id="145"/>
    </w:p>
    <w:p w14:paraId="58FDEF58" w14:textId="7C714FDB" w:rsidR="00925AF5" w:rsidRPr="003D73C3" w:rsidRDefault="00925AF5" w:rsidP="00925AF5">
      <w:r w:rsidRPr="003D73C3">
        <w:rPr>
          <w:szCs w:val="18"/>
        </w:rPr>
        <w:t>New Zealand’s only secondary lead smelter was shut down in 2012 so there are no longer any releases under this sub-category.</w:t>
      </w:r>
    </w:p>
    <w:p w14:paraId="3CAF704F" w14:textId="4A9BE06F" w:rsidR="00C22305" w:rsidRPr="003D73C3" w:rsidRDefault="00C22305" w:rsidP="00261F78">
      <w:pPr>
        <w:pStyle w:val="Heading2"/>
      </w:pPr>
      <w:r w:rsidRPr="00AA4F49">
        <w:rPr>
          <w:szCs w:val="18"/>
        </w:rPr>
        <w:t xml:space="preserve"> </w:t>
      </w:r>
      <w:bookmarkStart w:id="146" w:name="_Toc112768083"/>
      <w:r w:rsidRPr="003D73C3">
        <w:t>Zinc production</w:t>
      </w:r>
      <w:bookmarkEnd w:id="146"/>
    </w:p>
    <w:p w14:paraId="31746E67" w14:textId="1E75655B" w:rsidR="00C22305" w:rsidRPr="003D73C3" w:rsidRDefault="00C22305" w:rsidP="00C22305">
      <w:pPr>
        <w:spacing w:line="300" w:lineRule="atLeast"/>
        <w:jc w:val="both"/>
        <w:rPr>
          <w:szCs w:val="18"/>
        </w:rPr>
      </w:pPr>
      <w:r w:rsidRPr="003D73C3">
        <w:rPr>
          <w:szCs w:val="18"/>
        </w:rPr>
        <w:t xml:space="preserve">This Toolkit sub-category covers the production of metallic zinc from ore and the recovery and refining of zinc from scrap metal </w:t>
      </w:r>
      <w:r w:rsidR="00640DF1" w:rsidRPr="003D73C3">
        <w:rPr>
          <w:noProof/>
          <w:szCs w:val="18"/>
        </w:rPr>
        <w:t>(United Nations Environment Programme, 2013)</w:t>
      </w:r>
      <w:r w:rsidRPr="003D73C3">
        <w:rPr>
          <w:szCs w:val="18"/>
        </w:rPr>
        <w:t xml:space="preserve">. There is no primary zinc production in New Zealand </w:t>
      </w:r>
      <w:r w:rsidR="003D73C3" w:rsidRPr="003D73C3">
        <w:rPr>
          <w:noProof/>
          <w:szCs w:val="18"/>
        </w:rPr>
        <w:t>(Crown Minerals, undated)</w:t>
      </w:r>
      <w:r w:rsidR="00640DF1">
        <w:rPr>
          <w:szCs w:val="18"/>
        </w:rPr>
        <w:t>.</w:t>
      </w:r>
      <w:r w:rsidRPr="003D73C3">
        <w:rPr>
          <w:szCs w:val="18"/>
        </w:rPr>
        <w:t xml:space="preserve"> and </w:t>
      </w:r>
      <w:r w:rsidR="0040124D" w:rsidRPr="003D73C3">
        <w:rPr>
          <w:szCs w:val="18"/>
        </w:rPr>
        <w:t xml:space="preserve">only one firm processing 100 kg was identified in the </w:t>
      </w:r>
      <w:r w:rsidRPr="003D73C3">
        <w:rPr>
          <w:szCs w:val="18"/>
        </w:rPr>
        <w:t>secondary metal survey</w:t>
      </w:r>
      <w:r w:rsidR="00640DF1">
        <w:rPr>
          <w:szCs w:val="18"/>
        </w:rPr>
        <w:t xml:space="preserve"> conducted for the 2012 Inventory.</w:t>
      </w:r>
    </w:p>
    <w:p w14:paraId="5ABC27E1" w14:textId="77777777" w:rsidR="00C22305" w:rsidRPr="003D73C3" w:rsidRDefault="00C22305" w:rsidP="00261F78">
      <w:pPr>
        <w:pStyle w:val="Heading2"/>
      </w:pPr>
      <w:bookmarkStart w:id="147" w:name="_Toc112768084"/>
      <w:r w:rsidRPr="003D73C3">
        <w:t>Brass and bronze production</w:t>
      </w:r>
      <w:bookmarkEnd w:id="147"/>
    </w:p>
    <w:p w14:paraId="2611A03D" w14:textId="3CF499AD" w:rsidR="00ED5184" w:rsidRPr="003D73C3" w:rsidRDefault="7EEC4AB4" w:rsidP="0C34660A">
      <w:pPr>
        <w:spacing w:line="300" w:lineRule="atLeast"/>
        <w:jc w:val="both"/>
        <w:rPr>
          <w:rFonts w:eastAsia="Calibri"/>
        </w:rPr>
      </w:pPr>
      <w:r w:rsidRPr="0C34660A">
        <w:rPr>
          <w:rFonts w:eastAsia="Calibri"/>
        </w:rPr>
        <w:t xml:space="preserve">Because it is difficult to separate production of copper from brass and bronze parts, dioxin releases have been accounted for under the brass and bronze sub-category </w:t>
      </w:r>
      <w:r w:rsidR="0FC78B47" w:rsidRPr="0C34660A">
        <w:rPr>
          <w:rFonts w:eastAsia="Calibri"/>
        </w:rPr>
        <w:t xml:space="preserve">as has occurred in previous inventories. The Toolkit release factors for brass and bronze production are </w:t>
      </w:r>
      <w:bookmarkStart w:id="148" w:name="_Int_3MO4eckq"/>
      <w:proofErr w:type="gramStart"/>
      <w:r w:rsidR="0FC78B47" w:rsidRPr="0C34660A">
        <w:rPr>
          <w:rFonts w:eastAsia="Calibri"/>
        </w:rPr>
        <w:t>similar to</w:t>
      </w:r>
      <w:bookmarkEnd w:id="148"/>
      <w:proofErr w:type="gramEnd"/>
      <w:r w:rsidR="0FC78B47" w:rsidRPr="0C34660A">
        <w:rPr>
          <w:rFonts w:eastAsia="Calibri"/>
        </w:rPr>
        <w:t xml:space="preserve"> those for secondary copper production, so the grouping has no </w:t>
      </w:r>
      <w:r w:rsidR="000E3DDC">
        <w:rPr>
          <w:rFonts w:eastAsia="Calibri"/>
        </w:rPr>
        <w:t>significant</w:t>
      </w:r>
      <w:r w:rsidR="000E3DDC" w:rsidRPr="0C34660A">
        <w:rPr>
          <w:rFonts w:eastAsia="Calibri"/>
        </w:rPr>
        <w:t xml:space="preserve"> </w:t>
      </w:r>
      <w:r w:rsidR="0FC78B47" w:rsidRPr="0C34660A">
        <w:rPr>
          <w:rFonts w:eastAsia="Calibri"/>
        </w:rPr>
        <w:t>effect on the overall release estimates.</w:t>
      </w:r>
    </w:p>
    <w:p w14:paraId="24C2E3CF" w14:textId="3273166B" w:rsidR="00C22305" w:rsidRPr="003D73C3" w:rsidRDefault="469B0204" w:rsidP="0C34660A">
      <w:pPr>
        <w:spacing w:line="300" w:lineRule="atLeast"/>
        <w:jc w:val="both"/>
        <w:rPr>
          <w:rFonts w:eastAsia="Calibri"/>
        </w:rPr>
      </w:pPr>
      <w:r w:rsidRPr="0C34660A">
        <w:rPr>
          <w:rFonts w:eastAsia="Calibri"/>
        </w:rPr>
        <w:t>T</w:t>
      </w:r>
      <w:r w:rsidR="4E96C1D4" w:rsidRPr="0C34660A">
        <w:rPr>
          <w:rFonts w:eastAsia="Calibri"/>
        </w:rPr>
        <w:t>he total annual secondary metal production for copper</w:t>
      </w:r>
      <w:r w:rsidR="0FC78B47" w:rsidRPr="0C34660A">
        <w:rPr>
          <w:rFonts w:eastAsia="Calibri"/>
        </w:rPr>
        <w:t xml:space="preserve">, </w:t>
      </w:r>
      <w:bookmarkStart w:id="149" w:name="_Int_3uVUbaIs"/>
      <w:r w:rsidR="0FC78B47" w:rsidRPr="0C34660A">
        <w:rPr>
          <w:rFonts w:eastAsia="Calibri"/>
        </w:rPr>
        <w:t>brass,</w:t>
      </w:r>
      <w:bookmarkEnd w:id="149"/>
      <w:r w:rsidR="0FC78B47" w:rsidRPr="0C34660A">
        <w:rPr>
          <w:rFonts w:eastAsia="Calibri"/>
        </w:rPr>
        <w:t xml:space="preserve"> and bronze for 2020 </w:t>
      </w:r>
      <w:r w:rsidR="4E96C1D4" w:rsidRPr="0C34660A">
        <w:rPr>
          <w:rFonts w:eastAsia="Calibri"/>
        </w:rPr>
        <w:t xml:space="preserve">was estimated to be </w:t>
      </w:r>
      <w:r w:rsidR="0FC78B47" w:rsidRPr="0C34660A">
        <w:rPr>
          <w:rFonts w:eastAsia="Calibri"/>
        </w:rPr>
        <w:t>2,150</w:t>
      </w:r>
      <w:r w:rsidR="4E96C1D4" w:rsidRPr="0C34660A">
        <w:rPr>
          <w:rFonts w:eastAsia="Calibri"/>
        </w:rPr>
        <w:t xml:space="preserve"> tonnes per year</w:t>
      </w:r>
      <w:r w:rsidR="27C091EA" w:rsidRPr="0C34660A">
        <w:rPr>
          <w:rFonts w:eastAsia="Calibri"/>
        </w:rPr>
        <w:t xml:space="preserve">. </w:t>
      </w:r>
      <w:r w:rsidR="00FB3B2D">
        <w:rPr>
          <w:rFonts w:eastAsia="Calibri"/>
        </w:rPr>
        <w:t>Due to</w:t>
      </w:r>
      <w:r w:rsidR="27C091EA" w:rsidRPr="0C34660A">
        <w:rPr>
          <w:rFonts w:eastAsia="Calibri"/>
        </w:rPr>
        <w:t xml:space="preserve"> </w:t>
      </w:r>
      <w:bookmarkStart w:id="150" w:name="_Int_eDkY4ryQ"/>
      <w:proofErr w:type="gramStart"/>
      <w:r w:rsidR="27C091EA" w:rsidRPr="0C34660A">
        <w:rPr>
          <w:rFonts w:eastAsia="Calibri"/>
        </w:rPr>
        <w:t>a number of</w:t>
      </w:r>
      <w:bookmarkEnd w:id="150"/>
      <w:proofErr w:type="gramEnd"/>
      <w:r w:rsidR="27C091EA" w:rsidRPr="0C34660A">
        <w:rPr>
          <w:rFonts w:eastAsia="Calibri"/>
        </w:rPr>
        <w:t xml:space="preserve"> plant closures </w:t>
      </w:r>
      <w:r w:rsidR="0DD904CD" w:rsidRPr="0C34660A">
        <w:rPr>
          <w:rFonts w:eastAsia="Calibri"/>
        </w:rPr>
        <w:t xml:space="preserve">and the effect of COVID lockdowns in 2020 </w:t>
      </w:r>
      <w:r w:rsidR="27C091EA" w:rsidRPr="0C34660A">
        <w:rPr>
          <w:rFonts w:eastAsia="Calibri"/>
        </w:rPr>
        <w:t>this</w:t>
      </w:r>
      <w:r w:rsidR="4E96C1D4" w:rsidRPr="0C34660A">
        <w:rPr>
          <w:rFonts w:eastAsia="Calibri"/>
        </w:rPr>
        <w:t xml:space="preserve"> is below the production rate estimated for </w:t>
      </w:r>
      <w:r w:rsidRPr="0C34660A">
        <w:rPr>
          <w:rFonts w:eastAsia="Calibri"/>
        </w:rPr>
        <w:t>20</w:t>
      </w:r>
      <w:r w:rsidR="0FC78B47" w:rsidRPr="0C34660A">
        <w:rPr>
          <w:rFonts w:eastAsia="Calibri"/>
        </w:rPr>
        <w:t>16</w:t>
      </w:r>
      <w:r w:rsidR="7D7B4492" w:rsidRPr="0C34660A">
        <w:rPr>
          <w:rFonts w:eastAsia="Calibri"/>
        </w:rPr>
        <w:t xml:space="preserve"> </w:t>
      </w:r>
      <w:r w:rsidR="4E96C1D4" w:rsidRPr="0C34660A">
        <w:rPr>
          <w:rFonts w:eastAsia="Calibri"/>
        </w:rPr>
        <w:t xml:space="preserve">of </w:t>
      </w:r>
      <w:r w:rsidR="0FC78B47" w:rsidRPr="0C34660A">
        <w:rPr>
          <w:rFonts w:eastAsia="Calibri"/>
        </w:rPr>
        <w:t>39</w:t>
      </w:r>
      <w:r w:rsidRPr="0C34660A">
        <w:rPr>
          <w:rFonts w:eastAsia="Calibri"/>
        </w:rPr>
        <w:t>00</w:t>
      </w:r>
      <w:r w:rsidR="4E96C1D4" w:rsidRPr="0C34660A">
        <w:rPr>
          <w:rFonts w:eastAsia="Calibri"/>
        </w:rPr>
        <w:t xml:space="preserve"> tonnes per year. </w:t>
      </w:r>
    </w:p>
    <w:p w14:paraId="63AA48B3" w14:textId="5FCD1874" w:rsidR="007968A4" w:rsidRDefault="4E96C1D4" w:rsidP="00C22305">
      <w:pPr>
        <w:spacing w:line="300" w:lineRule="atLeast"/>
        <w:jc w:val="both"/>
      </w:pPr>
      <w:r>
        <w:t xml:space="preserve">The current release estimates for this sub-category are shown in Table 4-7, along with the estimates from the </w:t>
      </w:r>
      <w:r w:rsidR="469B0204">
        <w:t xml:space="preserve">2012 </w:t>
      </w:r>
      <w:r w:rsidR="0FC78B47">
        <w:t xml:space="preserve">and 2016 </w:t>
      </w:r>
      <w:r>
        <w:t>Invento</w:t>
      </w:r>
      <w:r w:rsidR="0FC78B47">
        <w:t>ries</w:t>
      </w:r>
      <w:r>
        <w:t xml:space="preserve">. The estimates are based on the Toolkit default factors of 3.5 </w:t>
      </w:r>
      <w:r w:rsidRPr="0C34660A">
        <w:rPr>
          <w:lang w:val="en-US"/>
        </w:rPr>
        <w:t xml:space="preserve">µg TEQ per tonne of metal for releases to air and </w:t>
      </w:r>
      <w:r>
        <w:t xml:space="preserve">125 µg TEQ per tonne for releases to land, but the latter factor was adjusted to allow for only 66% of all plants using bag filters. The factor for releases to air is </w:t>
      </w:r>
      <w:bookmarkStart w:id="151" w:name="_Int_FO9OePM4"/>
      <w:r>
        <w:t>reasonably consistent</w:t>
      </w:r>
      <w:bookmarkEnd w:id="151"/>
      <w:r>
        <w:t xml:space="preserve"> with actual release data for New Zealand plants reported from a 2002 industry survey </w:t>
      </w:r>
      <w:r w:rsidR="0DD904CD" w:rsidRPr="0C34660A">
        <w:rPr>
          <w:noProof/>
        </w:rPr>
        <w:t>(Ministry for the Environment, 2004)</w:t>
      </w:r>
      <w:r>
        <w:t>.</w:t>
      </w:r>
    </w:p>
    <w:p w14:paraId="038D539B" w14:textId="00A38856" w:rsidR="00C22305" w:rsidRPr="003D73C3" w:rsidRDefault="007968A4" w:rsidP="007968A4">
      <w:pPr>
        <w:spacing w:after="0"/>
        <w:rPr>
          <w:szCs w:val="18"/>
        </w:rPr>
      </w:pPr>
      <w:r>
        <w:rPr>
          <w:szCs w:val="18"/>
        </w:rPr>
        <w:br w:type="page"/>
      </w:r>
    </w:p>
    <w:p w14:paraId="67F67E6F" w14:textId="109FF646" w:rsidR="009F314F" w:rsidRPr="003D73C3" w:rsidRDefault="5E00DD1B" w:rsidP="0C34660A">
      <w:pPr>
        <w:pStyle w:val="Caption"/>
        <w:jc w:val="left"/>
        <w:rPr>
          <w:rFonts w:cs="Arial"/>
        </w:rPr>
      </w:pPr>
      <w:r w:rsidRPr="003D73C3">
        <w:rPr>
          <w:rFonts w:cs="Arial"/>
        </w:rPr>
        <w:lastRenderedPageBreak/>
        <w:t xml:space="preserve">Table </w:t>
      </w:r>
      <w:r w:rsidR="009F314F" w:rsidRPr="003D73C3">
        <w:rPr>
          <w:rFonts w:cs="Arial"/>
        </w:rPr>
        <w:fldChar w:fldCharType="begin"/>
      </w:r>
      <w:r w:rsidR="009F314F" w:rsidRPr="003D73C3">
        <w:rPr>
          <w:rFonts w:cs="Arial"/>
        </w:rPr>
        <w:instrText xml:space="preserve"> STYLEREF 1 \s </w:instrText>
      </w:r>
      <w:r w:rsidR="009F314F" w:rsidRPr="003D73C3">
        <w:rPr>
          <w:rFonts w:cs="Arial"/>
        </w:rPr>
        <w:fldChar w:fldCharType="separate"/>
      </w:r>
      <w:r w:rsidR="00141D7F">
        <w:rPr>
          <w:rFonts w:cs="Arial"/>
          <w:noProof/>
        </w:rPr>
        <w:t>4</w:t>
      </w:r>
      <w:r w:rsidR="009F314F" w:rsidRPr="003D73C3">
        <w:rPr>
          <w:rFonts w:cs="Arial"/>
        </w:rPr>
        <w:fldChar w:fldCharType="end"/>
      </w:r>
      <w:r w:rsidR="009F314F" w:rsidRPr="003D73C3">
        <w:rPr>
          <w:rFonts w:cs="Arial"/>
        </w:rPr>
        <w:noBreakHyphen/>
      </w:r>
      <w:r w:rsidR="009F314F" w:rsidRPr="003D73C3">
        <w:rPr>
          <w:rFonts w:cs="Arial"/>
        </w:rPr>
        <w:fldChar w:fldCharType="begin"/>
      </w:r>
      <w:r w:rsidR="009F314F" w:rsidRPr="003D73C3">
        <w:rPr>
          <w:rFonts w:cs="Arial"/>
        </w:rPr>
        <w:instrText xml:space="preserve"> SEQ Table \* ARABIC \s 1 </w:instrText>
      </w:r>
      <w:r w:rsidR="009F314F" w:rsidRPr="003D73C3">
        <w:rPr>
          <w:rFonts w:cs="Arial"/>
        </w:rPr>
        <w:fldChar w:fldCharType="separate"/>
      </w:r>
      <w:r w:rsidR="00141D7F">
        <w:rPr>
          <w:rFonts w:cs="Arial"/>
          <w:noProof/>
        </w:rPr>
        <w:t>6</w:t>
      </w:r>
      <w:r w:rsidR="009F314F" w:rsidRPr="003D73C3">
        <w:rPr>
          <w:rFonts w:cs="Arial"/>
        </w:rPr>
        <w:fldChar w:fldCharType="end"/>
      </w:r>
      <w:r w:rsidRPr="003D73C3">
        <w:rPr>
          <w:rFonts w:cs="Arial"/>
        </w:rPr>
        <w:t xml:space="preserve">: Dioxin releases from brass, </w:t>
      </w:r>
      <w:bookmarkStart w:id="152" w:name="_Int_BO4frT6Z"/>
      <w:r w:rsidRPr="003D73C3">
        <w:rPr>
          <w:rFonts w:cs="Arial"/>
        </w:rPr>
        <w:t>bronze,</w:t>
      </w:r>
      <w:bookmarkEnd w:id="152"/>
      <w:r w:rsidRPr="003D73C3">
        <w:rPr>
          <w:rFonts w:cs="Arial"/>
        </w:rPr>
        <w:t xml:space="preserve"> and other non-ferrous metal production</w:t>
      </w:r>
    </w:p>
    <w:tbl>
      <w:tblPr>
        <w:tblStyle w:val="TableGrid"/>
        <w:tblW w:w="0" w:type="auto"/>
        <w:tblLook w:val="04A0" w:firstRow="1" w:lastRow="0" w:firstColumn="1" w:lastColumn="0" w:noHBand="0" w:noVBand="1"/>
      </w:tblPr>
      <w:tblGrid>
        <w:gridCol w:w="804"/>
        <w:gridCol w:w="2594"/>
        <w:gridCol w:w="1433"/>
        <w:gridCol w:w="1455"/>
        <w:gridCol w:w="1359"/>
        <w:gridCol w:w="1416"/>
      </w:tblGrid>
      <w:tr w:rsidR="009F314F" w:rsidRPr="00B40DF8" w14:paraId="4BBCBCE4" w14:textId="77777777" w:rsidTr="00647D89">
        <w:tc>
          <w:tcPr>
            <w:tcW w:w="804" w:type="dxa"/>
            <w:vMerge w:val="restart"/>
            <w:vAlign w:val="center"/>
          </w:tcPr>
          <w:p w14:paraId="765D58B7"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Year</w:t>
            </w:r>
          </w:p>
        </w:tc>
        <w:tc>
          <w:tcPr>
            <w:tcW w:w="2594" w:type="dxa"/>
            <w:vMerge w:val="restart"/>
            <w:vAlign w:val="center"/>
          </w:tcPr>
          <w:p w14:paraId="76215000"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Activity Rate</w:t>
            </w:r>
            <w:r w:rsidRPr="003D73C3">
              <w:rPr>
                <w:rFonts w:ascii="Arial" w:hAnsi="Arial" w:cs="Arial"/>
                <w:b/>
                <w:sz w:val="16"/>
                <w:szCs w:val="18"/>
              </w:rPr>
              <w:br/>
              <w:t>tonnes of metal per year</w:t>
            </w:r>
          </w:p>
        </w:tc>
        <w:tc>
          <w:tcPr>
            <w:tcW w:w="2888" w:type="dxa"/>
            <w:gridSpan w:val="2"/>
            <w:vAlign w:val="center"/>
          </w:tcPr>
          <w:p w14:paraId="77070303"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metal)</w:t>
            </w:r>
          </w:p>
        </w:tc>
        <w:tc>
          <w:tcPr>
            <w:tcW w:w="2775" w:type="dxa"/>
            <w:gridSpan w:val="2"/>
            <w:vAlign w:val="center"/>
          </w:tcPr>
          <w:p w14:paraId="630B8366"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Annual releases (g TEQ/yr)</w:t>
            </w:r>
          </w:p>
        </w:tc>
      </w:tr>
      <w:tr w:rsidR="009F314F" w:rsidRPr="00B40DF8" w14:paraId="27BC1D1E" w14:textId="77777777" w:rsidTr="00E95BD6">
        <w:tc>
          <w:tcPr>
            <w:tcW w:w="804" w:type="dxa"/>
            <w:vMerge/>
          </w:tcPr>
          <w:p w14:paraId="22A752B1" w14:textId="77777777" w:rsidR="009F314F" w:rsidRPr="003D73C3" w:rsidRDefault="009F314F" w:rsidP="009F314F">
            <w:pPr>
              <w:spacing w:before="120"/>
              <w:jc w:val="both"/>
              <w:rPr>
                <w:rFonts w:ascii="Arial" w:hAnsi="Arial" w:cs="Arial"/>
                <w:sz w:val="16"/>
                <w:szCs w:val="18"/>
              </w:rPr>
            </w:pPr>
          </w:p>
        </w:tc>
        <w:tc>
          <w:tcPr>
            <w:tcW w:w="2594" w:type="dxa"/>
            <w:vMerge/>
            <w:vAlign w:val="center"/>
          </w:tcPr>
          <w:p w14:paraId="081C1E4E" w14:textId="77777777" w:rsidR="009F314F" w:rsidRPr="003D73C3" w:rsidRDefault="009F314F" w:rsidP="009F314F">
            <w:pPr>
              <w:spacing w:before="120"/>
              <w:jc w:val="center"/>
              <w:rPr>
                <w:rFonts w:ascii="Arial" w:hAnsi="Arial" w:cs="Arial"/>
                <w:b/>
                <w:sz w:val="16"/>
                <w:szCs w:val="18"/>
              </w:rPr>
            </w:pPr>
          </w:p>
        </w:tc>
        <w:tc>
          <w:tcPr>
            <w:tcW w:w="1433" w:type="dxa"/>
            <w:vAlign w:val="center"/>
          </w:tcPr>
          <w:p w14:paraId="39C34D2F"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Air</w:t>
            </w:r>
          </w:p>
        </w:tc>
        <w:tc>
          <w:tcPr>
            <w:tcW w:w="1455" w:type="dxa"/>
            <w:vAlign w:val="center"/>
          </w:tcPr>
          <w:p w14:paraId="1474DC6B"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Residue</w:t>
            </w:r>
          </w:p>
        </w:tc>
        <w:tc>
          <w:tcPr>
            <w:tcW w:w="1359" w:type="dxa"/>
            <w:vAlign w:val="center"/>
          </w:tcPr>
          <w:p w14:paraId="6238AE44"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Air</w:t>
            </w:r>
          </w:p>
        </w:tc>
        <w:tc>
          <w:tcPr>
            <w:tcW w:w="1416" w:type="dxa"/>
            <w:vAlign w:val="center"/>
          </w:tcPr>
          <w:p w14:paraId="338245CA" w14:textId="77777777" w:rsidR="009F314F" w:rsidRPr="003D73C3" w:rsidRDefault="009F314F" w:rsidP="009F314F">
            <w:pPr>
              <w:spacing w:before="120"/>
              <w:jc w:val="center"/>
              <w:rPr>
                <w:rFonts w:ascii="Arial" w:hAnsi="Arial" w:cs="Arial"/>
                <w:b/>
                <w:sz w:val="16"/>
                <w:szCs w:val="18"/>
              </w:rPr>
            </w:pPr>
            <w:r w:rsidRPr="003D73C3">
              <w:rPr>
                <w:rFonts w:ascii="Arial" w:hAnsi="Arial" w:cs="Arial"/>
                <w:b/>
                <w:sz w:val="16"/>
                <w:szCs w:val="18"/>
              </w:rPr>
              <w:t>Residue</w:t>
            </w:r>
          </w:p>
        </w:tc>
      </w:tr>
      <w:tr w:rsidR="009F314F" w:rsidRPr="00B40DF8" w14:paraId="282479B1" w14:textId="77777777" w:rsidTr="00E95BD6">
        <w:tc>
          <w:tcPr>
            <w:tcW w:w="804" w:type="dxa"/>
            <w:vMerge w:val="restart"/>
            <w:vAlign w:val="center"/>
          </w:tcPr>
          <w:p w14:paraId="76B5CD5B" w14:textId="77777777" w:rsidR="009F314F" w:rsidRPr="003D73C3" w:rsidRDefault="009F314F" w:rsidP="009F314F">
            <w:pPr>
              <w:spacing w:before="120"/>
              <w:rPr>
                <w:rFonts w:ascii="Arial" w:hAnsi="Arial" w:cs="Arial"/>
                <w:b/>
                <w:sz w:val="16"/>
                <w:szCs w:val="18"/>
              </w:rPr>
            </w:pPr>
            <w:r w:rsidRPr="003D73C3">
              <w:rPr>
                <w:rFonts w:ascii="Arial" w:hAnsi="Arial" w:cs="Arial"/>
                <w:b/>
                <w:sz w:val="16"/>
                <w:szCs w:val="18"/>
              </w:rPr>
              <w:t>2012</w:t>
            </w:r>
          </w:p>
        </w:tc>
        <w:tc>
          <w:tcPr>
            <w:tcW w:w="2594" w:type="dxa"/>
            <w:vMerge w:val="restart"/>
            <w:vAlign w:val="center"/>
          </w:tcPr>
          <w:p w14:paraId="37940482"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 xml:space="preserve">12,000 </w:t>
            </w:r>
          </w:p>
        </w:tc>
        <w:tc>
          <w:tcPr>
            <w:tcW w:w="1433" w:type="dxa"/>
            <w:vAlign w:val="center"/>
          </w:tcPr>
          <w:p w14:paraId="447DD102"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3.5</w:t>
            </w:r>
          </w:p>
        </w:tc>
        <w:tc>
          <w:tcPr>
            <w:tcW w:w="1455" w:type="dxa"/>
            <w:vAlign w:val="center"/>
          </w:tcPr>
          <w:p w14:paraId="29C81524" w14:textId="77777777" w:rsidR="009F314F" w:rsidRPr="003D73C3" w:rsidRDefault="009F314F" w:rsidP="009F314F">
            <w:pPr>
              <w:spacing w:before="120"/>
              <w:jc w:val="center"/>
              <w:rPr>
                <w:rFonts w:ascii="Arial" w:hAnsi="Arial" w:cs="Arial"/>
                <w:sz w:val="16"/>
                <w:szCs w:val="18"/>
              </w:rPr>
            </w:pPr>
          </w:p>
        </w:tc>
        <w:tc>
          <w:tcPr>
            <w:tcW w:w="1359" w:type="dxa"/>
            <w:vAlign w:val="center"/>
          </w:tcPr>
          <w:p w14:paraId="7BDFD0A1"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0.042</w:t>
            </w:r>
          </w:p>
        </w:tc>
        <w:tc>
          <w:tcPr>
            <w:tcW w:w="1416" w:type="dxa"/>
          </w:tcPr>
          <w:p w14:paraId="5453A66D" w14:textId="77777777" w:rsidR="009F314F" w:rsidRPr="003D73C3" w:rsidRDefault="009F314F" w:rsidP="009F314F">
            <w:pPr>
              <w:spacing w:before="120"/>
              <w:jc w:val="center"/>
              <w:rPr>
                <w:rFonts w:ascii="Arial" w:hAnsi="Arial" w:cs="Arial"/>
                <w:sz w:val="16"/>
                <w:szCs w:val="18"/>
              </w:rPr>
            </w:pPr>
          </w:p>
        </w:tc>
      </w:tr>
      <w:tr w:rsidR="009F314F" w:rsidRPr="00B40DF8" w14:paraId="66944170" w14:textId="77777777" w:rsidTr="00E95BD6">
        <w:tc>
          <w:tcPr>
            <w:tcW w:w="804" w:type="dxa"/>
            <w:vMerge/>
            <w:vAlign w:val="center"/>
          </w:tcPr>
          <w:p w14:paraId="1A5D49D4" w14:textId="77777777" w:rsidR="009F314F" w:rsidRPr="003D73C3" w:rsidRDefault="009F314F" w:rsidP="009F314F">
            <w:pPr>
              <w:spacing w:before="120"/>
              <w:rPr>
                <w:rFonts w:ascii="Arial" w:hAnsi="Arial" w:cs="Arial"/>
                <w:b/>
                <w:sz w:val="16"/>
                <w:szCs w:val="18"/>
              </w:rPr>
            </w:pPr>
          </w:p>
        </w:tc>
        <w:tc>
          <w:tcPr>
            <w:tcW w:w="2594" w:type="dxa"/>
            <w:vMerge/>
            <w:vAlign w:val="center"/>
          </w:tcPr>
          <w:p w14:paraId="07E60B48" w14:textId="77777777" w:rsidR="009F314F" w:rsidRPr="003D73C3" w:rsidRDefault="009F314F" w:rsidP="009F314F">
            <w:pPr>
              <w:spacing w:before="120"/>
              <w:jc w:val="center"/>
              <w:rPr>
                <w:rFonts w:ascii="Arial" w:hAnsi="Arial" w:cs="Arial"/>
                <w:sz w:val="16"/>
                <w:szCs w:val="18"/>
              </w:rPr>
            </w:pPr>
          </w:p>
        </w:tc>
        <w:tc>
          <w:tcPr>
            <w:tcW w:w="1433" w:type="dxa"/>
            <w:vAlign w:val="center"/>
          </w:tcPr>
          <w:p w14:paraId="1F4B84A7" w14:textId="77777777" w:rsidR="009F314F" w:rsidRPr="003D73C3" w:rsidRDefault="009F314F" w:rsidP="009F314F">
            <w:pPr>
              <w:spacing w:before="120"/>
              <w:jc w:val="center"/>
              <w:rPr>
                <w:rFonts w:ascii="Arial" w:hAnsi="Arial" w:cs="Arial"/>
                <w:sz w:val="16"/>
                <w:szCs w:val="18"/>
              </w:rPr>
            </w:pPr>
          </w:p>
        </w:tc>
        <w:tc>
          <w:tcPr>
            <w:tcW w:w="1455" w:type="dxa"/>
            <w:vAlign w:val="center"/>
          </w:tcPr>
          <w:p w14:paraId="2F2CB6B0"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82.75</w:t>
            </w:r>
          </w:p>
        </w:tc>
        <w:tc>
          <w:tcPr>
            <w:tcW w:w="1359" w:type="dxa"/>
            <w:vAlign w:val="center"/>
          </w:tcPr>
          <w:p w14:paraId="6169445E" w14:textId="77777777" w:rsidR="009F314F" w:rsidRPr="003D73C3" w:rsidRDefault="009F314F" w:rsidP="009F314F">
            <w:pPr>
              <w:spacing w:before="120"/>
              <w:jc w:val="center"/>
              <w:rPr>
                <w:rFonts w:ascii="Arial" w:hAnsi="Arial" w:cs="Arial"/>
                <w:sz w:val="16"/>
                <w:szCs w:val="18"/>
              </w:rPr>
            </w:pPr>
          </w:p>
        </w:tc>
        <w:tc>
          <w:tcPr>
            <w:tcW w:w="1416" w:type="dxa"/>
          </w:tcPr>
          <w:p w14:paraId="1E70C076"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0.993</w:t>
            </w:r>
          </w:p>
        </w:tc>
      </w:tr>
      <w:tr w:rsidR="009F314F" w:rsidRPr="00B40DF8" w14:paraId="6D1C5995" w14:textId="77777777" w:rsidTr="00E95BD6">
        <w:tc>
          <w:tcPr>
            <w:tcW w:w="804" w:type="dxa"/>
            <w:vMerge w:val="restart"/>
            <w:vAlign w:val="center"/>
          </w:tcPr>
          <w:p w14:paraId="609F45F8" w14:textId="77777777" w:rsidR="009F314F" w:rsidRPr="003D73C3" w:rsidRDefault="009F314F" w:rsidP="009F314F">
            <w:pPr>
              <w:spacing w:before="120"/>
              <w:rPr>
                <w:rFonts w:ascii="Arial" w:hAnsi="Arial" w:cs="Arial"/>
                <w:b/>
                <w:sz w:val="16"/>
                <w:szCs w:val="18"/>
              </w:rPr>
            </w:pPr>
            <w:r w:rsidRPr="003D73C3">
              <w:rPr>
                <w:rFonts w:ascii="Arial" w:hAnsi="Arial" w:cs="Arial"/>
                <w:b/>
                <w:sz w:val="16"/>
                <w:szCs w:val="18"/>
              </w:rPr>
              <w:t>2016</w:t>
            </w:r>
          </w:p>
        </w:tc>
        <w:tc>
          <w:tcPr>
            <w:tcW w:w="2594" w:type="dxa"/>
            <w:vMerge w:val="restart"/>
            <w:vAlign w:val="center"/>
          </w:tcPr>
          <w:p w14:paraId="594C2497" w14:textId="43B61A65" w:rsidR="009F314F" w:rsidRPr="003D73C3" w:rsidRDefault="0040124D" w:rsidP="009F314F">
            <w:pPr>
              <w:spacing w:before="120"/>
              <w:jc w:val="center"/>
              <w:rPr>
                <w:rFonts w:ascii="Arial" w:hAnsi="Arial" w:cs="Arial"/>
                <w:sz w:val="16"/>
                <w:szCs w:val="18"/>
              </w:rPr>
            </w:pPr>
            <w:r w:rsidRPr="003D73C3">
              <w:rPr>
                <w:rFonts w:ascii="Arial" w:hAnsi="Arial" w:cs="Arial"/>
                <w:sz w:val="16"/>
                <w:szCs w:val="18"/>
              </w:rPr>
              <w:t>3,900</w:t>
            </w:r>
          </w:p>
        </w:tc>
        <w:tc>
          <w:tcPr>
            <w:tcW w:w="1433" w:type="dxa"/>
            <w:vAlign w:val="center"/>
          </w:tcPr>
          <w:p w14:paraId="5924AB77"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3.5</w:t>
            </w:r>
          </w:p>
        </w:tc>
        <w:tc>
          <w:tcPr>
            <w:tcW w:w="1455" w:type="dxa"/>
            <w:vAlign w:val="center"/>
          </w:tcPr>
          <w:p w14:paraId="6ED2E2AC" w14:textId="77777777" w:rsidR="009F314F" w:rsidRPr="003D73C3" w:rsidRDefault="009F314F" w:rsidP="009F314F">
            <w:pPr>
              <w:spacing w:before="120"/>
              <w:jc w:val="center"/>
              <w:rPr>
                <w:rFonts w:ascii="Arial" w:hAnsi="Arial" w:cs="Arial"/>
                <w:sz w:val="16"/>
                <w:szCs w:val="18"/>
              </w:rPr>
            </w:pPr>
          </w:p>
        </w:tc>
        <w:tc>
          <w:tcPr>
            <w:tcW w:w="1359" w:type="dxa"/>
            <w:vAlign w:val="center"/>
          </w:tcPr>
          <w:p w14:paraId="2B4ED6A6" w14:textId="561C1192"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0.01</w:t>
            </w:r>
            <w:r w:rsidR="005C4532" w:rsidRPr="003D73C3">
              <w:rPr>
                <w:rFonts w:ascii="Arial" w:hAnsi="Arial" w:cs="Arial"/>
                <w:sz w:val="16"/>
                <w:szCs w:val="18"/>
              </w:rPr>
              <w:t>4</w:t>
            </w:r>
          </w:p>
        </w:tc>
        <w:tc>
          <w:tcPr>
            <w:tcW w:w="1416" w:type="dxa"/>
          </w:tcPr>
          <w:p w14:paraId="0A8D6304" w14:textId="77777777" w:rsidR="009F314F" w:rsidRPr="003D73C3" w:rsidRDefault="009F314F" w:rsidP="009F314F">
            <w:pPr>
              <w:spacing w:before="120"/>
              <w:jc w:val="center"/>
              <w:rPr>
                <w:rFonts w:ascii="Arial" w:hAnsi="Arial" w:cs="Arial"/>
                <w:sz w:val="16"/>
                <w:szCs w:val="18"/>
              </w:rPr>
            </w:pPr>
          </w:p>
        </w:tc>
      </w:tr>
      <w:tr w:rsidR="009F314F" w:rsidRPr="00B40DF8" w14:paraId="26F182FC" w14:textId="77777777" w:rsidTr="00E95BD6">
        <w:tc>
          <w:tcPr>
            <w:tcW w:w="804" w:type="dxa"/>
            <w:vMerge/>
            <w:vAlign w:val="center"/>
          </w:tcPr>
          <w:p w14:paraId="73A58DC1" w14:textId="77777777" w:rsidR="009F314F" w:rsidRPr="003D73C3" w:rsidRDefault="009F314F" w:rsidP="009F314F">
            <w:pPr>
              <w:spacing w:before="120"/>
              <w:rPr>
                <w:rFonts w:ascii="Arial" w:hAnsi="Arial" w:cs="Arial"/>
                <w:b/>
                <w:sz w:val="16"/>
                <w:szCs w:val="18"/>
              </w:rPr>
            </w:pPr>
          </w:p>
        </w:tc>
        <w:tc>
          <w:tcPr>
            <w:tcW w:w="2594" w:type="dxa"/>
            <w:vMerge/>
            <w:vAlign w:val="center"/>
          </w:tcPr>
          <w:p w14:paraId="313C2338" w14:textId="77777777" w:rsidR="009F314F" w:rsidRPr="003D73C3" w:rsidRDefault="009F314F" w:rsidP="009F314F">
            <w:pPr>
              <w:spacing w:before="120"/>
              <w:jc w:val="center"/>
              <w:rPr>
                <w:rFonts w:ascii="Arial" w:hAnsi="Arial" w:cs="Arial"/>
                <w:sz w:val="16"/>
                <w:szCs w:val="18"/>
              </w:rPr>
            </w:pPr>
          </w:p>
        </w:tc>
        <w:tc>
          <w:tcPr>
            <w:tcW w:w="1433" w:type="dxa"/>
            <w:vAlign w:val="center"/>
          </w:tcPr>
          <w:p w14:paraId="6B1FE9CB" w14:textId="77777777" w:rsidR="009F314F" w:rsidRPr="003D73C3" w:rsidRDefault="009F314F" w:rsidP="009F314F">
            <w:pPr>
              <w:spacing w:before="120"/>
              <w:jc w:val="center"/>
              <w:rPr>
                <w:rFonts w:ascii="Arial" w:hAnsi="Arial" w:cs="Arial"/>
                <w:sz w:val="16"/>
                <w:szCs w:val="18"/>
              </w:rPr>
            </w:pPr>
          </w:p>
        </w:tc>
        <w:tc>
          <w:tcPr>
            <w:tcW w:w="1455" w:type="dxa"/>
            <w:vAlign w:val="center"/>
          </w:tcPr>
          <w:p w14:paraId="4258F167" w14:textId="77777777"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82.75</w:t>
            </w:r>
          </w:p>
        </w:tc>
        <w:tc>
          <w:tcPr>
            <w:tcW w:w="1359" w:type="dxa"/>
            <w:vAlign w:val="center"/>
          </w:tcPr>
          <w:p w14:paraId="6931E265" w14:textId="77777777" w:rsidR="009F314F" w:rsidRPr="003D73C3" w:rsidRDefault="009F314F" w:rsidP="009F314F">
            <w:pPr>
              <w:spacing w:before="120"/>
              <w:jc w:val="center"/>
              <w:rPr>
                <w:rFonts w:ascii="Arial" w:hAnsi="Arial" w:cs="Arial"/>
                <w:sz w:val="16"/>
                <w:szCs w:val="18"/>
              </w:rPr>
            </w:pPr>
          </w:p>
        </w:tc>
        <w:tc>
          <w:tcPr>
            <w:tcW w:w="1416" w:type="dxa"/>
          </w:tcPr>
          <w:p w14:paraId="39C71EB3" w14:textId="00AB11FA" w:rsidR="009F314F" w:rsidRPr="003D73C3" w:rsidRDefault="009F314F" w:rsidP="009F314F">
            <w:pPr>
              <w:spacing w:before="120"/>
              <w:jc w:val="center"/>
              <w:rPr>
                <w:rFonts w:ascii="Arial" w:hAnsi="Arial" w:cs="Arial"/>
                <w:sz w:val="16"/>
                <w:szCs w:val="18"/>
              </w:rPr>
            </w:pPr>
            <w:r w:rsidRPr="003D73C3">
              <w:rPr>
                <w:rFonts w:ascii="Arial" w:hAnsi="Arial" w:cs="Arial"/>
                <w:sz w:val="16"/>
                <w:szCs w:val="18"/>
              </w:rPr>
              <w:t>0.3</w:t>
            </w:r>
            <w:r w:rsidR="005C4532" w:rsidRPr="003D73C3">
              <w:rPr>
                <w:rFonts w:ascii="Arial" w:hAnsi="Arial" w:cs="Arial"/>
                <w:sz w:val="16"/>
                <w:szCs w:val="18"/>
              </w:rPr>
              <w:t>23</w:t>
            </w:r>
          </w:p>
        </w:tc>
      </w:tr>
      <w:tr w:rsidR="00B40DF8" w:rsidRPr="00B40DF8" w14:paraId="46F22880" w14:textId="77777777" w:rsidTr="00E95BD6">
        <w:tc>
          <w:tcPr>
            <w:tcW w:w="804" w:type="dxa"/>
            <w:vMerge w:val="restart"/>
            <w:vAlign w:val="center"/>
          </w:tcPr>
          <w:p w14:paraId="519883D1" w14:textId="634011DB" w:rsidR="00B40DF8" w:rsidRPr="003D73C3" w:rsidRDefault="00B40DF8" w:rsidP="009F314F">
            <w:pPr>
              <w:spacing w:before="120"/>
              <w:rPr>
                <w:rFonts w:ascii="Arial" w:hAnsi="Arial" w:cs="Arial"/>
                <w:b/>
                <w:sz w:val="16"/>
                <w:szCs w:val="18"/>
              </w:rPr>
            </w:pPr>
            <w:r w:rsidRPr="003D73C3">
              <w:rPr>
                <w:rFonts w:ascii="Arial" w:hAnsi="Arial" w:cs="Arial"/>
                <w:b/>
                <w:sz w:val="16"/>
                <w:szCs w:val="18"/>
              </w:rPr>
              <w:t>2020</w:t>
            </w:r>
          </w:p>
        </w:tc>
        <w:tc>
          <w:tcPr>
            <w:tcW w:w="2594" w:type="dxa"/>
            <w:vMerge w:val="restart"/>
            <w:vAlign w:val="center"/>
          </w:tcPr>
          <w:p w14:paraId="6305BB58" w14:textId="2C8067EC" w:rsidR="00B40DF8" w:rsidRPr="003D73C3" w:rsidRDefault="00B40DF8" w:rsidP="009F314F">
            <w:pPr>
              <w:spacing w:before="120"/>
              <w:jc w:val="center"/>
              <w:rPr>
                <w:rFonts w:ascii="Arial" w:hAnsi="Arial" w:cs="Arial"/>
                <w:sz w:val="16"/>
                <w:szCs w:val="18"/>
              </w:rPr>
            </w:pPr>
            <w:r w:rsidRPr="003D73C3">
              <w:rPr>
                <w:rFonts w:ascii="Arial" w:hAnsi="Arial" w:cs="Arial"/>
                <w:sz w:val="16"/>
                <w:szCs w:val="18"/>
              </w:rPr>
              <w:t>2,150</w:t>
            </w:r>
          </w:p>
        </w:tc>
        <w:tc>
          <w:tcPr>
            <w:tcW w:w="1433" w:type="dxa"/>
            <w:vAlign w:val="center"/>
          </w:tcPr>
          <w:p w14:paraId="6DF117AD" w14:textId="402A9554" w:rsidR="00B40DF8" w:rsidRPr="003D73C3" w:rsidRDefault="00B40DF8" w:rsidP="009F314F">
            <w:pPr>
              <w:spacing w:before="120"/>
              <w:jc w:val="center"/>
              <w:rPr>
                <w:rFonts w:ascii="Arial" w:hAnsi="Arial" w:cs="Arial"/>
                <w:sz w:val="16"/>
                <w:szCs w:val="18"/>
              </w:rPr>
            </w:pPr>
            <w:r w:rsidRPr="003D73C3">
              <w:rPr>
                <w:rFonts w:ascii="Arial" w:hAnsi="Arial" w:cs="Arial"/>
                <w:sz w:val="16"/>
                <w:szCs w:val="18"/>
              </w:rPr>
              <w:t>3.5</w:t>
            </w:r>
          </w:p>
        </w:tc>
        <w:tc>
          <w:tcPr>
            <w:tcW w:w="1455" w:type="dxa"/>
            <w:vAlign w:val="center"/>
          </w:tcPr>
          <w:p w14:paraId="55263996" w14:textId="77777777" w:rsidR="00B40DF8" w:rsidRPr="003D73C3" w:rsidRDefault="00B40DF8" w:rsidP="009F314F">
            <w:pPr>
              <w:spacing w:before="120"/>
              <w:jc w:val="center"/>
              <w:rPr>
                <w:rFonts w:ascii="Arial" w:hAnsi="Arial" w:cs="Arial"/>
                <w:sz w:val="16"/>
                <w:szCs w:val="18"/>
              </w:rPr>
            </w:pPr>
          </w:p>
        </w:tc>
        <w:tc>
          <w:tcPr>
            <w:tcW w:w="1359" w:type="dxa"/>
            <w:vAlign w:val="center"/>
          </w:tcPr>
          <w:p w14:paraId="367C2581" w14:textId="1147089F" w:rsidR="00B40DF8" w:rsidRPr="003D73C3" w:rsidRDefault="004B026B" w:rsidP="009F314F">
            <w:pPr>
              <w:spacing w:before="120"/>
              <w:jc w:val="center"/>
              <w:rPr>
                <w:rFonts w:ascii="Arial" w:hAnsi="Arial" w:cs="Arial"/>
                <w:sz w:val="16"/>
                <w:szCs w:val="18"/>
              </w:rPr>
            </w:pPr>
            <w:r>
              <w:rPr>
                <w:rFonts w:ascii="Arial" w:hAnsi="Arial" w:cs="Arial"/>
                <w:sz w:val="16"/>
                <w:szCs w:val="18"/>
              </w:rPr>
              <w:t>0.008</w:t>
            </w:r>
          </w:p>
        </w:tc>
        <w:tc>
          <w:tcPr>
            <w:tcW w:w="1416" w:type="dxa"/>
          </w:tcPr>
          <w:p w14:paraId="53B7A2EC" w14:textId="77777777" w:rsidR="00B40DF8" w:rsidRPr="003D73C3" w:rsidRDefault="00B40DF8" w:rsidP="009F314F">
            <w:pPr>
              <w:spacing w:before="120"/>
              <w:jc w:val="center"/>
              <w:rPr>
                <w:rFonts w:ascii="Arial" w:hAnsi="Arial" w:cs="Arial"/>
                <w:sz w:val="16"/>
                <w:szCs w:val="18"/>
              </w:rPr>
            </w:pPr>
          </w:p>
        </w:tc>
      </w:tr>
      <w:tr w:rsidR="00B40DF8" w:rsidRPr="00AF1200" w14:paraId="035B54BC" w14:textId="77777777" w:rsidTr="00E95BD6">
        <w:tc>
          <w:tcPr>
            <w:tcW w:w="804" w:type="dxa"/>
            <w:vMerge/>
            <w:vAlign w:val="center"/>
          </w:tcPr>
          <w:p w14:paraId="52665E70" w14:textId="77777777" w:rsidR="00B40DF8" w:rsidRPr="003D73C3" w:rsidRDefault="00B40DF8" w:rsidP="009F314F">
            <w:pPr>
              <w:spacing w:before="120"/>
              <w:rPr>
                <w:rFonts w:ascii="Arial" w:hAnsi="Arial" w:cs="Arial"/>
                <w:b/>
                <w:sz w:val="16"/>
                <w:szCs w:val="18"/>
              </w:rPr>
            </w:pPr>
          </w:p>
        </w:tc>
        <w:tc>
          <w:tcPr>
            <w:tcW w:w="2594" w:type="dxa"/>
            <w:vMerge/>
            <w:vAlign w:val="center"/>
          </w:tcPr>
          <w:p w14:paraId="3C41D99C" w14:textId="77777777" w:rsidR="00B40DF8" w:rsidRPr="003D73C3" w:rsidRDefault="00B40DF8" w:rsidP="009F314F">
            <w:pPr>
              <w:spacing w:before="120"/>
              <w:jc w:val="center"/>
              <w:rPr>
                <w:rFonts w:ascii="Arial" w:hAnsi="Arial" w:cs="Arial"/>
                <w:sz w:val="16"/>
                <w:szCs w:val="18"/>
              </w:rPr>
            </w:pPr>
          </w:p>
        </w:tc>
        <w:tc>
          <w:tcPr>
            <w:tcW w:w="1433" w:type="dxa"/>
            <w:vAlign w:val="center"/>
          </w:tcPr>
          <w:p w14:paraId="4546173A" w14:textId="77777777" w:rsidR="00B40DF8" w:rsidRPr="003D73C3" w:rsidRDefault="00B40DF8" w:rsidP="009F314F">
            <w:pPr>
              <w:spacing w:before="120"/>
              <w:jc w:val="center"/>
              <w:rPr>
                <w:rFonts w:ascii="Arial" w:hAnsi="Arial" w:cs="Arial"/>
                <w:sz w:val="16"/>
                <w:szCs w:val="18"/>
              </w:rPr>
            </w:pPr>
          </w:p>
        </w:tc>
        <w:tc>
          <w:tcPr>
            <w:tcW w:w="1455" w:type="dxa"/>
            <w:vAlign w:val="center"/>
          </w:tcPr>
          <w:p w14:paraId="2CF5F8F1" w14:textId="6960E232" w:rsidR="00B40DF8" w:rsidRPr="003D73C3" w:rsidRDefault="00B40DF8" w:rsidP="009F314F">
            <w:pPr>
              <w:spacing w:before="120"/>
              <w:jc w:val="center"/>
              <w:rPr>
                <w:rFonts w:ascii="Arial" w:hAnsi="Arial" w:cs="Arial"/>
                <w:sz w:val="16"/>
                <w:szCs w:val="18"/>
              </w:rPr>
            </w:pPr>
            <w:r w:rsidRPr="003D73C3">
              <w:rPr>
                <w:rFonts w:ascii="Arial" w:hAnsi="Arial" w:cs="Arial"/>
                <w:sz w:val="16"/>
                <w:szCs w:val="18"/>
              </w:rPr>
              <w:t>82.75</w:t>
            </w:r>
          </w:p>
        </w:tc>
        <w:tc>
          <w:tcPr>
            <w:tcW w:w="1359" w:type="dxa"/>
            <w:vAlign w:val="center"/>
          </w:tcPr>
          <w:p w14:paraId="735C0C77" w14:textId="77777777" w:rsidR="00B40DF8" w:rsidRPr="003D73C3" w:rsidRDefault="00B40DF8" w:rsidP="009F314F">
            <w:pPr>
              <w:spacing w:before="120"/>
              <w:jc w:val="center"/>
              <w:rPr>
                <w:rFonts w:ascii="Arial" w:hAnsi="Arial" w:cs="Arial"/>
                <w:sz w:val="16"/>
                <w:szCs w:val="18"/>
              </w:rPr>
            </w:pPr>
          </w:p>
        </w:tc>
        <w:tc>
          <w:tcPr>
            <w:tcW w:w="1416" w:type="dxa"/>
          </w:tcPr>
          <w:p w14:paraId="2D57260C" w14:textId="0CAFB214" w:rsidR="00B40DF8" w:rsidRPr="003D73C3" w:rsidRDefault="004B026B" w:rsidP="009F314F">
            <w:pPr>
              <w:spacing w:before="120"/>
              <w:jc w:val="center"/>
              <w:rPr>
                <w:rFonts w:ascii="Arial" w:hAnsi="Arial" w:cs="Arial"/>
                <w:sz w:val="16"/>
                <w:szCs w:val="18"/>
              </w:rPr>
            </w:pPr>
            <w:r>
              <w:rPr>
                <w:rFonts w:ascii="Arial" w:hAnsi="Arial" w:cs="Arial"/>
                <w:sz w:val="16"/>
                <w:szCs w:val="18"/>
              </w:rPr>
              <w:t>0.178</w:t>
            </w:r>
          </w:p>
        </w:tc>
      </w:tr>
    </w:tbl>
    <w:p w14:paraId="16B3E654" w14:textId="4EEB48E8" w:rsidR="00C22305" w:rsidRPr="003D73C3" w:rsidRDefault="00C22305" w:rsidP="00C22305">
      <w:pPr>
        <w:tabs>
          <w:tab w:val="left" w:pos="2760"/>
        </w:tabs>
        <w:spacing w:before="120" w:line="300" w:lineRule="atLeast"/>
        <w:jc w:val="both"/>
        <w:rPr>
          <w:rFonts w:ascii="Arial" w:hAnsi="Arial" w:cs="Arial"/>
          <w:b/>
          <w:szCs w:val="18"/>
        </w:rPr>
      </w:pPr>
      <w:bookmarkStart w:id="153" w:name="_Ref391211656"/>
      <w:r w:rsidRPr="003D73C3">
        <w:rPr>
          <w:rFonts w:ascii="Arial" w:hAnsi="Arial" w:cs="Arial"/>
          <w:b/>
          <w:szCs w:val="18"/>
        </w:rPr>
        <w:t xml:space="preserve">Certainty assessment for </w:t>
      </w:r>
      <w:r w:rsidR="00B40DF8" w:rsidRPr="003D73C3">
        <w:rPr>
          <w:rFonts w:ascii="Arial" w:hAnsi="Arial" w:cs="Arial"/>
          <w:b/>
          <w:szCs w:val="18"/>
        </w:rPr>
        <w:t>2020</w:t>
      </w:r>
    </w:p>
    <w:p w14:paraId="0E97DC31" w14:textId="77777777" w:rsidR="00C22305" w:rsidRPr="003D73C3" w:rsidRDefault="00C22305" w:rsidP="00C22305">
      <w:pPr>
        <w:tabs>
          <w:tab w:val="left" w:pos="1701"/>
        </w:tabs>
        <w:spacing w:after="0" w:line="300" w:lineRule="atLeast"/>
        <w:jc w:val="both"/>
        <w:rPr>
          <w:szCs w:val="18"/>
        </w:rPr>
      </w:pPr>
      <w:r w:rsidRPr="003D73C3">
        <w:rPr>
          <w:szCs w:val="18"/>
        </w:rPr>
        <w:t xml:space="preserve">Activity data: </w:t>
      </w:r>
      <w:r w:rsidRPr="003D73C3">
        <w:rPr>
          <w:szCs w:val="18"/>
        </w:rPr>
        <w:tab/>
        <w:t>Medium (because they are based on survey data)</w:t>
      </w:r>
    </w:p>
    <w:p w14:paraId="6424D399" w14:textId="64DBFDFF" w:rsidR="00C22305" w:rsidRPr="00AF1200" w:rsidRDefault="00C22305" w:rsidP="006E06B8">
      <w:pPr>
        <w:tabs>
          <w:tab w:val="left" w:pos="1701"/>
        </w:tabs>
        <w:spacing w:line="240" w:lineRule="exact"/>
        <w:jc w:val="both"/>
        <w:rPr>
          <w:rFonts w:ascii="Arial" w:hAnsi="Arial" w:cs="Arial"/>
          <w:b/>
          <w:bCs/>
          <w:highlight w:val="yellow"/>
        </w:rPr>
      </w:pPr>
      <w:r w:rsidRPr="003D73C3">
        <w:rPr>
          <w:szCs w:val="18"/>
        </w:rPr>
        <w:t xml:space="preserve">Emission factors: </w:t>
      </w:r>
      <w:r w:rsidRPr="003D73C3">
        <w:rPr>
          <w:szCs w:val="18"/>
        </w:rPr>
        <w:tab/>
        <w:t>Medium (because they are based on historical NZ emission data</w:t>
      </w:r>
      <w:r w:rsidR="000D1AC0">
        <w:rPr>
          <w:szCs w:val="18"/>
        </w:rPr>
        <w:t>)</w:t>
      </w:r>
    </w:p>
    <w:p w14:paraId="10F088DA" w14:textId="77777777" w:rsidR="00C22305" w:rsidRPr="003D73C3" w:rsidRDefault="00C22305" w:rsidP="00261F78">
      <w:pPr>
        <w:pStyle w:val="Heading2"/>
      </w:pPr>
      <w:bookmarkStart w:id="154" w:name="_Toc112768085"/>
      <w:bookmarkEnd w:id="153"/>
      <w:r w:rsidRPr="003D73C3">
        <w:t>Magnesium production</w:t>
      </w:r>
      <w:bookmarkEnd w:id="154"/>
    </w:p>
    <w:p w14:paraId="76BEDAE6" w14:textId="1C9BF91C" w:rsidR="00C22305" w:rsidRPr="003D73C3" w:rsidRDefault="00C22305" w:rsidP="00C22305">
      <w:pPr>
        <w:spacing w:line="300" w:lineRule="atLeast"/>
        <w:jc w:val="both"/>
        <w:rPr>
          <w:szCs w:val="18"/>
        </w:rPr>
      </w:pPr>
      <w:r w:rsidRPr="003D73C3">
        <w:rPr>
          <w:szCs w:val="18"/>
        </w:rPr>
        <w:t xml:space="preserve">This Toolkit sub-category covers the production of metallic magnesium, for which there is no such activity in New Zealand </w:t>
      </w:r>
      <w:r w:rsidR="0004550C" w:rsidRPr="003D73C3">
        <w:rPr>
          <w:noProof/>
          <w:szCs w:val="18"/>
        </w:rPr>
        <w:t>(Crown Minerals, undated)</w:t>
      </w:r>
      <w:r w:rsidRPr="003D73C3">
        <w:rPr>
          <w:szCs w:val="18"/>
        </w:rPr>
        <w:t>.</w:t>
      </w:r>
    </w:p>
    <w:p w14:paraId="12E0A33E" w14:textId="77777777" w:rsidR="00C22305" w:rsidRPr="003D73C3" w:rsidRDefault="00C22305" w:rsidP="00261F78">
      <w:pPr>
        <w:pStyle w:val="Heading2"/>
      </w:pPr>
      <w:bookmarkStart w:id="155" w:name="_Toc112768086"/>
      <w:r w:rsidRPr="003D73C3">
        <w:t>Other non-ferrous metal production</w:t>
      </w:r>
      <w:bookmarkEnd w:id="155"/>
    </w:p>
    <w:p w14:paraId="4EE33466" w14:textId="129485AE" w:rsidR="00C22305" w:rsidRPr="003D73C3" w:rsidRDefault="00C22305" w:rsidP="00C22305">
      <w:pPr>
        <w:spacing w:line="300" w:lineRule="atLeast"/>
        <w:jc w:val="both"/>
        <w:rPr>
          <w:szCs w:val="18"/>
        </w:rPr>
      </w:pPr>
      <w:r w:rsidRPr="003D73C3">
        <w:rPr>
          <w:szCs w:val="18"/>
        </w:rPr>
        <w:t xml:space="preserve">This Toolkit sub-category covers the primary production of other non-ferrous metals, such as cadmium and nickel, for which there is no such activity in New Zealand </w:t>
      </w:r>
      <w:r w:rsidR="0004550C" w:rsidRPr="003D73C3">
        <w:rPr>
          <w:noProof/>
          <w:szCs w:val="18"/>
        </w:rPr>
        <w:t>(Crown Minerals, undated)</w:t>
      </w:r>
      <w:r w:rsidRPr="003D73C3">
        <w:rPr>
          <w:szCs w:val="18"/>
        </w:rPr>
        <w:t>.</w:t>
      </w:r>
    </w:p>
    <w:p w14:paraId="2DFD0A68" w14:textId="77777777" w:rsidR="00044E38" w:rsidRPr="003D73C3" w:rsidRDefault="008211F6" w:rsidP="00261F78">
      <w:pPr>
        <w:pStyle w:val="Heading2"/>
      </w:pPr>
      <w:bookmarkStart w:id="156" w:name="_Ref359569603"/>
      <w:bookmarkStart w:id="157" w:name="_Toc112768087"/>
      <w:r w:rsidRPr="003D73C3">
        <w:t>Metal shredding</w:t>
      </w:r>
      <w:bookmarkEnd w:id="156"/>
      <w:bookmarkEnd w:id="157"/>
    </w:p>
    <w:p w14:paraId="0EFF0992" w14:textId="25EF92F9" w:rsidR="00E37486" w:rsidRPr="003D73C3" w:rsidRDefault="009D3448" w:rsidP="00E37486">
      <w:pPr>
        <w:spacing w:line="300" w:lineRule="atLeast"/>
        <w:jc w:val="both"/>
        <w:rPr>
          <w:szCs w:val="18"/>
        </w:rPr>
      </w:pPr>
      <w:r w:rsidRPr="003D73C3">
        <w:rPr>
          <w:szCs w:val="18"/>
        </w:rPr>
        <w:t>Metal shredding in New Zealand</w:t>
      </w:r>
      <w:r w:rsidR="002872B0" w:rsidRPr="003D73C3">
        <w:rPr>
          <w:szCs w:val="18"/>
        </w:rPr>
        <w:t xml:space="preserve"> </w:t>
      </w:r>
      <w:r w:rsidRPr="003D73C3">
        <w:rPr>
          <w:szCs w:val="18"/>
        </w:rPr>
        <w:t>is conducted</w:t>
      </w:r>
      <w:r w:rsidR="00E37486" w:rsidRPr="003D73C3">
        <w:rPr>
          <w:szCs w:val="18"/>
        </w:rPr>
        <w:t xml:space="preserve"> </w:t>
      </w:r>
      <w:r w:rsidR="00983A70">
        <w:rPr>
          <w:szCs w:val="18"/>
        </w:rPr>
        <w:t xml:space="preserve">at nine locations </w:t>
      </w:r>
      <w:r w:rsidR="00E37486" w:rsidRPr="003D73C3">
        <w:rPr>
          <w:szCs w:val="18"/>
        </w:rPr>
        <w:t>by</w:t>
      </w:r>
      <w:r w:rsidR="00983A70">
        <w:rPr>
          <w:szCs w:val="18"/>
        </w:rPr>
        <w:t xml:space="preserve"> </w:t>
      </w:r>
      <w:proofErr w:type="gramStart"/>
      <w:r w:rsidR="00983A70">
        <w:rPr>
          <w:szCs w:val="18"/>
        </w:rPr>
        <w:t>a number of</w:t>
      </w:r>
      <w:proofErr w:type="gramEnd"/>
      <w:r w:rsidR="00983A70">
        <w:rPr>
          <w:szCs w:val="18"/>
        </w:rPr>
        <w:t xml:space="preserve"> different scrap metal companies.  </w:t>
      </w:r>
      <w:r w:rsidR="002872B0" w:rsidRPr="003D73C3">
        <w:rPr>
          <w:szCs w:val="18"/>
        </w:rPr>
        <w:t>The</w:t>
      </w:r>
      <w:r w:rsidR="00983A70">
        <w:rPr>
          <w:szCs w:val="18"/>
        </w:rPr>
        <w:t xml:space="preserve">se </w:t>
      </w:r>
      <w:r w:rsidR="002872B0" w:rsidRPr="003D73C3">
        <w:rPr>
          <w:szCs w:val="18"/>
        </w:rPr>
        <w:t>compan</w:t>
      </w:r>
      <w:r w:rsidR="00983A70">
        <w:rPr>
          <w:szCs w:val="18"/>
        </w:rPr>
        <w:t>ies</w:t>
      </w:r>
      <w:r w:rsidR="009400A4" w:rsidRPr="003D73C3">
        <w:rPr>
          <w:szCs w:val="18"/>
        </w:rPr>
        <w:t xml:space="preserve"> </w:t>
      </w:r>
      <w:r w:rsidR="00E37486" w:rsidRPr="003D73C3">
        <w:rPr>
          <w:szCs w:val="18"/>
        </w:rPr>
        <w:t xml:space="preserve">collect scrap metal </w:t>
      </w:r>
      <w:r w:rsidR="00DC13E5" w:rsidRPr="003D73C3">
        <w:rPr>
          <w:szCs w:val="18"/>
        </w:rPr>
        <w:t>from</w:t>
      </w:r>
      <w:r w:rsidR="00E37486" w:rsidRPr="003D73C3">
        <w:rPr>
          <w:szCs w:val="18"/>
        </w:rPr>
        <w:t xml:space="preserve"> </w:t>
      </w:r>
      <w:r w:rsidR="009400A4" w:rsidRPr="003D73C3">
        <w:rPr>
          <w:szCs w:val="18"/>
        </w:rPr>
        <w:t xml:space="preserve">their </w:t>
      </w:r>
      <w:r w:rsidR="00E37486" w:rsidRPr="003D73C3">
        <w:rPr>
          <w:szCs w:val="18"/>
        </w:rPr>
        <w:t xml:space="preserve">branches </w:t>
      </w:r>
      <w:r w:rsidR="00783EC2" w:rsidRPr="003D73C3">
        <w:rPr>
          <w:szCs w:val="18"/>
        </w:rPr>
        <w:t>throughout</w:t>
      </w:r>
      <w:r w:rsidR="00E37486" w:rsidRPr="003D73C3">
        <w:rPr>
          <w:szCs w:val="18"/>
        </w:rPr>
        <w:t xml:space="preserve"> the country, and </w:t>
      </w:r>
      <w:r w:rsidR="00783EC2" w:rsidRPr="003D73C3">
        <w:rPr>
          <w:szCs w:val="18"/>
        </w:rPr>
        <w:t xml:space="preserve">from </w:t>
      </w:r>
      <w:r w:rsidR="00E37486" w:rsidRPr="003D73C3">
        <w:rPr>
          <w:szCs w:val="18"/>
        </w:rPr>
        <w:t>numerous other scrap metal dealers.</w:t>
      </w:r>
      <w:r w:rsidR="00783EC2" w:rsidRPr="003D73C3">
        <w:rPr>
          <w:szCs w:val="18"/>
        </w:rPr>
        <w:t xml:space="preserve"> </w:t>
      </w:r>
    </w:p>
    <w:p w14:paraId="691ED41E" w14:textId="742692E7" w:rsidR="009400A4" w:rsidRPr="003D73C3" w:rsidRDefault="481CB787" w:rsidP="0C34660A">
      <w:pPr>
        <w:spacing w:line="300" w:lineRule="atLeast"/>
        <w:jc w:val="both"/>
        <w:rPr>
          <w:lang w:val="en-US"/>
        </w:rPr>
      </w:pPr>
      <w:r w:rsidRPr="0C34660A">
        <w:rPr>
          <w:lang w:val="en-US"/>
        </w:rPr>
        <w:t xml:space="preserve">Metal shredders are used for the processing of a range of scrap metal, including car bodies, whiteware and roofing iron. There are two outputs: a </w:t>
      </w:r>
      <w:bookmarkStart w:id="158" w:name="_Int_5UXEkq5i"/>
      <w:r w:rsidRPr="0C34660A">
        <w:rPr>
          <w:lang w:val="en-US"/>
        </w:rPr>
        <w:t>relatively clean</w:t>
      </w:r>
      <w:bookmarkEnd w:id="158"/>
      <w:r w:rsidRPr="0C34660A">
        <w:rPr>
          <w:lang w:val="en-US"/>
        </w:rPr>
        <w:t xml:space="preserve"> ferrous metal stream, made up of small (around 50 mm) pieces of steel, and a ‘fluff’ or ‘flock’ which contains fragments of other non-ferrous metals and other waste materials in the input stream. </w:t>
      </w:r>
      <w:r w:rsidR="00EA520D" w:rsidRPr="0C34660A">
        <w:rPr>
          <w:lang w:val="en-US"/>
        </w:rPr>
        <w:t xml:space="preserve">With the closure of Pacific </w:t>
      </w:r>
      <w:r w:rsidR="00EA520D">
        <w:rPr>
          <w:lang w:val="en-US"/>
        </w:rPr>
        <w:t>S</w:t>
      </w:r>
      <w:r w:rsidR="00EA520D" w:rsidRPr="0C34660A">
        <w:rPr>
          <w:lang w:val="en-US"/>
        </w:rPr>
        <w:t>teel most of the p</w:t>
      </w:r>
      <w:r w:rsidR="00EA520D">
        <w:rPr>
          <w:lang w:val="en-US"/>
        </w:rPr>
        <w:t xml:space="preserve">rocessed metal from the shredders is </w:t>
      </w:r>
      <w:r w:rsidR="00EA520D" w:rsidRPr="0C34660A">
        <w:rPr>
          <w:lang w:val="en-US"/>
        </w:rPr>
        <w:t xml:space="preserve">exported. </w:t>
      </w:r>
      <w:r w:rsidR="62849A5E" w:rsidRPr="0C34660A">
        <w:rPr>
          <w:lang w:val="en-US"/>
        </w:rPr>
        <w:t>Dioxins</w:t>
      </w:r>
      <w:r w:rsidRPr="0C34660A">
        <w:rPr>
          <w:lang w:val="en-US"/>
        </w:rPr>
        <w:t xml:space="preserve"> have been detected in the </w:t>
      </w:r>
      <w:r w:rsidR="62849A5E" w:rsidRPr="0C34660A">
        <w:rPr>
          <w:lang w:val="en-US"/>
        </w:rPr>
        <w:t>air discharges</w:t>
      </w:r>
      <w:r w:rsidRPr="0C34660A">
        <w:rPr>
          <w:lang w:val="en-US"/>
        </w:rPr>
        <w:t xml:space="preserve"> from shredder plants, but there is no evidence to show that these are formed </w:t>
      </w:r>
      <w:bookmarkStart w:id="159" w:name="_Int_Nu925dFm"/>
      <w:proofErr w:type="gramStart"/>
      <w:r w:rsidRPr="0C34660A">
        <w:rPr>
          <w:lang w:val="en-US"/>
        </w:rPr>
        <w:t>as a result of</w:t>
      </w:r>
      <w:bookmarkEnd w:id="159"/>
      <w:proofErr w:type="gramEnd"/>
      <w:r w:rsidRPr="0C34660A">
        <w:rPr>
          <w:lang w:val="en-US"/>
        </w:rPr>
        <w:t xml:space="preserve"> the shredding process. Instead, it is believed that the emissions arise from contaminants already present in the scrap metal </w:t>
      </w:r>
      <w:r w:rsidR="0DD904CD" w:rsidRPr="0C34660A">
        <w:rPr>
          <w:noProof/>
        </w:rPr>
        <w:t>(United Nations Environment Programme, 2013)</w:t>
      </w:r>
      <w:r w:rsidR="62849A5E" w:rsidRPr="0C34660A">
        <w:rPr>
          <w:lang w:val="en-US"/>
        </w:rPr>
        <w:t>.</w:t>
      </w:r>
    </w:p>
    <w:p w14:paraId="559D72F1" w14:textId="72F99827" w:rsidR="00F027C2" w:rsidRPr="00F027C2" w:rsidRDefault="00EA520D" w:rsidP="00FA4706">
      <w:pPr>
        <w:spacing w:line="300" w:lineRule="atLeast"/>
        <w:jc w:val="both"/>
        <w:rPr>
          <w:lang w:val="en-US"/>
        </w:rPr>
      </w:pPr>
      <w:r>
        <w:rPr>
          <w:lang w:val="en-US"/>
        </w:rPr>
        <w:t>A</w:t>
      </w:r>
      <w:r w:rsidR="00A17ECF">
        <w:rPr>
          <w:lang w:val="en-US"/>
        </w:rPr>
        <w:t xml:space="preserve"> </w:t>
      </w:r>
      <w:r>
        <w:rPr>
          <w:lang w:val="en-US"/>
        </w:rPr>
        <w:t xml:space="preserve">survey of metal </w:t>
      </w:r>
      <w:r w:rsidR="00520FFF">
        <w:rPr>
          <w:lang w:val="en-US"/>
        </w:rPr>
        <w:t xml:space="preserve">shredding operations </w:t>
      </w:r>
      <w:r>
        <w:rPr>
          <w:lang w:val="en-US"/>
        </w:rPr>
        <w:t xml:space="preserve">was conducted </w:t>
      </w:r>
      <w:proofErr w:type="gramStart"/>
      <w:r w:rsidR="00520FFF">
        <w:rPr>
          <w:lang w:val="en-US"/>
        </w:rPr>
        <w:t>in order to</w:t>
      </w:r>
      <w:proofErr w:type="gramEnd"/>
      <w:r w:rsidR="00520FFF">
        <w:rPr>
          <w:lang w:val="en-US"/>
        </w:rPr>
        <w:t xml:space="preserve"> estimate the annual throughput of steel containing material. A condition for the release of information from some firms was that the amount not be disclosed so </w:t>
      </w:r>
      <w:r w:rsidR="00F027C2">
        <w:rPr>
          <w:lang w:val="en-US"/>
        </w:rPr>
        <w:t xml:space="preserve">dioxin releases only have </w:t>
      </w:r>
      <w:r w:rsidR="00520FFF">
        <w:rPr>
          <w:lang w:val="en-US"/>
        </w:rPr>
        <w:t xml:space="preserve">been provided </w:t>
      </w:r>
      <w:r w:rsidR="00F027C2">
        <w:rPr>
          <w:lang w:val="en-US"/>
        </w:rPr>
        <w:t>in Table 4-7.</w:t>
      </w:r>
      <w:r w:rsidR="00520FFF">
        <w:rPr>
          <w:lang w:val="en-US"/>
        </w:rPr>
        <w:t xml:space="preserve"> </w:t>
      </w:r>
      <w:r w:rsidR="00FA4706" w:rsidRPr="003D73C3">
        <w:rPr>
          <w:szCs w:val="18"/>
        </w:rPr>
        <w:t>There are no releases to water, land</w:t>
      </w:r>
      <w:r w:rsidR="00D56E8A">
        <w:rPr>
          <w:szCs w:val="18"/>
        </w:rPr>
        <w:t>,</w:t>
      </w:r>
      <w:r w:rsidR="00FA4706" w:rsidRPr="003D73C3">
        <w:rPr>
          <w:szCs w:val="18"/>
        </w:rPr>
        <w:t xml:space="preserve"> or in products.</w:t>
      </w:r>
    </w:p>
    <w:p w14:paraId="09502456" w14:textId="77777777" w:rsidR="00F027C2" w:rsidRDefault="00F027C2">
      <w:pPr>
        <w:spacing w:after="0"/>
        <w:rPr>
          <w:szCs w:val="18"/>
        </w:rPr>
      </w:pPr>
      <w:r>
        <w:rPr>
          <w:szCs w:val="18"/>
        </w:rPr>
        <w:br w:type="page"/>
      </w:r>
    </w:p>
    <w:p w14:paraId="144F7B05" w14:textId="6814A1A0" w:rsidR="00FA4706" w:rsidRPr="003D73C3" w:rsidRDefault="00FA4706" w:rsidP="00101AA8">
      <w:pPr>
        <w:pStyle w:val="Caption"/>
        <w:jc w:val="left"/>
        <w:rPr>
          <w:rFonts w:cs="Arial"/>
          <w:szCs w:val="18"/>
        </w:rPr>
      </w:pPr>
      <w:bookmarkStart w:id="160" w:name="_Ref359667888"/>
      <w:r w:rsidRPr="003D73C3">
        <w:rPr>
          <w:rFonts w:cs="Arial"/>
        </w:rPr>
        <w:lastRenderedPageBreak/>
        <w:t xml:space="preserve">Table </w:t>
      </w:r>
      <w:r w:rsidR="00C17BA5" w:rsidRPr="003D73C3">
        <w:rPr>
          <w:rFonts w:cs="Arial"/>
        </w:rPr>
        <w:fldChar w:fldCharType="begin"/>
      </w:r>
      <w:r w:rsidR="00C17BA5" w:rsidRPr="003D73C3">
        <w:rPr>
          <w:rFonts w:cs="Arial"/>
        </w:rPr>
        <w:instrText xml:space="preserve"> STYLEREF 1 \s </w:instrText>
      </w:r>
      <w:r w:rsidR="00C17BA5" w:rsidRPr="003D73C3">
        <w:rPr>
          <w:rFonts w:cs="Arial"/>
        </w:rPr>
        <w:fldChar w:fldCharType="separate"/>
      </w:r>
      <w:r w:rsidR="00141D7F">
        <w:rPr>
          <w:rFonts w:cs="Arial"/>
          <w:noProof/>
        </w:rPr>
        <w:t>4</w:t>
      </w:r>
      <w:r w:rsidR="00C17BA5" w:rsidRPr="003D73C3">
        <w:rPr>
          <w:rFonts w:cs="Arial"/>
        </w:rPr>
        <w:fldChar w:fldCharType="end"/>
      </w:r>
      <w:r w:rsidR="00C17BA5" w:rsidRPr="003D73C3">
        <w:rPr>
          <w:rFonts w:cs="Arial"/>
        </w:rPr>
        <w:noBreakHyphen/>
      </w:r>
      <w:r w:rsidR="00C17BA5" w:rsidRPr="003D73C3">
        <w:rPr>
          <w:rFonts w:cs="Arial"/>
        </w:rPr>
        <w:fldChar w:fldCharType="begin"/>
      </w:r>
      <w:r w:rsidR="00C17BA5" w:rsidRPr="003D73C3">
        <w:rPr>
          <w:rFonts w:cs="Arial"/>
        </w:rPr>
        <w:instrText xml:space="preserve"> SEQ Table \* ARABIC \s 1 </w:instrText>
      </w:r>
      <w:r w:rsidR="00C17BA5" w:rsidRPr="003D73C3">
        <w:rPr>
          <w:rFonts w:cs="Arial"/>
        </w:rPr>
        <w:fldChar w:fldCharType="separate"/>
      </w:r>
      <w:r w:rsidR="00141D7F">
        <w:rPr>
          <w:rFonts w:cs="Arial"/>
          <w:noProof/>
        </w:rPr>
        <w:t>7</w:t>
      </w:r>
      <w:r w:rsidR="00C17BA5" w:rsidRPr="003D73C3">
        <w:rPr>
          <w:rFonts w:cs="Arial"/>
        </w:rPr>
        <w:fldChar w:fldCharType="end"/>
      </w:r>
      <w:bookmarkEnd w:id="160"/>
      <w:r w:rsidRPr="003D73C3">
        <w:rPr>
          <w:rFonts w:cs="Arial"/>
        </w:rPr>
        <w:t xml:space="preserve">: </w:t>
      </w:r>
      <w:r w:rsidR="00C6411E" w:rsidRPr="003D73C3">
        <w:rPr>
          <w:rFonts w:cs="Arial"/>
        </w:rPr>
        <w:t>Dioxin</w:t>
      </w:r>
      <w:r w:rsidRPr="003D73C3">
        <w:rPr>
          <w:rFonts w:cs="Arial"/>
        </w:rPr>
        <w:t xml:space="preserve"> releases from metal shredding</w:t>
      </w:r>
    </w:p>
    <w:tbl>
      <w:tblPr>
        <w:tblStyle w:val="TableGrid"/>
        <w:tblW w:w="0" w:type="auto"/>
        <w:tblLook w:val="04A0" w:firstRow="1" w:lastRow="0" w:firstColumn="1" w:lastColumn="0" w:noHBand="0" w:noVBand="1"/>
      </w:tblPr>
      <w:tblGrid>
        <w:gridCol w:w="3020"/>
        <w:gridCol w:w="3020"/>
        <w:gridCol w:w="3021"/>
      </w:tblGrid>
      <w:tr w:rsidR="00FE4CDE" w14:paraId="27730B67" w14:textId="77777777" w:rsidTr="00FE4CDE">
        <w:tc>
          <w:tcPr>
            <w:tcW w:w="3020" w:type="dxa"/>
            <w:vMerge w:val="restart"/>
            <w:vAlign w:val="center"/>
          </w:tcPr>
          <w:p w14:paraId="4B960DBB" w14:textId="784C02FD" w:rsidR="00FE4CDE" w:rsidRDefault="00FE4CDE" w:rsidP="00FE4CDE">
            <w:pPr>
              <w:spacing w:line="300" w:lineRule="atLeast"/>
              <w:jc w:val="center"/>
              <w:rPr>
                <w:lang w:val="en-US"/>
              </w:rPr>
            </w:pPr>
            <w:r w:rsidRPr="003D73C3">
              <w:rPr>
                <w:rFonts w:ascii="Arial" w:hAnsi="Arial" w:cs="Arial"/>
                <w:b/>
                <w:sz w:val="16"/>
                <w:szCs w:val="18"/>
              </w:rPr>
              <w:t>Year</w:t>
            </w:r>
          </w:p>
        </w:tc>
        <w:tc>
          <w:tcPr>
            <w:tcW w:w="6041" w:type="dxa"/>
            <w:gridSpan w:val="2"/>
          </w:tcPr>
          <w:p w14:paraId="5EA628AB" w14:textId="08B123CD" w:rsidR="00FE4CDE" w:rsidRDefault="00FE4CDE" w:rsidP="00FE4CDE">
            <w:pPr>
              <w:spacing w:line="300" w:lineRule="atLeast"/>
              <w:jc w:val="center"/>
              <w:rPr>
                <w:lang w:val="en-US"/>
              </w:rPr>
            </w:pPr>
            <w:r w:rsidRPr="003D73C3">
              <w:rPr>
                <w:rFonts w:ascii="Arial" w:hAnsi="Arial" w:cs="Arial"/>
                <w:b/>
                <w:sz w:val="16"/>
                <w:szCs w:val="18"/>
              </w:rPr>
              <w:t>Annual releases (g TEQ/yr)</w:t>
            </w:r>
          </w:p>
        </w:tc>
      </w:tr>
      <w:tr w:rsidR="00FE4CDE" w14:paraId="27ECE307" w14:textId="77777777" w:rsidTr="00A90235">
        <w:tc>
          <w:tcPr>
            <w:tcW w:w="3020" w:type="dxa"/>
            <w:vMerge/>
          </w:tcPr>
          <w:p w14:paraId="03893BBF" w14:textId="77777777" w:rsidR="00FE4CDE" w:rsidRDefault="00FE4CDE" w:rsidP="00FE4CDE">
            <w:pPr>
              <w:spacing w:line="300" w:lineRule="atLeast"/>
              <w:jc w:val="both"/>
              <w:rPr>
                <w:lang w:val="en-US"/>
              </w:rPr>
            </w:pPr>
          </w:p>
        </w:tc>
        <w:tc>
          <w:tcPr>
            <w:tcW w:w="3020" w:type="dxa"/>
            <w:vAlign w:val="center"/>
          </w:tcPr>
          <w:p w14:paraId="42C5D33F" w14:textId="532C6923" w:rsidR="00FE4CDE" w:rsidRDefault="00FE4CDE" w:rsidP="00FE4CDE">
            <w:pPr>
              <w:spacing w:line="300" w:lineRule="atLeast"/>
              <w:jc w:val="center"/>
              <w:rPr>
                <w:lang w:val="en-US"/>
              </w:rPr>
            </w:pPr>
            <w:r w:rsidRPr="003D73C3">
              <w:rPr>
                <w:rFonts w:ascii="Arial" w:hAnsi="Arial" w:cs="Arial"/>
                <w:b/>
                <w:sz w:val="16"/>
                <w:szCs w:val="18"/>
              </w:rPr>
              <w:t>Air</w:t>
            </w:r>
          </w:p>
        </w:tc>
        <w:tc>
          <w:tcPr>
            <w:tcW w:w="3021" w:type="dxa"/>
            <w:vAlign w:val="center"/>
          </w:tcPr>
          <w:p w14:paraId="3A45EEF4" w14:textId="69CA39BC" w:rsidR="00FE4CDE" w:rsidRDefault="00FE4CDE" w:rsidP="00FE4CDE">
            <w:pPr>
              <w:spacing w:line="300" w:lineRule="atLeast"/>
              <w:jc w:val="center"/>
              <w:rPr>
                <w:lang w:val="en-US"/>
              </w:rPr>
            </w:pPr>
            <w:r w:rsidRPr="003D73C3">
              <w:rPr>
                <w:rFonts w:ascii="Arial" w:hAnsi="Arial" w:cs="Arial"/>
                <w:b/>
                <w:sz w:val="16"/>
                <w:szCs w:val="18"/>
              </w:rPr>
              <w:t>Residue</w:t>
            </w:r>
          </w:p>
        </w:tc>
      </w:tr>
      <w:tr w:rsidR="00F027C2" w14:paraId="3D45AAAA" w14:textId="77777777" w:rsidTr="00F027C2">
        <w:tc>
          <w:tcPr>
            <w:tcW w:w="3020" w:type="dxa"/>
          </w:tcPr>
          <w:p w14:paraId="45CE5BF5" w14:textId="517EE59D" w:rsidR="00F027C2" w:rsidRDefault="00FE4CDE" w:rsidP="00FE4CDE">
            <w:pPr>
              <w:spacing w:line="300" w:lineRule="atLeast"/>
              <w:jc w:val="center"/>
              <w:rPr>
                <w:lang w:val="en-US"/>
              </w:rPr>
            </w:pPr>
            <w:r w:rsidRPr="003D73C3">
              <w:rPr>
                <w:rFonts w:ascii="Arial" w:hAnsi="Arial" w:cs="Arial"/>
                <w:b/>
                <w:sz w:val="16"/>
                <w:szCs w:val="18"/>
              </w:rPr>
              <w:t>2012</w:t>
            </w:r>
          </w:p>
        </w:tc>
        <w:tc>
          <w:tcPr>
            <w:tcW w:w="3020" w:type="dxa"/>
          </w:tcPr>
          <w:p w14:paraId="18AAACBC" w14:textId="2583A4A8" w:rsidR="00F027C2" w:rsidRDefault="00FE4CDE" w:rsidP="006B6701">
            <w:pPr>
              <w:spacing w:line="300" w:lineRule="atLeast"/>
              <w:jc w:val="center"/>
              <w:rPr>
                <w:lang w:val="en-US"/>
              </w:rPr>
            </w:pPr>
            <w:r w:rsidRPr="003D73C3">
              <w:rPr>
                <w:rFonts w:ascii="Arial" w:hAnsi="Arial" w:cs="Arial"/>
                <w:sz w:val="16"/>
                <w:szCs w:val="18"/>
              </w:rPr>
              <w:t>0.070</w:t>
            </w:r>
          </w:p>
        </w:tc>
        <w:tc>
          <w:tcPr>
            <w:tcW w:w="3021" w:type="dxa"/>
          </w:tcPr>
          <w:p w14:paraId="66B15CE5" w14:textId="7D06B69D" w:rsidR="00F027C2" w:rsidRDefault="00FE4CDE" w:rsidP="006B6701">
            <w:pPr>
              <w:spacing w:line="300" w:lineRule="atLeast"/>
              <w:jc w:val="center"/>
              <w:rPr>
                <w:lang w:val="en-US"/>
              </w:rPr>
            </w:pPr>
            <w:r w:rsidRPr="003D73C3">
              <w:rPr>
                <w:rFonts w:ascii="Arial" w:hAnsi="Arial" w:cs="Arial"/>
                <w:sz w:val="16"/>
                <w:szCs w:val="18"/>
              </w:rPr>
              <w:t>1.75</w:t>
            </w:r>
          </w:p>
        </w:tc>
      </w:tr>
      <w:tr w:rsidR="00F027C2" w14:paraId="13853EE9" w14:textId="77777777" w:rsidTr="00F027C2">
        <w:tc>
          <w:tcPr>
            <w:tcW w:w="3020" w:type="dxa"/>
          </w:tcPr>
          <w:p w14:paraId="34B0FDB2" w14:textId="3C7FB2F7" w:rsidR="00F027C2" w:rsidRDefault="00FE4CDE" w:rsidP="00FE4CDE">
            <w:pPr>
              <w:spacing w:line="300" w:lineRule="atLeast"/>
              <w:jc w:val="center"/>
              <w:rPr>
                <w:lang w:val="en-US"/>
              </w:rPr>
            </w:pPr>
            <w:r w:rsidRPr="003D73C3">
              <w:rPr>
                <w:rFonts w:ascii="Arial" w:hAnsi="Arial" w:cs="Arial"/>
                <w:b/>
                <w:sz w:val="16"/>
                <w:szCs w:val="18"/>
              </w:rPr>
              <w:t>2016</w:t>
            </w:r>
          </w:p>
        </w:tc>
        <w:tc>
          <w:tcPr>
            <w:tcW w:w="3020" w:type="dxa"/>
          </w:tcPr>
          <w:p w14:paraId="05016983" w14:textId="22AD134E" w:rsidR="00F027C2" w:rsidRDefault="00FE4CDE" w:rsidP="006B6701">
            <w:pPr>
              <w:spacing w:line="300" w:lineRule="atLeast"/>
              <w:jc w:val="center"/>
              <w:rPr>
                <w:lang w:val="en-US"/>
              </w:rPr>
            </w:pPr>
            <w:r w:rsidRPr="003D73C3">
              <w:rPr>
                <w:rFonts w:ascii="Arial" w:hAnsi="Arial" w:cs="Arial"/>
                <w:sz w:val="16"/>
                <w:szCs w:val="18"/>
              </w:rPr>
              <w:t>0.050</w:t>
            </w:r>
          </w:p>
        </w:tc>
        <w:tc>
          <w:tcPr>
            <w:tcW w:w="3021" w:type="dxa"/>
          </w:tcPr>
          <w:p w14:paraId="223983E2" w14:textId="206E1A11" w:rsidR="00F027C2" w:rsidRDefault="006B6701" w:rsidP="006B6701">
            <w:pPr>
              <w:spacing w:line="300" w:lineRule="atLeast"/>
              <w:jc w:val="center"/>
              <w:rPr>
                <w:lang w:val="en-US"/>
              </w:rPr>
            </w:pPr>
            <w:r w:rsidRPr="003D73C3">
              <w:rPr>
                <w:rFonts w:ascii="Arial" w:hAnsi="Arial" w:cs="Arial"/>
                <w:sz w:val="16"/>
                <w:szCs w:val="18"/>
              </w:rPr>
              <w:t>1.25</w:t>
            </w:r>
          </w:p>
        </w:tc>
      </w:tr>
      <w:tr w:rsidR="006B6701" w14:paraId="0B9A2C95" w14:textId="77777777" w:rsidTr="00F027C2">
        <w:tc>
          <w:tcPr>
            <w:tcW w:w="3020" w:type="dxa"/>
          </w:tcPr>
          <w:p w14:paraId="5BD3E26E" w14:textId="4810E0A0" w:rsidR="006B6701" w:rsidRDefault="006B6701" w:rsidP="006B6701">
            <w:pPr>
              <w:spacing w:line="300" w:lineRule="atLeast"/>
              <w:jc w:val="center"/>
              <w:rPr>
                <w:lang w:val="en-US"/>
              </w:rPr>
            </w:pPr>
            <w:r w:rsidRPr="003D73C3">
              <w:rPr>
                <w:rFonts w:ascii="Arial" w:hAnsi="Arial" w:cs="Arial"/>
                <w:b/>
                <w:sz w:val="16"/>
                <w:szCs w:val="18"/>
              </w:rPr>
              <w:t>2020</w:t>
            </w:r>
          </w:p>
        </w:tc>
        <w:tc>
          <w:tcPr>
            <w:tcW w:w="3020" w:type="dxa"/>
          </w:tcPr>
          <w:p w14:paraId="6AA28AB2" w14:textId="0B3FA85B" w:rsidR="006B6701" w:rsidRDefault="006B6701" w:rsidP="006B6701">
            <w:pPr>
              <w:spacing w:line="300" w:lineRule="atLeast"/>
              <w:jc w:val="center"/>
              <w:rPr>
                <w:lang w:val="en-US"/>
              </w:rPr>
            </w:pPr>
            <w:r w:rsidRPr="003D73C3">
              <w:rPr>
                <w:rFonts w:ascii="Arial" w:hAnsi="Arial" w:cs="Arial"/>
                <w:sz w:val="16"/>
                <w:szCs w:val="18"/>
              </w:rPr>
              <w:t>0.070</w:t>
            </w:r>
          </w:p>
        </w:tc>
        <w:tc>
          <w:tcPr>
            <w:tcW w:w="3021" w:type="dxa"/>
          </w:tcPr>
          <w:p w14:paraId="78AFCEB7" w14:textId="242A4F2D" w:rsidR="006B6701" w:rsidRDefault="006B6701" w:rsidP="006B6701">
            <w:pPr>
              <w:spacing w:line="300" w:lineRule="atLeast"/>
              <w:jc w:val="center"/>
              <w:rPr>
                <w:lang w:val="en-US"/>
              </w:rPr>
            </w:pPr>
            <w:r w:rsidRPr="003D73C3">
              <w:rPr>
                <w:rFonts w:ascii="Arial" w:hAnsi="Arial" w:cs="Arial"/>
                <w:sz w:val="16"/>
                <w:szCs w:val="18"/>
              </w:rPr>
              <w:t>1.75</w:t>
            </w:r>
          </w:p>
        </w:tc>
      </w:tr>
    </w:tbl>
    <w:p w14:paraId="0E730E24" w14:textId="19E1FBCC" w:rsidR="00FA4706" w:rsidRPr="003D73C3" w:rsidRDefault="003A5A40" w:rsidP="00FA4706">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4B026B" w:rsidRPr="003D73C3">
        <w:rPr>
          <w:rFonts w:ascii="Arial" w:hAnsi="Arial" w:cs="Arial"/>
          <w:b/>
          <w:szCs w:val="18"/>
        </w:rPr>
        <w:t>2020</w:t>
      </w:r>
    </w:p>
    <w:p w14:paraId="6EF245C7" w14:textId="7A2B877C" w:rsidR="00FA4706" w:rsidRPr="003D73C3" w:rsidRDefault="00FA4706" w:rsidP="00FA4706">
      <w:pPr>
        <w:tabs>
          <w:tab w:val="left" w:pos="1701"/>
        </w:tabs>
        <w:spacing w:after="0" w:line="300" w:lineRule="atLeast"/>
        <w:jc w:val="both"/>
        <w:rPr>
          <w:szCs w:val="18"/>
        </w:rPr>
      </w:pPr>
      <w:r w:rsidRPr="003D73C3">
        <w:rPr>
          <w:szCs w:val="18"/>
        </w:rPr>
        <w:t xml:space="preserve">Activity data: </w:t>
      </w:r>
      <w:r w:rsidRPr="003D73C3">
        <w:rPr>
          <w:szCs w:val="18"/>
        </w:rPr>
        <w:tab/>
      </w:r>
      <w:r w:rsidR="006B6701">
        <w:rPr>
          <w:szCs w:val="18"/>
        </w:rPr>
        <w:t xml:space="preserve">Medium </w:t>
      </w:r>
      <w:r w:rsidRPr="003D73C3">
        <w:rPr>
          <w:szCs w:val="18"/>
        </w:rPr>
        <w:t xml:space="preserve">(because they are based on </w:t>
      </w:r>
      <w:r w:rsidR="006B6701">
        <w:rPr>
          <w:szCs w:val="18"/>
        </w:rPr>
        <w:t>a survey</w:t>
      </w:r>
      <w:r w:rsidRPr="003D73C3">
        <w:rPr>
          <w:szCs w:val="18"/>
        </w:rPr>
        <w:t>)</w:t>
      </w:r>
    </w:p>
    <w:p w14:paraId="5F6BE72A" w14:textId="77777777" w:rsidR="00FA4706" w:rsidRPr="003D73C3" w:rsidRDefault="00FA4706" w:rsidP="00FA4706">
      <w:pPr>
        <w:tabs>
          <w:tab w:val="left" w:pos="1701"/>
        </w:tabs>
        <w:spacing w:line="300" w:lineRule="atLeast"/>
        <w:jc w:val="both"/>
        <w:rPr>
          <w:szCs w:val="18"/>
        </w:rPr>
      </w:pPr>
      <w:r w:rsidRPr="003D73C3">
        <w:rPr>
          <w:szCs w:val="18"/>
        </w:rPr>
        <w:t xml:space="preserve">Emission factors: </w:t>
      </w:r>
      <w:r w:rsidRPr="003D73C3">
        <w:rPr>
          <w:szCs w:val="18"/>
        </w:rPr>
        <w:tab/>
      </w:r>
      <w:r w:rsidR="00453A63" w:rsidRPr="003D73C3">
        <w:rPr>
          <w:szCs w:val="18"/>
        </w:rPr>
        <w:t>Low</w:t>
      </w:r>
      <w:r w:rsidRPr="003D73C3">
        <w:rPr>
          <w:szCs w:val="18"/>
        </w:rPr>
        <w:t xml:space="preserve"> (because they are based on </w:t>
      </w:r>
      <w:r w:rsidR="00453A63" w:rsidRPr="003D73C3">
        <w:rPr>
          <w:szCs w:val="18"/>
        </w:rPr>
        <w:t>the default factors given in the UNEP Toolkit</w:t>
      </w:r>
      <w:r w:rsidRPr="003D73C3">
        <w:rPr>
          <w:szCs w:val="18"/>
        </w:rPr>
        <w:t>)</w:t>
      </w:r>
    </w:p>
    <w:p w14:paraId="144C3F05" w14:textId="2A464800" w:rsidR="00EC5893" w:rsidRPr="003D73C3" w:rsidRDefault="00EC5893" w:rsidP="00261F78">
      <w:pPr>
        <w:pStyle w:val="Heading2"/>
      </w:pPr>
      <w:bookmarkStart w:id="161" w:name="_Toc112768088"/>
      <w:r w:rsidRPr="003D73C3">
        <w:t>Thermal wire reclamation</w:t>
      </w:r>
      <w:r w:rsidR="003C435E" w:rsidRPr="003D73C3">
        <w:t xml:space="preserve"> and e-waste recycling</w:t>
      </w:r>
      <w:bookmarkEnd w:id="161"/>
    </w:p>
    <w:p w14:paraId="02BB74FA" w14:textId="1BF47944" w:rsidR="00880F20" w:rsidRPr="003D73C3" w:rsidRDefault="7BE73702" w:rsidP="0C34660A">
      <w:pPr>
        <w:spacing w:line="300" w:lineRule="atLeast"/>
        <w:jc w:val="both"/>
        <w:rPr>
          <w:rFonts w:eastAsia="Calibri"/>
        </w:rPr>
      </w:pPr>
      <w:r w:rsidRPr="0C34660A">
        <w:rPr>
          <w:rFonts w:eastAsia="Calibri"/>
        </w:rPr>
        <w:t>This Toolkit sub-category covers the burning of electrical cables for the purposes of copper recovery, and thermal processing of other electronic wastes to recover a variety of potentially valuable metals, including coppe</w:t>
      </w:r>
      <w:r w:rsidR="711EBE2B" w:rsidRPr="0C34660A">
        <w:rPr>
          <w:rFonts w:eastAsia="Calibri"/>
        </w:rPr>
        <w:t xml:space="preserve">r, </w:t>
      </w:r>
      <w:bookmarkStart w:id="162" w:name="_Int_Gp3lXxnz"/>
      <w:r w:rsidR="711EBE2B" w:rsidRPr="0C34660A">
        <w:rPr>
          <w:rFonts w:eastAsia="Calibri"/>
        </w:rPr>
        <w:t>silver,</w:t>
      </w:r>
      <w:bookmarkEnd w:id="162"/>
      <w:r w:rsidR="711EBE2B" w:rsidRPr="0C34660A">
        <w:rPr>
          <w:rFonts w:eastAsia="Calibri"/>
        </w:rPr>
        <w:t xml:space="preserve"> and gold. Some </w:t>
      </w:r>
      <w:r w:rsidRPr="0C34660A">
        <w:rPr>
          <w:rFonts w:eastAsia="Calibri"/>
        </w:rPr>
        <w:t xml:space="preserve">secondary metal businesses </w:t>
      </w:r>
      <w:r w:rsidR="66971CA7" w:rsidRPr="0C34660A">
        <w:rPr>
          <w:rFonts w:eastAsia="Calibri"/>
        </w:rPr>
        <w:t>process</w:t>
      </w:r>
      <w:r w:rsidRPr="0C34660A">
        <w:rPr>
          <w:rFonts w:eastAsia="Calibri"/>
        </w:rPr>
        <w:t xml:space="preserve"> the copper in electrical cables as part of their feedstock. However, the releases from these operations have already been accounted for in section 4.8. Other than that, the open burning of p</w:t>
      </w:r>
      <w:r w:rsidR="33D48560" w:rsidRPr="0C34660A">
        <w:rPr>
          <w:rFonts w:eastAsia="Calibri"/>
        </w:rPr>
        <w:t xml:space="preserve">lastic-coated wire is </w:t>
      </w:r>
      <w:r w:rsidRPr="0C34660A">
        <w:rPr>
          <w:rFonts w:eastAsia="Calibri"/>
        </w:rPr>
        <w:t>prohibited by most regional councils, so should not be occurring to any significant extent. The same restrictions would apply to the burning of other types of e-waste.</w:t>
      </w:r>
    </w:p>
    <w:p w14:paraId="7A99C338" w14:textId="77777777" w:rsidR="00E951E2" w:rsidRDefault="00E951E2">
      <w:pPr>
        <w:spacing w:after="0"/>
        <w:rPr>
          <w:rFonts w:ascii="Arial" w:eastAsia="Calibri" w:hAnsi="Arial" w:cs="Arial"/>
          <w:b/>
          <w:bCs/>
          <w:sz w:val="24"/>
        </w:rPr>
      </w:pPr>
      <w:r>
        <w:rPr>
          <w:rFonts w:eastAsia="Calibri"/>
        </w:rPr>
        <w:br w:type="page"/>
      </w:r>
    </w:p>
    <w:p w14:paraId="1A273738" w14:textId="76C4E533" w:rsidR="00044E38" w:rsidRPr="003D73C3" w:rsidRDefault="00044E38" w:rsidP="00261F78">
      <w:pPr>
        <w:pStyle w:val="Heading2"/>
        <w:rPr>
          <w:rFonts w:eastAsia="Calibri"/>
        </w:rPr>
      </w:pPr>
      <w:bookmarkStart w:id="163" w:name="_Toc112768089"/>
      <w:r w:rsidRPr="003D73C3">
        <w:rPr>
          <w:rFonts w:eastAsia="Calibri"/>
        </w:rPr>
        <w:lastRenderedPageBreak/>
        <w:t>Summary for this category</w:t>
      </w:r>
      <w:bookmarkEnd w:id="163"/>
      <w:r w:rsidRPr="003D73C3">
        <w:rPr>
          <w:rFonts w:eastAsia="Calibri"/>
        </w:rPr>
        <w:t xml:space="preserve"> </w:t>
      </w:r>
    </w:p>
    <w:p w14:paraId="6D7E210E" w14:textId="4DEB9531" w:rsidR="007D30EE" w:rsidRDefault="004A7944" w:rsidP="007D30EE">
      <w:pPr>
        <w:spacing w:line="300" w:lineRule="atLeast"/>
        <w:jc w:val="both"/>
        <w:rPr>
          <w:rFonts w:eastAsia="Calibri"/>
          <w:szCs w:val="22"/>
        </w:rPr>
      </w:pPr>
      <w:r w:rsidRPr="003D73C3">
        <w:rPr>
          <w:rFonts w:eastAsia="Calibri"/>
          <w:szCs w:val="22"/>
        </w:rPr>
        <w:t xml:space="preserve">The </w:t>
      </w:r>
      <w:r w:rsidR="00F630FD" w:rsidRPr="003D73C3">
        <w:rPr>
          <w:rFonts w:eastAsia="Calibri"/>
          <w:szCs w:val="22"/>
        </w:rPr>
        <w:t>2012</w:t>
      </w:r>
      <w:r w:rsidR="00E951E2">
        <w:rPr>
          <w:rFonts w:eastAsia="Calibri"/>
          <w:szCs w:val="22"/>
        </w:rPr>
        <w:t xml:space="preserve">, </w:t>
      </w:r>
      <w:r w:rsidRPr="003D73C3">
        <w:rPr>
          <w:rFonts w:eastAsia="Calibri"/>
          <w:szCs w:val="22"/>
        </w:rPr>
        <w:t>2016</w:t>
      </w:r>
      <w:r w:rsidR="007D30EE" w:rsidRPr="003D73C3">
        <w:rPr>
          <w:rFonts w:eastAsia="Calibri"/>
          <w:szCs w:val="22"/>
        </w:rPr>
        <w:t xml:space="preserve"> </w:t>
      </w:r>
      <w:r w:rsidR="001748A8" w:rsidRPr="003D73C3">
        <w:rPr>
          <w:rFonts w:eastAsia="Calibri"/>
          <w:szCs w:val="22"/>
        </w:rPr>
        <w:t xml:space="preserve">and 2020 </w:t>
      </w:r>
      <w:r w:rsidR="007D30EE" w:rsidRPr="003D73C3">
        <w:rPr>
          <w:rFonts w:eastAsia="Calibri"/>
          <w:szCs w:val="22"/>
        </w:rPr>
        <w:t xml:space="preserve">release estimates for </w:t>
      </w:r>
      <w:r w:rsidR="00811311" w:rsidRPr="003D73C3">
        <w:rPr>
          <w:rFonts w:eastAsia="Calibri"/>
          <w:szCs w:val="22"/>
        </w:rPr>
        <w:t>metal production</w:t>
      </w:r>
      <w:r w:rsidR="007D30EE" w:rsidRPr="003D73C3">
        <w:rPr>
          <w:rFonts w:eastAsia="Calibri"/>
          <w:szCs w:val="22"/>
        </w:rPr>
        <w:t xml:space="preserve"> are summarised in </w:t>
      </w:r>
      <w:r w:rsidR="0003068A" w:rsidRPr="003D73C3">
        <w:rPr>
          <w:rFonts w:eastAsia="Calibri"/>
          <w:szCs w:val="22"/>
        </w:rPr>
        <w:fldChar w:fldCharType="begin"/>
      </w:r>
      <w:r w:rsidR="0003068A" w:rsidRPr="003D73C3">
        <w:rPr>
          <w:rFonts w:eastAsia="Calibri"/>
          <w:szCs w:val="22"/>
        </w:rPr>
        <w:instrText xml:space="preserve"> REF _Ref391217593 \h  \* MERGEFORMAT </w:instrText>
      </w:r>
      <w:r w:rsidR="0003068A" w:rsidRPr="003D73C3">
        <w:rPr>
          <w:rFonts w:eastAsia="Calibri"/>
          <w:szCs w:val="22"/>
        </w:rPr>
      </w:r>
      <w:r w:rsidR="0003068A" w:rsidRPr="003D73C3">
        <w:rPr>
          <w:rFonts w:eastAsia="Calibri"/>
          <w:szCs w:val="22"/>
        </w:rPr>
        <w:fldChar w:fldCharType="separate"/>
      </w:r>
      <w:r w:rsidR="00141D7F" w:rsidRPr="00141D7F">
        <w:t xml:space="preserve">Table </w:t>
      </w:r>
      <w:r w:rsidR="00141D7F" w:rsidRPr="00141D7F">
        <w:rPr>
          <w:noProof/>
        </w:rPr>
        <w:t>4</w:t>
      </w:r>
      <w:r w:rsidR="00141D7F" w:rsidRPr="00141D7F">
        <w:rPr>
          <w:noProof/>
        </w:rPr>
        <w:noBreakHyphen/>
        <w:t>8</w:t>
      </w:r>
      <w:r w:rsidR="0003068A" w:rsidRPr="003D73C3">
        <w:rPr>
          <w:rFonts w:eastAsia="Calibri"/>
          <w:szCs w:val="22"/>
        </w:rPr>
        <w:fldChar w:fldCharType="end"/>
      </w:r>
      <w:r w:rsidR="00F630FD" w:rsidRPr="003D73C3">
        <w:rPr>
          <w:rFonts w:eastAsia="Calibri"/>
          <w:szCs w:val="22"/>
        </w:rPr>
        <w:t>.</w:t>
      </w:r>
    </w:p>
    <w:p w14:paraId="17867263" w14:textId="478A3729" w:rsidR="00BD798E" w:rsidRPr="003D73C3" w:rsidRDefault="00BD798E" w:rsidP="00BD798E">
      <w:pPr>
        <w:pStyle w:val="Caption"/>
        <w:jc w:val="left"/>
        <w:rPr>
          <w:rFonts w:cs="Arial"/>
          <w:szCs w:val="18"/>
        </w:rPr>
      </w:pPr>
      <w:bookmarkStart w:id="164" w:name="_Ref391217593"/>
      <w:bookmarkStart w:id="165" w:name="_Ref35966851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4</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8</w:t>
      </w:r>
      <w:r w:rsidRPr="003D73C3">
        <w:rPr>
          <w:rFonts w:cs="Arial"/>
        </w:rPr>
        <w:fldChar w:fldCharType="end"/>
      </w:r>
      <w:bookmarkEnd w:id="164"/>
      <w:bookmarkEnd w:id="165"/>
      <w:r w:rsidRPr="003D73C3">
        <w:rPr>
          <w:rFonts w:cs="Arial"/>
        </w:rPr>
        <w:t>: Summary of the release estimates for metal production</w:t>
      </w:r>
    </w:p>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BD798E" w:rsidRPr="00B80139" w14:paraId="0252D31B" w14:textId="77777777" w:rsidTr="009D45FD">
        <w:tc>
          <w:tcPr>
            <w:tcW w:w="3119" w:type="dxa"/>
            <w:vMerge w:val="restart"/>
            <w:vAlign w:val="center"/>
          </w:tcPr>
          <w:p w14:paraId="1BDEFAA3" w14:textId="77777777" w:rsidR="00BD798E" w:rsidRPr="003D73C3" w:rsidRDefault="00BD798E" w:rsidP="009D45FD">
            <w:pPr>
              <w:spacing w:before="120"/>
              <w:rPr>
                <w:rFonts w:ascii="Arial" w:hAnsi="Arial" w:cs="Arial"/>
                <w:b/>
                <w:sz w:val="16"/>
                <w:szCs w:val="16"/>
              </w:rPr>
            </w:pPr>
            <w:r w:rsidRPr="003D73C3">
              <w:rPr>
                <w:rFonts w:ascii="Arial" w:hAnsi="Arial" w:cs="Arial"/>
                <w:b/>
                <w:sz w:val="16"/>
                <w:szCs w:val="16"/>
              </w:rPr>
              <w:t>Category</w:t>
            </w:r>
          </w:p>
        </w:tc>
        <w:tc>
          <w:tcPr>
            <w:tcW w:w="6095" w:type="dxa"/>
            <w:gridSpan w:val="5"/>
            <w:vAlign w:val="center"/>
          </w:tcPr>
          <w:p w14:paraId="5441FB4E"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2020 dioxin releases (g TEQ/yr)</w:t>
            </w:r>
          </w:p>
        </w:tc>
      </w:tr>
      <w:tr w:rsidR="00BD798E" w:rsidRPr="00B80139" w14:paraId="43703EC6" w14:textId="77777777" w:rsidTr="009D45FD">
        <w:tc>
          <w:tcPr>
            <w:tcW w:w="3119" w:type="dxa"/>
            <w:vMerge/>
            <w:vAlign w:val="center"/>
          </w:tcPr>
          <w:p w14:paraId="3E795846" w14:textId="77777777" w:rsidR="00BD798E" w:rsidRPr="003D73C3" w:rsidRDefault="00BD798E" w:rsidP="009D45FD">
            <w:pPr>
              <w:spacing w:before="120"/>
              <w:rPr>
                <w:rFonts w:ascii="Arial" w:hAnsi="Arial" w:cs="Arial"/>
                <w:b/>
                <w:sz w:val="16"/>
                <w:szCs w:val="16"/>
              </w:rPr>
            </w:pPr>
          </w:p>
        </w:tc>
        <w:tc>
          <w:tcPr>
            <w:tcW w:w="1219" w:type="dxa"/>
            <w:vAlign w:val="center"/>
          </w:tcPr>
          <w:p w14:paraId="503C4861"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Air</w:t>
            </w:r>
          </w:p>
        </w:tc>
        <w:tc>
          <w:tcPr>
            <w:tcW w:w="1219" w:type="dxa"/>
            <w:vAlign w:val="center"/>
          </w:tcPr>
          <w:p w14:paraId="33B17EA4"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Water</w:t>
            </w:r>
          </w:p>
        </w:tc>
        <w:tc>
          <w:tcPr>
            <w:tcW w:w="1219" w:type="dxa"/>
            <w:vAlign w:val="center"/>
          </w:tcPr>
          <w:p w14:paraId="3B542568"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Land</w:t>
            </w:r>
          </w:p>
        </w:tc>
        <w:tc>
          <w:tcPr>
            <w:tcW w:w="1219" w:type="dxa"/>
            <w:vAlign w:val="center"/>
          </w:tcPr>
          <w:p w14:paraId="262BD9BB"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Product</w:t>
            </w:r>
          </w:p>
        </w:tc>
        <w:tc>
          <w:tcPr>
            <w:tcW w:w="1219" w:type="dxa"/>
            <w:vAlign w:val="center"/>
          </w:tcPr>
          <w:p w14:paraId="7B4C9154"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Residue</w:t>
            </w:r>
          </w:p>
        </w:tc>
      </w:tr>
      <w:tr w:rsidR="00BD798E" w:rsidRPr="00B80139" w14:paraId="7C15AEBA" w14:textId="77777777" w:rsidTr="009D45FD">
        <w:tc>
          <w:tcPr>
            <w:tcW w:w="3119" w:type="dxa"/>
            <w:vAlign w:val="center"/>
          </w:tcPr>
          <w:p w14:paraId="44250420"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Primary steel production</w:t>
            </w:r>
          </w:p>
        </w:tc>
        <w:tc>
          <w:tcPr>
            <w:tcW w:w="1219" w:type="dxa"/>
            <w:vAlign w:val="center"/>
          </w:tcPr>
          <w:p w14:paraId="5B1C236E" w14:textId="77777777" w:rsidR="00BD798E" w:rsidRPr="003D73C3" w:rsidRDefault="00BD798E" w:rsidP="009D45FD">
            <w:pPr>
              <w:spacing w:before="120"/>
              <w:jc w:val="center"/>
              <w:rPr>
                <w:rFonts w:ascii="Arial" w:hAnsi="Arial" w:cs="Arial"/>
                <w:sz w:val="16"/>
                <w:szCs w:val="16"/>
              </w:rPr>
            </w:pPr>
            <w:r w:rsidRPr="00B80139">
              <w:rPr>
                <w:rFonts w:ascii="Arial" w:hAnsi="Arial" w:cs="Arial"/>
                <w:sz w:val="16"/>
                <w:szCs w:val="16"/>
              </w:rPr>
              <w:t>0.0806</w:t>
            </w:r>
          </w:p>
        </w:tc>
        <w:tc>
          <w:tcPr>
            <w:tcW w:w="1219" w:type="dxa"/>
            <w:vAlign w:val="center"/>
          </w:tcPr>
          <w:p w14:paraId="61880AB3" w14:textId="77777777" w:rsidR="00BD798E" w:rsidRPr="003D73C3" w:rsidRDefault="00BD798E" w:rsidP="009D45FD">
            <w:pPr>
              <w:spacing w:before="120"/>
              <w:jc w:val="center"/>
              <w:rPr>
                <w:rFonts w:ascii="Arial" w:hAnsi="Arial" w:cs="Arial"/>
                <w:sz w:val="16"/>
                <w:szCs w:val="16"/>
              </w:rPr>
            </w:pPr>
            <w:r w:rsidRPr="00B80139">
              <w:rPr>
                <w:rFonts w:ascii="Arial" w:hAnsi="Arial" w:cs="Arial"/>
                <w:sz w:val="16"/>
                <w:szCs w:val="16"/>
              </w:rPr>
              <w:t>0.0165</w:t>
            </w:r>
          </w:p>
        </w:tc>
        <w:tc>
          <w:tcPr>
            <w:tcW w:w="1219" w:type="dxa"/>
            <w:vAlign w:val="center"/>
          </w:tcPr>
          <w:p w14:paraId="3B0F69C4" w14:textId="77777777" w:rsidR="00BD798E" w:rsidRPr="003D73C3" w:rsidRDefault="00BD798E" w:rsidP="009D45FD">
            <w:pPr>
              <w:spacing w:before="120"/>
              <w:jc w:val="center"/>
              <w:rPr>
                <w:rFonts w:ascii="Arial" w:hAnsi="Arial" w:cs="Arial"/>
                <w:sz w:val="16"/>
                <w:szCs w:val="16"/>
              </w:rPr>
            </w:pPr>
            <w:r w:rsidRPr="00B80139">
              <w:rPr>
                <w:rFonts w:ascii="Arial" w:hAnsi="Arial" w:cs="Arial"/>
                <w:sz w:val="16"/>
                <w:szCs w:val="16"/>
              </w:rPr>
              <w:t>0.0866</w:t>
            </w:r>
          </w:p>
        </w:tc>
        <w:tc>
          <w:tcPr>
            <w:tcW w:w="1219" w:type="dxa"/>
            <w:vAlign w:val="center"/>
          </w:tcPr>
          <w:p w14:paraId="59595DE4"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473DDED"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r>
      <w:tr w:rsidR="00BD798E" w:rsidRPr="00B80139" w14:paraId="2D65B4FC" w14:textId="77777777" w:rsidTr="009D45FD">
        <w:tc>
          <w:tcPr>
            <w:tcW w:w="3119" w:type="dxa"/>
            <w:vAlign w:val="center"/>
          </w:tcPr>
          <w:p w14:paraId="66DD0968"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Secondary steel production</w:t>
            </w:r>
          </w:p>
        </w:tc>
        <w:tc>
          <w:tcPr>
            <w:tcW w:w="1219" w:type="dxa"/>
            <w:vAlign w:val="center"/>
          </w:tcPr>
          <w:p w14:paraId="48BED417"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BDB531E"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08107ACC"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B438FDD"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9F3147B"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r>
      <w:tr w:rsidR="00BD798E" w:rsidRPr="00B80139" w14:paraId="77B8909D" w14:textId="77777777" w:rsidTr="009D45FD">
        <w:tc>
          <w:tcPr>
            <w:tcW w:w="3119" w:type="dxa"/>
            <w:vAlign w:val="center"/>
          </w:tcPr>
          <w:p w14:paraId="31DCFC84"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Iron Foundries</w:t>
            </w:r>
          </w:p>
        </w:tc>
        <w:tc>
          <w:tcPr>
            <w:tcW w:w="1219" w:type="dxa"/>
            <w:vAlign w:val="center"/>
          </w:tcPr>
          <w:p w14:paraId="05D02D0C"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0.011</w:t>
            </w:r>
          </w:p>
        </w:tc>
        <w:tc>
          <w:tcPr>
            <w:tcW w:w="1219" w:type="dxa"/>
            <w:vAlign w:val="center"/>
          </w:tcPr>
          <w:p w14:paraId="1E5CD7B7"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ACC3D5A"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385A968A"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064DF4E4"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0.010</w:t>
            </w:r>
          </w:p>
        </w:tc>
      </w:tr>
      <w:tr w:rsidR="00BD798E" w:rsidRPr="00B80139" w14:paraId="11020E65" w14:textId="77777777" w:rsidTr="009D45FD">
        <w:tc>
          <w:tcPr>
            <w:tcW w:w="3119" w:type="dxa"/>
            <w:vAlign w:val="center"/>
          </w:tcPr>
          <w:p w14:paraId="7E90C34E"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Hot dip galvanizing plants</w:t>
            </w:r>
          </w:p>
        </w:tc>
        <w:tc>
          <w:tcPr>
            <w:tcW w:w="1219" w:type="dxa"/>
            <w:vAlign w:val="center"/>
          </w:tcPr>
          <w:p w14:paraId="12A17350"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0.00581</w:t>
            </w:r>
          </w:p>
        </w:tc>
        <w:tc>
          <w:tcPr>
            <w:tcW w:w="1219" w:type="dxa"/>
            <w:vAlign w:val="center"/>
          </w:tcPr>
          <w:p w14:paraId="56D16DCC"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3B6E0B9E"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07C08471"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FA5A6EF"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0.261</w:t>
            </w:r>
          </w:p>
        </w:tc>
      </w:tr>
      <w:tr w:rsidR="00BD798E" w:rsidRPr="00B80139" w14:paraId="6CACAD34" w14:textId="77777777" w:rsidTr="009D45FD">
        <w:tc>
          <w:tcPr>
            <w:tcW w:w="3119" w:type="dxa"/>
            <w:vAlign w:val="center"/>
          </w:tcPr>
          <w:p w14:paraId="16EEFE01"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Secondary aluminium production</w:t>
            </w:r>
          </w:p>
        </w:tc>
        <w:tc>
          <w:tcPr>
            <w:tcW w:w="1219" w:type="dxa"/>
            <w:vAlign w:val="center"/>
          </w:tcPr>
          <w:p w14:paraId="69932083"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0.023</w:t>
            </w:r>
          </w:p>
        </w:tc>
        <w:tc>
          <w:tcPr>
            <w:tcW w:w="1219" w:type="dxa"/>
            <w:vAlign w:val="center"/>
          </w:tcPr>
          <w:p w14:paraId="4C532B9D"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DBD00B3"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46D0A4A0"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4D48608C"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2.172</w:t>
            </w:r>
          </w:p>
        </w:tc>
      </w:tr>
      <w:tr w:rsidR="00BD798E" w:rsidRPr="00B80139" w14:paraId="4151A07C" w14:textId="77777777" w:rsidTr="009D45FD">
        <w:tc>
          <w:tcPr>
            <w:tcW w:w="3119" w:type="dxa"/>
            <w:vAlign w:val="center"/>
          </w:tcPr>
          <w:p w14:paraId="377D95A2"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Lead production</w:t>
            </w:r>
          </w:p>
        </w:tc>
        <w:tc>
          <w:tcPr>
            <w:tcW w:w="1219" w:type="dxa"/>
            <w:vAlign w:val="center"/>
          </w:tcPr>
          <w:p w14:paraId="67E23780"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C78068F"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3A08CB7"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143308E"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19AA9CE4"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r>
      <w:tr w:rsidR="00BD798E" w:rsidRPr="00B80139" w14:paraId="550F6069" w14:textId="77777777" w:rsidTr="009D45FD">
        <w:tc>
          <w:tcPr>
            <w:tcW w:w="3119" w:type="dxa"/>
            <w:vAlign w:val="center"/>
          </w:tcPr>
          <w:p w14:paraId="73867DB9"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Brass and bronze production</w:t>
            </w:r>
          </w:p>
        </w:tc>
        <w:tc>
          <w:tcPr>
            <w:tcW w:w="1219" w:type="dxa"/>
            <w:vAlign w:val="center"/>
          </w:tcPr>
          <w:p w14:paraId="099229C2"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0.008</w:t>
            </w:r>
          </w:p>
        </w:tc>
        <w:tc>
          <w:tcPr>
            <w:tcW w:w="1219" w:type="dxa"/>
            <w:vAlign w:val="center"/>
          </w:tcPr>
          <w:p w14:paraId="47589B38"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D477F79"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AF20D6A"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2F967C9"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0.178</w:t>
            </w:r>
          </w:p>
        </w:tc>
      </w:tr>
      <w:tr w:rsidR="00BD798E" w:rsidRPr="00B80139" w14:paraId="47CBD065" w14:textId="77777777" w:rsidTr="009D45FD">
        <w:tc>
          <w:tcPr>
            <w:tcW w:w="3119" w:type="dxa"/>
            <w:vAlign w:val="center"/>
          </w:tcPr>
          <w:p w14:paraId="49F2868B" w14:textId="77777777" w:rsidR="00BD798E" w:rsidRPr="003D73C3" w:rsidRDefault="00BD798E" w:rsidP="009D45FD">
            <w:pPr>
              <w:spacing w:before="120"/>
              <w:rPr>
                <w:rFonts w:ascii="Arial" w:hAnsi="Arial" w:cs="Arial"/>
                <w:sz w:val="16"/>
                <w:szCs w:val="16"/>
              </w:rPr>
            </w:pPr>
            <w:r w:rsidRPr="003D73C3">
              <w:rPr>
                <w:rFonts w:ascii="Arial" w:hAnsi="Arial" w:cs="Arial"/>
                <w:sz w:val="16"/>
                <w:szCs w:val="16"/>
              </w:rPr>
              <w:t>Metal shredding</w:t>
            </w:r>
          </w:p>
        </w:tc>
        <w:tc>
          <w:tcPr>
            <w:tcW w:w="1219" w:type="dxa"/>
            <w:vAlign w:val="center"/>
          </w:tcPr>
          <w:p w14:paraId="782059A2" w14:textId="5BC1979E"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0.0</w:t>
            </w:r>
            <w:r w:rsidR="005C19D8">
              <w:rPr>
                <w:rFonts w:ascii="Arial" w:hAnsi="Arial" w:cs="Arial"/>
                <w:sz w:val="16"/>
                <w:szCs w:val="16"/>
              </w:rPr>
              <w:t>7</w:t>
            </w:r>
            <w:r w:rsidRPr="003D73C3">
              <w:rPr>
                <w:rFonts w:ascii="Arial" w:hAnsi="Arial" w:cs="Arial"/>
                <w:sz w:val="16"/>
                <w:szCs w:val="16"/>
              </w:rPr>
              <w:t>0</w:t>
            </w:r>
          </w:p>
        </w:tc>
        <w:tc>
          <w:tcPr>
            <w:tcW w:w="1219" w:type="dxa"/>
            <w:vAlign w:val="center"/>
          </w:tcPr>
          <w:p w14:paraId="0C1BA593"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1BABA67C"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31EB1B9" w14:textId="77777777"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B94D567" w14:textId="0760677C" w:rsidR="00BD798E" w:rsidRPr="003D73C3" w:rsidRDefault="00BD798E" w:rsidP="009D45FD">
            <w:pPr>
              <w:spacing w:before="120"/>
              <w:jc w:val="center"/>
              <w:rPr>
                <w:rFonts w:ascii="Arial" w:hAnsi="Arial" w:cs="Arial"/>
                <w:sz w:val="16"/>
                <w:szCs w:val="16"/>
              </w:rPr>
            </w:pPr>
            <w:r w:rsidRPr="003D73C3">
              <w:rPr>
                <w:rFonts w:ascii="Arial" w:hAnsi="Arial" w:cs="Arial"/>
                <w:sz w:val="16"/>
                <w:szCs w:val="16"/>
              </w:rPr>
              <w:t>1.</w:t>
            </w:r>
            <w:r w:rsidR="005C19D8">
              <w:rPr>
                <w:rFonts w:ascii="Arial" w:hAnsi="Arial" w:cs="Arial"/>
                <w:sz w:val="16"/>
                <w:szCs w:val="16"/>
              </w:rPr>
              <w:t>7</w:t>
            </w:r>
            <w:r w:rsidRPr="003D73C3">
              <w:rPr>
                <w:rFonts w:ascii="Arial" w:hAnsi="Arial" w:cs="Arial"/>
                <w:sz w:val="16"/>
                <w:szCs w:val="16"/>
              </w:rPr>
              <w:t>5</w:t>
            </w:r>
          </w:p>
        </w:tc>
      </w:tr>
      <w:tr w:rsidR="00BD798E" w:rsidRPr="00B80139" w14:paraId="159EE34B" w14:textId="77777777" w:rsidTr="009D45FD">
        <w:tc>
          <w:tcPr>
            <w:tcW w:w="3119" w:type="dxa"/>
          </w:tcPr>
          <w:p w14:paraId="710695D2" w14:textId="77777777" w:rsidR="00BD798E" w:rsidRPr="003D73C3" w:rsidRDefault="00BD798E" w:rsidP="009D45FD">
            <w:pPr>
              <w:spacing w:before="120"/>
              <w:jc w:val="both"/>
              <w:rPr>
                <w:rFonts w:ascii="Arial" w:hAnsi="Arial" w:cs="Arial"/>
                <w:b/>
                <w:sz w:val="16"/>
                <w:szCs w:val="16"/>
              </w:rPr>
            </w:pPr>
            <w:r w:rsidRPr="00B80139">
              <w:rPr>
                <w:rFonts w:ascii="Arial" w:hAnsi="Arial" w:cs="Arial"/>
                <w:b/>
                <w:sz w:val="16"/>
                <w:szCs w:val="16"/>
              </w:rPr>
              <w:t>2012 totals</w:t>
            </w:r>
            <w:r w:rsidRPr="00B80139" w:rsidDel="001748A8">
              <w:rPr>
                <w:rFonts w:ascii="Arial" w:hAnsi="Arial" w:cs="Arial"/>
                <w:b/>
                <w:sz w:val="16"/>
                <w:szCs w:val="16"/>
              </w:rPr>
              <w:t xml:space="preserve"> </w:t>
            </w:r>
          </w:p>
        </w:tc>
        <w:tc>
          <w:tcPr>
            <w:tcW w:w="1219" w:type="dxa"/>
            <w:vAlign w:val="center"/>
          </w:tcPr>
          <w:p w14:paraId="24AE7F0B"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0.404</w:t>
            </w:r>
          </w:p>
        </w:tc>
        <w:tc>
          <w:tcPr>
            <w:tcW w:w="1219" w:type="dxa"/>
            <w:vAlign w:val="center"/>
          </w:tcPr>
          <w:p w14:paraId="554C963F"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0.014</w:t>
            </w:r>
          </w:p>
        </w:tc>
        <w:tc>
          <w:tcPr>
            <w:tcW w:w="1219" w:type="dxa"/>
            <w:vAlign w:val="center"/>
          </w:tcPr>
          <w:p w14:paraId="762CD323"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0.206</w:t>
            </w:r>
          </w:p>
        </w:tc>
        <w:tc>
          <w:tcPr>
            <w:tcW w:w="1219" w:type="dxa"/>
            <w:vAlign w:val="center"/>
          </w:tcPr>
          <w:p w14:paraId="30ACE744"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w:t>
            </w:r>
          </w:p>
        </w:tc>
        <w:tc>
          <w:tcPr>
            <w:tcW w:w="1219" w:type="dxa"/>
            <w:vAlign w:val="center"/>
          </w:tcPr>
          <w:p w14:paraId="7430F7CA"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9.71</w:t>
            </w:r>
          </w:p>
        </w:tc>
      </w:tr>
      <w:tr w:rsidR="00BD798E" w:rsidRPr="00B80139" w14:paraId="5D3866C7" w14:textId="77777777" w:rsidTr="009D45FD">
        <w:tc>
          <w:tcPr>
            <w:tcW w:w="3119" w:type="dxa"/>
          </w:tcPr>
          <w:p w14:paraId="0B825EBC" w14:textId="77777777" w:rsidR="00BD798E" w:rsidRPr="003D73C3" w:rsidRDefault="00BD798E" w:rsidP="009D45FD">
            <w:pPr>
              <w:spacing w:before="120"/>
              <w:jc w:val="both"/>
              <w:rPr>
                <w:rFonts w:ascii="Arial" w:hAnsi="Arial" w:cs="Arial"/>
                <w:b/>
                <w:sz w:val="16"/>
                <w:szCs w:val="16"/>
              </w:rPr>
            </w:pPr>
            <w:r w:rsidRPr="00B80139">
              <w:rPr>
                <w:rFonts w:ascii="Arial" w:hAnsi="Arial" w:cs="Arial"/>
                <w:b/>
                <w:sz w:val="16"/>
                <w:szCs w:val="16"/>
              </w:rPr>
              <w:t>2016 totals</w:t>
            </w:r>
          </w:p>
        </w:tc>
        <w:tc>
          <w:tcPr>
            <w:tcW w:w="1219" w:type="dxa"/>
            <w:vAlign w:val="center"/>
          </w:tcPr>
          <w:p w14:paraId="23790566"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0.261</w:t>
            </w:r>
          </w:p>
        </w:tc>
        <w:tc>
          <w:tcPr>
            <w:tcW w:w="1219" w:type="dxa"/>
            <w:vAlign w:val="center"/>
          </w:tcPr>
          <w:p w14:paraId="74D0EF3F"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0.015</w:t>
            </w:r>
          </w:p>
        </w:tc>
        <w:tc>
          <w:tcPr>
            <w:tcW w:w="1219" w:type="dxa"/>
            <w:vAlign w:val="center"/>
          </w:tcPr>
          <w:p w14:paraId="0E7731E3"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0.274</w:t>
            </w:r>
          </w:p>
        </w:tc>
        <w:tc>
          <w:tcPr>
            <w:tcW w:w="1219" w:type="dxa"/>
            <w:vAlign w:val="center"/>
          </w:tcPr>
          <w:p w14:paraId="0DC17775"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w:t>
            </w:r>
          </w:p>
        </w:tc>
        <w:tc>
          <w:tcPr>
            <w:tcW w:w="1219" w:type="dxa"/>
            <w:vAlign w:val="center"/>
          </w:tcPr>
          <w:p w14:paraId="52107A80"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5.54</w:t>
            </w:r>
          </w:p>
        </w:tc>
      </w:tr>
      <w:tr w:rsidR="00BD798E" w:rsidRPr="007901FE" w14:paraId="2A1A90DB" w14:textId="77777777" w:rsidTr="009D45FD">
        <w:tc>
          <w:tcPr>
            <w:tcW w:w="3119" w:type="dxa"/>
          </w:tcPr>
          <w:p w14:paraId="57CBB7CF" w14:textId="77777777" w:rsidR="00BD798E" w:rsidRPr="003D73C3" w:rsidRDefault="00BD798E" w:rsidP="009D45FD">
            <w:pPr>
              <w:spacing w:before="120"/>
              <w:jc w:val="both"/>
              <w:rPr>
                <w:rFonts w:ascii="Arial" w:hAnsi="Arial" w:cs="Arial"/>
                <w:b/>
                <w:sz w:val="16"/>
                <w:szCs w:val="16"/>
              </w:rPr>
            </w:pPr>
            <w:r w:rsidRPr="00B80139">
              <w:rPr>
                <w:rFonts w:ascii="Arial" w:hAnsi="Arial" w:cs="Arial"/>
                <w:b/>
                <w:sz w:val="16"/>
                <w:szCs w:val="16"/>
              </w:rPr>
              <w:t>2020 totals</w:t>
            </w:r>
          </w:p>
        </w:tc>
        <w:tc>
          <w:tcPr>
            <w:tcW w:w="1219" w:type="dxa"/>
            <w:vAlign w:val="center"/>
          </w:tcPr>
          <w:p w14:paraId="3D576008" w14:textId="6CA18E0D"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0.1</w:t>
            </w:r>
            <w:r w:rsidR="005C19D8">
              <w:rPr>
                <w:rFonts w:ascii="Arial" w:hAnsi="Arial" w:cs="Arial"/>
                <w:b/>
                <w:sz w:val="16"/>
                <w:szCs w:val="16"/>
              </w:rPr>
              <w:t>9</w:t>
            </w:r>
            <w:r w:rsidRPr="003D73C3">
              <w:rPr>
                <w:rFonts w:ascii="Arial" w:hAnsi="Arial" w:cs="Arial"/>
                <w:b/>
                <w:sz w:val="16"/>
                <w:szCs w:val="16"/>
              </w:rPr>
              <w:t>8</w:t>
            </w:r>
          </w:p>
        </w:tc>
        <w:tc>
          <w:tcPr>
            <w:tcW w:w="1219" w:type="dxa"/>
            <w:vAlign w:val="center"/>
          </w:tcPr>
          <w:p w14:paraId="5C0BF8F5"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0.0165</w:t>
            </w:r>
          </w:p>
        </w:tc>
        <w:tc>
          <w:tcPr>
            <w:tcW w:w="1219" w:type="dxa"/>
            <w:vAlign w:val="center"/>
          </w:tcPr>
          <w:p w14:paraId="525AB7FA" w14:textId="77777777" w:rsidR="00BD798E" w:rsidRPr="003D73C3" w:rsidRDefault="00BD798E" w:rsidP="009D45FD">
            <w:pPr>
              <w:spacing w:before="120"/>
              <w:jc w:val="center"/>
              <w:rPr>
                <w:rFonts w:ascii="Arial" w:hAnsi="Arial" w:cs="Arial"/>
                <w:b/>
                <w:sz w:val="16"/>
                <w:szCs w:val="16"/>
              </w:rPr>
            </w:pPr>
            <w:r w:rsidRPr="003D73C3">
              <w:rPr>
                <w:rFonts w:ascii="Arial" w:hAnsi="Arial" w:cs="Arial"/>
                <w:b/>
                <w:sz w:val="16"/>
                <w:szCs w:val="16"/>
              </w:rPr>
              <w:t>0.087</w:t>
            </w:r>
          </w:p>
        </w:tc>
        <w:tc>
          <w:tcPr>
            <w:tcW w:w="1219" w:type="dxa"/>
            <w:vAlign w:val="center"/>
          </w:tcPr>
          <w:p w14:paraId="7D50DE03" w14:textId="77777777" w:rsidR="00BD798E" w:rsidRPr="003D73C3" w:rsidRDefault="00BD798E" w:rsidP="009D45FD">
            <w:pPr>
              <w:spacing w:before="120"/>
              <w:jc w:val="center"/>
              <w:rPr>
                <w:rFonts w:ascii="Arial" w:hAnsi="Arial" w:cs="Arial"/>
                <w:b/>
                <w:sz w:val="16"/>
                <w:szCs w:val="16"/>
              </w:rPr>
            </w:pPr>
          </w:p>
        </w:tc>
        <w:tc>
          <w:tcPr>
            <w:tcW w:w="1219" w:type="dxa"/>
            <w:vAlign w:val="center"/>
          </w:tcPr>
          <w:p w14:paraId="22622462" w14:textId="6C919C4B" w:rsidR="00BD798E" w:rsidRDefault="005C19D8" w:rsidP="009D45FD">
            <w:pPr>
              <w:spacing w:before="120"/>
              <w:jc w:val="center"/>
              <w:rPr>
                <w:rFonts w:ascii="Arial" w:hAnsi="Arial" w:cs="Arial"/>
                <w:b/>
                <w:sz w:val="16"/>
                <w:szCs w:val="16"/>
              </w:rPr>
            </w:pPr>
            <w:r>
              <w:rPr>
                <w:rFonts w:ascii="Arial" w:hAnsi="Arial" w:cs="Arial"/>
                <w:b/>
                <w:sz w:val="16"/>
                <w:szCs w:val="16"/>
              </w:rPr>
              <w:t>4.371</w:t>
            </w:r>
          </w:p>
        </w:tc>
      </w:tr>
    </w:tbl>
    <w:p w14:paraId="754C7FFB" w14:textId="416FBB9F" w:rsidR="00BD798E" w:rsidRDefault="00BD798E" w:rsidP="007D30EE">
      <w:pPr>
        <w:spacing w:line="300" w:lineRule="atLeast"/>
        <w:jc w:val="both"/>
        <w:rPr>
          <w:rFonts w:eastAsia="Calibri"/>
          <w:szCs w:val="22"/>
        </w:rPr>
      </w:pPr>
    </w:p>
    <w:p w14:paraId="767DA883" w14:textId="77777777" w:rsidR="00BD798E" w:rsidRDefault="00BD798E">
      <w:pPr>
        <w:spacing w:after="0"/>
        <w:rPr>
          <w:rFonts w:eastAsia="Calibri"/>
          <w:szCs w:val="22"/>
        </w:rPr>
      </w:pPr>
      <w:r>
        <w:rPr>
          <w:rFonts w:eastAsia="Calibri"/>
          <w:szCs w:val="22"/>
        </w:rPr>
        <w:br w:type="page"/>
      </w:r>
    </w:p>
    <w:p w14:paraId="26763F42" w14:textId="0FA945F5" w:rsidR="00047702" w:rsidRPr="00A311F7" w:rsidRDefault="00044E38" w:rsidP="00261F78">
      <w:pPr>
        <w:pStyle w:val="Heading1"/>
      </w:pPr>
      <w:bookmarkStart w:id="166" w:name="_Toc112768090"/>
      <w:bookmarkEnd w:id="86"/>
      <w:r>
        <w:lastRenderedPageBreak/>
        <w:t>Heat and power generation</w:t>
      </w:r>
      <w:bookmarkEnd w:id="166"/>
    </w:p>
    <w:p w14:paraId="21658279" w14:textId="5C867B9C" w:rsidR="00213D7F" w:rsidRDefault="00213D7F" w:rsidP="003833D6">
      <w:pPr>
        <w:spacing w:line="300" w:lineRule="atLeast"/>
        <w:jc w:val="both"/>
        <w:rPr>
          <w:szCs w:val="18"/>
        </w:rPr>
      </w:pPr>
      <w:r w:rsidRPr="00213D7F">
        <w:rPr>
          <w:szCs w:val="18"/>
        </w:rPr>
        <w:t xml:space="preserve">This category covers the following dioxin sources </w:t>
      </w:r>
      <w:sdt>
        <w:sdtPr>
          <w:rPr>
            <w:szCs w:val="18"/>
          </w:rPr>
          <w:id w:val="-1690526166"/>
          <w:citation/>
        </w:sdtPr>
        <w:sdtEndPr/>
        <w:sdtContent>
          <w:r w:rsidR="002C429C">
            <w:rPr>
              <w:szCs w:val="18"/>
            </w:rPr>
            <w:fldChar w:fldCharType="begin"/>
          </w:r>
          <w:r w:rsidR="002C429C">
            <w:rPr>
              <w:szCs w:val="18"/>
            </w:rPr>
            <w:instrText xml:space="preserve"> CITATION UNEP13 \l 5129 </w:instrText>
          </w:r>
          <w:r w:rsidR="002C429C">
            <w:rPr>
              <w:szCs w:val="18"/>
            </w:rPr>
            <w:fldChar w:fldCharType="separate"/>
          </w:r>
          <w:r w:rsidR="00F1175E" w:rsidRPr="00F1175E">
            <w:rPr>
              <w:noProof/>
              <w:szCs w:val="18"/>
            </w:rPr>
            <w:t>(United Nations Environment Programme, 2013)</w:t>
          </w:r>
          <w:r w:rsidR="002C429C">
            <w:rPr>
              <w:szCs w:val="18"/>
            </w:rPr>
            <w:fldChar w:fldCharType="end"/>
          </w:r>
        </w:sdtContent>
      </w:sdt>
      <w:r w:rsidRPr="00213D7F">
        <w:rPr>
          <w:szCs w:val="18"/>
        </w:rPr>
        <w:t>:</w:t>
      </w:r>
    </w:p>
    <w:p w14:paraId="4E4B17F9" w14:textId="77777777" w:rsidR="00C47018" w:rsidRPr="00C47018" w:rsidRDefault="00213D7F" w:rsidP="00C47018">
      <w:pPr>
        <w:spacing w:line="300" w:lineRule="atLeast"/>
        <w:ind w:left="720"/>
        <w:jc w:val="both"/>
        <w:rPr>
          <w:szCs w:val="18"/>
        </w:rPr>
      </w:pPr>
      <w:r>
        <w:rPr>
          <w:szCs w:val="18"/>
        </w:rPr>
        <w:t>3</w:t>
      </w:r>
      <w:r w:rsidR="00C47018" w:rsidRPr="00C47018">
        <w:rPr>
          <w:szCs w:val="18"/>
        </w:rPr>
        <w:t>a</w:t>
      </w:r>
      <w:r w:rsidR="00C47018" w:rsidRPr="00C47018">
        <w:rPr>
          <w:szCs w:val="18"/>
        </w:rPr>
        <w:tab/>
        <w:t>Fossil fuel power plants (coal, oil, gas, shale oil, and co-combustion of waste)</w:t>
      </w:r>
    </w:p>
    <w:p w14:paraId="31E39841" w14:textId="77777777" w:rsidR="00C47018" w:rsidRPr="00C47018" w:rsidRDefault="2FF6C044" w:rsidP="00C47018">
      <w:pPr>
        <w:spacing w:line="300" w:lineRule="atLeast"/>
        <w:ind w:left="720"/>
        <w:jc w:val="both"/>
      </w:pPr>
      <w:r>
        <w:t>3</w:t>
      </w:r>
      <w:r w:rsidR="309650FE">
        <w:t>b</w:t>
      </w:r>
      <w:r w:rsidR="00213D7F">
        <w:tab/>
      </w:r>
      <w:r w:rsidR="309650FE">
        <w:t xml:space="preserve">Biomass power plants (wood, straw, </w:t>
      </w:r>
      <w:bookmarkStart w:id="167" w:name="_Int_MKoWSX6W"/>
      <w:r w:rsidR="309650FE">
        <w:t>other</w:t>
      </w:r>
      <w:bookmarkEnd w:id="167"/>
      <w:r w:rsidR="309650FE">
        <w:t xml:space="preserve"> biomass)</w:t>
      </w:r>
    </w:p>
    <w:p w14:paraId="0354C591" w14:textId="77777777" w:rsidR="00C47018" w:rsidRPr="00C47018" w:rsidRDefault="00213D7F" w:rsidP="00C47018">
      <w:pPr>
        <w:spacing w:line="300" w:lineRule="atLeast"/>
        <w:ind w:left="720"/>
        <w:jc w:val="both"/>
        <w:rPr>
          <w:szCs w:val="18"/>
        </w:rPr>
      </w:pPr>
      <w:r>
        <w:rPr>
          <w:szCs w:val="18"/>
        </w:rPr>
        <w:t>3</w:t>
      </w:r>
      <w:r w:rsidR="00C47018" w:rsidRPr="00C47018">
        <w:rPr>
          <w:szCs w:val="18"/>
        </w:rPr>
        <w:t>c</w:t>
      </w:r>
      <w:r w:rsidR="00C47018" w:rsidRPr="00C47018">
        <w:rPr>
          <w:szCs w:val="18"/>
        </w:rPr>
        <w:tab/>
        <w:t>Landfill, biogas combustion</w:t>
      </w:r>
    </w:p>
    <w:p w14:paraId="662BF7E2" w14:textId="77777777" w:rsidR="00C47018" w:rsidRPr="00C47018" w:rsidRDefault="2FF6C044" w:rsidP="00C47018">
      <w:pPr>
        <w:spacing w:line="300" w:lineRule="atLeast"/>
        <w:ind w:left="720"/>
        <w:jc w:val="both"/>
      </w:pPr>
      <w:r>
        <w:t>3</w:t>
      </w:r>
      <w:r w:rsidR="309650FE">
        <w:t>d</w:t>
      </w:r>
      <w:r w:rsidR="00213D7F">
        <w:tab/>
      </w:r>
      <w:r w:rsidR="309650FE">
        <w:t xml:space="preserve">Household heating and cooking with biomass (wood, </w:t>
      </w:r>
      <w:bookmarkStart w:id="168" w:name="_Int_zqqmZupq"/>
      <w:r w:rsidR="309650FE">
        <w:t>other</w:t>
      </w:r>
      <w:bookmarkEnd w:id="168"/>
      <w:r w:rsidR="309650FE">
        <w:t xml:space="preserve"> biomass)</w:t>
      </w:r>
    </w:p>
    <w:p w14:paraId="3FD17963" w14:textId="77777777" w:rsidR="00A70EA8" w:rsidRDefault="00213D7F" w:rsidP="00C47018">
      <w:pPr>
        <w:spacing w:line="300" w:lineRule="atLeast"/>
        <w:ind w:left="720"/>
        <w:jc w:val="both"/>
        <w:rPr>
          <w:szCs w:val="18"/>
        </w:rPr>
      </w:pPr>
      <w:r>
        <w:rPr>
          <w:szCs w:val="18"/>
        </w:rPr>
        <w:t>3</w:t>
      </w:r>
      <w:r w:rsidR="00C47018" w:rsidRPr="00C47018">
        <w:rPr>
          <w:szCs w:val="18"/>
        </w:rPr>
        <w:t>e</w:t>
      </w:r>
      <w:r w:rsidR="00C47018" w:rsidRPr="00C47018">
        <w:rPr>
          <w:szCs w:val="18"/>
        </w:rPr>
        <w:tab/>
        <w:t>Household heating and cooking with fossil fuels (coal, oil, gas)</w:t>
      </w:r>
    </w:p>
    <w:p w14:paraId="778E2A2E" w14:textId="71E693A7" w:rsidR="00B32466" w:rsidRDefault="4D754D3A" w:rsidP="00B32466">
      <w:pPr>
        <w:spacing w:line="300" w:lineRule="atLeast"/>
        <w:jc w:val="both"/>
      </w:pPr>
      <w:bookmarkStart w:id="169" w:name="_Toc358573504"/>
      <w:r>
        <w:t xml:space="preserve">The dioxin releases from heat and power generation processes are all combustion-related, and they </w:t>
      </w:r>
      <w:bookmarkStart w:id="170" w:name="_Int_yTXdvjWD"/>
      <w:r w:rsidR="73EB442A">
        <w:t>mainly</w:t>
      </w:r>
      <w:r>
        <w:t xml:space="preserve"> arise</w:t>
      </w:r>
      <w:bookmarkEnd w:id="170"/>
      <w:r>
        <w:t xml:space="preserve"> from the incomplete combustion of the fuels being burned. For this reason, the dioxin release rates tend to be greatest for the more complex fuels (eg</w:t>
      </w:r>
      <w:r w:rsidR="0071355A">
        <w:t>,</w:t>
      </w:r>
      <w:r>
        <w:t xml:space="preserve"> coal and oil versus gas). They are also highly dependent on the types and design of the fuel-burning equipment (eg</w:t>
      </w:r>
      <w:r w:rsidR="0071355A">
        <w:t>,</w:t>
      </w:r>
      <w:r>
        <w:t xml:space="preserve"> industrial furnaces versus simple domestic ovens).</w:t>
      </w:r>
    </w:p>
    <w:p w14:paraId="190CC3FE" w14:textId="77777777" w:rsidR="00A51AE5" w:rsidRPr="00A311F7" w:rsidRDefault="00C97C83" w:rsidP="00261F78">
      <w:pPr>
        <w:pStyle w:val="Heading2"/>
      </w:pPr>
      <w:bookmarkStart w:id="171" w:name="_Toc112768091"/>
      <w:r>
        <w:t>Fossil fuel</w:t>
      </w:r>
      <w:r w:rsidR="00A97D5C" w:rsidRPr="00A311F7">
        <w:t xml:space="preserve"> power plant</w:t>
      </w:r>
      <w:bookmarkEnd w:id="169"/>
      <w:r w:rsidR="001C67DA">
        <w:t>s</w:t>
      </w:r>
      <w:bookmarkEnd w:id="171"/>
    </w:p>
    <w:p w14:paraId="19C7B02E" w14:textId="65994526" w:rsidR="007B2100" w:rsidRDefault="00BD6E86" w:rsidP="003833D6">
      <w:pPr>
        <w:spacing w:line="300" w:lineRule="atLeast"/>
        <w:jc w:val="both"/>
        <w:rPr>
          <w:szCs w:val="18"/>
          <w:lang w:val="en"/>
        </w:rPr>
      </w:pPr>
      <w:r>
        <w:rPr>
          <w:szCs w:val="18"/>
        </w:rPr>
        <w:t xml:space="preserve">It is important to note that the UNEP Toolkit uses the term </w:t>
      </w:r>
      <w:r w:rsidR="00560899">
        <w:rPr>
          <w:szCs w:val="18"/>
        </w:rPr>
        <w:t>“</w:t>
      </w:r>
      <w:r>
        <w:rPr>
          <w:szCs w:val="18"/>
        </w:rPr>
        <w:t>power</w:t>
      </w:r>
      <w:r w:rsidR="00560899">
        <w:rPr>
          <w:szCs w:val="18"/>
        </w:rPr>
        <w:t>”</w:t>
      </w:r>
      <w:r>
        <w:rPr>
          <w:szCs w:val="18"/>
        </w:rPr>
        <w:t xml:space="preserve"> in its broadest technical sense, meaning </w:t>
      </w:r>
      <w:r w:rsidRPr="00BD6E86">
        <w:rPr>
          <w:szCs w:val="18"/>
          <w:lang w:val="en"/>
        </w:rPr>
        <w:t xml:space="preserve">energy produced by mechanical, </w:t>
      </w:r>
      <w:r w:rsidR="00460141">
        <w:rPr>
          <w:szCs w:val="18"/>
          <w:lang w:val="en"/>
        </w:rPr>
        <w:t xml:space="preserve">thermal, </w:t>
      </w:r>
      <w:r w:rsidRPr="00BD6E86">
        <w:rPr>
          <w:szCs w:val="18"/>
          <w:lang w:val="en"/>
        </w:rPr>
        <w:t>electrical, or other me</w:t>
      </w:r>
      <w:r>
        <w:rPr>
          <w:szCs w:val="18"/>
          <w:lang w:val="en"/>
        </w:rPr>
        <w:t>ans, whereas in New Zealand it is commonl</w:t>
      </w:r>
      <w:r w:rsidR="007B2100">
        <w:rPr>
          <w:szCs w:val="18"/>
          <w:lang w:val="en"/>
        </w:rPr>
        <w:t xml:space="preserve">y used to refer specifically to </w:t>
      </w:r>
      <w:r>
        <w:rPr>
          <w:szCs w:val="18"/>
          <w:lang w:val="en"/>
        </w:rPr>
        <w:t>electricity. The previous inventory reports avoided this potential confusion by having separate sections for electricity generation and other industrial</w:t>
      </w:r>
      <w:r w:rsidR="00460141">
        <w:rPr>
          <w:szCs w:val="18"/>
          <w:lang w:val="en"/>
        </w:rPr>
        <w:t>/</w:t>
      </w:r>
      <w:r>
        <w:rPr>
          <w:szCs w:val="18"/>
          <w:lang w:val="en"/>
        </w:rPr>
        <w:t>commercial fuel use, and this distinction will be maintained here</w:t>
      </w:r>
      <w:r w:rsidR="007B2100">
        <w:rPr>
          <w:szCs w:val="18"/>
          <w:lang w:val="en"/>
        </w:rPr>
        <w:t xml:space="preserve"> </w:t>
      </w:r>
      <w:proofErr w:type="gramStart"/>
      <w:r w:rsidR="007B2100">
        <w:rPr>
          <w:szCs w:val="18"/>
          <w:lang w:val="en"/>
        </w:rPr>
        <w:t>through the use of</w:t>
      </w:r>
      <w:proofErr w:type="gramEnd"/>
      <w:r w:rsidR="007B2100">
        <w:rPr>
          <w:szCs w:val="18"/>
          <w:lang w:val="en"/>
        </w:rPr>
        <w:t xml:space="preserve"> </w:t>
      </w:r>
      <w:r w:rsidR="00203E8C">
        <w:rPr>
          <w:szCs w:val="18"/>
          <w:lang w:val="en"/>
        </w:rPr>
        <w:t>sub-section</w:t>
      </w:r>
      <w:r w:rsidR="00460141">
        <w:rPr>
          <w:szCs w:val="18"/>
          <w:lang w:val="en"/>
        </w:rPr>
        <w:t>s</w:t>
      </w:r>
      <w:r w:rsidR="009D590B">
        <w:rPr>
          <w:szCs w:val="18"/>
          <w:lang w:val="en"/>
        </w:rPr>
        <w:t xml:space="preserve"> within each of the fuel-based </w:t>
      </w:r>
      <w:r w:rsidR="00E975D3">
        <w:rPr>
          <w:szCs w:val="18"/>
          <w:lang w:val="en"/>
        </w:rPr>
        <w:t>sub-</w:t>
      </w:r>
      <w:r w:rsidR="009D590B">
        <w:rPr>
          <w:szCs w:val="18"/>
          <w:lang w:val="en"/>
        </w:rPr>
        <w:t>categories covered below</w:t>
      </w:r>
      <w:r>
        <w:rPr>
          <w:szCs w:val="18"/>
          <w:lang w:val="en"/>
        </w:rPr>
        <w:t>.</w:t>
      </w:r>
    </w:p>
    <w:p w14:paraId="1CBEA470" w14:textId="4F1CFDB5" w:rsidR="004A265E" w:rsidRDefault="00EE0025" w:rsidP="003833D6">
      <w:pPr>
        <w:spacing w:line="300" w:lineRule="atLeast"/>
        <w:jc w:val="both"/>
        <w:rPr>
          <w:szCs w:val="18"/>
          <w:lang w:val="en"/>
        </w:rPr>
      </w:pPr>
      <w:r>
        <w:rPr>
          <w:szCs w:val="18"/>
          <w:lang w:val="en"/>
        </w:rPr>
        <w:t xml:space="preserve">The UNEP Toolkit lists 6 different classes within this sub-category </w:t>
      </w:r>
      <w:proofErr w:type="gramStart"/>
      <w:r>
        <w:rPr>
          <w:szCs w:val="18"/>
          <w:lang w:val="en"/>
        </w:rPr>
        <w:t>on the basis of</w:t>
      </w:r>
      <w:proofErr w:type="gramEnd"/>
      <w:r>
        <w:rPr>
          <w:szCs w:val="18"/>
          <w:lang w:val="en"/>
        </w:rPr>
        <w:t xml:space="preserve"> fuel type. These are</w:t>
      </w:r>
      <w:r w:rsidR="004A265E">
        <w:rPr>
          <w:szCs w:val="18"/>
          <w:lang w:val="en"/>
        </w:rPr>
        <w:t>:</w:t>
      </w:r>
      <w:r>
        <w:rPr>
          <w:szCs w:val="18"/>
          <w:lang w:val="en"/>
        </w:rPr>
        <w:t xml:space="preserve"> fossil fuel/waste mixtures, coal, peat, heavy fuel oil, shale oil and light fuel oil/natural gas</w:t>
      </w:r>
      <w:r w:rsidR="004A265E">
        <w:rPr>
          <w:szCs w:val="18"/>
          <w:lang w:val="en"/>
        </w:rPr>
        <w:t>. The latter group may also be taken to include LPG.</w:t>
      </w:r>
      <w:r>
        <w:rPr>
          <w:szCs w:val="18"/>
          <w:lang w:val="en"/>
        </w:rPr>
        <w:t xml:space="preserve"> </w:t>
      </w:r>
      <w:r w:rsidR="004A265E">
        <w:rPr>
          <w:szCs w:val="18"/>
          <w:lang w:val="en"/>
        </w:rPr>
        <w:t xml:space="preserve">There is no </w:t>
      </w:r>
      <w:r w:rsidR="00460141">
        <w:rPr>
          <w:szCs w:val="18"/>
          <w:lang w:val="en"/>
        </w:rPr>
        <w:t xml:space="preserve">co-firing of wastes or </w:t>
      </w:r>
      <w:r w:rsidR="004A265E">
        <w:rPr>
          <w:szCs w:val="18"/>
          <w:lang w:val="en"/>
        </w:rPr>
        <w:t>usage of peat or shale oil as fuels in New Zealand, but all other fuels have been considered below.</w:t>
      </w:r>
    </w:p>
    <w:p w14:paraId="037ADB58" w14:textId="77777777" w:rsidR="00C97C83" w:rsidRDefault="00804C57" w:rsidP="00804C57">
      <w:pPr>
        <w:pStyle w:val="Heading3"/>
      </w:pPr>
      <w:bookmarkStart w:id="172" w:name="_Toc112768092"/>
      <w:r>
        <w:t>Coal</w:t>
      </w:r>
      <w:r w:rsidR="009170D4">
        <w:t xml:space="preserve">-fired </w:t>
      </w:r>
      <w:r w:rsidR="00181A97">
        <w:t xml:space="preserve">power </w:t>
      </w:r>
      <w:r w:rsidR="00445442">
        <w:t>plant</w:t>
      </w:r>
      <w:r w:rsidR="001B37E4">
        <w:t>s</w:t>
      </w:r>
      <w:bookmarkEnd w:id="172"/>
    </w:p>
    <w:p w14:paraId="1B3D80FC" w14:textId="77777777" w:rsidR="00181A97" w:rsidRPr="00181A97" w:rsidRDefault="00181A97" w:rsidP="003833D6">
      <w:pPr>
        <w:spacing w:line="300" w:lineRule="atLeast"/>
        <w:jc w:val="both"/>
        <w:rPr>
          <w:rFonts w:ascii="Arial" w:hAnsi="Arial" w:cs="Arial"/>
          <w:b/>
          <w:szCs w:val="18"/>
        </w:rPr>
      </w:pPr>
      <w:r w:rsidRPr="00181A97">
        <w:rPr>
          <w:rFonts w:ascii="Arial" w:hAnsi="Arial" w:cs="Arial"/>
          <w:b/>
          <w:szCs w:val="18"/>
        </w:rPr>
        <w:t>Electricity Generation</w:t>
      </w:r>
    </w:p>
    <w:p w14:paraId="2189F800" w14:textId="177FB35C" w:rsidR="00886F6F" w:rsidRDefault="002343BA" w:rsidP="003833D6">
      <w:pPr>
        <w:spacing w:line="300" w:lineRule="atLeast"/>
        <w:jc w:val="both"/>
        <w:rPr>
          <w:szCs w:val="18"/>
        </w:rPr>
      </w:pPr>
      <w:r>
        <w:rPr>
          <w:szCs w:val="18"/>
        </w:rPr>
        <w:t xml:space="preserve">The only coal-fired </w:t>
      </w:r>
      <w:r w:rsidR="004A265E">
        <w:rPr>
          <w:szCs w:val="18"/>
        </w:rPr>
        <w:t xml:space="preserve">power station in </w:t>
      </w:r>
      <w:r>
        <w:rPr>
          <w:szCs w:val="18"/>
        </w:rPr>
        <w:t xml:space="preserve">New Zealand is the Huntly Power Station which, when first built, had a capacity of 1000 MW. This was based on four separate </w:t>
      </w:r>
      <w:r w:rsidR="00E92BB1">
        <w:rPr>
          <w:szCs w:val="18"/>
        </w:rPr>
        <w:t xml:space="preserve">Rankine </w:t>
      </w:r>
      <w:r w:rsidR="0016055E">
        <w:rPr>
          <w:szCs w:val="18"/>
        </w:rPr>
        <w:t xml:space="preserve">boiler/generation </w:t>
      </w:r>
      <w:r>
        <w:rPr>
          <w:szCs w:val="18"/>
        </w:rPr>
        <w:t>units of 250 MW each</w:t>
      </w:r>
      <w:r w:rsidR="0016055E">
        <w:rPr>
          <w:szCs w:val="18"/>
        </w:rPr>
        <w:t xml:space="preserve"> – known as Units 1 to 4</w:t>
      </w:r>
      <w:r w:rsidR="00142FE7">
        <w:rPr>
          <w:szCs w:val="18"/>
        </w:rPr>
        <w:t xml:space="preserve"> </w:t>
      </w:r>
      <w:r w:rsidR="00A9004D">
        <w:rPr>
          <w:szCs w:val="18"/>
        </w:rPr>
        <w:t>–</w:t>
      </w:r>
      <w:r w:rsidR="0016055E">
        <w:rPr>
          <w:szCs w:val="18"/>
        </w:rPr>
        <w:t xml:space="preserve"> </w:t>
      </w:r>
      <w:r>
        <w:rPr>
          <w:szCs w:val="18"/>
        </w:rPr>
        <w:t>which could be fired on natural gas or coal. More recently, additional generation units have been added to the power station</w:t>
      </w:r>
      <w:r w:rsidR="0016055E">
        <w:rPr>
          <w:szCs w:val="18"/>
        </w:rPr>
        <w:t xml:space="preserve"> (Units 5 and 6)</w:t>
      </w:r>
      <w:r>
        <w:rPr>
          <w:szCs w:val="18"/>
        </w:rPr>
        <w:t xml:space="preserve"> giving it a nominal total capacity of </w:t>
      </w:r>
      <w:r w:rsidR="0016055E">
        <w:rPr>
          <w:szCs w:val="18"/>
        </w:rPr>
        <w:t>14</w:t>
      </w:r>
      <w:r w:rsidR="00AE6DE9">
        <w:rPr>
          <w:szCs w:val="18"/>
        </w:rPr>
        <w:t>35</w:t>
      </w:r>
      <w:r w:rsidR="0016055E">
        <w:rPr>
          <w:szCs w:val="18"/>
        </w:rPr>
        <w:t xml:space="preserve"> MW. However, the newer units are gas-turbine systems, which use natural gas, and minor amounts of diesel.</w:t>
      </w:r>
    </w:p>
    <w:p w14:paraId="44FBD12C" w14:textId="17BE3A5A" w:rsidR="0016055E" w:rsidRDefault="1C4DBA9E" w:rsidP="003833D6">
      <w:pPr>
        <w:spacing w:line="300" w:lineRule="atLeast"/>
        <w:jc w:val="both"/>
      </w:pPr>
      <w:r>
        <w:t xml:space="preserve">One of the Rankine units has since been permanently decommissioned </w:t>
      </w:r>
      <w:r w:rsidR="368C0D9E">
        <w:t>s</w:t>
      </w:r>
      <w:r w:rsidR="7503328F">
        <w:t>o that the</w:t>
      </w:r>
      <w:r w:rsidR="0695C283">
        <w:t xml:space="preserve"> total </w:t>
      </w:r>
      <w:r w:rsidR="7503328F">
        <w:t xml:space="preserve">available </w:t>
      </w:r>
      <w:r w:rsidR="0695C283">
        <w:t xml:space="preserve">capacity </w:t>
      </w:r>
      <w:r w:rsidR="711EBE2B">
        <w:t xml:space="preserve">for coal burning </w:t>
      </w:r>
      <w:r w:rsidR="7503328F">
        <w:t>i</w:t>
      </w:r>
      <w:r w:rsidR="0695C283">
        <w:t xml:space="preserve">s </w:t>
      </w:r>
      <w:r w:rsidR="7503328F">
        <w:t xml:space="preserve">now </w:t>
      </w:r>
      <w:r w:rsidR="5C09E00D">
        <w:t xml:space="preserve">only </w:t>
      </w:r>
      <w:r w:rsidR="7503328F">
        <w:t xml:space="preserve">750 </w:t>
      </w:r>
      <w:r w:rsidR="0695C283">
        <w:t xml:space="preserve">MW. </w:t>
      </w:r>
      <w:r>
        <w:t xml:space="preserve">The amount of coal burnt in any particular year at Huntly power station is dependent on </w:t>
      </w:r>
      <w:bookmarkStart w:id="173" w:name="_Int_59sBebDN"/>
      <w:proofErr w:type="gramStart"/>
      <w:r>
        <w:t>a number of</w:t>
      </w:r>
      <w:bookmarkEnd w:id="173"/>
      <w:proofErr w:type="gramEnd"/>
      <w:r>
        <w:t xml:space="preserve"> factors including the amount of electricity that can be provided by hydro generation. In 2020 New Zealand had a spell of warm dry autumn weather which extended into the winter months resulting in annual hydro generation dropping by 5.2%. (Ministry of Business Innovation and Employment, 2021) In addition the HVDC Cook </w:t>
      </w:r>
      <w:bookmarkStart w:id="174" w:name="_Int_w5YZHlvr"/>
      <w:r>
        <w:t>Strait</w:t>
      </w:r>
      <w:bookmarkEnd w:id="174"/>
      <w:r>
        <w:t xml:space="preserve"> cable underwent refurbishment in 2020 resulting in a requirement for higher thermal electricity generation in the North Island. Coal consumption at Huntly in 20</w:t>
      </w:r>
      <w:r w:rsidR="4891291C">
        <w:t>20 was 19,</w:t>
      </w:r>
      <w:r w:rsidR="4348CF21">
        <w:t>490</w:t>
      </w:r>
      <w:r w:rsidR="4891291C">
        <w:t xml:space="preserve"> TJ. This is significantly greater than the 4,820 TJ consumed in 2016 (Ministry of Business Innovation and Employment, 2021).</w:t>
      </w:r>
    </w:p>
    <w:p w14:paraId="41550B20" w14:textId="5AFB9E34" w:rsidR="00A62FBD" w:rsidRPr="003833D6" w:rsidRDefault="00142FE7" w:rsidP="00A62FBD">
      <w:pPr>
        <w:spacing w:line="300" w:lineRule="atLeast"/>
        <w:jc w:val="both"/>
        <w:rPr>
          <w:szCs w:val="18"/>
        </w:rPr>
      </w:pPr>
      <w:r>
        <w:rPr>
          <w:szCs w:val="18"/>
        </w:rPr>
        <w:t xml:space="preserve">The coal used at </w:t>
      </w:r>
      <w:r w:rsidR="00C05A03">
        <w:rPr>
          <w:szCs w:val="18"/>
        </w:rPr>
        <w:t xml:space="preserve">Huntly </w:t>
      </w:r>
      <w:r w:rsidR="00886F6F">
        <w:rPr>
          <w:szCs w:val="18"/>
        </w:rPr>
        <w:t>Power Station</w:t>
      </w:r>
      <w:r>
        <w:rPr>
          <w:szCs w:val="18"/>
        </w:rPr>
        <w:t xml:space="preserve"> is </w:t>
      </w:r>
      <w:r w:rsidR="00C00AE5">
        <w:rPr>
          <w:szCs w:val="18"/>
        </w:rPr>
        <w:t>a mixture of</w:t>
      </w:r>
      <w:r>
        <w:rPr>
          <w:szCs w:val="18"/>
        </w:rPr>
        <w:t xml:space="preserve"> W</w:t>
      </w:r>
      <w:r w:rsidR="00164FEC">
        <w:rPr>
          <w:szCs w:val="18"/>
        </w:rPr>
        <w:t>aikato sub-bituminous coal</w:t>
      </w:r>
      <w:r>
        <w:rPr>
          <w:szCs w:val="18"/>
        </w:rPr>
        <w:t xml:space="preserve"> </w:t>
      </w:r>
      <w:r w:rsidR="00C00AE5">
        <w:rPr>
          <w:szCs w:val="18"/>
        </w:rPr>
        <w:t>and</w:t>
      </w:r>
      <w:r>
        <w:rPr>
          <w:szCs w:val="18"/>
        </w:rPr>
        <w:t xml:space="preserve"> </w:t>
      </w:r>
      <w:r w:rsidR="00164FEC">
        <w:rPr>
          <w:szCs w:val="18"/>
        </w:rPr>
        <w:t xml:space="preserve">coal </w:t>
      </w:r>
      <w:r>
        <w:rPr>
          <w:szCs w:val="18"/>
        </w:rPr>
        <w:t xml:space="preserve">imported </w:t>
      </w:r>
      <w:r w:rsidR="00164FEC">
        <w:rPr>
          <w:szCs w:val="18"/>
        </w:rPr>
        <w:t>from Indonesia</w:t>
      </w:r>
      <w:r>
        <w:rPr>
          <w:szCs w:val="18"/>
        </w:rPr>
        <w:t xml:space="preserve">. </w:t>
      </w:r>
      <w:r w:rsidR="00A44C22">
        <w:rPr>
          <w:szCs w:val="18"/>
        </w:rPr>
        <w:t>(E LaFace, Genesis Energy, pers comm, 2022).</w:t>
      </w:r>
    </w:p>
    <w:p w14:paraId="53ADD15A" w14:textId="37AC996F" w:rsidR="004A265E" w:rsidRDefault="004A265E" w:rsidP="004A265E">
      <w:pPr>
        <w:spacing w:line="300" w:lineRule="atLeast"/>
        <w:jc w:val="both"/>
        <w:rPr>
          <w:szCs w:val="18"/>
          <w:lang w:val="en-US"/>
        </w:rPr>
      </w:pPr>
      <w:r w:rsidRPr="004A265E">
        <w:rPr>
          <w:szCs w:val="18"/>
          <w:lang w:val="en-US"/>
        </w:rPr>
        <w:lastRenderedPageBreak/>
        <w:t xml:space="preserve">The </w:t>
      </w:r>
      <w:r w:rsidR="00DA690B">
        <w:rPr>
          <w:szCs w:val="18"/>
          <w:lang w:val="en-US"/>
        </w:rPr>
        <w:t>power station emissions to air have been tested for dioxins on several occasions, most recently in 2010</w:t>
      </w:r>
      <w:r w:rsidR="00B75595">
        <w:rPr>
          <w:szCs w:val="18"/>
          <w:lang w:val="en-US"/>
        </w:rPr>
        <w:t xml:space="preserve"> </w:t>
      </w:r>
      <w:sdt>
        <w:sdtPr>
          <w:rPr>
            <w:szCs w:val="18"/>
            <w:lang w:val="en-US"/>
          </w:rPr>
          <w:id w:val="-1063636619"/>
          <w:citation/>
        </w:sdtPr>
        <w:sdtEndPr/>
        <w:sdtContent>
          <w:r w:rsidR="00B75595">
            <w:rPr>
              <w:szCs w:val="18"/>
              <w:lang w:val="en-US"/>
            </w:rPr>
            <w:fldChar w:fldCharType="begin"/>
          </w:r>
          <w:r w:rsidR="006841A5">
            <w:rPr>
              <w:szCs w:val="18"/>
            </w:rPr>
            <w:instrText xml:space="preserve">CITATION SKM2011 \l 5129 </w:instrText>
          </w:r>
          <w:r w:rsidR="00B75595">
            <w:rPr>
              <w:szCs w:val="18"/>
              <w:lang w:val="en-US"/>
            </w:rPr>
            <w:fldChar w:fldCharType="separate"/>
          </w:r>
          <w:r w:rsidR="00F1175E" w:rsidRPr="00F1175E">
            <w:rPr>
              <w:noProof/>
              <w:szCs w:val="18"/>
            </w:rPr>
            <w:t>(Sinclair Knight Merz, 2011)</w:t>
          </w:r>
          <w:r w:rsidR="00B75595">
            <w:rPr>
              <w:szCs w:val="18"/>
              <w:lang w:val="en-US"/>
            </w:rPr>
            <w:fldChar w:fldCharType="end"/>
          </w:r>
        </w:sdtContent>
      </w:sdt>
      <w:r w:rsidR="00DA690B">
        <w:rPr>
          <w:szCs w:val="18"/>
          <w:lang w:val="en-US"/>
        </w:rPr>
        <w:t xml:space="preserve">. </w:t>
      </w:r>
      <w:r w:rsidR="003F11DE">
        <w:rPr>
          <w:szCs w:val="18"/>
          <w:lang w:val="en-US"/>
        </w:rPr>
        <w:t xml:space="preserve">However, the results from this and the other previous tests noted in the 2008 Inventory are </w:t>
      </w:r>
      <w:r w:rsidRPr="004A265E">
        <w:rPr>
          <w:szCs w:val="18"/>
          <w:lang w:val="en-US"/>
        </w:rPr>
        <w:t xml:space="preserve">quite comparable to the factor of 10 µg </w:t>
      </w:r>
      <w:r w:rsidR="0009594D">
        <w:rPr>
          <w:szCs w:val="18"/>
          <w:lang w:val="en-US"/>
        </w:rPr>
        <w:t>TEQ</w:t>
      </w:r>
      <w:r w:rsidRPr="004A265E">
        <w:rPr>
          <w:szCs w:val="18"/>
          <w:lang w:val="en-US"/>
        </w:rPr>
        <w:t xml:space="preserve"> </w:t>
      </w:r>
      <w:r w:rsidR="004E4D2F">
        <w:rPr>
          <w:szCs w:val="18"/>
          <w:lang w:val="en-US"/>
        </w:rPr>
        <w:t xml:space="preserve">per </w:t>
      </w:r>
      <w:r w:rsidRPr="004A265E">
        <w:rPr>
          <w:szCs w:val="18"/>
          <w:lang w:val="en-US"/>
        </w:rPr>
        <w:t>TJ given in the UNEP Toolkit</w:t>
      </w:r>
      <w:r w:rsidR="0081201D">
        <w:rPr>
          <w:szCs w:val="18"/>
          <w:lang w:val="en-US"/>
        </w:rPr>
        <w:t xml:space="preserve"> (10 x 10</w:t>
      </w:r>
      <w:r w:rsidR="0081201D" w:rsidRPr="0081201D">
        <w:rPr>
          <w:szCs w:val="18"/>
          <w:vertAlign w:val="superscript"/>
          <w:lang w:val="en-US"/>
        </w:rPr>
        <w:t>-6</w:t>
      </w:r>
      <w:r w:rsidR="0081201D">
        <w:rPr>
          <w:szCs w:val="18"/>
          <w:lang w:val="en-US"/>
        </w:rPr>
        <w:t xml:space="preserve"> g </w:t>
      </w:r>
      <w:r w:rsidR="00C817B6">
        <w:rPr>
          <w:szCs w:val="18"/>
          <w:lang w:val="en-US"/>
        </w:rPr>
        <w:t xml:space="preserve">TEQ </w:t>
      </w:r>
      <w:r w:rsidR="0081201D">
        <w:rPr>
          <w:szCs w:val="18"/>
          <w:lang w:val="en-US"/>
        </w:rPr>
        <w:t>per TJ)</w:t>
      </w:r>
      <w:r w:rsidR="003F11DE">
        <w:rPr>
          <w:szCs w:val="18"/>
          <w:lang w:val="en-US"/>
        </w:rPr>
        <w:t xml:space="preserve">. Therefore, the toolkit default has been </w:t>
      </w:r>
      <w:r w:rsidRPr="004A265E">
        <w:rPr>
          <w:szCs w:val="18"/>
          <w:lang w:val="en-US"/>
        </w:rPr>
        <w:t>used for the current estimates.</w:t>
      </w:r>
    </w:p>
    <w:p w14:paraId="4E455465" w14:textId="5D46556A" w:rsidR="003F11DE" w:rsidRPr="004A265E" w:rsidRDefault="005328AE" w:rsidP="004A265E">
      <w:pPr>
        <w:spacing w:line="300" w:lineRule="atLeast"/>
        <w:jc w:val="both"/>
        <w:rPr>
          <w:szCs w:val="18"/>
          <w:lang w:val="en-US"/>
        </w:rPr>
      </w:pPr>
      <w:r w:rsidRPr="005328AE">
        <w:rPr>
          <w:szCs w:val="18"/>
          <w:lang w:val="en-US"/>
        </w:rPr>
        <w:t>The Huntly Power Station units are fitted with electrostatic precipitators for the control of particulate emission</w:t>
      </w:r>
      <w:r>
        <w:rPr>
          <w:szCs w:val="18"/>
          <w:lang w:val="en-US"/>
        </w:rPr>
        <w:t xml:space="preserve">s to air. </w:t>
      </w:r>
      <w:r w:rsidRPr="005328AE">
        <w:rPr>
          <w:szCs w:val="18"/>
          <w:lang w:val="en-US"/>
        </w:rPr>
        <w:t>The fly ash collected by the precipitators is disposed to land in a specially</w:t>
      </w:r>
      <w:r>
        <w:rPr>
          <w:szCs w:val="18"/>
          <w:lang w:val="en-US"/>
        </w:rPr>
        <w:t xml:space="preserve"> designed ash disposal facility</w:t>
      </w:r>
      <w:r w:rsidRPr="005328AE">
        <w:rPr>
          <w:szCs w:val="18"/>
          <w:lang w:val="en-US"/>
        </w:rPr>
        <w:t xml:space="preserve">. No information </w:t>
      </w:r>
      <w:r>
        <w:rPr>
          <w:szCs w:val="18"/>
          <w:lang w:val="en-US"/>
        </w:rPr>
        <w:t>has been obtained</w:t>
      </w:r>
      <w:r w:rsidRPr="005328AE">
        <w:rPr>
          <w:szCs w:val="18"/>
          <w:lang w:val="en-US"/>
        </w:rPr>
        <w:t xml:space="preserve"> on the </w:t>
      </w:r>
      <w:r>
        <w:rPr>
          <w:szCs w:val="18"/>
          <w:lang w:val="en-US"/>
        </w:rPr>
        <w:t xml:space="preserve">exact quantities of ash collected by the precipitators, nor the dioxin content. However, </w:t>
      </w:r>
      <w:r w:rsidRPr="005328AE">
        <w:rPr>
          <w:szCs w:val="18"/>
          <w:lang w:val="en-US"/>
        </w:rPr>
        <w:t xml:space="preserve">the </w:t>
      </w:r>
      <w:r>
        <w:rPr>
          <w:szCs w:val="18"/>
          <w:lang w:val="en-US"/>
        </w:rPr>
        <w:t xml:space="preserve">releases to land can be calculated from the fuel consumption rate using the default factors given in the UNEP </w:t>
      </w:r>
      <w:r w:rsidRPr="005328AE">
        <w:rPr>
          <w:szCs w:val="18"/>
          <w:lang w:val="en-US"/>
        </w:rPr>
        <w:t>Toolkit</w:t>
      </w:r>
      <w:r>
        <w:rPr>
          <w:szCs w:val="18"/>
          <w:lang w:val="en-US"/>
        </w:rPr>
        <w:t>.</w:t>
      </w:r>
    </w:p>
    <w:p w14:paraId="54C37358" w14:textId="00B386D1" w:rsidR="00A84495" w:rsidRDefault="00A84495" w:rsidP="00A84495">
      <w:pPr>
        <w:spacing w:line="300" w:lineRule="atLeast"/>
        <w:jc w:val="both"/>
        <w:rPr>
          <w:szCs w:val="18"/>
        </w:rPr>
      </w:pPr>
      <w:r>
        <w:rPr>
          <w:szCs w:val="18"/>
        </w:rPr>
        <w:t xml:space="preserve">The </w:t>
      </w:r>
      <w:r w:rsidR="00A45EFD">
        <w:rPr>
          <w:szCs w:val="18"/>
        </w:rPr>
        <w:t>2020</w:t>
      </w:r>
      <w:r>
        <w:rPr>
          <w:szCs w:val="18"/>
        </w:rPr>
        <w:t xml:space="preserve"> release estimates for coal-fired electricity generation are shown in </w:t>
      </w:r>
      <w:r w:rsidRPr="00A84495">
        <w:rPr>
          <w:szCs w:val="18"/>
        </w:rPr>
        <w:fldChar w:fldCharType="begin"/>
      </w:r>
      <w:r w:rsidRPr="00A84495">
        <w:rPr>
          <w:szCs w:val="18"/>
        </w:rPr>
        <w:instrText xml:space="preserve"> REF _Ref359680777 \h </w:instrText>
      </w:r>
      <w:r>
        <w:rPr>
          <w:szCs w:val="18"/>
        </w:rPr>
        <w:instrText xml:space="preserve"> \* MERGEFORMAT </w:instrText>
      </w:r>
      <w:r w:rsidRPr="00A84495">
        <w:rPr>
          <w:szCs w:val="18"/>
        </w:rPr>
      </w:r>
      <w:r w:rsidRPr="00A84495">
        <w:rPr>
          <w:szCs w:val="18"/>
        </w:rPr>
        <w:fldChar w:fldCharType="separate"/>
      </w:r>
      <w:r w:rsidR="00141D7F" w:rsidRPr="00141D7F">
        <w:t xml:space="preserve">Table </w:t>
      </w:r>
      <w:r w:rsidR="00141D7F" w:rsidRPr="00141D7F">
        <w:rPr>
          <w:noProof/>
        </w:rPr>
        <w:t>5</w:t>
      </w:r>
      <w:r w:rsidR="00141D7F" w:rsidRPr="00141D7F">
        <w:rPr>
          <w:noProof/>
        </w:rPr>
        <w:noBreakHyphen/>
        <w:t>1</w:t>
      </w:r>
      <w:r w:rsidRPr="00A84495">
        <w:rPr>
          <w:szCs w:val="18"/>
        </w:rPr>
        <w:fldChar w:fldCharType="end"/>
      </w:r>
      <w:r>
        <w:rPr>
          <w:szCs w:val="18"/>
        </w:rPr>
        <w:t xml:space="preserve">, along with the estimates from the </w:t>
      </w:r>
      <w:r w:rsidR="00A45EFD">
        <w:rPr>
          <w:szCs w:val="18"/>
        </w:rPr>
        <w:t xml:space="preserve">2012 and 2016 </w:t>
      </w:r>
      <w:r>
        <w:rPr>
          <w:szCs w:val="18"/>
        </w:rPr>
        <w:t>Invento</w:t>
      </w:r>
      <w:r w:rsidR="00A45EFD">
        <w:rPr>
          <w:szCs w:val="18"/>
        </w:rPr>
        <w:t>ries</w:t>
      </w:r>
      <w:r>
        <w:rPr>
          <w:szCs w:val="18"/>
        </w:rPr>
        <w:t xml:space="preserve">. There are no direct releases to water or in </w:t>
      </w:r>
      <w:r w:rsidRPr="00D23222">
        <w:rPr>
          <w:szCs w:val="18"/>
        </w:rPr>
        <w:t>products</w:t>
      </w:r>
      <w:r w:rsidR="0026521F">
        <w:rPr>
          <w:szCs w:val="18"/>
        </w:rPr>
        <w:t>, and the residue (ash) is disposed to land</w:t>
      </w:r>
      <w:r>
        <w:rPr>
          <w:szCs w:val="18"/>
        </w:rPr>
        <w:t>.</w:t>
      </w:r>
    </w:p>
    <w:p w14:paraId="692CC9D6" w14:textId="2C9CA0D9" w:rsidR="00A84495" w:rsidRPr="00A117FA" w:rsidRDefault="00A84495" w:rsidP="00101AA8">
      <w:pPr>
        <w:pStyle w:val="Caption"/>
        <w:jc w:val="left"/>
        <w:rPr>
          <w:rFonts w:cs="Arial"/>
          <w:szCs w:val="18"/>
        </w:rPr>
      </w:pPr>
      <w:bookmarkStart w:id="175" w:name="_Ref359680777"/>
      <w:r w:rsidRPr="00A84495">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1</w:t>
      </w:r>
      <w:r w:rsidR="00C17BA5">
        <w:rPr>
          <w:rFonts w:cs="Arial"/>
        </w:rPr>
        <w:fldChar w:fldCharType="end"/>
      </w:r>
      <w:bookmarkEnd w:id="175"/>
      <w:r w:rsidRPr="00A117FA">
        <w:rPr>
          <w:rFonts w:cs="Arial"/>
        </w:rPr>
        <w:t xml:space="preserve">: </w:t>
      </w:r>
      <w:r w:rsidR="007908AA">
        <w:rPr>
          <w:rFonts w:cs="Arial"/>
        </w:rPr>
        <w:t>Dioxin</w:t>
      </w:r>
      <w:r w:rsidRPr="00A117FA">
        <w:rPr>
          <w:rFonts w:cs="Arial"/>
        </w:rPr>
        <w:t xml:space="preserve"> releases from </w:t>
      </w:r>
      <w:r w:rsidR="00DE1527">
        <w:rPr>
          <w:rFonts w:cs="Arial"/>
        </w:rPr>
        <w:t xml:space="preserve">coal-fired </w:t>
      </w:r>
      <w:r>
        <w:rPr>
          <w:rFonts w:cs="Arial"/>
        </w:rPr>
        <w:t>electricity generation</w:t>
      </w:r>
    </w:p>
    <w:tbl>
      <w:tblPr>
        <w:tblStyle w:val="TableGrid"/>
        <w:tblW w:w="0" w:type="auto"/>
        <w:tblLook w:val="04A0" w:firstRow="1" w:lastRow="0" w:firstColumn="1" w:lastColumn="0" w:noHBand="0" w:noVBand="1"/>
      </w:tblPr>
      <w:tblGrid>
        <w:gridCol w:w="806"/>
        <w:gridCol w:w="2604"/>
        <w:gridCol w:w="1434"/>
        <w:gridCol w:w="1444"/>
        <w:gridCol w:w="1364"/>
        <w:gridCol w:w="1409"/>
      </w:tblGrid>
      <w:tr w:rsidR="00A84495" w:rsidRPr="00956589" w14:paraId="53BCFA58" w14:textId="77777777" w:rsidTr="004A08C0">
        <w:tc>
          <w:tcPr>
            <w:tcW w:w="806" w:type="dxa"/>
            <w:vMerge w:val="restart"/>
            <w:vAlign w:val="center"/>
          </w:tcPr>
          <w:p w14:paraId="764812E5" w14:textId="77777777" w:rsidR="00A84495" w:rsidRPr="00956589" w:rsidRDefault="00A84495" w:rsidP="00E66AC0">
            <w:pPr>
              <w:spacing w:before="120"/>
              <w:jc w:val="center"/>
              <w:rPr>
                <w:rFonts w:ascii="Arial" w:hAnsi="Arial" w:cs="Arial"/>
                <w:b/>
                <w:sz w:val="16"/>
                <w:szCs w:val="18"/>
              </w:rPr>
            </w:pPr>
            <w:r w:rsidRPr="00956589">
              <w:rPr>
                <w:rFonts w:ascii="Arial" w:hAnsi="Arial" w:cs="Arial"/>
                <w:b/>
                <w:sz w:val="16"/>
                <w:szCs w:val="18"/>
              </w:rPr>
              <w:t>Year</w:t>
            </w:r>
          </w:p>
        </w:tc>
        <w:tc>
          <w:tcPr>
            <w:tcW w:w="2604" w:type="dxa"/>
            <w:vMerge w:val="restart"/>
            <w:vAlign w:val="center"/>
          </w:tcPr>
          <w:p w14:paraId="4609DA92" w14:textId="77777777" w:rsidR="00A84495" w:rsidRPr="00956589" w:rsidRDefault="00A84495" w:rsidP="00A84495">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(TJ of coal/year)</w:t>
            </w:r>
          </w:p>
        </w:tc>
        <w:tc>
          <w:tcPr>
            <w:tcW w:w="2878" w:type="dxa"/>
            <w:gridSpan w:val="2"/>
            <w:vAlign w:val="center"/>
          </w:tcPr>
          <w:p w14:paraId="0312E4CA" w14:textId="4F675B24" w:rsidR="00A84495" w:rsidRPr="00956589" w:rsidRDefault="00A84495" w:rsidP="00E66AC0">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/TJ of coal)</w:t>
            </w:r>
          </w:p>
        </w:tc>
        <w:tc>
          <w:tcPr>
            <w:tcW w:w="2773" w:type="dxa"/>
            <w:gridSpan w:val="2"/>
            <w:vAlign w:val="center"/>
          </w:tcPr>
          <w:p w14:paraId="06DFD362" w14:textId="4B204F44" w:rsidR="00A84495" w:rsidRPr="00956589" w:rsidRDefault="00A84495" w:rsidP="00E66AC0">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A84495" w:rsidRPr="00956589" w14:paraId="090BD182" w14:textId="77777777" w:rsidTr="00E95BD6">
        <w:tc>
          <w:tcPr>
            <w:tcW w:w="806" w:type="dxa"/>
            <w:vMerge/>
          </w:tcPr>
          <w:p w14:paraId="13DCE518" w14:textId="77777777" w:rsidR="00A84495" w:rsidRPr="00956589" w:rsidRDefault="00A84495" w:rsidP="00E66AC0">
            <w:pPr>
              <w:spacing w:before="120"/>
              <w:jc w:val="both"/>
              <w:rPr>
                <w:rFonts w:ascii="Arial" w:hAnsi="Arial" w:cs="Arial"/>
                <w:sz w:val="16"/>
                <w:szCs w:val="18"/>
              </w:rPr>
            </w:pPr>
          </w:p>
        </w:tc>
        <w:tc>
          <w:tcPr>
            <w:tcW w:w="2604" w:type="dxa"/>
            <w:vMerge/>
            <w:vAlign w:val="center"/>
          </w:tcPr>
          <w:p w14:paraId="1C4D79D3" w14:textId="77777777" w:rsidR="00A84495" w:rsidRPr="00956589" w:rsidRDefault="00A84495" w:rsidP="00E66AC0">
            <w:pPr>
              <w:spacing w:before="120"/>
              <w:jc w:val="center"/>
              <w:rPr>
                <w:rFonts w:ascii="Arial" w:hAnsi="Arial" w:cs="Arial"/>
                <w:sz w:val="16"/>
                <w:szCs w:val="18"/>
              </w:rPr>
            </w:pPr>
          </w:p>
        </w:tc>
        <w:tc>
          <w:tcPr>
            <w:tcW w:w="1434" w:type="dxa"/>
            <w:vAlign w:val="center"/>
          </w:tcPr>
          <w:p w14:paraId="63475EA7" w14:textId="77777777" w:rsidR="00A84495" w:rsidRPr="00956589" w:rsidRDefault="00A84495" w:rsidP="00E66AC0">
            <w:pPr>
              <w:spacing w:before="120"/>
              <w:jc w:val="center"/>
              <w:rPr>
                <w:rFonts w:ascii="Arial" w:hAnsi="Arial" w:cs="Arial"/>
                <w:b/>
                <w:sz w:val="16"/>
                <w:szCs w:val="18"/>
              </w:rPr>
            </w:pPr>
            <w:r w:rsidRPr="00956589">
              <w:rPr>
                <w:rFonts w:ascii="Arial" w:hAnsi="Arial" w:cs="Arial"/>
                <w:b/>
                <w:sz w:val="16"/>
                <w:szCs w:val="18"/>
              </w:rPr>
              <w:t>Air</w:t>
            </w:r>
          </w:p>
        </w:tc>
        <w:tc>
          <w:tcPr>
            <w:tcW w:w="1444" w:type="dxa"/>
            <w:vAlign w:val="center"/>
          </w:tcPr>
          <w:p w14:paraId="4407260D" w14:textId="0ED7F97C" w:rsidR="00A84495" w:rsidRPr="00956589" w:rsidRDefault="00A84495" w:rsidP="00E66AC0">
            <w:pPr>
              <w:spacing w:before="120"/>
              <w:jc w:val="center"/>
              <w:rPr>
                <w:rFonts w:ascii="Arial" w:hAnsi="Arial" w:cs="Arial"/>
                <w:b/>
                <w:sz w:val="16"/>
                <w:szCs w:val="18"/>
              </w:rPr>
            </w:pPr>
            <w:r>
              <w:rPr>
                <w:rFonts w:ascii="Arial" w:hAnsi="Arial" w:cs="Arial"/>
                <w:b/>
                <w:sz w:val="16"/>
                <w:szCs w:val="18"/>
              </w:rPr>
              <w:t>Land</w:t>
            </w:r>
          </w:p>
        </w:tc>
        <w:tc>
          <w:tcPr>
            <w:tcW w:w="1364" w:type="dxa"/>
            <w:vAlign w:val="center"/>
          </w:tcPr>
          <w:p w14:paraId="614BA473" w14:textId="77777777" w:rsidR="00A84495" w:rsidRPr="00956589" w:rsidRDefault="00A84495" w:rsidP="00E66AC0">
            <w:pPr>
              <w:spacing w:before="120"/>
              <w:jc w:val="center"/>
              <w:rPr>
                <w:rFonts w:ascii="Arial" w:hAnsi="Arial" w:cs="Arial"/>
                <w:b/>
                <w:sz w:val="16"/>
                <w:szCs w:val="18"/>
              </w:rPr>
            </w:pPr>
            <w:r>
              <w:rPr>
                <w:rFonts w:ascii="Arial" w:hAnsi="Arial" w:cs="Arial"/>
                <w:b/>
                <w:sz w:val="16"/>
                <w:szCs w:val="18"/>
              </w:rPr>
              <w:t>Air</w:t>
            </w:r>
          </w:p>
        </w:tc>
        <w:tc>
          <w:tcPr>
            <w:tcW w:w="1409" w:type="dxa"/>
            <w:vAlign w:val="center"/>
          </w:tcPr>
          <w:p w14:paraId="2DF0C6EA" w14:textId="7D44BBF3" w:rsidR="00A84495" w:rsidRPr="00956589" w:rsidRDefault="00A84495" w:rsidP="00E66AC0">
            <w:pPr>
              <w:spacing w:before="120"/>
              <w:jc w:val="center"/>
              <w:rPr>
                <w:rFonts w:ascii="Arial" w:hAnsi="Arial" w:cs="Arial"/>
                <w:b/>
                <w:sz w:val="16"/>
                <w:szCs w:val="18"/>
              </w:rPr>
            </w:pPr>
            <w:r>
              <w:rPr>
                <w:rFonts w:ascii="Arial" w:hAnsi="Arial" w:cs="Arial"/>
                <w:b/>
                <w:sz w:val="16"/>
                <w:szCs w:val="18"/>
              </w:rPr>
              <w:t>Land</w:t>
            </w:r>
          </w:p>
        </w:tc>
      </w:tr>
      <w:tr w:rsidR="00DF1B97" w:rsidRPr="00956589" w14:paraId="37EC5C26" w14:textId="77777777" w:rsidTr="00E95BD6">
        <w:tc>
          <w:tcPr>
            <w:tcW w:w="806" w:type="dxa"/>
            <w:vMerge w:val="restart"/>
            <w:vAlign w:val="center"/>
          </w:tcPr>
          <w:p w14:paraId="25711B2E" w14:textId="4EB887CD" w:rsidR="00DF1B97" w:rsidRPr="00956589" w:rsidRDefault="00DF1B97" w:rsidP="002C6792">
            <w:pPr>
              <w:spacing w:before="120"/>
              <w:rPr>
                <w:rFonts w:ascii="Arial" w:hAnsi="Arial" w:cs="Arial"/>
                <w:b/>
                <w:sz w:val="16"/>
                <w:szCs w:val="18"/>
              </w:rPr>
            </w:pPr>
            <w:r w:rsidRPr="00956589">
              <w:rPr>
                <w:rFonts w:ascii="Arial" w:hAnsi="Arial" w:cs="Arial"/>
                <w:b/>
                <w:sz w:val="16"/>
                <w:szCs w:val="18"/>
              </w:rPr>
              <w:t>2012</w:t>
            </w:r>
          </w:p>
        </w:tc>
        <w:tc>
          <w:tcPr>
            <w:tcW w:w="2604" w:type="dxa"/>
            <w:vMerge w:val="restart"/>
            <w:vAlign w:val="center"/>
          </w:tcPr>
          <w:p w14:paraId="7F2C7AF7" w14:textId="33A788F0" w:rsidR="00DF1B97" w:rsidRPr="00956589" w:rsidRDefault="00DF1B97" w:rsidP="00E66AC0">
            <w:pPr>
              <w:spacing w:before="120"/>
              <w:jc w:val="center"/>
              <w:rPr>
                <w:rFonts w:ascii="Arial" w:hAnsi="Arial" w:cs="Arial"/>
                <w:sz w:val="16"/>
                <w:szCs w:val="18"/>
              </w:rPr>
            </w:pPr>
            <w:r>
              <w:rPr>
                <w:rFonts w:ascii="Arial" w:hAnsi="Arial" w:cs="Arial"/>
                <w:sz w:val="16"/>
                <w:szCs w:val="18"/>
              </w:rPr>
              <w:t>29,090</w:t>
            </w:r>
          </w:p>
        </w:tc>
        <w:tc>
          <w:tcPr>
            <w:tcW w:w="1434" w:type="dxa"/>
            <w:vAlign w:val="center"/>
          </w:tcPr>
          <w:p w14:paraId="68764BF7" w14:textId="6C972331" w:rsidR="00DF1B97" w:rsidRPr="00956589" w:rsidRDefault="00DF1B97" w:rsidP="00E66AC0">
            <w:pPr>
              <w:spacing w:before="120"/>
              <w:jc w:val="center"/>
              <w:rPr>
                <w:rFonts w:ascii="Arial" w:hAnsi="Arial" w:cs="Arial"/>
                <w:sz w:val="16"/>
                <w:szCs w:val="18"/>
              </w:rPr>
            </w:pPr>
            <w:r>
              <w:rPr>
                <w:rFonts w:ascii="Arial" w:hAnsi="Arial" w:cs="Arial"/>
                <w:sz w:val="16"/>
                <w:szCs w:val="18"/>
              </w:rPr>
              <w:t>10</w:t>
            </w:r>
          </w:p>
        </w:tc>
        <w:tc>
          <w:tcPr>
            <w:tcW w:w="1444" w:type="dxa"/>
          </w:tcPr>
          <w:p w14:paraId="1D4D34D9" w14:textId="6A199582" w:rsidR="00DF1B97" w:rsidRPr="00956589" w:rsidRDefault="00DF1B97" w:rsidP="00E66AC0">
            <w:pPr>
              <w:spacing w:before="120"/>
              <w:jc w:val="center"/>
              <w:rPr>
                <w:rFonts w:ascii="Arial" w:hAnsi="Arial" w:cs="Arial"/>
                <w:sz w:val="16"/>
                <w:szCs w:val="18"/>
              </w:rPr>
            </w:pPr>
            <w:r>
              <w:rPr>
                <w:rFonts w:ascii="Arial" w:hAnsi="Arial" w:cs="Arial"/>
                <w:sz w:val="16"/>
                <w:szCs w:val="18"/>
              </w:rPr>
              <w:t>-</w:t>
            </w:r>
          </w:p>
        </w:tc>
        <w:tc>
          <w:tcPr>
            <w:tcW w:w="1364" w:type="dxa"/>
            <w:vAlign w:val="center"/>
          </w:tcPr>
          <w:p w14:paraId="35F134CF" w14:textId="227CCE12" w:rsidR="00DF1B97" w:rsidRPr="00956589" w:rsidRDefault="00DF1B97" w:rsidP="00A84495">
            <w:pPr>
              <w:spacing w:before="120"/>
              <w:jc w:val="center"/>
              <w:rPr>
                <w:rFonts w:ascii="Arial" w:hAnsi="Arial" w:cs="Arial"/>
                <w:sz w:val="16"/>
                <w:szCs w:val="18"/>
              </w:rPr>
            </w:pPr>
            <w:r>
              <w:rPr>
                <w:rFonts w:ascii="Arial" w:hAnsi="Arial" w:cs="Arial"/>
                <w:sz w:val="16"/>
                <w:szCs w:val="18"/>
              </w:rPr>
              <w:t>0.291</w:t>
            </w:r>
          </w:p>
        </w:tc>
        <w:tc>
          <w:tcPr>
            <w:tcW w:w="1409" w:type="dxa"/>
          </w:tcPr>
          <w:p w14:paraId="0183CA16" w14:textId="22A3B9B7" w:rsidR="00DF1B97" w:rsidRPr="00956589" w:rsidRDefault="00DF1B97" w:rsidP="00E66AC0">
            <w:pPr>
              <w:spacing w:before="120"/>
              <w:jc w:val="center"/>
              <w:rPr>
                <w:rFonts w:ascii="Arial" w:hAnsi="Arial" w:cs="Arial"/>
                <w:sz w:val="16"/>
                <w:szCs w:val="18"/>
              </w:rPr>
            </w:pPr>
            <w:r>
              <w:rPr>
                <w:rFonts w:ascii="Arial" w:hAnsi="Arial" w:cs="Arial"/>
                <w:sz w:val="16"/>
                <w:szCs w:val="18"/>
              </w:rPr>
              <w:t>-</w:t>
            </w:r>
          </w:p>
        </w:tc>
      </w:tr>
      <w:tr w:rsidR="00DF1B97" w:rsidRPr="00956589" w14:paraId="1603B1A7" w14:textId="77777777" w:rsidTr="00E95BD6">
        <w:tc>
          <w:tcPr>
            <w:tcW w:w="806" w:type="dxa"/>
            <w:vMerge/>
            <w:vAlign w:val="center"/>
          </w:tcPr>
          <w:p w14:paraId="3406C8CC" w14:textId="77777777" w:rsidR="00DF1B97" w:rsidRPr="00956589" w:rsidRDefault="00DF1B97" w:rsidP="00E66AC0">
            <w:pPr>
              <w:spacing w:before="120"/>
              <w:rPr>
                <w:rFonts w:ascii="Arial" w:hAnsi="Arial" w:cs="Arial"/>
                <w:b/>
                <w:sz w:val="16"/>
                <w:szCs w:val="18"/>
              </w:rPr>
            </w:pPr>
          </w:p>
        </w:tc>
        <w:tc>
          <w:tcPr>
            <w:tcW w:w="2604" w:type="dxa"/>
            <w:vMerge/>
            <w:vAlign w:val="center"/>
          </w:tcPr>
          <w:p w14:paraId="035213A7" w14:textId="77777777" w:rsidR="00DF1B97" w:rsidRDefault="00DF1B97" w:rsidP="00E66AC0">
            <w:pPr>
              <w:spacing w:before="120"/>
              <w:jc w:val="center"/>
              <w:rPr>
                <w:rFonts w:ascii="Arial" w:hAnsi="Arial" w:cs="Arial"/>
                <w:sz w:val="16"/>
                <w:szCs w:val="18"/>
              </w:rPr>
            </w:pPr>
          </w:p>
        </w:tc>
        <w:tc>
          <w:tcPr>
            <w:tcW w:w="1434" w:type="dxa"/>
            <w:vAlign w:val="center"/>
          </w:tcPr>
          <w:p w14:paraId="7EC8A377" w14:textId="074943A0" w:rsidR="00DF1B97" w:rsidRDefault="00DF1B97" w:rsidP="00E66AC0">
            <w:pPr>
              <w:spacing w:before="120"/>
              <w:jc w:val="center"/>
              <w:rPr>
                <w:rFonts w:ascii="Arial" w:hAnsi="Arial" w:cs="Arial"/>
                <w:sz w:val="16"/>
                <w:szCs w:val="18"/>
              </w:rPr>
            </w:pPr>
            <w:r>
              <w:rPr>
                <w:rFonts w:ascii="Arial" w:hAnsi="Arial" w:cs="Arial"/>
                <w:sz w:val="16"/>
                <w:szCs w:val="18"/>
              </w:rPr>
              <w:t>-</w:t>
            </w:r>
          </w:p>
        </w:tc>
        <w:tc>
          <w:tcPr>
            <w:tcW w:w="1444" w:type="dxa"/>
          </w:tcPr>
          <w:p w14:paraId="7233F61B" w14:textId="37D33A94" w:rsidR="00DF1B97" w:rsidRDefault="00DF1B97" w:rsidP="00E66AC0">
            <w:pPr>
              <w:spacing w:before="120"/>
              <w:jc w:val="center"/>
              <w:rPr>
                <w:rFonts w:ascii="Arial" w:hAnsi="Arial" w:cs="Arial"/>
                <w:sz w:val="16"/>
                <w:szCs w:val="18"/>
              </w:rPr>
            </w:pPr>
            <w:r>
              <w:rPr>
                <w:rFonts w:ascii="Arial" w:hAnsi="Arial" w:cs="Arial"/>
                <w:sz w:val="16"/>
                <w:szCs w:val="18"/>
              </w:rPr>
              <w:t>14</w:t>
            </w:r>
          </w:p>
        </w:tc>
        <w:tc>
          <w:tcPr>
            <w:tcW w:w="1364" w:type="dxa"/>
            <w:vAlign w:val="center"/>
          </w:tcPr>
          <w:p w14:paraId="4E754D8A" w14:textId="37C2D346" w:rsidR="00DF1B97" w:rsidRDefault="00DF1B97" w:rsidP="00A84495">
            <w:pPr>
              <w:spacing w:before="120"/>
              <w:jc w:val="center"/>
              <w:rPr>
                <w:rFonts w:ascii="Arial" w:hAnsi="Arial" w:cs="Arial"/>
                <w:sz w:val="16"/>
                <w:szCs w:val="18"/>
              </w:rPr>
            </w:pPr>
            <w:r>
              <w:rPr>
                <w:rFonts w:ascii="Arial" w:hAnsi="Arial" w:cs="Arial"/>
                <w:sz w:val="16"/>
                <w:szCs w:val="18"/>
              </w:rPr>
              <w:t>-</w:t>
            </w:r>
          </w:p>
        </w:tc>
        <w:tc>
          <w:tcPr>
            <w:tcW w:w="1409" w:type="dxa"/>
          </w:tcPr>
          <w:p w14:paraId="052C77FC" w14:textId="71F0091E" w:rsidR="00DF1B97" w:rsidRDefault="00DF1B97" w:rsidP="00E66AC0">
            <w:pPr>
              <w:spacing w:before="120"/>
              <w:jc w:val="center"/>
              <w:rPr>
                <w:rFonts w:ascii="Arial" w:hAnsi="Arial" w:cs="Arial"/>
                <w:sz w:val="16"/>
                <w:szCs w:val="18"/>
              </w:rPr>
            </w:pPr>
            <w:r>
              <w:rPr>
                <w:rFonts w:ascii="Arial" w:hAnsi="Arial" w:cs="Arial"/>
                <w:sz w:val="16"/>
                <w:szCs w:val="18"/>
              </w:rPr>
              <w:t>0.407</w:t>
            </w:r>
          </w:p>
        </w:tc>
      </w:tr>
      <w:tr w:rsidR="0081201D" w:rsidRPr="00956589" w14:paraId="42C92A6B" w14:textId="77777777" w:rsidTr="00E95BD6">
        <w:tc>
          <w:tcPr>
            <w:tcW w:w="806" w:type="dxa"/>
            <w:vMerge w:val="restart"/>
            <w:vAlign w:val="center"/>
          </w:tcPr>
          <w:p w14:paraId="0197F374" w14:textId="45EDE8C5" w:rsidR="0081201D" w:rsidRPr="00956589" w:rsidRDefault="00DF1B97" w:rsidP="00E66AC0">
            <w:pPr>
              <w:spacing w:before="120"/>
              <w:rPr>
                <w:rFonts w:ascii="Arial" w:hAnsi="Arial" w:cs="Arial"/>
                <w:b/>
                <w:sz w:val="16"/>
                <w:szCs w:val="18"/>
              </w:rPr>
            </w:pPr>
            <w:r>
              <w:rPr>
                <w:rFonts w:ascii="Arial" w:hAnsi="Arial" w:cs="Arial"/>
                <w:b/>
                <w:sz w:val="16"/>
                <w:szCs w:val="18"/>
              </w:rPr>
              <w:t>2016</w:t>
            </w:r>
          </w:p>
        </w:tc>
        <w:tc>
          <w:tcPr>
            <w:tcW w:w="2604" w:type="dxa"/>
            <w:vMerge w:val="restart"/>
            <w:vAlign w:val="center"/>
          </w:tcPr>
          <w:p w14:paraId="3D635952" w14:textId="25050D38" w:rsidR="0081201D" w:rsidRPr="00956589" w:rsidRDefault="00DF1B97" w:rsidP="00E66AC0">
            <w:pPr>
              <w:spacing w:before="120"/>
              <w:jc w:val="center"/>
              <w:rPr>
                <w:rFonts w:ascii="Arial" w:hAnsi="Arial" w:cs="Arial"/>
                <w:sz w:val="16"/>
                <w:szCs w:val="18"/>
              </w:rPr>
            </w:pPr>
            <w:r>
              <w:rPr>
                <w:rFonts w:ascii="Arial" w:hAnsi="Arial" w:cs="Arial"/>
                <w:sz w:val="16"/>
                <w:szCs w:val="18"/>
              </w:rPr>
              <w:t>4,840</w:t>
            </w:r>
          </w:p>
        </w:tc>
        <w:tc>
          <w:tcPr>
            <w:tcW w:w="1434" w:type="dxa"/>
            <w:vAlign w:val="center"/>
          </w:tcPr>
          <w:p w14:paraId="276670C3" w14:textId="77777777" w:rsidR="0081201D" w:rsidRPr="00956589" w:rsidRDefault="0081201D" w:rsidP="00E66AC0">
            <w:pPr>
              <w:spacing w:before="120"/>
              <w:jc w:val="center"/>
              <w:rPr>
                <w:rFonts w:ascii="Arial" w:hAnsi="Arial" w:cs="Arial"/>
                <w:sz w:val="16"/>
                <w:szCs w:val="18"/>
              </w:rPr>
            </w:pPr>
            <w:r>
              <w:rPr>
                <w:rFonts w:ascii="Arial" w:hAnsi="Arial" w:cs="Arial"/>
                <w:sz w:val="16"/>
                <w:szCs w:val="18"/>
              </w:rPr>
              <w:t>10</w:t>
            </w:r>
          </w:p>
        </w:tc>
        <w:tc>
          <w:tcPr>
            <w:tcW w:w="1444" w:type="dxa"/>
          </w:tcPr>
          <w:p w14:paraId="2000C335" w14:textId="16CD020B" w:rsidR="0081201D" w:rsidRPr="00956589" w:rsidRDefault="0081201D" w:rsidP="00E66AC0">
            <w:pPr>
              <w:spacing w:before="120"/>
              <w:jc w:val="center"/>
              <w:rPr>
                <w:rFonts w:ascii="Arial" w:hAnsi="Arial" w:cs="Arial"/>
                <w:sz w:val="16"/>
                <w:szCs w:val="18"/>
              </w:rPr>
            </w:pPr>
            <w:r>
              <w:rPr>
                <w:rFonts w:ascii="Arial" w:hAnsi="Arial" w:cs="Arial"/>
                <w:sz w:val="16"/>
                <w:szCs w:val="18"/>
              </w:rPr>
              <w:t>-</w:t>
            </w:r>
          </w:p>
        </w:tc>
        <w:tc>
          <w:tcPr>
            <w:tcW w:w="1364" w:type="dxa"/>
            <w:vAlign w:val="center"/>
          </w:tcPr>
          <w:p w14:paraId="584D7DFA" w14:textId="1B2800D9" w:rsidR="0081201D" w:rsidRPr="00956589" w:rsidRDefault="00DF1B97" w:rsidP="00E66AC0">
            <w:pPr>
              <w:spacing w:before="120"/>
              <w:jc w:val="center"/>
              <w:rPr>
                <w:rFonts w:ascii="Arial" w:hAnsi="Arial" w:cs="Arial"/>
                <w:sz w:val="16"/>
                <w:szCs w:val="18"/>
              </w:rPr>
            </w:pPr>
            <w:r>
              <w:rPr>
                <w:rFonts w:ascii="Arial" w:hAnsi="Arial" w:cs="Arial"/>
                <w:sz w:val="16"/>
                <w:szCs w:val="18"/>
              </w:rPr>
              <w:t>0.0484</w:t>
            </w:r>
          </w:p>
        </w:tc>
        <w:tc>
          <w:tcPr>
            <w:tcW w:w="1409" w:type="dxa"/>
          </w:tcPr>
          <w:p w14:paraId="2FE6C2BA" w14:textId="51D41C8A" w:rsidR="0081201D" w:rsidRPr="00956589" w:rsidRDefault="0081201D" w:rsidP="00E66AC0">
            <w:pPr>
              <w:spacing w:before="120"/>
              <w:jc w:val="center"/>
              <w:rPr>
                <w:rFonts w:ascii="Arial" w:hAnsi="Arial" w:cs="Arial"/>
                <w:sz w:val="16"/>
                <w:szCs w:val="18"/>
              </w:rPr>
            </w:pPr>
            <w:r>
              <w:rPr>
                <w:rFonts w:ascii="Arial" w:hAnsi="Arial" w:cs="Arial"/>
                <w:sz w:val="16"/>
                <w:szCs w:val="18"/>
              </w:rPr>
              <w:t>-</w:t>
            </w:r>
          </w:p>
        </w:tc>
      </w:tr>
      <w:tr w:rsidR="0081201D" w:rsidRPr="00956589" w14:paraId="62B9FED4" w14:textId="77777777" w:rsidTr="00E95BD6">
        <w:tc>
          <w:tcPr>
            <w:tcW w:w="806" w:type="dxa"/>
            <w:vMerge/>
            <w:vAlign w:val="center"/>
          </w:tcPr>
          <w:p w14:paraId="4DDF4148" w14:textId="77777777" w:rsidR="0081201D" w:rsidRPr="00956589" w:rsidRDefault="0081201D" w:rsidP="00E66AC0">
            <w:pPr>
              <w:spacing w:before="120"/>
              <w:rPr>
                <w:rFonts w:ascii="Arial" w:hAnsi="Arial" w:cs="Arial"/>
                <w:b/>
                <w:sz w:val="16"/>
                <w:szCs w:val="18"/>
              </w:rPr>
            </w:pPr>
          </w:p>
        </w:tc>
        <w:tc>
          <w:tcPr>
            <w:tcW w:w="2604" w:type="dxa"/>
            <w:vMerge/>
            <w:vAlign w:val="center"/>
          </w:tcPr>
          <w:p w14:paraId="08D84D36" w14:textId="77777777" w:rsidR="0081201D" w:rsidRDefault="0081201D" w:rsidP="00E66AC0">
            <w:pPr>
              <w:spacing w:before="120"/>
              <w:jc w:val="center"/>
              <w:rPr>
                <w:rFonts w:ascii="Arial" w:hAnsi="Arial" w:cs="Arial"/>
                <w:sz w:val="16"/>
                <w:szCs w:val="18"/>
              </w:rPr>
            </w:pPr>
          </w:p>
        </w:tc>
        <w:tc>
          <w:tcPr>
            <w:tcW w:w="1434" w:type="dxa"/>
            <w:vAlign w:val="center"/>
          </w:tcPr>
          <w:p w14:paraId="6D16D33A" w14:textId="5157AAFB" w:rsidR="0081201D" w:rsidRDefault="0081201D" w:rsidP="00E66AC0">
            <w:pPr>
              <w:spacing w:before="120"/>
              <w:jc w:val="center"/>
              <w:rPr>
                <w:rFonts w:ascii="Arial" w:hAnsi="Arial" w:cs="Arial"/>
                <w:sz w:val="16"/>
                <w:szCs w:val="18"/>
              </w:rPr>
            </w:pPr>
            <w:r>
              <w:rPr>
                <w:rFonts w:ascii="Arial" w:hAnsi="Arial" w:cs="Arial"/>
                <w:sz w:val="16"/>
                <w:szCs w:val="18"/>
              </w:rPr>
              <w:t>-</w:t>
            </w:r>
          </w:p>
        </w:tc>
        <w:tc>
          <w:tcPr>
            <w:tcW w:w="1444" w:type="dxa"/>
          </w:tcPr>
          <w:p w14:paraId="1FB24445" w14:textId="2715BB7E" w:rsidR="0081201D" w:rsidRDefault="0081201D" w:rsidP="00E66AC0">
            <w:pPr>
              <w:spacing w:before="120"/>
              <w:jc w:val="center"/>
              <w:rPr>
                <w:rFonts w:ascii="Arial" w:hAnsi="Arial" w:cs="Arial"/>
                <w:sz w:val="16"/>
                <w:szCs w:val="18"/>
              </w:rPr>
            </w:pPr>
            <w:r>
              <w:rPr>
                <w:rFonts w:ascii="Arial" w:hAnsi="Arial" w:cs="Arial"/>
                <w:sz w:val="16"/>
                <w:szCs w:val="18"/>
              </w:rPr>
              <w:t>14</w:t>
            </w:r>
          </w:p>
        </w:tc>
        <w:tc>
          <w:tcPr>
            <w:tcW w:w="1364" w:type="dxa"/>
            <w:vAlign w:val="center"/>
          </w:tcPr>
          <w:p w14:paraId="14F1C9A2" w14:textId="2B4738A6" w:rsidR="0081201D" w:rsidRDefault="0081201D" w:rsidP="00E66AC0">
            <w:pPr>
              <w:spacing w:before="120"/>
              <w:jc w:val="center"/>
              <w:rPr>
                <w:rFonts w:ascii="Arial" w:hAnsi="Arial" w:cs="Arial"/>
                <w:sz w:val="16"/>
                <w:szCs w:val="18"/>
              </w:rPr>
            </w:pPr>
            <w:r>
              <w:rPr>
                <w:rFonts w:ascii="Arial" w:hAnsi="Arial" w:cs="Arial"/>
                <w:sz w:val="16"/>
                <w:szCs w:val="18"/>
              </w:rPr>
              <w:t>-</w:t>
            </w:r>
          </w:p>
        </w:tc>
        <w:tc>
          <w:tcPr>
            <w:tcW w:w="1409" w:type="dxa"/>
          </w:tcPr>
          <w:p w14:paraId="1AD11908" w14:textId="0ECA5782" w:rsidR="0081201D" w:rsidRDefault="00DF1B97" w:rsidP="00E66AC0">
            <w:pPr>
              <w:spacing w:before="120"/>
              <w:jc w:val="center"/>
              <w:rPr>
                <w:rFonts w:ascii="Arial" w:hAnsi="Arial" w:cs="Arial"/>
                <w:sz w:val="16"/>
                <w:szCs w:val="18"/>
              </w:rPr>
            </w:pPr>
            <w:r>
              <w:rPr>
                <w:rFonts w:ascii="Arial" w:hAnsi="Arial" w:cs="Arial"/>
                <w:sz w:val="16"/>
                <w:szCs w:val="18"/>
              </w:rPr>
              <w:t>0.0678</w:t>
            </w:r>
          </w:p>
        </w:tc>
      </w:tr>
      <w:tr w:rsidR="00A45EFD" w:rsidRPr="00956589" w14:paraId="53A20F97" w14:textId="77777777" w:rsidTr="00E95BD6">
        <w:tc>
          <w:tcPr>
            <w:tcW w:w="806" w:type="dxa"/>
            <w:vMerge w:val="restart"/>
            <w:vAlign w:val="center"/>
          </w:tcPr>
          <w:p w14:paraId="1B4A5A43" w14:textId="1DE65BB8" w:rsidR="00A45EFD" w:rsidRPr="00956589" w:rsidRDefault="00A45EFD" w:rsidP="00E66AC0">
            <w:pPr>
              <w:spacing w:before="120"/>
              <w:rPr>
                <w:rFonts w:ascii="Arial" w:hAnsi="Arial" w:cs="Arial"/>
                <w:b/>
                <w:sz w:val="16"/>
                <w:szCs w:val="18"/>
              </w:rPr>
            </w:pPr>
            <w:r>
              <w:rPr>
                <w:rFonts w:ascii="Arial" w:hAnsi="Arial" w:cs="Arial"/>
                <w:b/>
                <w:sz w:val="16"/>
                <w:szCs w:val="18"/>
              </w:rPr>
              <w:t>2020</w:t>
            </w:r>
          </w:p>
        </w:tc>
        <w:tc>
          <w:tcPr>
            <w:tcW w:w="2604" w:type="dxa"/>
            <w:vMerge w:val="restart"/>
            <w:vAlign w:val="center"/>
          </w:tcPr>
          <w:p w14:paraId="0E757224" w14:textId="4D809F37" w:rsidR="00A45EFD" w:rsidRDefault="00983ECF" w:rsidP="00E66AC0">
            <w:pPr>
              <w:spacing w:before="120"/>
              <w:jc w:val="center"/>
              <w:rPr>
                <w:rFonts w:ascii="Arial" w:hAnsi="Arial" w:cs="Arial"/>
                <w:sz w:val="16"/>
                <w:szCs w:val="18"/>
              </w:rPr>
            </w:pPr>
            <w:r>
              <w:rPr>
                <w:rFonts w:ascii="Arial" w:hAnsi="Arial" w:cs="Arial"/>
                <w:sz w:val="16"/>
                <w:szCs w:val="18"/>
              </w:rPr>
              <w:t>19,490</w:t>
            </w:r>
          </w:p>
        </w:tc>
        <w:tc>
          <w:tcPr>
            <w:tcW w:w="1434" w:type="dxa"/>
            <w:vAlign w:val="center"/>
          </w:tcPr>
          <w:p w14:paraId="4AA89297" w14:textId="3B85F66D" w:rsidR="00A45EFD" w:rsidRDefault="00983ECF" w:rsidP="00E66AC0">
            <w:pPr>
              <w:spacing w:before="120"/>
              <w:jc w:val="center"/>
              <w:rPr>
                <w:rFonts w:ascii="Arial" w:hAnsi="Arial" w:cs="Arial"/>
                <w:sz w:val="16"/>
                <w:szCs w:val="18"/>
              </w:rPr>
            </w:pPr>
            <w:r>
              <w:rPr>
                <w:rFonts w:ascii="Arial" w:hAnsi="Arial" w:cs="Arial"/>
                <w:sz w:val="16"/>
                <w:szCs w:val="18"/>
              </w:rPr>
              <w:t>10</w:t>
            </w:r>
          </w:p>
        </w:tc>
        <w:tc>
          <w:tcPr>
            <w:tcW w:w="1444" w:type="dxa"/>
          </w:tcPr>
          <w:p w14:paraId="400C7795" w14:textId="77777777" w:rsidR="00A45EFD" w:rsidRDefault="00A45EFD" w:rsidP="00E66AC0">
            <w:pPr>
              <w:spacing w:before="120"/>
              <w:jc w:val="center"/>
              <w:rPr>
                <w:rFonts w:ascii="Arial" w:hAnsi="Arial" w:cs="Arial"/>
                <w:sz w:val="16"/>
                <w:szCs w:val="18"/>
              </w:rPr>
            </w:pPr>
          </w:p>
        </w:tc>
        <w:tc>
          <w:tcPr>
            <w:tcW w:w="1364" w:type="dxa"/>
            <w:vAlign w:val="center"/>
          </w:tcPr>
          <w:p w14:paraId="395468F8" w14:textId="6E65477C" w:rsidR="00A45EFD" w:rsidRDefault="000B2D42" w:rsidP="00E66AC0">
            <w:pPr>
              <w:spacing w:before="120"/>
              <w:jc w:val="center"/>
              <w:rPr>
                <w:rFonts w:ascii="Arial" w:hAnsi="Arial" w:cs="Arial"/>
                <w:sz w:val="16"/>
                <w:szCs w:val="18"/>
              </w:rPr>
            </w:pPr>
            <w:r>
              <w:rPr>
                <w:rFonts w:ascii="Arial" w:hAnsi="Arial" w:cs="Arial"/>
                <w:sz w:val="16"/>
                <w:szCs w:val="18"/>
              </w:rPr>
              <w:t>0.195</w:t>
            </w:r>
          </w:p>
        </w:tc>
        <w:tc>
          <w:tcPr>
            <w:tcW w:w="1409" w:type="dxa"/>
          </w:tcPr>
          <w:p w14:paraId="764BC3C3" w14:textId="77777777" w:rsidR="00A45EFD" w:rsidRDefault="00A45EFD" w:rsidP="00E66AC0">
            <w:pPr>
              <w:spacing w:before="120"/>
              <w:jc w:val="center"/>
              <w:rPr>
                <w:rFonts w:ascii="Arial" w:hAnsi="Arial" w:cs="Arial"/>
                <w:sz w:val="16"/>
                <w:szCs w:val="18"/>
              </w:rPr>
            </w:pPr>
          </w:p>
        </w:tc>
      </w:tr>
      <w:tr w:rsidR="00A45EFD" w:rsidRPr="00956589" w14:paraId="2256D0C6" w14:textId="77777777" w:rsidTr="00E95BD6">
        <w:tc>
          <w:tcPr>
            <w:tcW w:w="806" w:type="dxa"/>
            <w:vMerge/>
            <w:vAlign w:val="center"/>
          </w:tcPr>
          <w:p w14:paraId="1E600131" w14:textId="77777777" w:rsidR="00A45EFD" w:rsidRPr="00956589" w:rsidRDefault="00A45EFD" w:rsidP="00E66AC0">
            <w:pPr>
              <w:spacing w:before="120"/>
              <w:rPr>
                <w:rFonts w:ascii="Arial" w:hAnsi="Arial" w:cs="Arial"/>
                <w:b/>
                <w:sz w:val="16"/>
                <w:szCs w:val="18"/>
              </w:rPr>
            </w:pPr>
          </w:p>
        </w:tc>
        <w:tc>
          <w:tcPr>
            <w:tcW w:w="2604" w:type="dxa"/>
            <w:vMerge/>
            <w:vAlign w:val="center"/>
          </w:tcPr>
          <w:p w14:paraId="641A76A9" w14:textId="77777777" w:rsidR="00A45EFD" w:rsidRDefault="00A45EFD" w:rsidP="00E66AC0">
            <w:pPr>
              <w:spacing w:before="120"/>
              <w:jc w:val="center"/>
              <w:rPr>
                <w:rFonts w:ascii="Arial" w:hAnsi="Arial" w:cs="Arial"/>
                <w:sz w:val="16"/>
                <w:szCs w:val="18"/>
              </w:rPr>
            </w:pPr>
          </w:p>
        </w:tc>
        <w:tc>
          <w:tcPr>
            <w:tcW w:w="1434" w:type="dxa"/>
            <w:vAlign w:val="center"/>
          </w:tcPr>
          <w:p w14:paraId="664724A2" w14:textId="77777777" w:rsidR="00A45EFD" w:rsidRDefault="00A45EFD" w:rsidP="00E66AC0">
            <w:pPr>
              <w:spacing w:before="120"/>
              <w:jc w:val="center"/>
              <w:rPr>
                <w:rFonts w:ascii="Arial" w:hAnsi="Arial" w:cs="Arial"/>
                <w:sz w:val="16"/>
                <w:szCs w:val="18"/>
              </w:rPr>
            </w:pPr>
          </w:p>
        </w:tc>
        <w:tc>
          <w:tcPr>
            <w:tcW w:w="1444" w:type="dxa"/>
          </w:tcPr>
          <w:p w14:paraId="525542A0" w14:textId="265CD549" w:rsidR="00A45EFD" w:rsidRDefault="00983ECF" w:rsidP="00E66AC0">
            <w:pPr>
              <w:spacing w:before="120"/>
              <w:jc w:val="center"/>
              <w:rPr>
                <w:rFonts w:ascii="Arial" w:hAnsi="Arial" w:cs="Arial"/>
                <w:sz w:val="16"/>
                <w:szCs w:val="18"/>
              </w:rPr>
            </w:pPr>
            <w:r>
              <w:rPr>
                <w:rFonts w:ascii="Arial" w:hAnsi="Arial" w:cs="Arial"/>
                <w:sz w:val="16"/>
                <w:szCs w:val="18"/>
              </w:rPr>
              <w:t>14</w:t>
            </w:r>
          </w:p>
        </w:tc>
        <w:tc>
          <w:tcPr>
            <w:tcW w:w="1364" w:type="dxa"/>
            <w:vAlign w:val="center"/>
          </w:tcPr>
          <w:p w14:paraId="2BE9E3EB" w14:textId="77777777" w:rsidR="00A45EFD" w:rsidRDefault="00A45EFD" w:rsidP="00E66AC0">
            <w:pPr>
              <w:spacing w:before="120"/>
              <w:jc w:val="center"/>
              <w:rPr>
                <w:rFonts w:ascii="Arial" w:hAnsi="Arial" w:cs="Arial"/>
                <w:sz w:val="16"/>
                <w:szCs w:val="18"/>
              </w:rPr>
            </w:pPr>
          </w:p>
        </w:tc>
        <w:tc>
          <w:tcPr>
            <w:tcW w:w="1409" w:type="dxa"/>
          </w:tcPr>
          <w:p w14:paraId="46D98882" w14:textId="1CEBFAEB" w:rsidR="00A45EFD" w:rsidRDefault="000B2D42" w:rsidP="00E66AC0">
            <w:pPr>
              <w:spacing w:before="120"/>
              <w:jc w:val="center"/>
              <w:rPr>
                <w:rFonts w:ascii="Arial" w:hAnsi="Arial" w:cs="Arial"/>
                <w:sz w:val="16"/>
                <w:szCs w:val="18"/>
              </w:rPr>
            </w:pPr>
            <w:r>
              <w:rPr>
                <w:rFonts w:ascii="Arial" w:hAnsi="Arial" w:cs="Arial"/>
                <w:sz w:val="16"/>
                <w:szCs w:val="18"/>
              </w:rPr>
              <w:t>0.273</w:t>
            </w:r>
          </w:p>
        </w:tc>
      </w:tr>
    </w:tbl>
    <w:p w14:paraId="3A6D2456" w14:textId="27388870" w:rsidR="00A84495" w:rsidRPr="00080C09" w:rsidRDefault="00A84495" w:rsidP="00A84495">
      <w:pPr>
        <w:tabs>
          <w:tab w:val="left" w:pos="2760"/>
        </w:tabs>
        <w:spacing w:before="120" w:line="300" w:lineRule="atLeast"/>
        <w:jc w:val="both"/>
        <w:rPr>
          <w:rFonts w:ascii="Arial" w:hAnsi="Arial" w:cs="Arial"/>
          <w:b/>
          <w:szCs w:val="18"/>
        </w:rPr>
      </w:pPr>
      <w:r w:rsidRPr="00080C09">
        <w:rPr>
          <w:rFonts w:ascii="Arial" w:hAnsi="Arial" w:cs="Arial"/>
          <w:b/>
          <w:szCs w:val="18"/>
        </w:rPr>
        <w:t xml:space="preserve">Certainty assessment for </w:t>
      </w:r>
      <w:r w:rsidR="000B2D42" w:rsidRPr="00080C09">
        <w:rPr>
          <w:rFonts w:ascii="Arial" w:hAnsi="Arial" w:cs="Arial"/>
          <w:b/>
          <w:szCs w:val="18"/>
        </w:rPr>
        <w:t>20</w:t>
      </w:r>
      <w:r w:rsidR="000B2D42">
        <w:rPr>
          <w:rFonts w:ascii="Arial" w:hAnsi="Arial" w:cs="Arial"/>
          <w:b/>
          <w:szCs w:val="18"/>
        </w:rPr>
        <w:t>20</w:t>
      </w:r>
    </w:p>
    <w:p w14:paraId="0817CC70" w14:textId="77777777" w:rsidR="00A84495" w:rsidRDefault="00A84495" w:rsidP="00A84495">
      <w:pPr>
        <w:tabs>
          <w:tab w:val="left" w:pos="1701"/>
        </w:tabs>
        <w:spacing w:after="0" w:line="300" w:lineRule="atLeast"/>
        <w:jc w:val="both"/>
        <w:rPr>
          <w:szCs w:val="18"/>
        </w:rPr>
      </w:pPr>
      <w:r>
        <w:rPr>
          <w:szCs w:val="18"/>
        </w:rPr>
        <w:t xml:space="preserve">Activity data: </w:t>
      </w:r>
      <w:r>
        <w:rPr>
          <w:szCs w:val="18"/>
        </w:rPr>
        <w:tab/>
      </w:r>
      <w:r w:rsidR="00AC7382">
        <w:rPr>
          <w:szCs w:val="18"/>
        </w:rPr>
        <w:t>High</w:t>
      </w:r>
      <w:r>
        <w:rPr>
          <w:szCs w:val="18"/>
        </w:rPr>
        <w:t xml:space="preserve"> (because </w:t>
      </w:r>
      <w:r w:rsidR="00AC7382">
        <w:rPr>
          <w:szCs w:val="18"/>
        </w:rPr>
        <w:t>it is</w:t>
      </w:r>
      <w:r>
        <w:rPr>
          <w:szCs w:val="18"/>
        </w:rPr>
        <w:t xml:space="preserve"> based on </w:t>
      </w:r>
      <w:r w:rsidR="00AC7382">
        <w:rPr>
          <w:szCs w:val="18"/>
        </w:rPr>
        <w:t>actual fuel consumption data</w:t>
      </w:r>
      <w:r>
        <w:rPr>
          <w:szCs w:val="18"/>
        </w:rPr>
        <w:t>)</w:t>
      </w:r>
    </w:p>
    <w:p w14:paraId="140AAC52" w14:textId="77D13BF3" w:rsidR="00A84495" w:rsidRDefault="00A84495" w:rsidP="00AC7382">
      <w:pPr>
        <w:tabs>
          <w:tab w:val="left" w:pos="1701"/>
        </w:tabs>
        <w:spacing w:line="300" w:lineRule="atLeast"/>
        <w:ind w:left="1701" w:hanging="1701"/>
        <w:jc w:val="both"/>
        <w:rPr>
          <w:szCs w:val="18"/>
        </w:rPr>
      </w:pPr>
      <w:r>
        <w:rPr>
          <w:szCs w:val="18"/>
        </w:rPr>
        <w:t>Emission factors:</w:t>
      </w:r>
      <w:r>
        <w:rPr>
          <w:szCs w:val="18"/>
        </w:rPr>
        <w:tab/>
      </w:r>
      <w:r w:rsidR="00AC7382">
        <w:rPr>
          <w:szCs w:val="18"/>
        </w:rPr>
        <w:t>High for air and low for residues</w:t>
      </w:r>
      <w:r>
        <w:rPr>
          <w:szCs w:val="18"/>
        </w:rPr>
        <w:t xml:space="preserve"> (</w:t>
      </w:r>
      <w:r w:rsidRPr="00944DCC">
        <w:rPr>
          <w:szCs w:val="18"/>
        </w:rPr>
        <w:t xml:space="preserve">because </w:t>
      </w:r>
      <w:r>
        <w:rPr>
          <w:szCs w:val="18"/>
        </w:rPr>
        <w:t>the</w:t>
      </w:r>
      <w:r w:rsidR="00AC7382">
        <w:rPr>
          <w:szCs w:val="18"/>
        </w:rPr>
        <w:t>y are both based on the Toolkit default factors, but the factor for air has been validated by testing at the power station</w:t>
      </w:r>
      <w:r>
        <w:rPr>
          <w:szCs w:val="18"/>
        </w:rPr>
        <w:t>)</w:t>
      </w:r>
    </w:p>
    <w:p w14:paraId="5B114B1D" w14:textId="77777777" w:rsidR="00A51AE5" w:rsidRPr="00181A97" w:rsidRDefault="009A2928" w:rsidP="00460141">
      <w:pPr>
        <w:spacing w:before="240"/>
        <w:rPr>
          <w:rFonts w:ascii="Arial" w:hAnsi="Arial" w:cs="Arial"/>
          <w:b/>
        </w:rPr>
      </w:pPr>
      <w:r>
        <w:rPr>
          <w:rFonts w:ascii="Arial" w:hAnsi="Arial" w:cs="Arial"/>
          <w:b/>
        </w:rPr>
        <w:t>Coal-fired industrial manufacturing and commercial appliances</w:t>
      </w:r>
    </w:p>
    <w:p w14:paraId="417B7CFD" w14:textId="5625039B" w:rsidR="009A2928" w:rsidRDefault="009A2928" w:rsidP="009A2928">
      <w:pPr>
        <w:spacing w:line="300" w:lineRule="atLeast"/>
        <w:jc w:val="both"/>
        <w:rPr>
          <w:szCs w:val="18"/>
          <w:lang w:val="en-US"/>
        </w:rPr>
      </w:pPr>
      <w:r w:rsidRPr="009A2928">
        <w:rPr>
          <w:szCs w:val="18"/>
          <w:lang w:val="en-US"/>
        </w:rPr>
        <w:t xml:space="preserve">The total New Zealand coal consumption for consumer energy uses in </w:t>
      </w:r>
      <w:r w:rsidR="00AC4998">
        <w:rPr>
          <w:szCs w:val="18"/>
          <w:lang w:val="en-US"/>
        </w:rPr>
        <w:t>2020</w:t>
      </w:r>
      <w:r w:rsidR="002C6792" w:rsidRPr="009A2928">
        <w:rPr>
          <w:szCs w:val="18"/>
          <w:lang w:val="en-US"/>
        </w:rPr>
        <w:t xml:space="preserve"> </w:t>
      </w:r>
      <w:r w:rsidRPr="009A2928">
        <w:rPr>
          <w:szCs w:val="18"/>
          <w:lang w:val="en-US"/>
        </w:rPr>
        <w:t xml:space="preserve">was </w:t>
      </w:r>
      <w:r w:rsidR="00AC4998">
        <w:rPr>
          <w:szCs w:val="18"/>
          <w:lang w:val="en-US"/>
        </w:rPr>
        <w:t>21,930</w:t>
      </w:r>
      <w:r w:rsidR="008D2EC9">
        <w:rPr>
          <w:szCs w:val="18"/>
          <w:lang w:val="en-US"/>
        </w:rPr>
        <w:t>TJ (1 TJ = 10</w:t>
      </w:r>
      <w:r w:rsidR="008D2EC9" w:rsidRPr="008D2EC9">
        <w:rPr>
          <w:szCs w:val="18"/>
          <w:vertAlign w:val="superscript"/>
          <w:lang w:val="en-US"/>
        </w:rPr>
        <w:t>12</w:t>
      </w:r>
      <w:r w:rsidR="008D2EC9">
        <w:rPr>
          <w:szCs w:val="18"/>
          <w:lang w:val="en-US"/>
        </w:rPr>
        <w:t xml:space="preserve"> Joules</w:t>
      </w:r>
      <w:r w:rsidR="00DF1B97">
        <w:rPr>
          <w:szCs w:val="18"/>
          <w:lang w:val="en-US"/>
        </w:rPr>
        <w:t xml:space="preserve">) </w:t>
      </w:r>
      <w:r w:rsidR="000B2D42" w:rsidRPr="00F1175E">
        <w:rPr>
          <w:noProof/>
          <w:szCs w:val="18"/>
        </w:rPr>
        <w:t>(Ministry of Business Innovation and Employment, 20</w:t>
      </w:r>
      <w:r w:rsidR="000B2D42">
        <w:rPr>
          <w:noProof/>
          <w:szCs w:val="18"/>
        </w:rPr>
        <w:t>21</w:t>
      </w:r>
      <w:r w:rsidR="000B2D42" w:rsidRPr="00F1175E">
        <w:rPr>
          <w:noProof/>
          <w:szCs w:val="18"/>
        </w:rPr>
        <w:t>)</w:t>
      </w:r>
      <w:r w:rsidRPr="009A2928">
        <w:rPr>
          <w:szCs w:val="18"/>
          <w:lang w:val="en-US"/>
        </w:rPr>
        <w:t>. Consumer energy uses include agricultural, industrial, commercial, residential and transport</w:t>
      </w:r>
      <w:r w:rsidR="004A5D77">
        <w:rPr>
          <w:szCs w:val="18"/>
          <w:lang w:val="en-US"/>
        </w:rPr>
        <w:t xml:space="preserve"> with the industrial sector leading consumption</w:t>
      </w:r>
      <w:r w:rsidRPr="009A2928">
        <w:rPr>
          <w:szCs w:val="18"/>
          <w:lang w:val="en-US"/>
        </w:rPr>
        <w:t>. The figures for coal consumption include two sources that are covered under other sections of the inventory: cement manufacture and domestic heating</w:t>
      </w:r>
      <w:r w:rsidR="00FB1C68">
        <w:rPr>
          <w:rStyle w:val="FootnoteReference"/>
          <w:szCs w:val="18"/>
          <w:lang w:val="en-US"/>
        </w:rPr>
        <w:footnoteReference w:id="3"/>
      </w:r>
      <w:r w:rsidRPr="009A2928">
        <w:rPr>
          <w:szCs w:val="18"/>
          <w:lang w:val="en-US"/>
        </w:rPr>
        <w:t xml:space="preserve">. </w:t>
      </w:r>
      <w:r w:rsidR="005D3320">
        <w:rPr>
          <w:szCs w:val="18"/>
          <w:lang w:val="en-US"/>
        </w:rPr>
        <w:t>I</w:t>
      </w:r>
      <w:r w:rsidR="00E70194">
        <w:rPr>
          <w:szCs w:val="18"/>
          <w:lang w:val="en-US"/>
        </w:rPr>
        <w:t>n 20</w:t>
      </w:r>
      <w:r w:rsidR="006F6D89">
        <w:rPr>
          <w:szCs w:val="18"/>
          <w:lang w:val="en-US"/>
        </w:rPr>
        <w:t>20</w:t>
      </w:r>
      <w:r w:rsidR="00E70194">
        <w:rPr>
          <w:szCs w:val="18"/>
          <w:lang w:val="en-US"/>
        </w:rPr>
        <w:t xml:space="preserve"> they accounted for </w:t>
      </w:r>
      <w:r w:rsidR="006F6D89">
        <w:rPr>
          <w:szCs w:val="18"/>
          <w:lang w:val="en-US"/>
        </w:rPr>
        <w:t>2,040</w:t>
      </w:r>
      <w:r w:rsidR="005D3320">
        <w:rPr>
          <w:szCs w:val="18"/>
          <w:lang w:val="en-US"/>
        </w:rPr>
        <w:t xml:space="preserve"> TJ.</w:t>
      </w:r>
      <w:r w:rsidR="00DF1B97">
        <w:rPr>
          <w:szCs w:val="18"/>
          <w:lang w:val="en-US"/>
        </w:rPr>
        <w:t xml:space="preserve"> </w:t>
      </w:r>
      <w:r w:rsidRPr="009A2928">
        <w:rPr>
          <w:szCs w:val="18"/>
          <w:lang w:val="en-US"/>
        </w:rPr>
        <w:t>Subtracting th</w:t>
      </w:r>
      <w:r w:rsidR="00E70194">
        <w:rPr>
          <w:szCs w:val="18"/>
          <w:lang w:val="en-US"/>
        </w:rPr>
        <w:t xml:space="preserve">is </w:t>
      </w:r>
      <w:r w:rsidR="005D3320">
        <w:rPr>
          <w:szCs w:val="18"/>
          <w:lang w:val="en-US"/>
        </w:rPr>
        <w:t>amount</w:t>
      </w:r>
      <w:r w:rsidRPr="009A2928">
        <w:rPr>
          <w:szCs w:val="18"/>
          <w:lang w:val="en-US"/>
        </w:rPr>
        <w:t xml:space="preserve"> from the consumer energy total gives a total annual energy consumption associated with the remaining coal combustion sources of </w:t>
      </w:r>
      <w:r w:rsidR="006F6D89">
        <w:rPr>
          <w:szCs w:val="18"/>
          <w:lang w:val="en-US"/>
        </w:rPr>
        <w:t>19,890</w:t>
      </w:r>
      <w:r w:rsidR="00C14BFE">
        <w:rPr>
          <w:szCs w:val="18"/>
          <w:lang w:val="en-US"/>
        </w:rPr>
        <w:t>TJ (1 T</w:t>
      </w:r>
      <w:r w:rsidR="00C14BFE" w:rsidRPr="00C14BFE">
        <w:rPr>
          <w:szCs w:val="18"/>
          <w:lang w:val="en-US"/>
        </w:rPr>
        <w:t xml:space="preserve">J </w:t>
      </w:r>
      <w:r w:rsidR="00C14BFE">
        <w:rPr>
          <w:szCs w:val="18"/>
          <w:lang w:val="en-US"/>
        </w:rPr>
        <w:t>=</w:t>
      </w:r>
      <w:r w:rsidR="00C14BFE" w:rsidRPr="00C14BFE">
        <w:rPr>
          <w:szCs w:val="18"/>
          <w:lang w:val="en-US"/>
        </w:rPr>
        <w:t xml:space="preserve"> 10</w:t>
      </w:r>
      <w:r w:rsidR="00C14BFE" w:rsidRPr="00C14BFE">
        <w:rPr>
          <w:szCs w:val="18"/>
          <w:vertAlign w:val="superscript"/>
          <w:lang w:val="en-US"/>
        </w:rPr>
        <w:t>1</w:t>
      </w:r>
      <w:r w:rsidR="00C14BFE">
        <w:rPr>
          <w:szCs w:val="18"/>
          <w:vertAlign w:val="superscript"/>
          <w:lang w:val="en-US"/>
        </w:rPr>
        <w:t>2</w:t>
      </w:r>
      <w:r w:rsidR="00C14BFE" w:rsidRPr="00C14BFE">
        <w:rPr>
          <w:szCs w:val="18"/>
          <w:lang w:val="en-US"/>
        </w:rPr>
        <w:t xml:space="preserve"> Joules)</w:t>
      </w:r>
      <w:r w:rsidRPr="009A2928">
        <w:rPr>
          <w:szCs w:val="18"/>
          <w:lang w:val="en-US"/>
        </w:rPr>
        <w:t>.</w:t>
      </w:r>
    </w:p>
    <w:p w14:paraId="33161884" w14:textId="745A0DE0" w:rsidR="00BF75DE" w:rsidRDefault="2FA57083" w:rsidP="0C34660A">
      <w:pPr>
        <w:spacing w:line="300" w:lineRule="atLeast"/>
        <w:jc w:val="both"/>
        <w:rPr>
          <w:lang w:val="en-US"/>
        </w:rPr>
      </w:pPr>
      <w:r w:rsidRPr="0C34660A">
        <w:rPr>
          <w:lang w:val="en-US"/>
        </w:rPr>
        <w:t xml:space="preserve">Coal consumption in the industrial and commercial sectors was negatively impacted by the Covid pandemic in 2020. Compared to 2019 consumption levels, the industrial sector was down 11.4% and the commercial sector </w:t>
      </w:r>
      <w:r w:rsidRPr="0C34660A">
        <w:rPr>
          <w:lang w:val="en-US"/>
        </w:rPr>
        <w:lastRenderedPageBreak/>
        <w:t xml:space="preserve">down 28% </w:t>
      </w:r>
      <w:r w:rsidRPr="0C34660A">
        <w:rPr>
          <w:noProof/>
        </w:rPr>
        <w:t>(Ministry of Business Innovation and Employment, 2021)</w:t>
      </w:r>
      <w:r w:rsidRPr="0C34660A">
        <w:rPr>
          <w:lang w:val="en-US"/>
        </w:rPr>
        <w:t>.</w:t>
      </w:r>
      <w:r w:rsidR="4612FB49" w:rsidRPr="0C34660A">
        <w:rPr>
          <w:lang w:val="en-US"/>
        </w:rPr>
        <w:t xml:space="preserve"> The closure of all non-essential industries, </w:t>
      </w:r>
      <w:bookmarkStart w:id="176" w:name="_Int_tGv4J8aA"/>
      <w:r w:rsidR="4612FB49" w:rsidRPr="0C34660A">
        <w:rPr>
          <w:lang w:val="en-US"/>
        </w:rPr>
        <w:t>businesses,</w:t>
      </w:r>
      <w:bookmarkEnd w:id="176"/>
      <w:r w:rsidR="4612FB49" w:rsidRPr="0C34660A">
        <w:rPr>
          <w:lang w:val="en-US"/>
        </w:rPr>
        <w:t xml:space="preserve"> and schools under Alert Levels 3 and 4 was a key driver for the drop. Other causes include on-going initiatives to replace </w:t>
      </w:r>
      <w:r w:rsidR="3C5E0DB2" w:rsidRPr="0C34660A">
        <w:rPr>
          <w:lang w:val="en-US"/>
        </w:rPr>
        <w:t>coal</w:t>
      </w:r>
      <w:r w:rsidR="000A1792">
        <w:rPr>
          <w:lang w:val="en-US"/>
        </w:rPr>
        <w:t>-</w:t>
      </w:r>
      <w:r w:rsidR="3C5E0DB2" w:rsidRPr="0C34660A">
        <w:rPr>
          <w:lang w:val="en-US"/>
        </w:rPr>
        <w:t xml:space="preserve">fired boilers with those fired by renewable fuels. For instance, in mid-2020 Fonterra </w:t>
      </w:r>
      <w:r w:rsidR="37998ED0" w:rsidRPr="0C34660A">
        <w:rPr>
          <w:lang w:val="en-US"/>
        </w:rPr>
        <w:t>replaced its coal</w:t>
      </w:r>
      <w:r w:rsidR="003861A6">
        <w:rPr>
          <w:lang w:val="en-US"/>
        </w:rPr>
        <w:t>-</w:t>
      </w:r>
      <w:r w:rsidR="37998ED0" w:rsidRPr="0C34660A">
        <w:rPr>
          <w:lang w:val="en-US"/>
        </w:rPr>
        <w:t xml:space="preserve">fired boiler with one </w:t>
      </w:r>
      <w:r w:rsidR="003861A6" w:rsidRPr="0C34660A">
        <w:rPr>
          <w:lang w:val="en-US"/>
        </w:rPr>
        <w:t>fueled</w:t>
      </w:r>
      <w:r w:rsidR="37998ED0" w:rsidRPr="0C34660A">
        <w:rPr>
          <w:lang w:val="en-US"/>
        </w:rPr>
        <w:t xml:space="preserve"> by wood pellets at its large </w:t>
      </w:r>
      <w:r w:rsidR="3C5E0DB2" w:rsidRPr="0C34660A">
        <w:rPr>
          <w:lang w:val="en-US"/>
        </w:rPr>
        <w:t>Te Awamutu plant</w:t>
      </w:r>
      <w:r w:rsidR="18CB2CC3" w:rsidRPr="0C34660A">
        <w:rPr>
          <w:lang w:val="en-US"/>
        </w:rPr>
        <w:t>.</w:t>
      </w:r>
    </w:p>
    <w:p w14:paraId="3976CD81" w14:textId="1E4A1B90" w:rsidR="009A2928" w:rsidRDefault="4F83C86C" w:rsidP="0C34660A">
      <w:pPr>
        <w:spacing w:line="300" w:lineRule="atLeast"/>
        <w:jc w:val="both"/>
        <w:rPr>
          <w:lang w:val="en-US"/>
        </w:rPr>
      </w:pPr>
      <w:r w:rsidRPr="0C34660A">
        <w:rPr>
          <w:lang w:val="en-US"/>
        </w:rPr>
        <w:t>The</w:t>
      </w:r>
      <w:r w:rsidR="4B9ED105" w:rsidRPr="0C34660A">
        <w:rPr>
          <w:lang w:val="en-US"/>
        </w:rPr>
        <w:t xml:space="preserve"> estimates </w:t>
      </w:r>
      <w:r w:rsidRPr="0C34660A">
        <w:rPr>
          <w:lang w:val="en-US"/>
        </w:rPr>
        <w:t xml:space="preserve">for the releases to air from </w:t>
      </w:r>
      <w:r w:rsidR="3FD505A1" w:rsidRPr="0C34660A">
        <w:rPr>
          <w:lang w:val="en-US"/>
        </w:rPr>
        <w:t xml:space="preserve">industrial and commercial coal combustion </w:t>
      </w:r>
      <w:r w:rsidRPr="0C34660A">
        <w:rPr>
          <w:lang w:val="en-US"/>
        </w:rPr>
        <w:t xml:space="preserve">have been </w:t>
      </w:r>
      <w:r w:rsidR="4B9ED105" w:rsidRPr="0C34660A">
        <w:rPr>
          <w:lang w:val="en-US"/>
        </w:rPr>
        <w:t xml:space="preserve">based on the </w:t>
      </w:r>
      <w:r w:rsidRPr="0C34660A">
        <w:rPr>
          <w:lang w:val="en-US"/>
        </w:rPr>
        <w:t xml:space="preserve">same </w:t>
      </w:r>
      <w:r w:rsidR="5BA5BC26" w:rsidRPr="0C34660A">
        <w:rPr>
          <w:lang w:val="en-US"/>
        </w:rPr>
        <w:t>approach</w:t>
      </w:r>
      <w:r w:rsidR="4B9ED105" w:rsidRPr="0C34660A">
        <w:rPr>
          <w:lang w:val="en-US"/>
        </w:rPr>
        <w:t xml:space="preserve"> </w:t>
      </w:r>
      <w:r w:rsidRPr="0C34660A">
        <w:rPr>
          <w:lang w:val="en-US"/>
        </w:rPr>
        <w:t xml:space="preserve">as </w:t>
      </w:r>
      <w:r w:rsidR="4B9ED105" w:rsidRPr="0C34660A">
        <w:rPr>
          <w:lang w:val="en-US"/>
        </w:rPr>
        <w:t xml:space="preserve">adopted </w:t>
      </w:r>
      <w:r w:rsidRPr="0C34660A">
        <w:rPr>
          <w:lang w:val="en-US"/>
        </w:rPr>
        <w:t>for</w:t>
      </w:r>
      <w:r w:rsidR="4B9ED105" w:rsidRPr="0C34660A">
        <w:rPr>
          <w:lang w:val="en-US"/>
        </w:rPr>
        <w:t xml:space="preserve"> the 20</w:t>
      </w:r>
      <w:r w:rsidR="3A13F41B" w:rsidRPr="0C34660A">
        <w:rPr>
          <w:lang w:val="en-US"/>
        </w:rPr>
        <w:t>12</w:t>
      </w:r>
      <w:r w:rsidR="4B9ED105" w:rsidRPr="0C34660A">
        <w:rPr>
          <w:lang w:val="en-US"/>
        </w:rPr>
        <w:t xml:space="preserve"> </w:t>
      </w:r>
      <w:r w:rsidRPr="0C34660A">
        <w:rPr>
          <w:lang w:val="en-US"/>
        </w:rPr>
        <w:t>I</w:t>
      </w:r>
      <w:r w:rsidR="4B9ED105" w:rsidRPr="0C34660A">
        <w:rPr>
          <w:lang w:val="en-US"/>
        </w:rPr>
        <w:t xml:space="preserve">nventory. For plant greater than 10 MW, the UNEP Toolkit emission factor of 10 µg </w:t>
      </w:r>
      <w:r w:rsidR="03DF4226" w:rsidRPr="0C34660A">
        <w:rPr>
          <w:lang w:val="en-US"/>
        </w:rPr>
        <w:t>TEQ</w:t>
      </w:r>
      <w:r w:rsidR="4B9ED105" w:rsidRPr="0C34660A">
        <w:rPr>
          <w:lang w:val="en-US"/>
        </w:rPr>
        <w:t xml:space="preserve"> </w:t>
      </w:r>
      <w:r w:rsidRPr="0C34660A">
        <w:rPr>
          <w:lang w:val="en-US"/>
        </w:rPr>
        <w:t xml:space="preserve">per </w:t>
      </w:r>
      <w:r w:rsidR="4B9ED105" w:rsidRPr="0C34660A">
        <w:rPr>
          <w:lang w:val="en-US"/>
        </w:rPr>
        <w:t>TJ has been applied</w:t>
      </w:r>
      <w:r w:rsidR="57D01710" w:rsidRPr="0C34660A">
        <w:rPr>
          <w:lang w:val="en-US"/>
        </w:rPr>
        <w:t xml:space="preserve"> (10 x 10</w:t>
      </w:r>
      <w:r w:rsidR="57D01710" w:rsidRPr="0C34660A">
        <w:rPr>
          <w:vertAlign w:val="superscript"/>
          <w:lang w:val="en-US"/>
        </w:rPr>
        <w:t>-6</w:t>
      </w:r>
      <w:r w:rsidR="57D01710" w:rsidRPr="0C34660A">
        <w:rPr>
          <w:lang w:val="en-US"/>
        </w:rPr>
        <w:t xml:space="preserve"> g per TJ)</w:t>
      </w:r>
      <w:r w:rsidR="4B9ED105" w:rsidRPr="0C34660A">
        <w:rPr>
          <w:lang w:val="en-US"/>
        </w:rPr>
        <w:t xml:space="preserve">, while a factor of 100 µg </w:t>
      </w:r>
      <w:r w:rsidR="03DF4226" w:rsidRPr="0C34660A">
        <w:rPr>
          <w:lang w:val="en-US"/>
        </w:rPr>
        <w:t>TEQ</w:t>
      </w:r>
      <w:r w:rsidR="4B9ED105" w:rsidRPr="0C34660A">
        <w:rPr>
          <w:lang w:val="en-US"/>
        </w:rPr>
        <w:t xml:space="preserve"> </w:t>
      </w:r>
      <w:r w:rsidRPr="0C34660A">
        <w:rPr>
          <w:lang w:val="en-US"/>
        </w:rPr>
        <w:t xml:space="preserve">per </w:t>
      </w:r>
      <w:r w:rsidR="4B9ED105" w:rsidRPr="0C34660A">
        <w:rPr>
          <w:lang w:val="en-US"/>
        </w:rPr>
        <w:t>TJ has been us</w:t>
      </w:r>
      <w:r w:rsidR="309C4A18" w:rsidRPr="0C34660A">
        <w:rPr>
          <w:lang w:val="en-US"/>
        </w:rPr>
        <w:t>ed for plants less than 10 MW</w:t>
      </w:r>
      <w:r w:rsidR="57D01710" w:rsidRPr="0C34660A">
        <w:rPr>
          <w:lang w:val="en-US"/>
        </w:rPr>
        <w:t xml:space="preserve"> (100 x 10</w:t>
      </w:r>
      <w:r w:rsidR="57D01710" w:rsidRPr="0C34660A">
        <w:rPr>
          <w:vertAlign w:val="superscript"/>
          <w:lang w:val="en-US"/>
        </w:rPr>
        <w:t>-6</w:t>
      </w:r>
      <w:r w:rsidR="57D01710" w:rsidRPr="0C34660A">
        <w:rPr>
          <w:lang w:val="en-US"/>
        </w:rPr>
        <w:t xml:space="preserve"> g per TJ)</w:t>
      </w:r>
      <w:r w:rsidR="309C4A18" w:rsidRPr="0C34660A">
        <w:rPr>
          <w:lang w:val="en-US"/>
        </w:rPr>
        <w:t xml:space="preserve">. </w:t>
      </w:r>
      <w:r w:rsidR="4B9ED105" w:rsidRPr="0C34660A">
        <w:rPr>
          <w:lang w:val="en-US"/>
        </w:rPr>
        <w:t xml:space="preserve">The </w:t>
      </w:r>
      <w:r w:rsidR="2B7E2D2B" w:rsidRPr="0C34660A">
        <w:rPr>
          <w:lang w:val="en-US"/>
        </w:rPr>
        <w:t>19,890</w:t>
      </w:r>
      <w:r w:rsidR="234F2DDA" w:rsidRPr="0C34660A">
        <w:rPr>
          <w:lang w:val="en-US"/>
        </w:rPr>
        <w:t xml:space="preserve"> </w:t>
      </w:r>
      <w:r w:rsidR="57D01710" w:rsidRPr="0C34660A">
        <w:rPr>
          <w:lang w:val="en-US"/>
        </w:rPr>
        <w:t>TJ</w:t>
      </w:r>
      <w:r w:rsidR="4B9ED105" w:rsidRPr="0C34660A">
        <w:rPr>
          <w:lang w:val="en-US"/>
        </w:rPr>
        <w:t xml:space="preserve"> of total coal consumption in this source category has been assigned to the two size ranges in accordance with the proportion of the total boiler</w:t>
      </w:r>
      <w:r w:rsidR="70342450" w:rsidRPr="0C34660A">
        <w:rPr>
          <w:lang w:val="en-US"/>
        </w:rPr>
        <w:t xml:space="preserve"> capacity they comprise in the N</w:t>
      </w:r>
      <w:r w:rsidR="4B9ED105" w:rsidRPr="0C34660A">
        <w:rPr>
          <w:lang w:val="en-US"/>
        </w:rPr>
        <w:t xml:space="preserve">ational </w:t>
      </w:r>
      <w:r w:rsidRPr="0C34660A">
        <w:rPr>
          <w:lang w:val="en-US"/>
        </w:rPr>
        <w:t>Heat Plant Database</w:t>
      </w:r>
      <w:r w:rsidR="50AF3356" w:rsidRPr="0C34660A">
        <w:rPr>
          <w:lang w:val="en-US"/>
        </w:rPr>
        <w:t xml:space="preserve"> </w:t>
      </w:r>
      <w:sdt>
        <w:sdtPr>
          <w:rPr>
            <w:lang w:val="en-US"/>
          </w:rPr>
          <w:id w:val="-763224923"/>
          <w:lock w:val="contentLocked"/>
          <w:placeholder>
            <w:docPart w:val="DefaultPlaceholder_1081868574"/>
          </w:placeholder>
          <w:citation/>
        </w:sdtPr>
        <w:sdtEndPr/>
        <w:sdtContent>
          <w:r w:rsidR="003E6BEA" w:rsidRPr="0C34660A">
            <w:rPr>
              <w:lang w:val="en-US"/>
            </w:rPr>
            <w:fldChar w:fldCharType="begin"/>
          </w:r>
          <w:r w:rsidR="003E6BEA">
            <w:rPr>
              <w:szCs w:val="18"/>
            </w:rPr>
            <w:instrText xml:space="preserve"> CITATION CRL2011 \l 5129 </w:instrText>
          </w:r>
          <w:r w:rsidR="003E6BEA" w:rsidRPr="0C34660A">
            <w:rPr>
              <w:lang w:val="en-US"/>
            </w:rPr>
            <w:fldChar w:fldCharType="separate"/>
          </w:r>
          <w:r w:rsidR="25EC959F" w:rsidRPr="0C34660A">
            <w:rPr>
              <w:noProof/>
            </w:rPr>
            <w:t>(CRL Energy, 2011)</w:t>
          </w:r>
          <w:r w:rsidR="003E6BEA" w:rsidRPr="0C34660A">
            <w:rPr>
              <w:lang w:val="en-US"/>
            </w:rPr>
            <w:fldChar w:fldCharType="end"/>
          </w:r>
        </w:sdtContent>
      </w:sdt>
      <w:r w:rsidR="4B9ED105" w:rsidRPr="0C34660A">
        <w:rPr>
          <w:lang w:val="en-US"/>
        </w:rPr>
        <w:t>. The total capacity of boilers of 10 MW or greater is 662</w:t>
      </w:r>
      <w:r w:rsidRPr="0C34660A">
        <w:rPr>
          <w:lang w:val="en-US"/>
        </w:rPr>
        <w:t xml:space="preserve"> </w:t>
      </w:r>
      <w:r w:rsidR="4B9ED105" w:rsidRPr="0C34660A">
        <w:rPr>
          <w:lang w:val="en-US"/>
        </w:rPr>
        <w:t>MW (52.3% of the total), while those less than 10 MW have a total capacity of 603 MW (47.7%</w:t>
      </w:r>
      <w:r w:rsidR="309C4A18" w:rsidRPr="0C34660A">
        <w:rPr>
          <w:lang w:val="en-US"/>
        </w:rPr>
        <w:t xml:space="preserve">). </w:t>
      </w:r>
      <w:r w:rsidR="4B9ED105" w:rsidRPr="0C34660A">
        <w:rPr>
          <w:lang w:val="en-US"/>
        </w:rPr>
        <w:t xml:space="preserve">Accordingly, the </w:t>
      </w:r>
      <w:r w:rsidRPr="0C34660A">
        <w:rPr>
          <w:lang w:val="en-US"/>
        </w:rPr>
        <w:t xml:space="preserve">energy distribution used was </w:t>
      </w:r>
      <w:r w:rsidR="234F2DDA" w:rsidRPr="0C34660A">
        <w:rPr>
          <w:lang w:val="en-US"/>
        </w:rPr>
        <w:t>10,402</w:t>
      </w:r>
      <w:r w:rsidR="57D01710" w:rsidRPr="0C34660A">
        <w:rPr>
          <w:lang w:val="en-US"/>
        </w:rPr>
        <w:t xml:space="preserve"> TJ</w:t>
      </w:r>
      <w:r w:rsidRPr="0C34660A">
        <w:rPr>
          <w:lang w:val="en-US"/>
        </w:rPr>
        <w:t xml:space="preserve"> and </w:t>
      </w:r>
      <w:r w:rsidR="234F2DDA" w:rsidRPr="0C34660A">
        <w:rPr>
          <w:lang w:val="en-US"/>
        </w:rPr>
        <w:t>9,488</w:t>
      </w:r>
      <w:r w:rsidR="57D01710" w:rsidRPr="0C34660A">
        <w:rPr>
          <w:lang w:val="en-US"/>
        </w:rPr>
        <w:t xml:space="preserve"> TJ</w:t>
      </w:r>
      <w:r w:rsidRPr="0C34660A">
        <w:rPr>
          <w:lang w:val="en-US"/>
        </w:rPr>
        <w:t>, respectively.</w:t>
      </w:r>
    </w:p>
    <w:p w14:paraId="1DB68E4E" w14:textId="471B3834" w:rsidR="00B035C1" w:rsidRPr="00B035C1" w:rsidRDefault="499CE2DA" w:rsidP="0C34660A">
      <w:pPr>
        <w:spacing w:line="300" w:lineRule="atLeast"/>
        <w:jc w:val="both"/>
        <w:rPr>
          <w:lang w:val="en-US"/>
        </w:rPr>
      </w:pPr>
      <w:r w:rsidRPr="0C34660A">
        <w:rPr>
          <w:lang w:val="en-US"/>
        </w:rPr>
        <w:t xml:space="preserve">The </w:t>
      </w:r>
      <w:r w:rsidR="4F83C86C" w:rsidRPr="0C34660A">
        <w:rPr>
          <w:lang w:val="en-US"/>
        </w:rPr>
        <w:t xml:space="preserve">default release </w:t>
      </w:r>
      <w:r w:rsidRPr="0C34660A">
        <w:rPr>
          <w:lang w:val="en-US"/>
        </w:rPr>
        <w:t xml:space="preserve">factor of 14 µg TEQ </w:t>
      </w:r>
      <w:r w:rsidR="4F83C86C" w:rsidRPr="0C34660A">
        <w:rPr>
          <w:lang w:val="en-US"/>
        </w:rPr>
        <w:t xml:space="preserve">per </w:t>
      </w:r>
      <w:r w:rsidRPr="0C34660A">
        <w:rPr>
          <w:lang w:val="en-US"/>
        </w:rPr>
        <w:t>TJ</w:t>
      </w:r>
      <w:r w:rsidR="4F83C86C" w:rsidRPr="0C34660A">
        <w:rPr>
          <w:lang w:val="en-US"/>
        </w:rPr>
        <w:t xml:space="preserve"> </w:t>
      </w:r>
      <w:r w:rsidR="57D01710" w:rsidRPr="0C34660A">
        <w:rPr>
          <w:lang w:val="en-US"/>
        </w:rPr>
        <w:t>(14 x 10</w:t>
      </w:r>
      <w:r w:rsidR="57D01710" w:rsidRPr="0C34660A">
        <w:rPr>
          <w:vertAlign w:val="superscript"/>
          <w:lang w:val="en-US"/>
        </w:rPr>
        <w:t>-6</w:t>
      </w:r>
      <w:r w:rsidR="57D01710" w:rsidRPr="0C34660A">
        <w:rPr>
          <w:lang w:val="en-US"/>
        </w:rPr>
        <w:t xml:space="preserve"> g </w:t>
      </w:r>
      <w:r w:rsidR="444D10CF" w:rsidRPr="0C34660A">
        <w:rPr>
          <w:lang w:val="en-US"/>
        </w:rPr>
        <w:t xml:space="preserve">TEQ </w:t>
      </w:r>
      <w:r w:rsidR="57D01710" w:rsidRPr="0C34660A">
        <w:rPr>
          <w:lang w:val="en-US"/>
        </w:rPr>
        <w:t xml:space="preserve">per TJ) </w:t>
      </w:r>
      <w:r w:rsidR="4F83C86C" w:rsidRPr="0C34660A">
        <w:rPr>
          <w:lang w:val="en-US"/>
        </w:rPr>
        <w:t xml:space="preserve">given in the UNEP Toolkit has been used for estimating the annual </w:t>
      </w:r>
      <w:r w:rsidRPr="0C34660A">
        <w:rPr>
          <w:lang w:val="en-US"/>
        </w:rPr>
        <w:t>release</w:t>
      </w:r>
      <w:r w:rsidR="4F83C86C" w:rsidRPr="0C34660A">
        <w:rPr>
          <w:lang w:val="en-US"/>
        </w:rPr>
        <w:t>s</w:t>
      </w:r>
      <w:r w:rsidR="7D7BD346" w:rsidRPr="0C34660A">
        <w:rPr>
          <w:lang w:val="en-US"/>
        </w:rPr>
        <w:t xml:space="preserve"> in </w:t>
      </w:r>
      <w:r w:rsidR="4F83C86C" w:rsidRPr="0C34660A">
        <w:rPr>
          <w:lang w:val="en-US"/>
        </w:rPr>
        <w:t>residues</w:t>
      </w:r>
      <w:r w:rsidRPr="0C34660A">
        <w:rPr>
          <w:lang w:val="en-US"/>
        </w:rPr>
        <w:t xml:space="preserve"> from </w:t>
      </w:r>
      <w:bookmarkStart w:id="177" w:name="_Int_ymNH6Tat"/>
      <w:r w:rsidR="4F83C86C" w:rsidRPr="0C34660A">
        <w:rPr>
          <w:lang w:val="en-US"/>
        </w:rPr>
        <w:t xml:space="preserve">these </w:t>
      </w:r>
      <w:r w:rsidRPr="0C34660A">
        <w:rPr>
          <w:lang w:val="en-US"/>
        </w:rPr>
        <w:t>coal</w:t>
      </w:r>
      <w:bookmarkEnd w:id="177"/>
      <w:r w:rsidR="0052502E">
        <w:rPr>
          <w:lang w:val="en-US"/>
        </w:rPr>
        <w:t>-</w:t>
      </w:r>
      <w:r w:rsidRPr="0C34660A">
        <w:rPr>
          <w:lang w:val="en-US"/>
        </w:rPr>
        <w:t>fired sources</w:t>
      </w:r>
      <w:r w:rsidR="18C12DDD" w:rsidRPr="0C34660A">
        <w:rPr>
          <w:lang w:val="en-US"/>
        </w:rPr>
        <w:t xml:space="preserve">. </w:t>
      </w:r>
    </w:p>
    <w:p w14:paraId="7F7E01E6" w14:textId="5BF85EA1" w:rsidR="00A60E8C" w:rsidRDefault="18C12DDD" w:rsidP="00280614">
      <w:pPr>
        <w:spacing w:line="300" w:lineRule="atLeast"/>
        <w:jc w:val="both"/>
      </w:pPr>
      <w:r w:rsidRPr="0C34660A">
        <w:t xml:space="preserve">The </w:t>
      </w:r>
      <w:r w:rsidR="21708008" w:rsidRPr="0C34660A">
        <w:t>2020</w:t>
      </w:r>
      <w:r w:rsidR="368C0D9E">
        <w:rPr>
          <w:szCs w:val="18"/>
        </w:rPr>
        <w:t xml:space="preserve"> </w:t>
      </w:r>
      <w:r w:rsidRPr="0C34660A">
        <w:t xml:space="preserve">release estimates for industrial and commercial coal use are shown in </w:t>
      </w:r>
      <w:r w:rsidR="00280614" w:rsidRPr="00280614">
        <w:rPr>
          <w:szCs w:val="18"/>
        </w:rPr>
        <w:fldChar w:fldCharType="begin"/>
      </w:r>
      <w:r w:rsidR="00280614" w:rsidRPr="00280614">
        <w:rPr>
          <w:szCs w:val="18"/>
        </w:rPr>
        <w:instrText xml:space="preserve"> REF _Ref359682184 \h </w:instrText>
      </w:r>
      <w:r w:rsidR="00280614">
        <w:rPr>
          <w:szCs w:val="18"/>
        </w:rPr>
        <w:instrText xml:space="preserve"> \* MERGEFORMAT </w:instrText>
      </w:r>
      <w:r w:rsidR="00280614" w:rsidRPr="00280614">
        <w:rPr>
          <w:szCs w:val="18"/>
        </w:rPr>
      </w:r>
      <w:r w:rsidR="00280614" w:rsidRPr="00280614">
        <w:rPr>
          <w:szCs w:val="18"/>
        </w:rPr>
        <w:fldChar w:fldCharType="separate"/>
      </w:r>
      <w:r w:rsidR="00141D7F" w:rsidRPr="00141D7F">
        <w:t xml:space="preserve">Table </w:t>
      </w:r>
      <w:r w:rsidR="00141D7F" w:rsidRPr="00141D7F">
        <w:rPr>
          <w:noProof/>
        </w:rPr>
        <w:t>5</w:t>
      </w:r>
      <w:r w:rsidR="00141D7F" w:rsidRPr="00141D7F">
        <w:rPr>
          <w:noProof/>
        </w:rPr>
        <w:noBreakHyphen/>
        <w:t>2</w:t>
      </w:r>
      <w:r w:rsidR="00280614" w:rsidRPr="00280614">
        <w:rPr>
          <w:szCs w:val="18"/>
        </w:rPr>
        <w:fldChar w:fldCharType="end"/>
      </w:r>
      <w:r w:rsidRPr="0C34660A">
        <w:t xml:space="preserve">, along with the estimates from the </w:t>
      </w:r>
      <w:r w:rsidR="368C0D9E" w:rsidRPr="0C34660A">
        <w:t>2012</w:t>
      </w:r>
      <w:r w:rsidR="21708008" w:rsidRPr="0C34660A">
        <w:t xml:space="preserve"> and 2016</w:t>
      </w:r>
      <w:r w:rsidR="368C0D9E">
        <w:rPr>
          <w:szCs w:val="18"/>
        </w:rPr>
        <w:t xml:space="preserve"> </w:t>
      </w:r>
      <w:r w:rsidRPr="0C34660A">
        <w:t>Inventor</w:t>
      </w:r>
      <w:r w:rsidR="21708008" w:rsidRPr="0C34660A">
        <w:t>ies</w:t>
      </w:r>
      <w:r>
        <w:rPr>
          <w:szCs w:val="18"/>
        </w:rPr>
        <w:t>.</w:t>
      </w:r>
      <w:r w:rsidR="2E99CE46">
        <w:rPr>
          <w:szCs w:val="18"/>
        </w:rPr>
        <w:t xml:space="preserve"> </w:t>
      </w:r>
      <w:r w:rsidR="1312CE1A" w:rsidRPr="0C34660A">
        <w:t>As shown</w:t>
      </w:r>
      <w:r w:rsidR="2E99CE46" w:rsidRPr="0C34660A">
        <w:t>, t</w:t>
      </w:r>
      <w:r w:rsidR="4F83C86C" w:rsidRPr="0C34660A">
        <w:t xml:space="preserve">he releases </w:t>
      </w:r>
      <w:r w:rsidR="368C0D9E" w:rsidRPr="0C34660A">
        <w:t>both to air and in residues</w:t>
      </w:r>
      <w:r w:rsidR="0CD7EB6F">
        <w:rPr>
          <w:szCs w:val="18"/>
        </w:rPr>
        <w:t xml:space="preserve"> </w:t>
      </w:r>
      <w:r w:rsidR="4F83C86C" w:rsidRPr="0C34660A">
        <w:t xml:space="preserve">have </w:t>
      </w:r>
      <w:r w:rsidR="4BF603A9" w:rsidRPr="0C34660A">
        <w:t>decreased compared with 2016</w:t>
      </w:r>
      <w:r w:rsidR="4F83C86C" w:rsidRPr="0C34660A">
        <w:t xml:space="preserve">, due to a </w:t>
      </w:r>
      <w:r w:rsidR="4BF603A9" w:rsidRPr="0C34660A">
        <w:t xml:space="preserve">drop </w:t>
      </w:r>
      <w:r w:rsidR="4F83C86C" w:rsidRPr="0C34660A">
        <w:t xml:space="preserve">in coal consumption. </w:t>
      </w:r>
      <w:r w:rsidRPr="0C34660A">
        <w:t>There are no direct releases to water or in products</w:t>
      </w:r>
      <w:r>
        <w:rPr>
          <w:szCs w:val="18"/>
        </w:rPr>
        <w:t>.</w:t>
      </w:r>
      <w:r w:rsidR="7D7BD346">
        <w:rPr>
          <w:szCs w:val="18"/>
        </w:rPr>
        <w:t xml:space="preserve"> </w:t>
      </w:r>
      <w:r w:rsidR="00944F46">
        <w:rPr>
          <w:szCs w:val="18"/>
        </w:rPr>
        <w:t>Releases from ash</w:t>
      </w:r>
      <w:r w:rsidR="00944F46">
        <w:t xml:space="preserve"> are </w:t>
      </w:r>
      <w:r w:rsidR="7D7BD346" w:rsidRPr="0C34660A">
        <w:t xml:space="preserve">assigned to the residues Toolkit </w:t>
      </w:r>
      <w:bookmarkStart w:id="178" w:name="_Int_XDCi1q3o"/>
      <w:r w:rsidR="7D7BD346" w:rsidRPr="0C34660A">
        <w:t>compartment because</w:t>
      </w:r>
      <w:bookmarkEnd w:id="178"/>
      <w:r w:rsidR="7D7BD346" w:rsidRPr="0C34660A">
        <w:t xml:space="preserve"> the final place of disposal is not known with any certainty.</w:t>
      </w:r>
    </w:p>
    <w:p w14:paraId="3E5F6D2B" w14:textId="77777777" w:rsidR="00A60E8C" w:rsidRDefault="00A60E8C">
      <w:pPr>
        <w:spacing w:after="0"/>
        <w:rPr>
          <w:szCs w:val="18"/>
        </w:rPr>
      </w:pPr>
      <w:r>
        <w:rPr>
          <w:szCs w:val="18"/>
        </w:rPr>
        <w:br w:type="page"/>
      </w:r>
    </w:p>
    <w:p w14:paraId="104E9B56" w14:textId="77777777" w:rsidR="00280614" w:rsidRDefault="00280614" w:rsidP="00280614">
      <w:pPr>
        <w:spacing w:line="300" w:lineRule="atLeast"/>
        <w:jc w:val="both"/>
        <w:rPr>
          <w:szCs w:val="18"/>
        </w:rPr>
      </w:pPr>
    </w:p>
    <w:p w14:paraId="201BE445" w14:textId="5A611EDB" w:rsidR="00280614" w:rsidRPr="00A117FA" w:rsidRDefault="00280614" w:rsidP="00101AA8">
      <w:pPr>
        <w:pStyle w:val="Caption"/>
        <w:jc w:val="left"/>
        <w:rPr>
          <w:rFonts w:cs="Arial"/>
          <w:szCs w:val="18"/>
        </w:rPr>
      </w:pPr>
      <w:bookmarkStart w:id="179" w:name="_Ref359682184"/>
      <w:r w:rsidRPr="00280614">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2</w:t>
      </w:r>
      <w:r w:rsidR="00C17BA5">
        <w:rPr>
          <w:rFonts w:cs="Arial"/>
        </w:rPr>
        <w:fldChar w:fldCharType="end"/>
      </w:r>
      <w:bookmarkEnd w:id="179"/>
      <w:r w:rsidRPr="00A117FA">
        <w:rPr>
          <w:rFonts w:cs="Arial"/>
        </w:rPr>
        <w:t xml:space="preserve">: </w:t>
      </w:r>
      <w:r w:rsidR="007908AA">
        <w:rPr>
          <w:rFonts w:cs="Arial"/>
        </w:rPr>
        <w:t>Dioxin</w:t>
      </w:r>
      <w:r w:rsidRPr="00A117FA">
        <w:rPr>
          <w:rFonts w:cs="Arial"/>
        </w:rPr>
        <w:t xml:space="preserve"> releases from </w:t>
      </w:r>
      <w:r>
        <w:rPr>
          <w:rFonts w:cs="Arial"/>
        </w:rPr>
        <w:t>industrial and commercial coal use</w:t>
      </w:r>
    </w:p>
    <w:p w14:paraId="1A493590" w14:textId="77777777" w:rsidR="00F630FD" w:rsidRDefault="00F630FD"/>
    <w:tbl>
      <w:tblPr>
        <w:tblStyle w:val="TableGrid"/>
        <w:tblW w:w="0" w:type="auto"/>
        <w:tblLook w:val="04A0" w:firstRow="1" w:lastRow="0" w:firstColumn="1" w:lastColumn="0" w:noHBand="0" w:noVBand="1"/>
      </w:tblPr>
      <w:tblGrid>
        <w:gridCol w:w="667"/>
        <w:gridCol w:w="1371"/>
        <w:gridCol w:w="1789"/>
        <w:gridCol w:w="1225"/>
        <w:gridCol w:w="1515"/>
        <w:gridCol w:w="1085"/>
        <w:gridCol w:w="1409"/>
      </w:tblGrid>
      <w:tr w:rsidR="00280614" w:rsidRPr="00956589" w14:paraId="22C654FA" w14:textId="77777777" w:rsidTr="00944F46">
        <w:tc>
          <w:tcPr>
            <w:tcW w:w="667" w:type="dxa"/>
            <w:vMerge w:val="restart"/>
            <w:vAlign w:val="center"/>
          </w:tcPr>
          <w:p w14:paraId="6910ED87" w14:textId="77777777" w:rsidR="00280614" w:rsidRPr="00956589" w:rsidRDefault="00280614" w:rsidP="00E66AC0">
            <w:pPr>
              <w:spacing w:before="120"/>
              <w:jc w:val="center"/>
              <w:rPr>
                <w:rFonts w:ascii="Arial" w:hAnsi="Arial" w:cs="Arial"/>
                <w:b/>
                <w:sz w:val="16"/>
                <w:szCs w:val="18"/>
              </w:rPr>
            </w:pPr>
            <w:r w:rsidRPr="00956589">
              <w:rPr>
                <w:rFonts w:ascii="Arial" w:hAnsi="Arial" w:cs="Arial"/>
                <w:b/>
                <w:sz w:val="16"/>
                <w:szCs w:val="18"/>
              </w:rPr>
              <w:t>Year</w:t>
            </w:r>
          </w:p>
        </w:tc>
        <w:tc>
          <w:tcPr>
            <w:tcW w:w="1371" w:type="dxa"/>
            <w:vMerge w:val="restart"/>
            <w:vAlign w:val="center"/>
          </w:tcPr>
          <w:p w14:paraId="4975324D" w14:textId="77777777" w:rsidR="00280614" w:rsidRPr="00956589" w:rsidRDefault="00280614" w:rsidP="00E66AC0">
            <w:pPr>
              <w:spacing w:before="120"/>
              <w:jc w:val="center"/>
              <w:rPr>
                <w:rFonts w:ascii="Arial" w:hAnsi="Arial" w:cs="Arial"/>
                <w:b/>
                <w:sz w:val="16"/>
                <w:szCs w:val="18"/>
              </w:rPr>
            </w:pPr>
            <w:r>
              <w:rPr>
                <w:rFonts w:ascii="Arial" w:hAnsi="Arial" w:cs="Arial"/>
                <w:b/>
                <w:sz w:val="16"/>
                <w:szCs w:val="18"/>
              </w:rPr>
              <w:t>Plant size</w:t>
            </w:r>
          </w:p>
        </w:tc>
        <w:tc>
          <w:tcPr>
            <w:tcW w:w="1789" w:type="dxa"/>
            <w:vMerge w:val="restart"/>
            <w:vAlign w:val="center"/>
          </w:tcPr>
          <w:p w14:paraId="3017A125" w14:textId="77777777" w:rsidR="00280614" w:rsidRPr="00956589" w:rsidRDefault="00280614" w:rsidP="00E66AC0">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(TJ of coal/year)</w:t>
            </w:r>
          </w:p>
        </w:tc>
        <w:tc>
          <w:tcPr>
            <w:tcW w:w="2740" w:type="dxa"/>
            <w:gridSpan w:val="2"/>
            <w:vAlign w:val="center"/>
          </w:tcPr>
          <w:p w14:paraId="158DD4DF" w14:textId="7A23BA55" w:rsidR="00280614" w:rsidRPr="00956589" w:rsidRDefault="00280614" w:rsidP="00E66AC0">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/TJ of coal)</w:t>
            </w:r>
          </w:p>
        </w:tc>
        <w:tc>
          <w:tcPr>
            <w:tcW w:w="2494" w:type="dxa"/>
            <w:gridSpan w:val="2"/>
            <w:vAlign w:val="center"/>
          </w:tcPr>
          <w:p w14:paraId="7D2C2CF9" w14:textId="47B04903" w:rsidR="00280614" w:rsidRPr="00956589" w:rsidRDefault="00280614" w:rsidP="00E66AC0">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280614" w:rsidRPr="00956589" w14:paraId="4FDDFA01" w14:textId="77777777" w:rsidTr="00E95BD6">
        <w:tc>
          <w:tcPr>
            <w:tcW w:w="667" w:type="dxa"/>
            <w:vMerge/>
          </w:tcPr>
          <w:p w14:paraId="2DB6D2DD" w14:textId="77777777" w:rsidR="00280614" w:rsidRPr="00956589" w:rsidRDefault="00280614" w:rsidP="00E66AC0">
            <w:pPr>
              <w:spacing w:before="120"/>
              <w:jc w:val="both"/>
              <w:rPr>
                <w:rFonts w:ascii="Arial" w:hAnsi="Arial" w:cs="Arial"/>
                <w:sz w:val="16"/>
                <w:szCs w:val="18"/>
              </w:rPr>
            </w:pPr>
          </w:p>
        </w:tc>
        <w:tc>
          <w:tcPr>
            <w:tcW w:w="1371" w:type="dxa"/>
            <w:vMerge/>
            <w:vAlign w:val="center"/>
          </w:tcPr>
          <w:p w14:paraId="59C42C2B" w14:textId="77777777" w:rsidR="00280614" w:rsidRPr="00956589" w:rsidRDefault="00280614" w:rsidP="00E66AC0">
            <w:pPr>
              <w:spacing w:before="120"/>
              <w:jc w:val="center"/>
              <w:rPr>
                <w:rFonts w:ascii="Arial" w:hAnsi="Arial" w:cs="Arial"/>
                <w:sz w:val="16"/>
                <w:szCs w:val="18"/>
              </w:rPr>
            </w:pPr>
          </w:p>
        </w:tc>
        <w:tc>
          <w:tcPr>
            <w:tcW w:w="1789" w:type="dxa"/>
            <w:vMerge/>
            <w:vAlign w:val="center"/>
          </w:tcPr>
          <w:p w14:paraId="55DF5D30" w14:textId="77777777" w:rsidR="00280614" w:rsidRPr="00956589" w:rsidRDefault="00280614" w:rsidP="00E66AC0">
            <w:pPr>
              <w:spacing w:before="120"/>
              <w:jc w:val="center"/>
              <w:rPr>
                <w:rFonts w:ascii="Arial" w:hAnsi="Arial" w:cs="Arial"/>
                <w:sz w:val="16"/>
                <w:szCs w:val="18"/>
              </w:rPr>
            </w:pPr>
          </w:p>
        </w:tc>
        <w:tc>
          <w:tcPr>
            <w:tcW w:w="1225" w:type="dxa"/>
            <w:vAlign w:val="center"/>
          </w:tcPr>
          <w:p w14:paraId="7506E608" w14:textId="77777777" w:rsidR="00280614" w:rsidRPr="00956589" w:rsidRDefault="00280614" w:rsidP="00E66AC0">
            <w:pPr>
              <w:spacing w:before="120"/>
              <w:jc w:val="center"/>
              <w:rPr>
                <w:rFonts w:ascii="Arial" w:hAnsi="Arial" w:cs="Arial"/>
                <w:b/>
                <w:sz w:val="16"/>
                <w:szCs w:val="18"/>
              </w:rPr>
            </w:pPr>
            <w:r w:rsidRPr="00956589">
              <w:rPr>
                <w:rFonts w:ascii="Arial" w:hAnsi="Arial" w:cs="Arial"/>
                <w:b/>
                <w:sz w:val="16"/>
                <w:szCs w:val="18"/>
              </w:rPr>
              <w:t>Air</w:t>
            </w:r>
          </w:p>
        </w:tc>
        <w:tc>
          <w:tcPr>
            <w:tcW w:w="1515" w:type="dxa"/>
            <w:vAlign w:val="center"/>
          </w:tcPr>
          <w:p w14:paraId="24B3BAD1" w14:textId="6F1C9DB4" w:rsidR="00280614" w:rsidRPr="00956589" w:rsidRDefault="00280614" w:rsidP="0026521F">
            <w:pPr>
              <w:spacing w:before="120"/>
              <w:jc w:val="center"/>
              <w:rPr>
                <w:rFonts w:ascii="Arial" w:hAnsi="Arial" w:cs="Arial"/>
                <w:b/>
                <w:sz w:val="16"/>
                <w:szCs w:val="18"/>
              </w:rPr>
            </w:pPr>
            <w:r>
              <w:rPr>
                <w:rFonts w:ascii="Arial" w:hAnsi="Arial" w:cs="Arial"/>
                <w:b/>
                <w:sz w:val="16"/>
                <w:szCs w:val="18"/>
              </w:rPr>
              <w:t>Residue</w:t>
            </w:r>
          </w:p>
        </w:tc>
        <w:tc>
          <w:tcPr>
            <w:tcW w:w="1085" w:type="dxa"/>
            <w:vAlign w:val="center"/>
          </w:tcPr>
          <w:p w14:paraId="1E12ABC9" w14:textId="77777777" w:rsidR="00280614" w:rsidRPr="00956589" w:rsidRDefault="00280614" w:rsidP="00E66AC0">
            <w:pPr>
              <w:spacing w:before="120"/>
              <w:jc w:val="center"/>
              <w:rPr>
                <w:rFonts w:ascii="Arial" w:hAnsi="Arial" w:cs="Arial"/>
                <w:b/>
                <w:sz w:val="16"/>
                <w:szCs w:val="18"/>
              </w:rPr>
            </w:pPr>
            <w:r>
              <w:rPr>
                <w:rFonts w:ascii="Arial" w:hAnsi="Arial" w:cs="Arial"/>
                <w:b/>
                <w:sz w:val="16"/>
                <w:szCs w:val="18"/>
              </w:rPr>
              <w:t>Air</w:t>
            </w:r>
          </w:p>
        </w:tc>
        <w:tc>
          <w:tcPr>
            <w:tcW w:w="1409" w:type="dxa"/>
            <w:vAlign w:val="center"/>
          </w:tcPr>
          <w:p w14:paraId="4D54F8EA" w14:textId="68417010" w:rsidR="00280614" w:rsidRPr="00956589" w:rsidRDefault="00280614" w:rsidP="0026521F">
            <w:pPr>
              <w:spacing w:before="120"/>
              <w:jc w:val="center"/>
              <w:rPr>
                <w:rFonts w:ascii="Arial" w:hAnsi="Arial" w:cs="Arial"/>
                <w:b/>
                <w:sz w:val="16"/>
                <w:szCs w:val="18"/>
              </w:rPr>
            </w:pPr>
            <w:r>
              <w:rPr>
                <w:rFonts w:ascii="Arial" w:hAnsi="Arial" w:cs="Arial"/>
                <w:b/>
                <w:sz w:val="16"/>
                <w:szCs w:val="18"/>
              </w:rPr>
              <w:t>Residue</w:t>
            </w:r>
          </w:p>
        </w:tc>
      </w:tr>
      <w:tr w:rsidR="00A54DB6" w:rsidRPr="00956589" w14:paraId="11F274F5" w14:textId="77777777" w:rsidTr="00E95BD6">
        <w:trPr>
          <w:trHeight w:val="210"/>
        </w:trPr>
        <w:tc>
          <w:tcPr>
            <w:tcW w:w="667" w:type="dxa"/>
            <w:vMerge w:val="restart"/>
            <w:vAlign w:val="center"/>
          </w:tcPr>
          <w:p w14:paraId="11CCDFC4" w14:textId="4F283792" w:rsidR="00A54DB6" w:rsidRPr="00956589" w:rsidRDefault="00A54DB6" w:rsidP="005D3320">
            <w:pPr>
              <w:spacing w:before="120"/>
              <w:rPr>
                <w:rFonts w:ascii="Arial" w:hAnsi="Arial" w:cs="Arial"/>
                <w:b/>
                <w:sz w:val="16"/>
                <w:szCs w:val="18"/>
              </w:rPr>
            </w:pPr>
            <w:r w:rsidRPr="00956589">
              <w:rPr>
                <w:rFonts w:ascii="Arial" w:hAnsi="Arial" w:cs="Arial"/>
                <w:b/>
                <w:sz w:val="16"/>
                <w:szCs w:val="18"/>
              </w:rPr>
              <w:t>2012</w:t>
            </w:r>
          </w:p>
        </w:tc>
        <w:tc>
          <w:tcPr>
            <w:tcW w:w="1371" w:type="dxa"/>
            <w:vMerge w:val="restart"/>
            <w:vAlign w:val="center"/>
          </w:tcPr>
          <w:p w14:paraId="7BB12F27" w14:textId="7F933F07" w:rsidR="00A54DB6" w:rsidRPr="00956589" w:rsidRDefault="00A54DB6" w:rsidP="00E66AC0">
            <w:pPr>
              <w:spacing w:before="120"/>
              <w:jc w:val="center"/>
              <w:rPr>
                <w:rFonts w:ascii="Arial" w:hAnsi="Arial" w:cs="Arial"/>
                <w:sz w:val="16"/>
                <w:szCs w:val="18"/>
              </w:rPr>
            </w:pPr>
            <w:r>
              <w:rPr>
                <w:rFonts w:ascii="Arial" w:hAnsi="Arial" w:cs="Arial"/>
                <w:sz w:val="16"/>
                <w:szCs w:val="18"/>
              </w:rPr>
              <w:t>&gt; 10 MW</w:t>
            </w:r>
          </w:p>
        </w:tc>
        <w:tc>
          <w:tcPr>
            <w:tcW w:w="1789" w:type="dxa"/>
            <w:vMerge w:val="restart"/>
            <w:vAlign w:val="center"/>
          </w:tcPr>
          <w:p w14:paraId="576AD9E9" w14:textId="637F22E9" w:rsidR="00A54DB6" w:rsidRPr="00956589" w:rsidRDefault="00A54DB6" w:rsidP="00E66AC0">
            <w:pPr>
              <w:spacing w:before="120"/>
              <w:jc w:val="center"/>
              <w:rPr>
                <w:rFonts w:ascii="Arial" w:hAnsi="Arial" w:cs="Arial"/>
                <w:sz w:val="16"/>
                <w:szCs w:val="18"/>
              </w:rPr>
            </w:pPr>
            <w:r>
              <w:rPr>
                <w:rFonts w:ascii="Arial" w:hAnsi="Arial" w:cs="Arial"/>
                <w:sz w:val="16"/>
                <w:szCs w:val="18"/>
              </w:rPr>
              <w:t>10,500</w:t>
            </w:r>
          </w:p>
        </w:tc>
        <w:tc>
          <w:tcPr>
            <w:tcW w:w="1225" w:type="dxa"/>
            <w:vAlign w:val="center"/>
          </w:tcPr>
          <w:p w14:paraId="3936AB78" w14:textId="6FB8FBF6" w:rsidR="00A54DB6" w:rsidRPr="00956589" w:rsidRDefault="00A54DB6" w:rsidP="00E66AC0">
            <w:pPr>
              <w:spacing w:before="120"/>
              <w:jc w:val="center"/>
              <w:rPr>
                <w:rFonts w:ascii="Arial" w:hAnsi="Arial" w:cs="Arial"/>
                <w:sz w:val="16"/>
                <w:szCs w:val="18"/>
              </w:rPr>
            </w:pPr>
            <w:r>
              <w:rPr>
                <w:rFonts w:ascii="Arial" w:hAnsi="Arial" w:cs="Arial"/>
                <w:sz w:val="16"/>
                <w:szCs w:val="18"/>
              </w:rPr>
              <w:t>10</w:t>
            </w:r>
          </w:p>
        </w:tc>
        <w:tc>
          <w:tcPr>
            <w:tcW w:w="1515" w:type="dxa"/>
          </w:tcPr>
          <w:p w14:paraId="015CDCAF" w14:textId="6EABD076" w:rsidR="00A54DB6" w:rsidRPr="00956589" w:rsidRDefault="00A54DB6" w:rsidP="00E66AC0">
            <w:pPr>
              <w:spacing w:before="120"/>
              <w:jc w:val="center"/>
              <w:rPr>
                <w:rFonts w:ascii="Arial" w:hAnsi="Arial" w:cs="Arial"/>
                <w:sz w:val="16"/>
                <w:szCs w:val="18"/>
              </w:rPr>
            </w:pPr>
            <w:r>
              <w:rPr>
                <w:rFonts w:ascii="Arial" w:hAnsi="Arial" w:cs="Arial"/>
                <w:sz w:val="16"/>
                <w:szCs w:val="18"/>
              </w:rPr>
              <w:t>-</w:t>
            </w:r>
          </w:p>
        </w:tc>
        <w:tc>
          <w:tcPr>
            <w:tcW w:w="1085" w:type="dxa"/>
            <w:vAlign w:val="center"/>
          </w:tcPr>
          <w:p w14:paraId="628AE0FE" w14:textId="70CAC587" w:rsidR="00A54DB6" w:rsidRPr="00956589" w:rsidRDefault="00A54DB6" w:rsidP="00E66AC0">
            <w:pPr>
              <w:spacing w:before="120"/>
              <w:jc w:val="center"/>
              <w:rPr>
                <w:rFonts w:ascii="Arial" w:hAnsi="Arial" w:cs="Arial"/>
                <w:sz w:val="16"/>
                <w:szCs w:val="18"/>
              </w:rPr>
            </w:pPr>
            <w:r>
              <w:rPr>
                <w:rFonts w:ascii="Arial" w:hAnsi="Arial" w:cs="Arial"/>
                <w:sz w:val="16"/>
                <w:szCs w:val="18"/>
              </w:rPr>
              <w:t>0.105</w:t>
            </w:r>
          </w:p>
        </w:tc>
        <w:tc>
          <w:tcPr>
            <w:tcW w:w="1409" w:type="dxa"/>
          </w:tcPr>
          <w:p w14:paraId="04E64BB1" w14:textId="20379997" w:rsidR="00A54DB6" w:rsidRPr="00956589" w:rsidRDefault="00A54DB6" w:rsidP="00E66AC0">
            <w:pPr>
              <w:spacing w:before="120"/>
              <w:jc w:val="center"/>
              <w:rPr>
                <w:rFonts w:ascii="Arial" w:hAnsi="Arial" w:cs="Arial"/>
                <w:sz w:val="16"/>
                <w:szCs w:val="18"/>
              </w:rPr>
            </w:pPr>
            <w:r>
              <w:rPr>
                <w:rFonts w:ascii="Arial" w:hAnsi="Arial" w:cs="Arial"/>
                <w:sz w:val="16"/>
                <w:szCs w:val="18"/>
              </w:rPr>
              <w:t>-</w:t>
            </w:r>
          </w:p>
        </w:tc>
      </w:tr>
      <w:tr w:rsidR="00A54DB6" w:rsidRPr="00956589" w14:paraId="24277725" w14:textId="77777777" w:rsidTr="00E95BD6">
        <w:trPr>
          <w:trHeight w:val="210"/>
        </w:trPr>
        <w:tc>
          <w:tcPr>
            <w:tcW w:w="667" w:type="dxa"/>
            <w:vMerge/>
            <w:vAlign w:val="center"/>
          </w:tcPr>
          <w:p w14:paraId="65C1F9D6" w14:textId="77777777" w:rsidR="00A54DB6" w:rsidRPr="00956589" w:rsidRDefault="00A54DB6" w:rsidP="00E66AC0">
            <w:pPr>
              <w:spacing w:before="120"/>
              <w:rPr>
                <w:rFonts w:ascii="Arial" w:hAnsi="Arial" w:cs="Arial"/>
                <w:b/>
                <w:sz w:val="16"/>
                <w:szCs w:val="18"/>
              </w:rPr>
            </w:pPr>
          </w:p>
        </w:tc>
        <w:tc>
          <w:tcPr>
            <w:tcW w:w="1371" w:type="dxa"/>
            <w:vMerge/>
            <w:vAlign w:val="center"/>
          </w:tcPr>
          <w:p w14:paraId="5D9A7808" w14:textId="77777777" w:rsidR="00A54DB6" w:rsidRDefault="00A54DB6" w:rsidP="00E66AC0">
            <w:pPr>
              <w:spacing w:before="120"/>
              <w:jc w:val="center"/>
              <w:rPr>
                <w:rFonts w:ascii="Arial" w:hAnsi="Arial" w:cs="Arial"/>
                <w:sz w:val="16"/>
                <w:szCs w:val="18"/>
              </w:rPr>
            </w:pPr>
          </w:p>
        </w:tc>
        <w:tc>
          <w:tcPr>
            <w:tcW w:w="1789" w:type="dxa"/>
            <w:vMerge/>
            <w:vAlign w:val="center"/>
          </w:tcPr>
          <w:p w14:paraId="09FBBD53" w14:textId="77777777" w:rsidR="00A54DB6" w:rsidRDefault="00A54DB6" w:rsidP="00E66AC0">
            <w:pPr>
              <w:spacing w:before="120"/>
              <w:jc w:val="center"/>
              <w:rPr>
                <w:rFonts w:ascii="Arial" w:hAnsi="Arial" w:cs="Arial"/>
                <w:sz w:val="16"/>
                <w:szCs w:val="18"/>
              </w:rPr>
            </w:pPr>
          </w:p>
        </w:tc>
        <w:tc>
          <w:tcPr>
            <w:tcW w:w="1225" w:type="dxa"/>
            <w:vAlign w:val="center"/>
          </w:tcPr>
          <w:p w14:paraId="199ADAA4" w14:textId="3689F674"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515" w:type="dxa"/>
          </w:tcPr>
          <w:p w14:paraId="64C295F9" w14:textId="27D4AFE2" w:rsidR="00A54DB6" w:rsidRDefault="00A54DB6" w:rsidP="00E66AC0">
            <w:pPr>
              <w:spacing w:before="120"/>
              <w:jc w:val="center"/>
              <w:rPr>
                <w:rFonts w:ascii="Arial" w:hAnsi="Arial" w:cs="Arial"/>
                <w:sz w:val="16"/>
                <w:szCs w:val="18"/>
              </w:rPr>
            </w:pPr>
            <w:r>
              <w:rPr>
                <w:rFonts w:ascii="Arial" w:hAnsi="Arial" w:cs="Arial"/>
                <w:sz w:val="16"/>
                <w:szCs w:val="18"/>
              </w:rPr>
              <w:t>14</w:t>
            </w:r>
          </w:p>
        </w:tc>
        <w:tc>
          <w:tcPr>
            <w:tcW w:w="1085" w:type="dxa"/>
            <w:vAlign w:val="center"/>
          </w:tcPr>
          <w:p w14:paraId="18006DD7" w14:textId="466432A5"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409" w:type="dxa"/>
          </w:tcPr>
          <w:p w14:paraId="638298A9" w14:textId="18328814" w:rsidR="00A54DB6" w:rsidRDefault="00A54DB6" w:rsidP="00E66AC0">
            <w:pPr>
              <w:spacing w:before="120"/>
              <w:jc w:val="center"/>
              <w:rPr>
                <w:rFonts w:ascii="Arial" w:hAnsi="Arial" w:cs="Arial"/>
                <w:sz w:val="16"/>
                <w:szCs w:val="18"/>
              </w:rPr>
            </w:pPr>
            <w:r>
              <w:rPr>
                <w:rFonts w:ascii="Arial" w:hAnsi="Arial" w:cs="Arial"/>
                <w:sz w:val="16"/>
                <w:szCs w:val="18"/>
              </w:rPr>
              <w:t>0.147</w:t>
            </w:r>
          </w:p>
        </w:tc>
      </w:tr>
      <w:tr w:rsidR="00A54DB6" w:rsidRPr="00956589" w14:paraId="0FBEB142" w14:textId="77777777" w:rsidTr="00E95BD6">
        <w:trPr>
          <w:trHeight w:val="210"/>
        </w:trPr>
        <w:tc>
          <w:tcPr>
            <w:tcW w:w="667" w:type="dxa"/>
            <w:vMerge/>
            <w:vAlign w:val="center"/>
          </w:tcPr>
          <w:p w14:paraId="1D7DA290" w14:textId="77777777" w:rsidR="00A54DB6" w:rsidRPr="00956589" w:rsidRDefault="00A54DB6" w:rsidP="00E66AC0">
            <w:pPr>
              <w:spacing w:before="120"/>
              <w:rPr>
                <w:rFonts w:ascii="Arial" w:hAnsi="Arial" w:cs="Arial"/>
                <w:b/>
                <w:sz w:val="16"/>
                <w:szCs w:val="18"/>
              </w:rPr>
            </w:pPr>
          </w:p>
        </w:tc>
        <w:tc>
          <w:tcPr>
            <w:tcW w:w="1371" w:type="dxa"/>
            <w:vMerge w:val="restart"/>
            <w:vAlign w:val="center"/>
          </w:tcPr>
          <w:p w14:paraId="77D233B1" w14:textId="0E0F7227" w:rsidR="00A54DB6" w:rsidRDefault="00A54DB6" w:rsidP="00E66AC0">
            <w:pPr>
              <w:spacing w:before="120"/>
              <w:jc w:val="center"/>
              <w:rPr>
                <w:rFonts w:ascii="Arial" w:hAnsi="Arial" w:cs="Arial"/>
                <w:sz w:val="16"/>
                <w:szCs w:val="18"/>
              </w:rPr>
            </w:pPr>
            <w:r>
              <w:rPr>
                <w:rFonts w:ascii="Arial" w:hAnsi="Arial" w:cs="Arial"/>
                <w:sz w:val="16"/>
                <w:szCs w:val="18"/>
              </w:rPr>
              <w:t>&lt; 10 MW</w:t>
            </w:r>
          </w:p>
        </w:tc>
        <w:tc>
          <w:tcPr>
            <w:tcW w:w="1789" w:type="dxa"/>
            <w:vMerge w:val="restart"/>
            <w:vAlign w:val="center"/>
          </w:tcPr>
          <w:p w14:paraId="56161525" w14:textId="2EC64406" w:rsidR="00A54DB6" w:rsidRDefault="00A54DB6" w:rsidP="00E66AC0">
            <w:pPr>
              <w:spacing w:before="120"/>
              <w:jc w:val="center"/>
              <w:rPr>
                <w:rFonts w:ascii="Arial" w:hAnsi="Arial" w:cs="Arial"/>
                <w:sz w:val="16"/>
                <w:szCs w:val="18"/>
              </w:rPr>
            </w:pPr>
            <w:r>
              <w:rPr>
                <w:rFonts w:ascii="Arial" w:hAnsi="Arial" w:cs="Arial"/>
                <w:sz w:val="16"/>
                <w:szCs w:val="18"/>
              </w:rPr>
              <w:t>9,570</w:t>
            </w:r>
          </w:p>
        </w:tc>
        <w:tc>
          <w:tcPr>
            <w:tcW w:w="1225" w:type="dxa"/>
            <w:vAlign w:val="center"/>
          </w:tcPr>
          <w:p w14:paraId="2836126C" w14:textId="4C2746A0" w:rsidR="00A54DB6" w:rsidRDefault="00A54DB6" w:rsidP="00E66AC0">
            <w:pPr>
              <w:spacing w:before="120"/>
              <w:jc w:val="center"/>
              <w:rPr>
                <w:rFonts w:ascii="Arial" w:hAnsi="Arial" w:cs="Arial"/>
                <w:sz w:val="16"/>
                <w:szCs w:val="18"/>
              </w:rPr>
            </w:pPr>
            <w:r>
              <w:rPr>
                <w:rFonts w:ascii="Arial" w:hAnsi="Arial" w:cs="Arial"/>
                <w:sz w:val="16"/>
                <w:szCs w:val="18"/>
              </w:rPr>
              <w:t>100</w:t>
            </w:r>
          </w:p>
        </w:tc>
        <w:tc>
          <w:tcPr>
            <w:tcW w:w="1515" w:type="dxa"/>
          </w:tcPr>
          <w:p w14:paraId="3D6D74E1" w14:textId="7047BAF2"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085" w:type="dxa"/>
            <w:vAlign w:val="center"/>
          </w:tcPr>
          <w:p w14:paraId="2B29A5B2" w14:textId="2B7353F2" w:rsidR="00A54DB6" w:rsidRDefault="00A54DB6" w:rsidP="00E66AC0">
            <w:pPr>
              <w:spacing w:before="120"/>
              <w:jc w:val="center"/>
              <w:rPr>
                <w:rFonts w:ascii="Arial" w:hAnsi="Arial" w:cs="Arial"/>
                <w:sz w:val="16"/>
                <w:szCs w:val="18"/>
              </w:rPr>
            </w:pPr>
            <w:r>
              <w:rPr>
                <w:rFonts w:ascii="Arial" w:hAnsi="Arial" w:cs="Arial"/>
                <w:sz w:val="16"/>
                <w:szCs w:val="18"/>
              </w:rPr>
              <w:t>0.957</w:t>
            </w:r>
          </w:p>
        </w:tc>
        <w:tc>
          <w:tcPr>
            <w:tcW w:w="1409" w:type="dxa"/>
          </w:tcPr>
          <w:p w14:paraId="77C65BDA" w14:textId="75534F95" w:rsidR="00A54DB6" w:rsidRDefault="00A54DB6" w:rsidP="00E66AC0">
            <w:pPr>
              <w:spacing w:before="120"/>
              <w:jc w:val="center"/>
              <w:rPr>
                <w:rFonts w:ascii="Arial" w:hAnsi="Arial" w:cs="Arial"/>
                <w:sz w:val="16"/>
                <w:szCs w:val="18"/>
              </w:rPr>
            </w:pPr>
            <w:r>
              <w:rPr>
                <w:rFonts w:ascii="Arial" w:hAnsi="Arial" w:cs="Arial"/>
                <w:sz w:val="16"/>
                <w:szCs w:val="18"/>
              </w:rPr>
              <w:t>-</w:t>
            </w:r>
          </w:p>
        </w:tc>
      </w:tr>
      <w:tr w:rsidR="00A54DB6" w:rsidRPr="00956589" w14:paraId="1A65594F" w14:textId="77777777" w:rsidTr="00E95BD6">
        <w:trPr>
          <w:trHeight w:val="210"/>
        </w:trPr>
        <w:tc>
          <w:tcPr>
            <w:tcW w:w="667" w:type="dxa"/>
            <w:vMerge/>
            <w:vAlign w:val="center"/>
          </w:tcPr>
          <w:p w14:paraId="23737036" w14:textId="77777777" w:rsidR="00A54DB6" w:rsidRPr="00956589" w:rsidRDefault="00A54DB6" w:rsidP="00E66AC0">
            <w:pPr>
              <w:spacing w:before="120"/>
              <w:rPr>
                <w:rFonts w:ascii="Arial" w:hAnsi="Arial" w:cs="Arial"/>
                <w:b/>
                <w:sz w:val="16"/>
                <w:szCs w:val="18"/>
              </w:rPr>
            </w:pPr>
          </w:p>
        </w:tc>
        <w:tc>
          <w:tcPr>
            <w:tcW w:w="1371" w:type="dxa"/>
            <w:vMerge/>
            <w:vAlign w:val="center"/>
          </w:tcPr>
          <w:p w14:paraId="1EA48B81" w14:textId="77777777" w:rsidR="00A54DB6" w:rsidRDefault="00A54DB6" w:rsidP="00E66AC0">
            <w:pPr>
              <w:spacing w:before="120"/>
              <w:jc w:val="center"/>
              <w:rPr>
                <w:rFonts w:ascii="Arial" w:hAnsi="Arial" w:cs="Arial"/>
                <w:sz w:val="16"/>
                <w:szCs w:val="18"/>
              </w:rPr>
            </w:pPr>
          </w:p>
        </w:tc>
        <w:tc>
          <w:tcPr>
            <w:tcW w:w="1789" w:type="dxa"/>
            <w:vMerge/>
            <w:vAlign w:val="center"/>
          </w:tcPr>
          <w:p w14:paraId="29889D12" w14:textId="77777777" w:rsidR="00A54DB6" w:rsidRDefault="00A54DB6" w:rsidP="00E66AC0">
            <w:pPr>
              <w:spacing w:before="120"/>
              <w:jc w:val="center"/>
              <w:rPr>
                <w:rFonts w:ascii="Arial" w:hAnsi="Arial" w:cs="Arial"/>
                <w:sz w:val="16"/>
                <w:szCs w:val="18"/>
              </w:rPr>
            </w:pPr>
          </w:p>
        </w:tc>
        <w:tc>
          <w:tcPr>
            <w:tcW w:w="1225" w:type="dxa"/>
            <w:vAlign w:val="center"/>
          </w:tcPr>
          <w:p w14:paraId="78FE80C5" w14:textId="4711C5BF"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515" w:type="dxa"/>
          </w:tcPr>
          <w:p w14:paraId="569EFF79" w14:textId="05845BA3" w:rsidR="00A54DB6" w:rsidRDefault="00A54DB6" w:rsidP="00E66AC0">
            <w:pPr>
              <w:spacing w:before="120"/>
              <w:jc w:val="center"/>
              <w:rPr>
                <w:rFonts w:ascii="Arial" w:hAnsi="Arial" w:cs="Arial"/>
                <w:sz w:val="16"/>
                <w:szCs w:val="18"/>
              </w:rPr>
            </w:pPr>
            <w:r>
              <w:rPr>
                <w:rFonts w:ascii="Arial" w:hAnsi="Arial" w:cs="Arial"/>
                <w:sz w:val="16"/>
                <w:szCs w:val="18"/>
              </w:rPr>
              <w:t>14</w:t>
            </w:r>
          </w:p>
        </w:tc>
        <w:tc>
          <w:tcPr>
            <w:tcW w:w="1085" w:type="dxa"/>
            <w:vAlign w:val="center"/>
          </w:tcPr>
          <w:p w14:paraId="2CBBB32E" w14:textId="6B814AD7"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409" w:type="dxa"/>
          </w:tcPr>
          <w:p w14:paraId="37D5A69B" w14:textId="424BC243" w:rsidR="00A54DB6" w:rsidRDefault="00A54DB6" w:rsidP="00E66AC0">
            <w:pPr>
              <w:spacing w:before="120"/>
              <w:jc w:val="center"/>
              <w:rPr>
                <w:rFonts w:ascii="Arial" w:hAnsi="Arial" w:cs="Arial"/>
                <w:sz w:val="16"/>
                <w:szCs w:val="18"/>
              </w:rPr>
            </w:pPr>
            <w:r>
              <w:rPr>
                <w:rFonts w:ascii="Arial" w:hAnsi="Arial" w:cs="Arial"/>
                <w:sz w:val="16"/>
                <w:szCs w:val="18"/>
              </w:rPr>
              <w:t>0.134</w:t>
            </w:r>
          </w:p>
        </w:tc>
      </w:tr>
      <w:tr w:rsidR="00A54DB6" w:rsidRPr="00956589" w14:paraId="1F1CD8A5" w14:textId="77777777" w:rsidTr="00E95BD6">
        <w:trPr>
          <w:trHeight w:val="210"/>
        </w:trPr>
        <w:tc>
          <w:tcPr>
            <w:tcW w:w="667" w:type="dxa"/>
            <w:vMerge/>
            <w:vAlign w:val="center"/>
          </w:tcPr>
          <w:p w14:paraId="21A2FC95" w14:textId="77777777" w:rsidR="00A54DB6" w:rsidRPr="00956589" w:rsidRDefault="00A54DB6" w:rsidP="00E66AC0">
            <w:pPr>
              <w:spacing w:before="120"/>
              <w:rPr>
                <w:rFonts w:ascii="Arial" w:hAnsi="Arial" w:cs="Arial"/>
                <w:b/>
                <w:sz w:val="16"/>
                <w:szCs w:val="18"/>
              </w:rPr>
            </w:pPr>
          </w:p>
        </w:tc>
        <w:tc>
          <w:tcPr>
            <w:tcW w:w="1371" w:type="dxa"/>
            <w:vAlign w:val="center"/>
          </w:tcPr>
          <w:p w14:paraId="04C09E2C" w14:textId="0F4E5AC7" w:rsidR="00A54DB6" w:rsidRPr="00C523E3" w:rsidRDefault="00A54DB6" w:rsidP="00C523E3">
            <w:pPr>
              <w:spacing w:before="120"/>
              <w:jc w:val="right"/>
              <w:rPr>
                <w:rFonts w:ascii="Arial" w:hAnsi="Arial" w:cs="Arial"/>
                <w:b/>
                <w:sz w:val="16"/>
                <w:szCs w:val="18"/>
              </w:rPr>
            </w:pPr>
            <w:r w:rsidRPr="00C523E3">
              <w:rPr>
                <w:rFonts w:ascii="Arial" w:hAnsi="Arial" w:cs="Arial"/>
                <w:b/>
                <w:sz w:val="16"/>
                <w:szCs w:val="18"/>
              </w:rPr>
              <w:t>Totals</w:t>
            </w:r>
          </w:p>
        </w:tc>
        <w:tc>
          <w:tcPr>
            <w:tcW w:w="1789" w:type="dxa"/>
            <w:vAlign w:val="center"/>
          </w:tcPr>
          <w:p w14:paraId="6C80C0BE" w14:textId="4DAA42B8" w:rsidR="00A54DB6" w:rsidRPr="00C523E3" w:rsidRDefault="00A54DB6" w:rsidP="00E66AC0">
            <w:pPr>
              <w:spacing w:before="120"/>
              <w:jc w:val="center"/>
              <w:rPr>
                <w:rFonts w:ascii="Arial" w:hAnsi="Arial" w:cs="Arial"/>
                <w:b/>
                <w:sz w:val="16"/>
                <w:szCs w:val="18"/>
              </w:rPr>
            </w:pPr>
            <w:r>
              <w:rPr>
                <w:rFonts w:ascii="Arial" w:hAnsi="Arial" w:cs="Arial"/>
                <w:b/>
                <w:sz w:val="16"/>
                <w:szCs w:val="18"/>
              </w:rPr>
              <w:t>20,070</w:t>
            </w:r>
          </w:p>
        </w:tc>
        <w:tc>
          <w:tcPr>
            <w:tcW w:w="1225" w:type="dxa"/>
            <w:vAlign w:val="center"/>
          </w:tcPr>
          <w:p w14:paraId="226F3329" w14:textId="77777777" w:rsidR="00A54DB6" w:rsidRPr="00C523E3" w:rsidRDefault="00A54DB6" w:rsidP="00E66AC0">
            <w:pPr>
              <w:spacing w:before="120"/>
              <w:jc w:val="center"/>
              <w:rPr>
                <w:rFonts w:ascii="Arial" w:hAnsi="Arial" w:cs="Arial"/>
                <w:b/>
                <w:sz w:val="16"/>
                <w:szCs w:val="18"/>
              </w:rPr>
            </w:pPr>
          </w:p>
        </w:tc>
        <w:tc>
          <w:tcPr>
            <w:tcW w:w="1515" w:type="dxa"/>
          </w:tcPr>
          <w:p w14:paraId="1F0A625F" w14:textId="77777777" w:rsidR="00A54DB6" w:rsidRPr="00C523E3" w:rsidRDefault="00A54DB6" w:rsidP="00E66AC0">
            <w:pPr>
              <w:spacing w:before="120"/>
              <w:jc w:val="center"/>
              <w:rPr>
                <w:rFonts w:ascii="Arial" w:hAnsi="Arial" w:cs="Arial"/>
                <w:b/>
                <w:sz w:val="16"/>
                <w:szCs w:val="18"/>
              </w:rPr>
            </w:pPr>
          </w:p>
        </w:tc>
        <w:tc>
          <w:tcPr>
            <w:tcW w:w="1085" w:type="dxa"/>
            <w:vAlign w:val="center"/>
          </w:tcPr>
          <w:p w14:paraId="6C6C8C02" w14:textId="64D5D2C7" w:rsidR="00A54DB6" w:rsidRPr="00C523E3" w:rsidRDefault="00A54DB6" w:rsidP="00E66AC0">
            <w:pPr>
              <w:spacing w:before="120"/>
              <w:jc w:val="center"/>
              <w:rPr>
                <w:rFonts w:ascii="Arial" w:hAnsi="Arial" w:cs="Arial"/>
                <w:b/>
                <w:sz w:val="16"/>
                <w:szCs w:val="18"/>
              </w:rPr>
            </w:pPr>
            <w:r>
              <w:rPr>
                <w:rFonts w:ascii="Arial" w:hAnsi="Arial" w:cs="Arial"/>
                <w:b/>
                <w:sz w:val="16"/>
                <w:szCs w:val="18"/>
              </w:rPr>
              <w:t>1.062</w:t>
            </w:r>
          </w:p>
        </w:tc>
        <w:tc>
          <w:tcPr>
            <w:tcW w:w="1409" w:type="dxa"/>
          </w:tcPr>
          <w:p w14:paraId="1B441D18" w14:textId="08929F29" w:rsidR="00A54DB6" w:rsidRPr="00C523E3" w:rsidRDefault="00A54DB6" w:rsidP="00E66AC0">
            <w:pPr>
              <w:spacing w:before="120"/>
              <w:jc w:val="center"/>
              <w:rPr>
                <w:rFonts w:ascii="Arial" w:hAnsi="Arial" w:cs="Arial"/>
                <w:b/>
                <w:sz w:val="16"/>
                <w:szCs w:val="18"/>
              </w:rPr>
            </w:pPr>
            <w:r>
              <w:rPr>
                <w:rFonts w:ascii="Arial" w:hAnsi="Arial" w:cs="Arial"/>
                <w:b/>
                <w:sz w:val="16"/>
                <w:szCs w:val="18"/>
              </w:rPr>
              <w:t>0.281</w:t>
            </w:r>
          </w:p>
        </w:tc>
      </w:tr>
      <w:tr w:rsidR="00A54DB6" w:rsidRPr="00956589" w14:paraId="60253370" w14:textId="77777777" w:rsidTr="00E95BD6">
        <w:trPr>
          <w:trHeight w:val="210"/>
        </w:trPr>
        <w:tc>
          <w:tcPr>
            <w:tcW w:w="667" w:type="dxa"/>
            <w:vMerge w:val="restart"/>
            <w:vAlign w:val="center"/>
          </w:tcPr>
          <w:p w14:paraId="30AFEAE3" w14:textId="1B368317" w:rsidR="00A54DB6" w:rsidRPr="00956589" w:rsidRDefault="00A54DB6" w:rsidP="00E66AC0">
            <w:pPr>
              <w:spacing w:before="120"/>
              <w:rPr>
                <w:rFonts w:ascii="Arial" w:hAnsi="Arial" w:cs="Arial"/>
                <w:b/>
                <w:sz w:val="16"/>
                <w:szCs w:val="18"/>
              </w:rPr>
            </w:pPr>
            <w:r>
              <w:rPr>
                <w:rFonts w:ascii="Arial" w:hAnsi="Arial" w:cs="Arial"/>
                <w:b/>
                <w:sz w:val="16"/>
                <w:szCs w:val="18"/>
              </w:rPr>
              <w:t>2016</w:t>
            </w:r>
          </w:p>
        </w:tc>
        <w:tc>
          <w:tcPr>
            <w:tcW w:w="1371" w:type="dxa"/>
            <w:vMerge w:val="restart"/>
            <w:vAlign w:val="center"/>
          </w:tcPr>
          <w:p w14:paraId="67D2E21A" w14:textId="154FB7D0" w:rsidR="00A54DB6" w:rsidRPr="00956589" w:rsidRDefault="00A54DB6" w:rsidP="00E66AC0">
            <w:pPr>
              <w:spacing w:before="120"/>
              <w:jc w:val="center"/>
              <w:rPr>
                <w:rFonts w:ascii="Arial" w:hAnsi="Arial" w:cs="Arial"/>
                <w:sz w:val="16"/>
                <w:szCs w:val="18"/>
              </w:rPr>
            </w:pPr>
            <w:r>
              <w:rPr>
                <w:rFonts w:ascii="Arial" w:hAnsi="Arial" w:cs="Arial"/>
                <w:sz w:val="16"/>
                <w:szCs w:val="18"/>
              </w:rPr>
              <w:t>&gt; 10 MW</w:t>
            </w:r>
          </w:p>
        </w:tc>
        <w:tc>
          <w:tcPr>
            <w:tcW w:w="1789" w:type="dxa"/>
            <w:vMerge w:val="restart"/>
            <w:vAlign w:val="center"/>
          </w:tcPr>
          <w:p w14:paraId="2038DEE8" w14:textId="2E4B71B8" w:rsidR="00A54DB6" w:rsidRPr="00956589" w:rsidRDefault="00A54DB6" w:rsidP="00E66AC0">
            <w:pPr>
              <w:spacing w:before="120"/>
              <w:jc w:val="center"/>
              <w:rPr>
                <w:rFonts w:ascii="Arial" w:hAnsi="Arial" w:cs="Arial"/>
                <w:sz w:val="16"/>
                <w:szCs w:val="18"/>
              </w:rPr>
            </w:pPr>
            <w:r>
              <w:rPr>
                <w:rFonts w:ascii="Arial" w:hAnsi="Arial" w:cs="Arial"/>
                <w:sz w:val="16"/>
                <w:szCs w:val="18"/>
              </w:rPr>
              <w:t>12,175</w:t>
            </w:r>
          </w:p>
        </w:tc>
        <w:tc>
          <w:tcPr>
            <w:tcW w:w="1225" w:type="dxa"/>
            <w:vAlign w:val="center"/>
          </w:tcPr>
          <w:p w14:paraId="40CC2D7E" w14:textId="1F565A71" w:rsidR="00A54DB6" w:rsidRPr="00956589" w:rsidRDefault="00A54DB6" w:rsidP="00E66AC0">
            <w:pPr>
              <w:spacing w:before="120"/>
              <w:jc w:val="center"/>
              <w:rPr>
                <w:rFonts w:ascii="Arial" w:hAnsi="Arial" w:cs="Arial"/>
                <w:sz w:val="16"/>
                <w:szCs w:val="18"/>
              </w:rPr>
            </w:pPr>
            <w:r>
              <w:rPr>
                <w:rFonts w:ascii="Arial" w:hAnsi="Arial" w:cs="Arial"/>
                <w:sz w:val="16"/>
                <w:szCs w:val="18"/>
              </w:rPr>
              <w:t>10</w:t>
            </w:r>
          </w:p>
        </w:tc>
        <w:tc>
          <w:tcPr>
            <w:tcW w:w="1515" w:type="dxa"/>
          </w:tcPr>
          <w:p w14:paraId="73FA11FD" w14:textId="4ED8562D" w:rsidR="00A54DB6" w:rsidRPr="00956589" w:rsidRDefault="00A54DB6" w:rsidP="00E66AC0">
            <w:pPr>
              <w:spacing w:before="120"/>
              <w:jc w:val="center"/>
              <w:rPr>
                <w:rFonts w:ascii="Arial" w:hAnsi="Arial" w:cs="Arial"/>
                <w:sz w:val="16"/>
                <w:szCs w:val="18"/>
              </w:rPr>
            </w:pPr>
            <w:r>
              <w:rPr>
                <w:rFonts w:ascii="Arial" w:hAnsi="Arial" w:cs="Arial"/>
                <w:sz w:val="16"/>
                <w:szCs w:val="18"/>
              </w:rPr>
              <w:t>-</w:t>
            </w:r>
          </w:p>
        </w:tc>
        <w:tc>
          <w:tcPr>
            <w:tcW w:w="1085" w:type="dxa"/>
            <w:vAlign w:val="center"/>
          </w:tcPr>
          <w:p w14:paraId="5B91013B" w14:textId="5C6ECDDE" w:rsidR="00A54DB6" w:rsidRPr="00956589" w:rsidRDefault="00A54DB6" w:rsidP="00E66AC0">
            <w:pPr>
              <w:spacing w:before="120"/>
              <w:jc w:val="center"/>
              <w:rPr>
                <w:rFonts w:ascii="Arial" w:hAnsi="Arial" w:cs="Arial"/>
                <w:sz w:val="16"/>
                <w:szCs w:val="18"/>
              </w:rPr>
            </w:pPr>
            <w:r>
              <w:rPr>
                <w:rFonts w:ascii="Arial" w:hAnsi="Arial" w:cs="Arial"/>
                <w:sz w:val="16"/>
                <w:szCs w:val="18"/>
              </w:rPr>
              <w:t>0.122</w:t>
            </w:r>
          </w:p>
        </w:tc>
        <w:tc>
          <w:tcPr>
            <w:tcW w:w="1409" w:type="dxa"/>
          </w:tcPr>
          <w:p w14:paraId="64E92B0B" w14:textId="21DCAF77" w:rsidR="00A54DB6" w:rsidRPr="00956589" w:rsidRDefault="00A54DB6" w:rsidP="00E66AC0">
            <w:pPr>
              <w:spacing w:before="120"/>
              <w:jc w:val="center"/>
              <w:rPr>
                <w:rFonts w:ascii="Arial" w:hAnsi="Arial" w:cs="Arial"/>
                <w:sz w:val="16"/>
                <w:szCs w:val="18"/>
              </w:rPr>
            </w:pPr>
            <w:r>
              <w:rPr>
                <w:rFonts w:ascii="Arial" w:hAnsi="Arial" w:cs="Arial"/>
                <w:sz w:val="16"/>
                <w:szCs w:val="18"/>
              </w:rPr>
              <w:t>-</w:t>
            </w:r>
          </w:p>
        </w:tc>
      </w:tr>
      <w:tr w:rsidR="00A54DB6" w:rsidRPr="00956589" w14:paraId="03EE2ECE" w14:textId="77777777" w:rsidTr="00E95BD6">
        <w:trPr>
          <w:trHeight w:val="210"/>
        </w:trPr>
        <w:tc>
          <w:tcPr>
            <w:tcW w:w="667" w:type="dxa"/>
            <w:vMerge/>
            <w:vAlign w:val="center"/>
          </w:tcPr>
          <w:p w14:paraId="1101A22F" w14:textId="77777777" w:rsidR="00A54DB6" w:rsidRPr="00956589" w:rsidRDefault="00A54DB6" w:rsidP="00E66AC0">
            <w:pPr>
              <w:spacing w:before="120"/>
              <w:rPr>
                <w:rFonts w:ascii="Arial" w:hAnsi="Arial" w:cs="Arial"/>
                <w:b/>
                <w:sz w:val="16"/>
                <w:szCs w:val="18"/>
              </w:rPr>
            </w:pPr>
          </w:p>
        </w:tc>
        <w:tc>
          <w:tcPr>
            <w:tcW w:w="1371" w:type="dxa"/>
            <w:vMerge/>
            <w:vAlign w:val="center"/>
          </w:tcPr>
          <w:p w14:paraId="06B79123" w14:textId="77777777" w:rsidR="00A54DB6" w:rsidRDefault="00A54DB6" w:rsidP="00E66AC0">
            <w:pPr>
              <w:spacing w:before="120"/>
              <w:jc w:val="center"/>
              <w:rPr>
                <w:rFonts w:ascii="Arial" w:hAnsi="Arial" w:cs="Arial"/>
                <w:sz w:val="16"/>
                <w:szCs w:val="18"/>
              </w:rPr>
            </w:pPr>
          </w:p>
        </w:tc>
        <w:tc>
          <w:tcPr>
            <w:tcW w:w="1789" w:type="dxa"/>
            <w:vMerge/>
            <w:vAlign w:val="center"/>
          </w:tcPr>
          <w:p w14:paraId="4B4797B3" w14:textId="77777777" w:rsidR="00A54DB6" w:rsidRDefault="00A54DB6" w:rsidP="00E66AC0">
            <w:pPr>
              <w:spacing w:before="120"/>
              <w:jc w:val="center"/>
              <w:rPr>
                <w:rFonts w:ascii="Arial" w:hAnsi="Arial" w:cs="Arial"/>
                <w:sz w:val="16"/>
                <w:szCs w:val="18"/>
              </w:rPr>
            </w:pPr>
          </w:p>
        </w:tc>
        <w:tc>
          <w:tcPr>
            <w:tcW w:w="1225" w:type="dxa"/>
            <w:vAlign w:val="center"/>
          </w:tcPr>
          <w:p w14:paraId="14937968" w14:textId="2A443EB3"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515" w:type="dxa"/>
          </w:tcPr>
          <w:p w14:paraId="78A55A47" w14:textId="17262409" w:rsidR="00A54DB6" w:rsidRDefault="00A54DB6" w:rsidP="00E66AC0">
            <w:pPr>
              <w:spacing w:before="120"/>
              <w:jc w:val="center"/>
              <w:rPr>
                <w:rFonts w:ascii="Arial" w:hAnsi="Arial" w:cs="Arial"/>
                <w:sz w:val="16"/>
                <w:szCs w:val="18"/>
              </w:rPr>
            </w:pPr>
            <w:r>
              <w:rPr>
                <w:rFonts w:ascii="Arial" w:hAnsi="Arial" w:cs="Arial"/>
                <w:sz w:val="16"/>
                <w:szCs w:val="18"/>
              </w:rPr>
              <w:t>14</w:t>
            </w:r>
          </w:p>
        </w:tc>
        <w:tc>
          <w:tcPr>
            <w:tcW w:w="1085" w:type="dxa"/>
            <w:vAlign w:val="center"/>
          </w:tcPr>
          <w:p w14:paraId="7A854B47" w14:textId="2D4119EE"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409" w:type="dxa"/>
          </w:tcPr>
          <w:p w14:paraId="66A5DBCD" w14:textId="358C7CD4" w:rsidR="00A54DB6" w:rsidRDefault="00A54DB6" w:rsidP="00E66AC0">
            <w:pPr>
              <w:spacing w:before="120"/>
              <w:jc w:val="center"/>
              <w:rPr>
                <w:rFonts w:ascii="Arial" w:hAnsi="Arial" w:cs="Arial"/>
                <w:sz w:val="16"/>
                <w:szCs w:val="18"/>
              </w:rPr>
            </w:pPr>
            <w:r>
              <w:rPr>
                <w:rFonts w:ascii="Arial" w:hAnsi="Arial" w:cs="Arial"/>
                <w:sz w:val="16"/>
                <w:szCs w:val="18"/>
              </w:rPr>
              <w:t>0.171</w:t>
            </w:r>
          </w:p>
        </w:tc>
      </w:tr>
      <w:tr w:rsidR="00A54DB6" w:rsidRPr="00956589" w14:paraId="090B0BDD" w14:textId="77777777" w:rsidTr="00E95BD6">
        <w:trPr>
          <w:trHeight w:val="210"/>
        </w:trPr>
        <w:tc>
          <w:tcPr>
            <w:tcW w:w="667" w:type="dxa"/>
            <w:vMerge/>
            <w:vAlign w:val="center"/>
          </w:tcPr>
          <w:p w14:paraId="0E3345DA" w14:textId="77777777" w:rsidR="00A54DB6" w:rsidRPr="00956589" w:rsidRDefault="00A54DB6" w:rsidP="00E66AC0">
            <w:pPr>
              <w:spacing w:before="120"/>
              <w:rPr>
                <w:rFonts w:ascii="Arial" w:hAnsi="Arial" w:cs="Arial"/>
                <w:b/>
                <w:sz w:val="16"/>
                <w:szCs w:val="18"/>
              </w:rPr>
            </w:pPr>
          </w:p>
        </w:tc>
        <w:tc>
          <w:tcPr>
            <w:tcW w:w="1371" w:type="dxa"/>
            <w:vMerge w:val="restart"/>
            <w:vAlign w:val="center"/>
          </w:tcPr>
          <w:p w14:paraId="600B80D4" w14:textId="699DA1C9" w:rsidR="00A54DB6" w:rsidRDefault="00A54DB6" w:rsidP="00E66AC0">
            <w:pPr>
              <w:spacing w:before="120"/>
              <w:jc w:val="center"/>
              <w:rPr>
                <w:rFonts w:ascii="Arial" w:hAnsi="Arial" w:cs="Arial"/>
                <w:sz w:val="16"/>
                <w:szCs w:val="18"/>
              </w:rPr>
            </w:pPr>
            <w:r>
              <w:rPr>
                <w:rFonts w:ascii="Arial" w:hAnsi="Arial" w:cs="Arial"/>
                <w:sz w:val="16"/>
                <w:szCs w:val="18"/>
              </w:rPr>
              <w:t>&lt; 10 MW</w:t>
            </w:r>
          </w:p>
        </w:tc>
        <w:tc>
          <w:tcPr>
            <w:tcW w:w="1789" w:type="dxa"/>
            <w:vMerge w:val="restart"/>
            <w:vAlign w:val="center"/>
          </w:tcPr>
          <w:p w14:paraId="345A2D8B" w14:textId="5F5494E1" w:rsidR="00A54DB6" w:rsidRDefault="00A54DB6" w:rsidP="00E66AC0">
            <w:pPr>
              <w:spacing w:before="120"/>
              <w:jc w:val="center"/>
              <w:rPr>
                <w:rFonts w:ascii="Arial" w:hAnsi="Arial" w:cs="Arial"/>
                <w:sz w:val="16"/>
                <w:szCs w:val="18"/>
              </w:rPr>
            </w:pPr>
            <w:r>
              <w:rPr>
                <w:rFonts w:ascii="Arial" w:hAnsi="Arial" w:cs="Arial"/>
                <w:sz w:val="16"/>
                <w:szCs w:val="18"/>
              </w:rPr>
              <w:t>11,105</w:t>
            </w:r>
          </w:p>
        </w:tc>
        <w:tc>
          <w:tcPr>
            <w:tcW w:w="1225" w:type="dxa"/>
            <w:vAlign w:val="center"/>
          </w:tcPr>
          <w:p w14:paraId="0291EFE3" w14:textId="4AE0550D" w:rsidR="00A54DB6" w:rsidRDefault="00A54DB6" w:rsidP="00E66AC0">
            <w:pPr>
              <w:spacing w:before="120"/>
              <w:jc w:val="center"/>
              <w:rPr>
                <w:rFonts w:ascii="Arial" w:hAnsi="Arial" w:cs="Arial"/>
                <w:sz w:val="16"/>
                <w:szCs w:val="18"/>
              </w:rPr>
            </w:pPr>
            <w:r>
              <w:rPr>
                <w:rFonts w:ascii="Arial" w:hAnsi="Arial" w:cs="Arial"/>
                <w:sz w:val="16"/>
                <w:szCs w:val="18"/>
              </w:rPr>
              <w:t>100</w:t>
            </w:r>
          </w:p>
        </w:tc>
        <w:tc>
          <w:tcPr>
            <w:tcW w:w="1515" w:type="dxa"/>
          </w:tcPr>
          <w:p w14:paraId="33AC8865" w14:textId="1B2BC158"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085" w:type="dxa"/>
            <w:vAlign w:val="center"/>
          </w:tcPr>
          <w:p w14:paraId="7CF9559E" w14:textId="78A51CD7" w:rsidR="00A54DB6" w:rsidRDefault="00A54DB6" w:rsidP="00E66AC0">
            <w:pPr>
              <w:spacing w:before="120"/>
              <w:jc w:val="center"/>
              <w:rPr>
                <w:rFonts w:ascii="Arial" w:hAnsi="Arial" w:cs="Arial"/>
                <w:sz w:val="16"/>
                <w:szCs w:val="18"/>
              </w:rPr>
            </w:pPr>
            <w:r>
              <w:rPr>
                <w:rFonts w:ascii="Arial" w:hAnsi="Arial" w:cs="Arial"/>
                <w:sz w:val="16"/>
                <w:szCs w:val="18"/>
              </w:rPr>
              <w:t>1.11</w:t>
            </w:r>
          </w:p>
        </w:tc>
        <w:tc>
          <w:tcPr>
            <w:tcW w:w="1409" w:type="dxa"/>
          </w:tcPr>
          <w:p w14:paraId="045697D2" w14:textId="71505612" w:rsidR="00A54DB6" w:rsidRDefault="00A54DB6" w:rsidP="00E66AC0">
            <w:pPr>
              <w:spacing w:before="120"/>
              <w:jc w:val="center"/>
              <w:rPr>
                <w:rFonts w:ascii="Arial" w:hAnsi="Arial" w:cs="Arial"/>
                <w:sz w:val="16"/>
                <w:szCs w:val="18"/>
              </w:rPr>
            </w:pPr>
            <w:r>
              <w:rPr>
                <w:rFonts w:ascii="Arial" w:hAnsi="Arial" w:cs="Arial"/>
                <w:sz w:val="16"/>
                <w:szCs w:val="18"/>
              </w:rPr>
              <w:t>-</w:t>
            </w:r>
          </w:p>
        </w:tc>
      </w:tr>
      <w:tr w:rsidR="00A54DB6" w:rsidRPr="00956589" w14:paraId="2BDF99CC" w14:textId="77777777" w:rsidTr="00E95BD6">
        <w:trPr>
          <w:trHeight w:val="210"/>
        </w:trPr>
        <w:tc>
          <w:tcPr>
            <w:tcW w:w="667" w:type="dxa"/>
            <w:vMerge/>
            <w:vAlign w:val="center"/>
          </w:tcPr>
          <w:p w14:paraId="3C571B8D" w14:textId="77777777" w:rsidR="00A54DB6" w:rsidRPr="00956589" w:rsidRDefault="00A54DB6" w:rsidP="00E66AC0">
            <w:pPr>
              <w:spacing w:before="120"/>
              <w:rPr>
                <w:rFonts w:ascii="Arial" w:hAnsi="Arial" w:cs="Arial"/>
                <w:b/>
                <w:sz w:val="16"/>
                <w:szCs w:val="18"/>
              </w:rPr>
            </w:pPr>
          </w:p>
        </w:tc>
        <w:tc>
          <w:tcPr>
            <w:tcW w:w="1371" w:type="dxa"/>
            <w:vMerge/>
            <w:vAlign w:val="center"/>
          </w:tcPr>
          <w:p w14:paraId="74C8B5AE" w14:textId="77777777" w:rsidR="00A54DB6" w:rsidRDefault="00A54DB6" w:rsidP="00E66AC0">
            <w:pPr>
              <w:spacing w:before="120"/>
              <w:jc w:val="center"/>
              <w:rPr>
                <w:rFonts w:ascii="Arial" w:hAnsi="Arial" w:cs="Arial"/>
                <w:sz w:val="16"/>
                <w:szCs w:val="18"/>
              </w:rPr>
            </w:pPr>
          </w:p>
        </w:tc>
        <w:tc>
          <w:tcPr>
            <w:tcW w:w="1789" w:type="dxa"/>
            <w:vMerge/>
            <w:vAlign w:val="center"/>
          </w:tcPr>
          <w:p w14:paraId="52EEBCA9" w14:textId="77777777" w:rsidR="00A54DB6" w:rsidRDefault="00A54DB6" w:rsidP="00E66AC0">
            <w:pPr>
              <w:spacing w:before="120"/>
              <w:jc w:val="center"/>
              <w:rPr>
                <w:rFonts w:ascii="Arial" w:hAnsi="Arial" w:cs="Arial"/>
                <w:sz w:val="16"/>
                <w:szCs w:val="18"/>
              </w:rPr>
            </w:pPr>
          </w:p>
        </w:tc>
        <w:tc>
          <w:tcPr>
            <w:tcW w:w="1225" w:type="dxa"/>
            <w:vAlign w:val="center"/>
          </w:tcPr>
          <w:p w14:paraId="2BC8812D" w14:textId="3202D505"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515" w:type="dxa"/>
          </w:tcPr>
          <w:p w14:paraId="461076C3" w14:textId="31B2EA9F" w:rsidR="00A54DB6" w:rsidRDefault="00A54DB6" w:rsidP="00E66AC0">
            <w:pPr>
              <w:spacing w:before="120"/>
              <w:jc w:val="center"/>
              <w:rPr>
                <w:rFonts w:ascii="Arial" w:hAnsi="Arial" w:cs="Arial"/>
                <w:sz w:val="16"/>
                <w:szCs w:val="18"/>
              </w:rPr>
            </w:pPr>
            <w:r>
              <w:rPr>
                <w:rFonts w:ascii="Arial" w:hAnsi="Arial" w:cs="Arial"/>
                <w:sz w:val="16"/>
                <w:szCs w:val="18"/>
              </w:rPr>
              <w:t>14</w:t>
            </w:r>
          </w:p>
        </w:tc>
        <w:tc>
          <w:tcPr>
            <w:tcW w:w="1085" w:type="dxa"/>
            <w:vAlign w:val="center"/>
          </w:tcPr>
          <w:p w14:paraId="00A8E166" w14:textId="37DFAC61" w:rsidR="00A54DB6" w:rsidRDefault="00A54DB6" w:rsidP="00E66AC0">
            <w:pPr>
              <w:spacing w:before="120"/>
              <w:jc w:val="center"/>
              <w:rPr>
                <w:rFonts w:ascii="Arial" w:hAnsi="Arial" w:cs="Arial"/>
                <w:sz w:val="16"/>
                <w:szCs w:val="18"/>
              </w:rPr>
            </w:pPr>
            <w:r>
              <w:rPr>
                <w:rFonts w:ascii="Arial" w:hAnsi="Arial" w:cs="Arial"/>
                <w:sz w:val="16"/>
                <w:szCs w:val="18"/>
              </w:rPr>
              <w:t>-</w:t>
            </w:r>
          </w:p>
        </w:tc>
        <w:tc>
          <w:tcPr>
            <w:tcW w:w="1409" w:type="dxa"/>
          </w:tcPr>
          <w:p w14:paraId="69DBAF43" w14:textId="1AE4DE2E" w:rsidR="00A54DB6" w:rsidRDefault="00A54DB6" w:rsidP="00E66AC0">
            <w:pPr>
              <w:spacing w:before="120"/>
              <w:jc w:val="center"/>
              <w:rPr>
                <w:rFonts w:ascii="Arial" w:hAnsi="Arial" w:cs="Arial"/>
                <w:sz w:val="16"/>
                <w:szCs w:val="18"/>
              </w:rPr>
            </w:pPr>
            <w:r>
              <w:rPr>
                <w:rFonts w:ascii="Arial" w:hAnsi="Arial" w:cs="Arial"/>
                <w:sz w:val="16"/>
                <w:szCs w:val="18"/>
              </w:rPr>
              <w:t>0.156</w:t>
            </w:r>
          </w:p>
        </w:tc>
      </w:tr>
      <w:tr w:rsidR="00A54DB6" w:rsidRPr="00956589" w14:paraId="7A834FCF" w14:textId="77777777" w:rsidTr="00E95BD6">
        <w:trPr>
          <w:trHeight w:val="210"/>
        </w:trPr>
        <w:tc>
          <w:tcPr>
            <w:tcW w:w="667" w:type="dxa"/>
            <w:vMerge/>
            <w:vAlign w:val="center"/>
          </w:tcPr>
          <w:p w14:paraId="07D2D616" w14:textId="77777777" w:rsidR="00A54DB6" w:rsidRPr="00956589" w:rsidRDefault="00A54DB6" w:rsidP="00E66AC0">
            <w:pPr>
              <w:spacing w:before="120"/>
              <w:rPr>
                <w:rFonts w:ascii="Arial" w:hAnsi="Arial" w:cs="Arial"/>
                <w:b/>
                <w:sz w:val="16"/>
                <w:szCs w:val="18"/>
              </w:rPr>
            </w:pPr>
          </w:p>
        </w:tc>
        <w:tc>
          <w:tcPr>
            <w:tcW w:w="1371" w:type="dxa"/>
            <w:vAlign w:val="center"/>
          </w:tcPr>
          <w:p w14:paraId="3E6BB154" w14:textId="592C557D" w:rsidR="00A54DB6" w:rsidRPr="00C523E3" w:rsidRDefault="00A54DB6" w:rsidP="00C523E3">
            <w:pPr>
              <w:spacing w:before="120"/>
              <w:jc w:val="right"/>
              <w:rPr>
                <w:rFonts w:ascii="Arial" w:hAnsi="Arial" w:cs="Arial"/>
                <w:b/>
                <w:sz w:val="16"/>
                <w:szCs w:val="18"/>
              </w:rPr>
            </w:pPr>
            <w:r w:rsidRPr="00C523E3">
              <w:rPr>
                <w:rFonts w:ascii="Arial" w:hAnsi="Arial" w:cs="Arial"/>
                <w:b/>
                <w:sz w:val="16"/>
                <w:szCs w:val="18"/>
              </w:rPr>
              <w:t>Totals</w:t>
            </w:r>
          </w:p>
        </w:tc>
        <w:tc>
          <w:tcPr>
            <w:tcW w:w="1789" w:type="dxa"/>
            <w:vAlign w:val="center"/>
          </w:tcPr>
          <w:p w14:paraId="447ECB37" w14:textId="14D880E4" w:rsidR="00A54DB6" w:rsidRPr="00C523E3" w:rsidRDefault="00A54DB6" w:rsidP="00E66AC0">
            <w:pPr>
              <w:spacing w:before="120"/>
              <w:jc w:val="center"/>
              <w:rPr>
                <w:rFonts w:ascii="Arial" w:hAnsi="Arial" w:cs="Arial"/>
                <w:b/>
                <w:sz w:val="16"/>
                <w:szCs w:val="18"/>
              </w:rPr>
            </w:pPr>
            <w:r>
              <w:rPr>
                <w:rFonts w:ascii="Arial" w:hAnsi="Arial" w:cs="Arial"/>
                <w:b/>
                <w:sz w:val="16"/>
                <w:szCs w:val="18"/>
              </w:rPr>
              <w:t>23,280</w:t>
            </w:r>
          </w:p>
        </w:tc>
        <w:tc>
          <w:tcPr>
            <w:tcW w:w="1225" w:type="dxa"/>
            <w:vAlign w:val="center"/>
          </w:tcPr>
          <w:p w14:paraId="4F46E5CE" w14:textId="77777777" w:rsidR="00A54DB6" w:rsidRPr="00C523E3" w:rsidRDefault="00A54DB6" w:rsidP="00E66AC0">
            <w:pPr>
              <w:spacing w:before="120"/>
              <w:jc w:val="center"/>
              <w:rPr>
                <w:rFonts w:ascii="Arial" w:hAnsi="Arial" w:cs="Arial"/>
                <w:b/>
                <w:sz w:val="16"/>
                <w:szCs w:val="18"/>
              </w:rPr>
            </w:pPr>
          </w:p>
        </w:tc>
        <w:tc>
          <w:tcPr>
            <w:tcW w:w="1515" w:type="dxa"/>
          </w:tcPr>
          <w:p w14:paraId="6DEAEE18" w14:textId="77777777" w:rsidR="00A54DB6" w:rsidRPr="00C523E3" w:rsidRDefault="00A54DB6" w:rsidP="00E66AC0">
            <w:pPr>
              <w:spacing w:before="120"/>
              <w:jc w:val="center"/>
              <w:rPr>
                <w:rFonts w:ascii="Arial" w:hAnsi="Arial" w:cs="Arial"/>
                <w:b/>
                <w:sz w:val="16"/>
                <w:szCs w:val="18"/>
              </w:rPr>
            </w:pPr>
          </w:p>
        </w:tc>
        <w:tc>
          <w:tcPr>
            <w:tcW w:w="1085" w:type="dxa"/>
            <w:vAlign w:val="center"/>
          </w:tcPr>
          <w:p w14:paraId="68BCFBE3" w14:textId="52E0F5E2" w:rsidR="00A54DB6" w:rsidRPr="00C523E3" w:rsidRDefault="00A54DB6" w:rsidP="00E66AC0">
            <w:pPr>
              <w:spacing w:before="120"/>
              <w:jc w:val="center"/>
              <w:rPr>
                <w:rFonts w:ascii="Arial" w:hAnsi="Arial" w:cs="Arial"/>
                <w:b/>
                <w:sz w:val="16"/>
                <w:szCs w:val="18"/>
              </w:rPr>
            </w:pPr>
            <w:r>
              <w:rPr>
                <w:rFonts w:ascii="Arial" w:hAnsi="Arial" w:cs="Arial"/>
                <w:b/>
                <w:sz w:val="16"/>
                <w:szCs w:val="18"/>
              </w:rPr>
              <w:t>1.23</w:t>
            </w:r>
            <w:r w:rsidR="0015287D">
              <w:rPr>
                <w:rFonts w:ascii="Arial" w:hAnsi="Arial" w:cs="Arial"/>
                <w:b/>
                <w:sz w:val="16"/>
                <w:szCs w:val="18"/>
              </w:rPr>
              <w:t>2</w:t>
            </w:r>
          </w:p>
        </w:tc>
        <w:tc>
          <w:tcPr>
            <w:tcW w:w="1409" w:type="dxa"/>
          </w:tcPr>
          <w:p w14:paraId="35182655" w14:textId="27E5619A" w:rsidR="00A54DB6" w:rsidRPr="00C523E3" w:rsidRDefault="00A54DB6" w:rsidP="00E66AC0">
            <w:pPr>
              <w:spacing w:before="120"/>
              <w:jc w:val="center"/>
              <w:rPr>
                <w:rFonts w:ascii="Arial" w:hAnsi="Arial" w:cs="Arial"/>
                <w:b/>
                <w:sz w:val="16"/>
                <w:szCs w:val="18"/>
              </w:rPr>
            </w:pPr>
            <w:r>
              <w:rPr>
                <w:rFonts w:ascii="Arial" w:hAnsi="Arial" w:cs="Arial"/>
                <w:b/>
                <w:sz w:val="16"/>
                <w:szCs w:val="18"/>
              </w:rPr>
              <w:t>0.327</w:t>
            </w:r>
          </w:p>
        </w:tc>
      </w:tr>
      <w:tr w:rsidR="00A60E8C" w:rsidRPr="00956589" w14:paraId="3F415B08" w14:textId="77777777" w:rsidTr="00E95BD6">
        <w:trPr>
          <w:trHeight w:val="210"/>
        </w:trPr>
        <w:tc>
          <w:tcPr>
            <w:tcW w:w="667" w:type="dxa"/>
            <w:vMerge w:val="restart"/>
            <w:vAlign w:val="center"/>
          </w:tcPr>
          <w:p w14:paraId="238216EF" w14:textId="38DB8221" w:rsidR="00A60E8C" w:rsidRPr="00956589" w:rsidRDefault="00A60E8C" w:rsidP="00A60E8C">
            <w:pPr>
              <w:spacing w:before="120"/>
              <w:rPr>
                <w:rFonts w:ascii="Arial" w:hAnsi="Arial" w:cs="Arial"/>
                <w:b/>
                <w:sz w:val="16"/>
                <w:szCs w:val="18"/>
              </w:rPr>
            </w:pPr>
            <w:r>
              <w:rPr>
                <w:rFonts w:ascii="Arial" w:hAnsi="Arial" w:cs="Arial"/>
                <w:b/>
                <w:sz w:val="16"/>
                <w:szCs w:val="18"/>
              </w:rPr>
              <w:t>2020</w:t>
            </w:r>
          </w:p>
        </w:tc>
        <w:tc>
          <w:tcPr>
            <w:tcW w:w="1371" w:type="dxa"/>
            <w:vMerge w:val="restart"/>
            <w:vAlign w:val="center"/>
          </w:tcPr>
          <w:p w14:paraId="50B69661" w14:textId="3433BDF5" w:rsidR="00A60E8C" w:rsidRPr="00C523E3" w:rsidRDefault="00A60E8C" w:rsidP="003D73C3">
            <w:pPr>
              <w:spacing w:before="120"/>
              <w:jc w:val="center"/>
              <w:rPr>
                <w:rFonts w:ascii="Arial" w:hAnsi="Arial" w:cs="Arial"/>
                <w:b/>
                <w:sz w:val="16"/>
                <w:szCs w:val="18"/>
              </w:rPr>
            </w:pPr>
            <w:r>
              <w:rPr>
                <w:rFonts w:ascii="Arial" w:hAnsi="Arial" w:cs="Arial"/>
                <w:sz w:val="16"/>
                <w:szCs w:val="18"/>
              </w:rPr>
              <w:t>&gt; 10 MW</w:t>
            </w:r>
          </w:p>
        </w:tc>
        <w:tc>
          <w:tcPr>
            <w:tcW w:w="1789" w:type="dxa"/>
            <w:vMerge w:val="restart"/>
            <w:vAlign w:val="center"/>
          </w:tcPr>
          <w:p w14:paraId="07B3F2FD" w14:textId="5361F013" w:rsidR="00A60E8C" w:rsidRDefault="00487AFE" w:rsidP="00A60E8C">
            <w:pPr>
              <w:spacing w:before="120"/>
              <w:jc w:val="center"/>
              <w:rPr>
                <w:rFonts w:ascii="Arial" w:hAnsi="Arial" w:cs="Arial"/>
                <w:b/>
                <w:sz w:val="16"/>
                <w:szCs w:val="18"/>
              </w:rPr>
            </w:pPr>
            <w:r>
              <w:rPr>
                <w:rFonts w:ascii="Arial" w:hAnsi="Arial" w:cs="Arial"/>
                <w:b/>
                <w:sz w:val="16"/>
                <w:szCs w:val="18"/>
              </w:rPr>
              <w:t>10,402</w:t>
            </w:r>
          </w:p>
        </w:tc>
        <w:tc>
          <w:tcPr>
            <w:tcW w:w="1225" w:type="dxa"/>
            <w:vAlign w:val="center"/>
          </w:tcPr>
          <w:p w14:paraId="1D7D8F08" w14:textId="695D5C88" w:rsidR="00A60E8C" w:rsidRPr="00C523E3" w:rsidRDefault="00A60E8C" w:rsidP="00A60E8C">
            <w:pPr>
              <w:spacing w:before="120"/>
              <w:jc w:val="center"/>
              <w:rPr>
                <w:rFonts w:ascii="Arial" w:hAnsi="Arial" w:cs="Arial"/>
                <w:b/>
                <w:sz w:val="16"/>
                <w:szCs w:val="18"/>
              </w:rPr>
            </w:pPr>
            <w:r>
              <w:rPr>
                <w:rFonts w:ascii="Arial" w:hAnsi="Arial" w:cs="Arial"/>
                <w:b/>
                <w:sz w:val="16"/>
                <w:szCs w:val="18"/>
              </w:rPr>
              <w:t>10</w:t>
            </w:r>
          </w:p>
        </w:tc>
        <w:tc>
          <w:tcPr>
            <w:tcW w:w="1515" w:type="dxa"/>
          </w:tcPr>
          <w:p w14:paraId="74E4E571" w14:textId="1AC2F7CB" w:rsidR="00A60E8C" w:rsidRPr="00C523E3" w:rsidRDefault="00487AFE" w:rsidP="00A60E8C">
            <w:pPr>
              <w:spacing w:before="120"/>
              <w:jc w:val="center"/>
              <w:rPr>
                <w:rFonts w:ascii="Arial" w:hAnsi="Arial" w:cs="Arial"/>
                <w:b/>
                <w:sz w:val="16"/>
                <w:szCs w:val="18"/>
              </w:rPr>
            </w:pPr>
            <w:r>
              <w:rPr>
                <w:rFonts w:ascii="Arial" w:hAnsi="Arial" w:cs="Arial"/>
                <w:b/>
                <w:sz w:val="16"/>
                <w:szCs w:val="18"/>
              </w:rPr>
              <w:t>-</w:t>
            </w:r>
          </w:p>
        </w:tc>
        <w:tc>
          <w:tcPr>
            <w:tcW w:w="1085" w:type="dxa"/>
            <w:vAlign w:val="center"/>
          </w:tcPr>
          <w:p w14:paraId="0C432175" w14:textId="4AEAEDEA" w:rsidR="00A60E8C" w:rsidRDefault="00487AFE" w:rsidP="00A60E8C">
            <w:pPr>
              <w:spacing w:before="120"/>
              <w:jc w:val="center"/>
              <w:rPr>
                <w:rFonts w:ascii="Arial" w:hAnsi="Arial" w:cs="Arial"/>
                <w:b/>
                <w:sz w:val="16"/>
                <w:szCs w:val="18"/>
              </w:rPr>
            </w:pPr>
            <w:r>
              <w:rPr>
                <w:rFonts w:ascii="Arial" w:hAnsi="Arial" w:cs="Arial"/>
                <w:b/>
                <w:sz w:val="16"/>
                <w:szCs w:val="18"/>
              </w:rPr>
              <w:t>0.104</w:t>
            </w:r>
          </w:p>
        </w:tc>
        <w:tc>
          <w:tcPr>
            <w:tcW w:w="1409" w:type="dxa"/>
          </w:tcPr>
          <w:p w14:paraId="06672D4B" w14:textId="2D81EBE6" w:rsidR="00A60E8C" w:rsidRDefault="00487AFE" w:rsidP="00A60E8C">
            <w:pPr>
              <w:spacing w:before="120"/>
              <w:jc w:val="center"/>
              <w:rPr>
                <w:rFonts w:ascii="Arial" w:hAnsi="Arial" w:cs="Arial"/>
                <w:b/>
                <w:sz w:val="16"/>
                <w:szCs w:val="18"/>
              </w:rPr>
            </w:pPr>
            <w:r>
              <w:rPr>
                <w:rFonts w:ascii="Arial" w:hAnsi="Arial" w:cs="Arial"/>
                <w:b/>
                <w:sz w:val="16"/>
                <w:szCs w:val="18"/>
              </w:rPr>
              <w:t>-</w:t>
            </w:r>
          </w:p>
        </w:tc>
      </w:tr>
      <w:tr w:rsidR="00A60E8C" w:rsidRPr="00956589" w14:paraId="24EE77B0" w14:textId="77777777" w:rsidTr="00E95BD6">
        <w:trPr>
          <w:trHeight w:val="210"/>
        </w:trPr>
        <w:tc>
          <w:tcPr>
            <w:tcW w:w="667" w:type="dxa"/>
            <w:vMerge/>
            <w:vAlign w:val="center"/>
          </w:tcPr>
          <w:p w14:paraId="376B0967" w14:textId="77777777" w:rsidR="00A60E8C" w:rsidRPr="00956589" w:rsidRDefault="00A60E8C" w:rsidP="00A60E8C">
            <w:pPr>
              <w:spacing w:before="120"/>
              <w:rPr>
                <w:rFonts w:ascii="Arial" w:hAnsi="Arial" w:cs="Arial"/>
                <w:b/>
                <w:sz w:val="16"/>
                <w:szCs w:val="18"/>
              </w:rPr>
            </w:pPr>
          </w:p>
        </w:tc>
        <w:tc>
          <w:tcPr>
            <w:tcW w:w="1371" w:type="dxa"/>
            <w:vMerge/>
            <w:vAlign w:val="center"/>
          </w:tcPr>
          <w:p w14:paraId="20548412" w14:textId="77777777" w:rsidR="00A60E8C" w:rsidRPr="00C523E3" w:rsidRDefault="00A60E8C" w:rsidP="003D73C3">
            <w:pPr>
              <w:spacing w:before="120"/>
              <w:jc w:val="center"/>
              <w:rPr>
                <w:rFonts w:ascii="Arial" w:hAnsi="Arial" w:cs="Arial"/>
                <w:b/>
                <w:sz w:val="16"/>
                <w:szCs w:val="18"/>
              </w:rPr>
            </w:pPr>
          </w:p>
        </w:tc>
        <w:tc>
          <w:tcPr>
            <w:tcW w:w="1789" w:type="dxa"/>
            <w:vMerge/>
            <w:vAlign w:val="center"/>
          </w:tcPr>
          <w:p w14:paraId="655B5D3C" w14:textId="77777777" w:rsidR="00A60E8C" w:rsidRDefault="00A60E8C" w:rsidP="00A60E8C">
            <w:pPr>
              <w:spacing w:before="120"/>
              <w:jc w:val="center"/>
              <w:rPr>
                <w:rFonts w:ascii="Arial" w:hAnsi="Arial" w:cs="Arial"/>
                <w:b/>
                <w:sz w:val="16"/>
                <w:szCs w:val="18"/>
              </w:rPr>
            </w:pPr>
          </w:p>
        </w:tc>
        <w:tc>
          <w:tcPr>
            <w:tcW w:w="1225" w:type="dxa"/>
            <w:vAlign w:val="center"/>
          </w:tcPr>
          <w:p w14:paraId="7D14B790" w14:textId="0A119730" w:rsidR="00A60E8C" w:rsidRPr="00C523E3" w:rsidRDefault="00A60E8C" w:rsidP="00A60E8C">
            <w:pPr>
              <w:spacing w:before="120"/>
              <w:jc w:val="center"/>
              <w:rPr>
                <w:rFonts w:ascii="Arial" w:hAnsi="Arial" w:cs="Arial"/>
                <w:b/>
                <w:sz w:val="16"/>
                <w:szCs w:val="18"/>
              </w:rPr>
            </w:pPr>
            <w:r>
              <w:rPr>
                <w:rFonts w:ascii="Arial" w:hAnsi="Arial" w:cs="Arial"/>
                <w:b/>
                <w:sz w:val="16"/>
                <w:szCs w:val="18"/>
              </w:rPr>
              <w:t>-</w:t>
            </w:r>
          </w:p>
        </w:tc>
        <w:tc>
          <w:tcPr>
            <w:tcW w:w="1515" w:type="dxa"/>
          </w:tcPr>
          <w:p w14:paraId="1ED2F751" w14:textId="0CE69397" w:rsidR="00A60E8C" w:rsidRPr="00C523E3" w:rsidRDefault="00487AFE" w:rsidP="00A60E8C">
            <w:pPr>
              <w:spacing w:before="120"/>
              <w:jc w:val="center"/>
              <w:rPr>
                <w:rFonts w:ascii="Arial" w:hAnsi="Arial" w:cs="Arial"/>
                <w:b/>
                <w:sz w:val="16"/>
                <w:szCs w:val="18"/>
              </w:rPr>
            </w:pPr>
            <w:r>
              <w:rPr>
                <w:rFonts w:ascii="Arial" w:hAnsi="Arial" w:cs="Arial"/>
                <w:b/>
                <w:sz w:val="16"/>
                <w:szCs w:val="18"/>
              </w:rPr>
              <w:t>14</w:t>
            </w:r>
          </w:p>
        </w:tc>
        <w:tc>
          <w:tcPr>
            <w:tcW w:w="1085" w:type="dxa"/>
            <w:vAlign w:val="center"/>
          </w:tcPr>
          <w:p w14:paraId="1E669666" w14:textId="77777777" w:rsidR="00A60E8C" w:rsidRDefault="00A60E8C" w:rsidP="00A60E8C">
            <w:pPr>
              <w:spacing w:before="120"/>
              <w:jc w:val="center"/>
              <w:rPr>
                <w:rFonts w:ascii="Arial" w:hAnsi="Arial" w:cs="Arial"/>
                <w:b/>
                <w:sz w:val="16"/>
                <w:szCs w:val="18"/>
              </w:rPr>
            </w:pPr>
          </w:p>
        </w:tc>
        <w:tc>
          <w:tcPr>
            <w:tcW w:w="1409" w:type="dxa"/>
          </w:tcPr>
          <w:p w14:paraId="60A494D4" w14:textId="23FFBB69" w:rsidR="00A60E8C" w:rsidRDefault="00487AFE" w:rsidP="00A60E8C">
            <w:pPr>
              <w:spacing w:before="120"/>
              <w:jc w:val="center"/>
              <w:rPr>
                <w:rFonts w:ascii="Arial" w:hAnsi="Arial" w:cs="Arial"/>
                <w:b/>
                <w:sz w:val="16"/>
                <w:szCs w:val="18"/>
              </w:rPr>
            </w:pPr>
            <w:r>
              <w:rPr>
                <w:rFonts w:ascii="Arial" w:hAnsi="Arial" w:cs="Arial"/>
                <w:b/>
                <w:sz w:val="16"/>
                <w:szCs w:val="18"/>
              </w:rPr>
              <w:t>0.146</w:t>
            </w:r>
          </w:p>
        </w:tc>
      </w:tr>
      <w:tr w:rsidR="00A60E8C" w:rsidRPr="00956589" w14:paraId="211AD344" w14:textId="77777777" w:rsidTr="00E95BD6">
        <w:trPr>
          <w:trHeight w:val="210"/>
        </w:trPr>
        <w:tc>
          <w:tcPr>
            <w:tcW w:w="667" w:type="dxa"/>
            <w:vMerge/>
            <w:vAlign w:val="center"/>
          </w:tcPr>
          <w:p w14:paraId="739B4F52" w14:textId="77777777" w:rsidR="00A60E8C" w:rsidRPr="00956589" w:rsidRDefault="00A60E8C" w:rsidP="00A60E8C">
            <w:pPr>
              <w:spacing w:before="120"/>
              <w:rPr>
                <w:rFonts w:ascii="Arial" w:hAnsi="Arial" w:cs="Arial"/>
                <w:b/>
                <w:sz w:val="16"/>
                <w:szCs w:val="18"/>
              </w:rPr>
            </w:pPr>
          </w:p>
        </w:tc>
        <w:tc>
          <w:tcPr>
            <w:tcW w:w="1371" w:type="dxa"/>
            <w:vMerge w:val="restart"/>
            <w:vAlign w:val="center"/>
          </w:tcPr>
          <w:p w14:paraId="283EF56D" w14:textId="400B356C" w:rsidR="00A60E8C" w:rsidRPr="00C523E3" w:rsidRDefault="00A60E8C" w:rsidP="003D73C3">
            <w:pPr>
              <w:spacing w:before="120"/>
              <w:jc w:val="center"/>
              <w:rPr>
                <w:rFonts w:ascii="Arial" w:hAnsi="Arial" w:cs="Arial"/>
                <w:b/>
                <w:sz w:val="16"/>
                <w:szCs w:val="18"/>
              </w:rPr>
            </w:pPr>
            <w:r>
              <w:rPr>
                <w:rFonts w:ascii="Arial" w:hAnsi="Arial" w:cs="Arial"/>
                <w:sz w:val="16"/>
                <w:szCs w:val="18"/>
              </w:rPr>
              <w:t>&lt; 10 MW</w:t>
            </w:r>
          </w:p>
        </w:tc>
        <w:tc>
          <w:tcPr>
            <w:tcW w:w="1789" w:type="dxa"/>
            <w:vMerge w:val="restart"/>
            <w:vAlign w:val="center"/>
          </w:tcPr>
          <w:p w14:paraId="125A1B29" w14:textId="04BCDCA2" w:rsidR="00A60E8C" w:rsidRDefault="00487AFE" w:rsidP="00A60E8C">
            <w:pPr>
              <w:spacing w:before="120"/>
              <w:jc w:val="center"/>
              <w:rPr>
                <w:rFonts w:ascii="Arial" w:hAnsi="Arial" w:cs="Arial"/>
                <w:b/>
                <w:sz w:val="16"/>
                <w:szCs w:val="18"/>
              </w:rPr>
            </w:pPr>
            <w:r>
              <w:rPr>
                <w:rFonts w:ascii="Arial" w:hAnsi="Arial" w:cs="Arial"/>
                <w:b/>
                <w:sz w:val="16"/>
                <w:szCs w:val="18"/>
              </w:rPr>
              <w:t>9,488</w:t>
            </w:r>
          </w:p>
        </w:tc>
        <w:tc>
          <w:tcPr>
            <w:tcW w:w="1225" w:type="dxa"/>
            <w:vAlign w:val="center"/>
          </w:tcPr>
          <w:p w14:paraId="25D0AF17" w14:textId="3B1E72B6" w:rsidR="00A60E8C" w:rsidRPr="00C523E3" w:rsidRDefault="00A60E8C" w:rsidP="00A60E8C">
            <w:pPr>
              <w:spacing w:before="120"/>
              <w:jc w:val="center"/>
              <w:rPr>
                <w:rFonts w:ascii="Arial" w:hAnsi="Arial" w:cs="Arial"/>
                <w:b/>
                <w:sz w:val="16"/>
                <w:szCs w:val="18"/>
              </w:rPr>
            </w:pPr>
            <w:r>
              <w:rPr>
                <w:rFonts w:ascii="Arial" w:hAnsi="Arial" w:cs="Arial"/>
                <w:b/>
                <w:sz w:val="16"/>
                <w:szCs w:val="18"/>
              </w:rPr>
              <w:t>100</w:t>
            </w:r>
          </w:p>
        </w:tc>
        <w:tc>
          <w:tcPr>
            <w:tcW w:w="1515" w:type="dxa"/>
          </w:tcPr>
          <w:p w14:paraId="51D9CBDD" w14:textId="5CDDD5E2" w:rsidR="00A60E8C" w:rsidRPr="00C523E3" w:rsidRDefault="00487AFE" w:rsidP="00A60E8C">
            <w:pPr>
              <w:spacing w:before="120"/>
              <w:jc w:val="center"/>
              <w:rPr>
                <w:rFonts w:ascii="Arial" w:hAnsi="Arial" w:cs="Arial"/>
                <w:b/>
                <w:sz w:val="16"/>
                <w:szCs w:val="18"/>
              </w:rPr>
            </w:pPr>
            <w:r>
              <w:rPr>
                <w:rFonts w:ascii="Arial" w:hAnsi="Arial" w:cs="Arial"/>
                <w:b/>
                <w:sz w:val="16"/>
                <w:szCs w:val="18"/>
              </w:rPr>
              <w:t>-</w:t>
            </w:r>
          </w:p>
        </w:tc>
        <w:tc>
          <w:tcPr>
            <w:tcW w:w="1085" w:type="dxa"/>
            <w:vAlign w:val="center"/>
          </w:tcPr>
          <w:p w14:paraId="2B6EB434" w14:textId="25D7C96D" w:rsidR="00A60E8C" w:rsidRDefault="00487AFE" w:rsidP="00A60E8C">
            <w:pPr>
              <w:spacing w:before="120"/>
              <w:jc w:val="center"/>
              <w:rPr>
                <w:rFonts w:ascii="Arial" w:hAnsi="Arial" w:cs="Arial"/>
                <w:b/>
                <w:sz w:val="16"/>
                <w:szCs w:val="18"/>
              </w:rPr>
            </w:pPr>
            <w:r>
              <w:rPr>
                <w:rFonts w:ascii="Arial" w:hAnsi="Arial" w:cs="Arial"/>
                <w:b/>
                <w:sz w:val="16"/>
                <w:szCs w:val="18"/>
              </w:rPr>
              <w:t>0.</w:t>
            </w:r>
            <w:r w:rsidR="00B81539">
              <w:rPr>
                <w:rFonts w:ascii="Arial" w:hAnsi="Arial" w:cs="Arial"/>
                <w:b/>
                <w:sz w:val="16"/>
                <w:szCs w:val="18"/>
              </w:rPr>
              <w:t>949</w:t>
            </w:r>
          </w:p>
        </w:tc>
        <w:tc>
          <w:tcPr>
            <w:tcW w:w="1409" w:type="dxa"/>
          </w:tcPr>
          <w:p w14:paraId="5103FD57" w14:textId="77777777" w:rsidR="00A60E8C" w:rsidRDefault="00A60E8C" w:rsidP="00A60E8C">
            <w:pPr>
              <w:spacing w:before="120"/>
              <w:jc w:val="center"/>
              <w:rPr>
                <w:rFonts w:ascii="Arial" w:hAnsi="Arial" w:cs="Arial"/>
                <w:b/>
                <w:sz w:val="16"/>
                <w:szCs w:val="18"/>
              </w:rPr>
            </w:pPr>
          </w:p>
        </w:tc>
      </w:tr>
      <w:tr w:rsidR="00A60E8C" w:rsidRPr="00956589" w14:paraId="5B9C0197" w14:textId="77777777" w:rsidTr="00E95BD6">
        <w:trPr>
          <w:trHeight w:val="210"/>
        </w:trPr>
        <w:tc>
          <w:tcPr>
            <w:tcW w:w="667" w:type="dxa"/>
            <w:vMerge/>
            <w:vAlign w:val="center"/>
          </w:tcPr>
          <w:p w14:paraId="1D1118C6" w14:textId="77777777" w:rsidR="00A60E8C" w:rsidRPr="00956589" w:rsidRDefault="00A60E8C" w:rsidP="00A60E8C">
            <w:pPr>
              <w:spacing w:before="120"/>
              <w:rPr>
                <w:rFonts w:ascii="Arial" w:hAnsi="Arial" w:cs="Arial"/>
                <w:b/>
                <w:sz w:val="16"/>
                <w:szCs w:val="18"/>
              </w:rPr>
            </w:pPr>
          </w:p>
        </w:tc>
        <w:tc>
          <w:tcPr>
            <w:tcW w:w="1371" w:type="dxa"/>
            <w:vMerge/>
            <w:vAlign w:val="center"/>
          </w:tcPr>
          <w:p w14:paraId="33F02EC9" w14:textId="77777777" w:rsidR="00A60E8C" w:rsidRPr="00C523E3" w:rsidRDefault="00A60E8C" w:rsidP="00A60E8C">
            <w:pPr>
              <w:spacing w:before="120"/>
              <w:jc w:val="right"/>
              <w:rPr>
                <w:rFonts w:ascii="Arial" w:hAnsi="Arial" w:cs="Arial"/>
                <w:b/>
                <w:sz w:val="16"/>
                <w:szCs w:val="18"/>
              </w:rPr>
            </w:pPr>
          </w:p>
        </w:tc>
        <w:tc>
          <w:tcPr>
            <w:tcW w:w="1789" w:type="dxa"/>
            <w:vMerge/>
            <w:vAlign w:val="center"/>
          </w:tcPr>
          <w:p w14:paraId="203F9A1B" w14:textId="77777777" w:rsidR="00A60E8C" w:rsidRDefault="00A60E8C" w:rsidP="00A60E8C">
            <w:pPr>
              <w:spacing w:before="120"/>
              <w:jc w:val="center"/>
              <w:rPr>
                <w:rFonts w:ascii="Arial" w:hAnsi="Arial" w:cs="Arial"/>
                <w:b/>
                <w:sz w:val="16"/>
                <w:szCs w:val="18"/>
              </w:rPr>
            </w:pPr>
          </w:p>
        </w:tc>
        <w:tc>
          <w:tcPr>
            <w:tcW w:w="1225" w:type="dxa"/>
            <w:vAlign w:val="center"/>
          </w:tcPr>
          <w:p w14:paraId="4307C36B" w14:textId="77777777" w:rsidR="00A60E8C" w:rsidRPr="00C523E3" w:rsidRDefault="00A60E8C" w:rsidP="00A60E8C">
            <w:pPr>
              <w:spacing w:before="120"/>
              <w:jc w:val="center"/>
              <w:rPr>
                <w:rFonts w:ascii="Arial" w:hAnsi="Arial" w:cs="Arial"/>
                <w:b/>
                <w:sz w:val="16"/>
                <w:szCs w:val="18"/>
              </w:rPr>
            </w:pPr>
          </w:p>
        </w:tc>
        <w:tc>
          <w:tcPr>
            <w:tcW w:w="1515" w:type="dxa"/>
          </w:tcPr>
          <w:p w14:paraId="1BE0AFE6" w14:textId="20876AFC" w:rsidR="00A60E8C" w:rsidRPr="00C523E3" w:rsidRDefault="00487AFE" w:rsidP="00A60E8C">
            <w:pPr>
              <w:spacing w:before="120"/>
              <w:jc w:val="center"/>
              <w:rPr>
                <w:rFonts w:ascii="Arial" w:hAnsi="Arial" w:cs="Arial"/>
                <w:b/>
                <w:sz w:val="16"/>
                <w:szCs w:val="18"/>
              </w:rPr>
            </w:pPr>
            <w:r>
              <w:rPr>
                <w:rFonts w:ascii="Arial" w:hAnsi="Arial" w:cs="Arial"/>
                <w:b/>
                <w:sz w:val="16"/>
                <w:szCs w:val="18"/>
              </w:rPr>
              <w:t>14</w:t>
            </w:r>
          </w:p>
        </w:tc>
        <w:tc>
          <w:tcPr>
            <w:tcW w:w="1085" w:type="dxa"/>
            <w:vAlign w:val="center"/>
          </w:tcPr>
          <w:p w14:paraId="15C8BDBC" w14:textId="77777777" w:rsidR="00A60E8C" w:rsidRDefault="00A60E8C" w:rsidP="00A60E8C">
            <w:pPr>
              <w:spacing w:before="120"/>
              <w:jc w:val="center"/>
              <w:rPr>
                <w:rFonts w:ascii="Arial" w:hAnsi="Arial" w:cs="Arial"/>
                <w:b/>
                <w:sz w:val="16"/>
                <w:szCs w:val="18"/>
              </w:rPr>
            </w:pPr>
          </w:p>
        </w:tc>
        <w:tc>
          <w:tcPr>
            <w:tcW w:w="1409" w:type="dxa"/>
          </w:tcPr>
          <w:p w14:paraId="51238B18" w14:textId="0396BA3A" w:rsidR="00A60E8C" w:rsidRDefault="00B81539" w:rsidP="00A60E8C">
            <w:pPr>
              <w:spacing w:before="120"/>
              <w:jc w:val="center"/>
              <w:rPr>
                <w:rFonts w:ascii="Arial" w:hAnsi="Arial" w:cs="Arial"/>
                <w:b/>
                <w:sz w:val="16"/>
                <w:szCs w:val="18"/>
              </w:rPr>
            </w:pPr>
            <w:r>
              <w:rPr>
                <w:rFonts w:ascii="Arial" w:hAnsi="Arial" w:cs="Arial"/>
                <w:b/>
                <w:sz w:val="16"/>
                <w:szCs w:val="18"/>
              </w:rPr>
              <w:t>0.133</w:t>
            </w:r>
          </w:p>
        </w:tc>
      </w:tr>
      <w:tr w:rsidR="00A60E8C" w:rsidRPr="00956589" w14:paraId="3BD329FD" w14:textId="77777777" w:rsidTr="00E95BD6">
        <w:trPr>
          <w:trHeight w:val="210"/>
        </w:trPr>
        <w:tc>
          <w:tcPr>
            <w:tcW w:w="667" w:type="dxa"/>
            <w:vMerge/>
            <w:vAlign w:val="center"/>
          </w:tcPr>
          <w:p w14:paraId="4E13FD7A" w14:textId="77777777" w:rsidR="00A60E8C" w:rsidRPr="00956589" w:rsidRDefault="00A60E8C" w:rsidP="00A60E8C">
            <w:pPr>
              <w:spacing w:before="120"/>
              <w:rPr>
                <w:rFonts w:ascii="Arial" w:hAnsi="Arial" w:cs="Arial"/>
                <w:b/>
                <w:sz w:val="16"/>
                <w:szCs w:val="18"/>
              </w:rPr>
            </w:pPr>
          </w:p>
        </w:tc>
        <w:tc>
          <w:tcPr>
            <w:tcW w:w="1371" w:type="dxa"/>
            <w:vAlign w:val="center"/>
          </w:tcPr>
          <w:p w14:paraId="6FF01C51" w14:textId="090D4CC6" w:rsidR="00A60E8C" w:rsidRPr="00C523E3" w:rsidRDefault="00A60E8C" w:rsidP="00A60E8C">
            <w:pPr>
              <w:spacing w:before="120"/>
              <w:jc w:val="right"/>
              <w:rPr>
                <w:rFonts w:ascii="Arial" w:hAnsi="Arial" w:cs="Arial"/>
                <w:b/>
                <w:sz w:val="16"/>
                <w:szCs w:val="18"/>
              </w:rPr>
            </w:pPr>
            <w:r w:rsidRPr="00C523E3">
              <w:rPr>
                <w:rFonts w:ascii="Arial" w:hAnsi="Arial" w:cs="Arial"/>
                <w:b/>
                <w:sz w:val="16"/>
                <w:szCs w:val="18"/>
              </w:rPr>
              <w:t>Totals</w:t>
            </w:r>
          </w:p>
        </w:tc>
        <w:tc>
          <w:tcPr>
            <w:tcW w:w="1789" w:type="dxa"/>
            <w:vAlign w:val="center"/>
          </w:tcPr>
          <w:p w14:paraId="697B37F3" w14:textId="77777777" w:rsidR="00A60E8C" w:rsidRDefault="00A60E8C" w:rsidP="00A60E8C">
            <w:pPr>
              <w:spacing w:before="120"/>
              <w:jc w:val="center"/>
              <w:rPr>
                <w:rFonts w:ascii="Arial" w:hAnsi="Arial" w:cs="Arial"/>
                <w:b/>
                <w:sz w:val="16"/>
                <w:szCs w:val="18"/>
              </w:rPr>
            </w:pPr>
          </w:p>
        </w:tc>
        <w:tc>
          <w:tcPr>
            <w:tcW w:w="1225" w:type="dxa"/>
            <w:vAlign w:val="center"/>
          </w:tcPr>
          <w:p w14:paraId="371E4E1A" w14:textId="77777777" w:rsidR="00A60E8C" w:rsidRPr="00C523E3" w:rsidRDefault="00A60E8C" w:rsidP="00A60E8C">
            <w:pPr>
              <w:spacing w:before="120"/>
              <w:jc w:val="center"/>
              <w:rPr>
                <w:rFonts w:ascii="Arial" w:hAnsi="Arial" w:cs="Arial"/>
                <w:b/>
                <w:sz w:val="16"/>
                <w:szCs w:val="18"/>
              </w:rPr>
            </w:pPr>
          </w:p>
        </w:tc>
        <w:tc>
          <w:tcPr>
            <w:tcW w:w="1515" w:type="dxa"/>
          </w:tcPr>
          <w:p w14:paraId="20A719B5" w14:textId="77777777" w:rsidR="00A60E8C" w:rsidRPr="00C523E3" w:rsidRDefault="00A60E8C" w:rsidP="00A60E8C">
            <w:pPr>
              <w:spacing w:before="120"/>
              <w:jc w:val="center"/>
              <w:rPr>
                <w:rFonts w:ascii="Arial" w:hAnsi="Arial" w:cs="Arial"/>
                <w:b/>
                <w:sz w:val="16"/>
                <w:szCs w:val="18"/>
              </w:rPr>
            </w:pPr>
          </w:p>
        </w:tc>
        <w:tc>
          <w:tcPr>
            <w:tcW w:w="1085" w:type="dxa"/>
            <w:vAlign w:val="center"/>
          </w:tcPr>
          <w:p w14:paraId="4591FB90" w14:textId="1E6DFC99" w:rsidR="00A60E8C" w:rsidRDefault="00B81539" w:rsidP="00A60E8C">
            <w:pPr>
              <w:spacing w:before="120"/>
              <w:jc w:val="center"/>
              <w:rPr>
                <w:rFonts w:ascii="Arial" w:hAnsi="Arial" w:cs="Arial"/>
                <w:b/>
                <w:sz w:val="16"/>
                <w:szCs w:val="18"/>
              </w:rPr>
            </w:pPr>
            <w:r>
              <w:rPr>
                <w:rFonts w:ascii="Arial" w:hAnsi="Arial" w:cs="Arial"/>
                <w:b/>
                <w:sz w:val="16"/>
                <w:szCs w:val="18"/>
              </w:rPr>
              <w:t>1.053</w:t>
            </w:r>
          </w:p>
        </w:tc>
        <w:tc>
          <w:tcPr>
            <w:tcW w:w="1409" w:type="dxa"/>
          </w:tcPr>
          <w:p w14:paraId="0C6C8FBE" w14:textId="1128933A" w:rsidR="00A60E8C" w:rsidRDefault="00B81539" w:rsidP="00A60E8C">
            <w:pPr>
              <w:spacing w:before="120"/>
              <w:jc w:val="center"/>
              <w:rPr>
                <w:rFonts w:ascii="Arial" w:hAnsi="Arial" w:cs="Arial"/>
                <w:b/>
                <w:sz w:val="16"/>
                <w:szCs w:val="18"/>
              </w:rPr>
            </w:pPr>
            <w:r>
              <w:rPr>
                <w:rFonts w:ascii="Arial" w:hAnsi="Arial" w:cs="Arial"/>
                <w:b/>
                <w:sz w:val="16"/>
                <w:szCs w:val="18"/>
              </w:rPr>
              <w:t>0.279</w:t>
            </w:r>
          </w:p>
        </w:tc>
      </w:tr>
    </w:tbl>
    <w:p w14:paraId="1A99BC9A" w14:textId="75946FFD" w:rsidR="00280614" w:rsidRPr="00080C09" w:rsidRDefault="00280614" w:rsidP="00280614">
      <w:pPr>
        <w:tabs>
          <w:tab w:val="left" w:pos="2760"/>
        </w:tabs>
        <w:spacing w:before="120" w:line="300" w:lineRule="atLeast"/>
        <w:jc w:val="both"/>
        <w:rPr>
          <w:rFonts w:ascii="Arial" w:hAnsi="Arial" w:cs="Arial"/>
          <w:b/>
          <w:szCs w:val="18"/>
        </w:rPr>
      </w:pPr>
      <w:r w:rsidRPr="00080C09">
        <w:rPr>
          <w:rFonts w:ascii="Arial" w:hAnsi="Arial" w:cs="Arial"/>
          <w:b/>
          <w:szCs w:val="18"/>
        </w:rPr>
        <w:t xml:space="preserve">Certainty assessment for </w:t>
      </w:r>
      <w:r w:rsidR="00B81539">
        <w:rPr>
          <w:rFonts w:ascii="Arial" w:hAnsi="Arial" w:cs="Arial"/>
          <w:b/>
          <w:szCs w:val="18"/>
        </w:rPr>
        <w:t>2020</w:t>
      </w:r>
    </w:p>
    <w:p w14:paraId="16E511ED" w14:textId="77777777" w:rsidR="00280614" w:rsidRDefault="00280614" w:rsidP="00280614">
      <w:pPr>
        <w:tabs>
          <w:tab w:val="left" w:pos="1701"/>
        </w:tabs>
        <w:spacing w:after="0" w:line="300" w:lineRule="atLeast"/>
        <w:jc w:val="both"/>
        <w:rPr>
          <w:szCs w:val="18"/>
        </w:rPr>
      </w:pPr>
      <w:r>
        <w:rPr>
          <w:szCs w:val="18"/>
        </w:rPr>
        <w:t xml:space="preserve">Activity data: </w:t>
      </w:r>
      <w:r>
        <w:rPr>
          <w:szCs w:val="18"/>
        </w:rPr>
        <w:tab/>
        <w:t xml:space="preserve">High (because it is based on </w:t>
      </w:r>
      <w:r w:rsidR="00E74C3B">
        <w:rPr>
          <w:szCs w:val="18"/>
        </w:rPr>
        <w:t>national</w:t>
      </w:r>
      <w:r>
        <w:rPr>
          <w:szCs w:val="18"/>
        </w:rPr>
        <w:t xml:space="preserve"> fuel consumption data)</w:t>
      </w:r>
    </w:p>
    <w:p w14:paraId="6CED6A7E" w14:textId="77777777" w:rsidR="00280614" w:rsidRDefault="00280614" w:rsidP="00280614">
      <w:pPr>
        <w:tabs>
          <w:tab w:val="left" w:pos="1701"/>
        </w:tabs>
        <w:spacing w:line="300" w:lineRule="atLeast"/>
        <w:ind w:left="1701" w:hanging="1701"/>
        <w:jc w:val="both"/>
        <w:rPr>
          <w:szCs w:val="18"/>
        </w:rPr>
      </w:pPr>
      <w:r>
        <w:rPr>
          <w:szCs w:val="18"/>
        </w:rPr>
        <w:t xml:space="preserve">Emission factors: </w:t>
      </w:r>
      <w:r>
        <w:rPr>
          <w:szCs w:val="18"/>
        </w:rPr>
        <w:tab/>
      </w:r>
      <w:r w:rsidR="00E74C3B">
        <w:rPr>
          <w:szCs w:val="18"/>
        </w:rPr>
        <w:t>L</w:t>
      </w:r>
      <w:r>
        <w:rPr>
          <w:szCs w:val="18"/>
        </w:rPr>
        <w:t>ow (</w:t>
      </w:r>
      <w:r w:rsidRPr="00944DCC">
        <w:rPr>
          <w:szCs w:val="18"/>
        </w:rPr>
        <w:t xml:space="preserve">because </w:t>
      </w:r>
      <w:r>
        <w:rPr>
          <w:szCs w:val="18"/>
        </w:rPr>
        <w:t>they are both based on the</w:t>
      </w:r>
      <w:r w:rsidR="00E74C3B">
        <w:rPr>
          <w:szCs w:val="18"/>
        </w:rPr>
        <w:t xml:space="preserve"> Toolkit default factors</w:t>
      </w:r>
      <w:r>
        <w:rPr>
          <w:szCs w:val="18"/>
        </w:rPr>
        <w:t>)</w:t>
      </w:r>
    </w:p>
    <w:p w14:paraId="3B1BAA70" w14:textId="77777777" w:rsidR="00E66AC0" w:rsidRDefault="00E66AC0" w:rsidP="00E66AC0">
      <w:pPr>
        <w:pStyle w:val="Heading3"/>
        <w:rPr>
          <w:rFonts w:eastAsia="Calibri"/>
        </w:rPr>
      </w:pPr>
      <w:bookmarkStart w:id="180" w:name="_Toc179970"/>
      <w:bookmarkStart w:id="181" w:name="_Toc112768093"/>
      <w:r>
        <w:rPr>
          <w:rFonts w:eastAsia="Calibri"/>
        </w:rPr>
        <w:t>Heavy fuel</w:t>
      </w:r>
      <w:r w:rsidR="00445442">
        <w:rPr>
          <w:rFonts w:eastAsia="Calibri"/>
        </w:rPr>
        <w:t xml:space="preserve"> oil</w:t>
      </w:r>
      <w:r>
        <w:rPr>
          <w:rFonts w:eastAsia="Calibri"/>
        </w:rPr>
        <w:t>-fired power plant</w:t>
      </w:r>
      <w:r w:rsidR="001B37E4">
        <w:rPr>
          <w:rFonts w:eastAsia="Calibri"/>
        </w:rPr>
        <w:t>s</w:t>
      </w:r>
      <w:bookmarkEnd w:id="180"/>
      <w:bookmarkEnd w:id="181"/>
    </w:p>
    <w:p w14:paraId="5C9291BD" w14:textId="11BC799E" w:rsidR="005E1176" w:rsidRDefault="005E1176" w:rsidP="00280614">
      <w:pPr>
        <w:spacing w:line="300" w:lineRule="atLeast"/>
        <w:jc w:val="both"/>
        <w:rPr>
          <w:rFonts w:eastAsia="Calibri"/>
          <w:szCs w:val="18"/>
        </w:rPr>
      </w:pPr>
      <w:r>
        <w:rPr>
          <w:rFonts w:eastAsia="Calibri"/>
          <w:szCs w:val="18"/>
        </w:rPr>
        <w:t>The</w:t>
      </w:r>
      <w:r w:rsidR="00347E3A">
        <w:rPr>
          <w:rFonts w:eastAsia="Calibri"/>
          <w:szCs w:val="18"/>
        </w:rPr>
        <w:t xml:space="preserve"> survey of waste oil production </w:t>
      </w:r>
      <w:r w:rsidR="00A54DB6">
        <w:rPr>
          <w:rFonts w:eastAsia="Calibri"/>
          <w:szCs w:val="18"/>
        </w:rPr>
        <w:t xml:space="preserve">shown in Appendix </w:t>
      </w:r>
      <w:r w:rsidR="000E07F1">
        <w:rPr>
          <w:rFonts w:eastAsia="Calibri"/>
          <w:szCs w:val="18"/>
        </w:rPr>
        <w:t xml:space="preserve">3 of </w:t>
      </w:r>
      <w:r w:rsidR="00347E3A">
        <w:rPr>
          <w:rFonts w:eastAsia="Calibri"/>
          <w:szCs w:val="18"/>
        </w:rPr>
        <w:t>the</w:t>
      </w:r>
      <w:r w:rsidR="000E07F1">
        <w:rPr>
          <w:rFonts w:eastAsia="Calibri"/>
          <w:szCs w:val="18"/>
        </w:rPr>
        <w:t xml:space="preserve"> 2012 Inventory estimated</w:t>
      </w:r>
      <w:r>
        <w:rPr>
          <w:rFonts w:eastAsia="Calibri"/>
          <w:szCs w:val="18"/>
        </w:rPr>
        <w:t xml:space="preserve"> that about 35 million litres of waste oil were available </w:t>
      </w:r>
      <w:r w:rsidR="00E023D5">
        <w:rPr>
          <w:rFonts w:eastAsia="Calibri"/>
          <w:szCs w:val="18"/>
        </w:rPr>
        <w:t>for recy</w:t>
      </w:r>
      <w:r w:rsidR="000E07F1">
        <w:rPr>
          <w:rFonts w:eastAsia="Calibri"/>
          <w:szCs w:val="18"/>
        </w:rPr>
        <w:t xml:space="preserve">cling annually in New Zealand. </w:t>
      </w:r>
      <w:r w:rsidR="00E023D5">
        <w:rPr>
          <w:rFonts w:eastAsia="Calibri"/>
          <w:szCs w:val="18"/>
        </w:rPr>
        <w:t xml:space="preserve">The use of 15.4 million litres (with an energy content of 630 TJ) was attributed to a variety of industrial process including pulp and paper, bitumen, brick and food manufacturing and various horticultural activities. </w:t>
      </w:r>
    </w:p>
    <w:p w14:paraId="1A6CBE61" w14:textId="3BDC0570" w:rsidR="00E66AC0" w:rsidRDefault="00513F44" w:rsidP="00280614">
      <w:pPr>
        <w:spacing w:line="300" w:lineRule="atLeast"/>
        <w:jc w:val="both"/>
        <w:rPr>
          <w:rFonts w:eastAsia="Calibri"/>
          <w:szCs w:val="18"/>
        </w:rPr>
      </w:pPr>
      <w:r>
        <w:rPr>
          <w:rFonts w:eastAsia="Calibri"/>
          <w:szCs w:val="18"/>
        </w:rPr>
        <w:t>In 2020 t</w:t>
      </w:r>
      <w:r w:rsidR="00347E3A">
        <w:rPr>
          <w:rFonts w:eastAsia="Calibri"/>
          <w:szCs w:val="18"/>
        </w:rPr>
        <w:t xml:space="preserve">he total heavy fuel oil used in </w:t>
      </w:r>
      <w:r w:rsidR="008512E4">
        <w:rPr>
          <w:rFonts w:eastAsia="Calibri"/>
          <w:szCs w:val="18"/>
        </w:rPr>
        <w:t xml:space="preserve">New Zealand </w:t>
      </w:r>
      <w:r w:rsidR="00347E3A">
        <w:rPr>
          <w:rFonts w:eastAsia="Calibri"/>
          <w:szCs w:val="18"/>
        </w:rPr>
        <w:t xml:space="preserve">industrial applications was </w:t>
      </w:r>
      <w:r w:rsidR="008512E4">
        <w:rPr>
          <w:rFonts w:eastAsia="Calibri"/>
          <w:szCs w:val="18"/>
        </w:rPr>
        <w:t xml:space="preserve">estimated to be </w:t>
      </w:r>
      <w:r>
        <w:rPr>
          <w:rFonts w:eastAsia="Calibri"/>
          <w:szCs w:val="18"/>
        </w:rPr>
        <w:t>640</w:t>
      </w:r>
      <w:r w:rsidR="000E07F1">
        <w:rPr>
          <w:rFonts w:eastAsia="Calibri"/>
          <w:szCs w:val="18"/>
        </w:rPr>
        <w:t xml:space="preserve"> </w:t>
      </w:r>
      <w:r w:rsidR="00347E3A">
        <w:rPr>
          <w:rFonts w:eastAsia="Calibri"/>
          <w:szCs w:val="18"/>
        </w:rPr>
        <w:t xml:space="preserve">TJ </w:t>
      </w:r>
      <w:r w:rsidRPr="00F1175E">
        <w:rPr>
          <w:rFonts w:eastAsia="Calibri"/>
          <w:noProof/>
          <w:szCs w:val="18"/>
        </w:rPr>
        <w:t>(Ministry of Business Innovation and Employment,</w:t>
      </w:r>
      <w:r w:rsidR="00D16169">
        <w:rPr>
          <w:rFonts w:eastAsia="Calibri"/>
          <w:noProof/>
          <w:szCs w:val="18"/>
        </w:rPr>
        <w:t xml:space="preserve"> </w:t>
      </w:r>
      <w:r>
        <w:rPr>
          <w:rFonts w:eastAsia="Calibri"/>
          <w:noProof/>
          <w:szCs w:val="18"/>
        </w:rPr>
        <w:t>2021</w:t>
      </w:r>
      <w:r w:rsidRPr="00F1175E">
        <w:rPr>
          <w:rFonts w:eastAsia="Calibri"/>
          <w:noProof/>
          <w:szCs w:val="18"/>
        </w:rPr>
        <w:t>)</w:t>
      </w:r>
      <w:r>
        <w:rPr>
          <w:rFonts w:eastAsia="Calibri"/>
          <w:szCs w:val="18"/>
        </w:rPr>
        <w:t>.</w:t>
      </w:r>
      <w:r w:rsidR="000E07F1">
        <w:rPr>
          <w:rFonts w:eastAsia="Calibri"/>
          <w:szCs w:val="18"/>
        </w:rPr>
        <w:t xml:space="preserve"> </w:t>
      </w:r>
      <w:r w:rsidR="005459FC">
        <w:rPr>
          <w:rFonts w:eastAsia="Calibri"/>
          <w:szCs w:val="18"/>
        </w:rPr>
        <w:t xml:space="preserve">There was a further </w:t>
      </w:r>
      <w:r>
        <w:rPr>
          <w:rFonts w:eastAsia="Calibri"/>
          <w:szCs w:val="18"/>
        </w:rPr>
        <w:t xml:space="preserve">3,720 </w:t>
      </w:r>
      <w:r w:rsidR="001634B6">
        <w:rPr>
          <w:rFonts w:eastAsia="Calibri"/>
          <w:szCs w:val="18"/>
        </w:rPr>
        <w:t>TJ</w:t>
      </w:r>
      <w:r w:rsidR="000E07F1">
        <w:rPr>
          <w:rFonts w:eastAsia="Calibri"/>
          <w:szCs w:val="18"/>
        </w:rPr>
        <w:t xml:space="preserve"> </w:t>
      </w:r>
      <w:r w:rsidR="005459FC">
        <w:rPr>
          <w:rFonts w:eastAsia="Calibri"/>
          <w:szCs w:val="18"/>
        </w:rPr>
        <w:t>used in co</w:t>
      </w:r>
      <w:r w:rsidR="00FD23C6">
        <w:rPr>
          <w:rFonts w:eastAsia="Calibri"/>
          <w:szCs w:val="18"/>
        </w:rPr>
        <w:t>a</w:t>
      </w:r>
      <w:r w:rsidR="005459FC">
        <w:rPr>
          <w:rFonts w:eastAsia="Calibri"/>
          <w:szCs w:val="18"/>
        </w:rPr>
        <w:t xml:space="preserve">stal shipping, but this should be accounted for under the Transport category. The UNEP Toolkit provides a default factor for releases to air and indicates there are no data available on the releases via other pathways, such as in residues (ash). </w:t>
      </w:r>
    </w:p>
    <w:p w14:paraId="58D041AB" w14:textId="5B39388B" w:rsidR="00CB3C10" w:rsidRDefault="00CB3C10" w:rsidP="00CB3C10">
      <w:pPr>
        <w:spacing w:line="300" w:lineRule="atLeast"/>
        <w:jc w:val="both"/>
        <w:rPr>
          <w:szCs w:val="18"/>
        </w:rPr>
      </w:pPr>
      <w:r>
        <w:rPr>
          <w:szCs w:val="18"/>
        </w:rPr>
        <w:t xml:space="preserve">The </w:t>
      </w:r>
      <w:r w:rsidR="00513F44">
        <w:rPr>
          <w:szCs w:val="18"/>
        </w:rPr>
        <w:t>2020</w:t>
      </w:r>
      <w:r>
        <w:rPr>
          <w:szCs w:val="18"/>
        </w:rPr>
        <w:t xml:space="preserve"> release estimates for heavy fuel</w:t>
      </w:r>
      <w:r w:rsidR="00E91F93">
        <w:rPr>
          <w:szCs w:val="18"/>
        </w:rPr>
        <w:t xml:space="preserve"> oil</w:t>
      </w:r>
      <w:r w:rsidR="00445442">
        <w:rPr>
          <w:szCs w:val="18"/>
        </w:rPr>
        <w:t>-fired power plant</w:t>
      </w:r>
      <w:r>
        <w:rPr>
          <w:szCs w:val="18"/>
        </w:rPr>
        <w:t xml:space="preserve"> are shown in </w:t>
      </w:r>
      <w:r w:rsidR="006470EB" w:rsidRPr="00FD23C6">
        <w:rPr>
          <w:szCs w:val="18"/>
        </w:rPr>
        <w:fldChar w:fldCharType="begin"/>
      </w:r>
      <w:r w:rsidR="006470EB" w:rsidRPr="00FD23C6">
        <w:rPr>
          <w:szCs w:val="18"/>
        </w:rPr>
        <w:instrText xml:space="preserve"> REF _Ref359735224 \h </w:instrText>
      </w:r>
      <w:r w:rsidR="00FD23C6">
        <w:rPr>
          <w:szCs w:val="18"/>
        </w:rPr>
        <w:instrText xml:space="preserve"> \* MERGEFORMAT </w:instrText>
      </w:r>
      <w:r w:rsidR="006470EB" w:rsidRPr="00FD23C6">
        <w:rPr>
          <w:szCs w:val="18"/>
        </w:rPr>
      </w:r>
      <w:r w:rsidR="006470EB" w:rsidRPr="00FD23C6">
        <w:rPr>
          <w:szCs w:val="18"/>
        </w:rPr>
        <w:fldChar w:fldCharType="separate"/>
      </w:r>
      <w:r w:rsidR="00141D7F" w:rsidRPr="00141D7F">
        <w:t xml:space="preserve">Table </w:t>
      </w:r>
      <w:r w:rsidR="00141D7F" w:rsidRPr="00141D7F">
        <w:rPr>
          <w:noProof/>
        </w:rPr>
        <w:t>5</w:t>
      </w:r>
      <w:r w:rsidR="00141D7F" w:rsidRPr="00141D7F">
        <w:rPr>
          <w:noProof/>
        </w:rPr>
        <w:noBreakHyphen/>
        <w:t>3</w:t>
      </w:r>
      <w:r w:rsidR="006470EB" w:rsidRPr="00FD23C6">
        <w:rPr>
          <w:szCs w:val="18"/>
        </w:rPr>
        <w:fldChar w:fldCharType="end"/>
      </w:r>
      <w:r w:rsidR="000E07F1">
        <w:rPr>
          <w:szCs w:val="18"/>
        </w:rPr>
        <w:t>.</w:t>
      </w:r>
      <w:r w:rsidR="003A5A40">
        <w:rPr>
          <w:szCs w:val="18"/>
        </w:rPr>
        <w:t xml:space="preserve"> </w:t>
      </w:r>
      <w:r w:rsidR="0024196F">
        <w:rPr>
          <w:szCs w:val="18"/>
        </w:rPr>
        <w:t xml:space="preserve">Releases are lower </w:t>
      </w:r>
      <w:r w:rsidR="00513F44">
        <w:rPr>
          <w:szCs w:val="18"/>
        </w:rPr>
        <w:t xml:space="preserve">than in 2012 and 2016 </w:t>
      </w:r>
      <w:r w:rsidR="0024196F">
        <w:rPr>
          <w:szCs w:val="18"/>
        </w:rPr>
        <w:t>because of a decrease in consumption.</w:t>
      </w:r>
    </w:p>
    <w:p w14:paraId="487410F7" w14:textId="5D1B7B49" w:rsidR="00CB3C10" w:rsidRPr="00A117FA" w:rsidRDefault="006470EB" w:rsidP="00101AA8">
      <w:pPr>
        <w:pStyle w:val="Caption"/>
        <w:jc w:val="left"/>
        <w:rPr>
          <w:rFonts w:cs="Arial"/>
          <w:szCs w:val="18"/>
        </w:rPr>
      </w:pPr>
      <w:bookmarkStart w:id="182" w:name="_Ref359735224"/>
      <w:r w:rsidRPr="006470EB">
        <w:rPr>
          <w:rFonts w:cs="Arial"/>
        </w:rPr>
        <w:lastRenderedPageBreak/>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3</w:t>
      </w:r>
      <w:r w:rsidR="00C17BA5">
        <w:rPr>
          <w:rFonts w:cs="Arial"/>
        </w:rPr>
        <w:fldChar w:fldCharType="end"/>
      </w:r>
      <w:bookmarkEnd w:id="182"/>
      <w:r w:rsidR="00CB3C10" w:rsidRPr="00A117FA">
        <w:rPr>
          <w:rFonts w:cs="Arial"/>
        </w:rPr>
        <w:t xml:space="preserve">: </w:t>
      </w:r>
      <w:r w:rsidR="007908AA">
        <w:rPr>
          <w:rFonts w:cs="Arial"/>
        </w:rPr>
        <w:t>Dioxin</w:t>
      </w:r>
      <w:r w:rsidR="00CB3C10" w:rsidRPr="00A117FA">
        <w:rPr>
          <w:rFonts w:cs="Arial"/>
        </w:rPr>
        <w:t xml:space="preserve"> releases from </w:t>
      </w:r>
      <w:r>
        <w:rPr>
          <w:rFonts w:cs="Arial"/>
        </w:rPr>
        <w:t>heavy fuel</w:t>
      </w:r>
      <w:r w:rsidR="00E91F93">
        <w:rPr>
          <w:rFonts w:cs="Arial"/>
        </w:rPr>
        <w:t xml:space="preserve"> oil</w:t>
      </w:r>
      <w:r w:rsidR="00CB3C10">
        <w:rPr>
          <w:rFonts w:cs="Arial"/>
        </w:rPr>
        <w:t xml:space="preserve">-fired </w:t>
      </w:r>
      <w:r w:rsidR="00445442">
        <w:rPr>
          <w:rFonts w:cs="Arial"/>
        </w:rPr>
        <w:t>power plant</w:t>
      </w:r>
    </w:p>
    <w:tbl>
      <w:tblPr>
        <w:tblStyle w:val="TableGrid"/>
        <w:tblW w:w="0" w:type="auto"/>
        <w:tblLook w:val="04A0" w:firstRow="1" w:lastRow="0" w:firstColumn="1" w:lastColumn="0" w:noHBand="0" w:noVBand="1"/>
      </w:tblPr>
      <w:tblGrid>
        <w:gridCol w:w="870"/>
        <w:gridCol w:w="2593"/>
        <w:gridCol w:w="2861"/>
        <w:gridCol w:w="2737"/>
      </w:tblGrid>
      <w:tr w:rsidR="00CB3C10" w:rsidRPr="00956589" w14:paraId="22F0F63C" w14:textId="77777777" w:rsidTr="00E95BD6">
        <w:tc>
          <w:tcPr>
            <w:tcW w:w="870" w:type="dxa"/>
            <w:vMerge w:val="restart"/>
            <w:vAlign w:val="center"/>
          </w:tcPr>
          <w:p w14:paraId="27BBB763" w14:textId="77777777" w:rsidR="00CB3C10" w:rsidRPr="00956589" w:rsidRDefault="00CB3C10" w:rsidP="006C3A3C">
            <w:pPr>
              <w:spacing w:before="120"/>
              <w:jc w:val="center"/>
              <w:rPr>
                <w:rFonts w:ascii="Arial" w:hAnsi="Arial" w:cs="Arial"/>
                <w:b/>
                <w:sz w:val="16"/>
                <w:szCs w:val="18"/>
              </w:rPr>
            </w:pPr>
            <w:r w:rsidRPr="00956589">
              <w:rPr>
                <w:rFonts w:ascii="Arial" w:hAnsi="Arial" w:cs="Arial"/>
                <w:b/>
                <w:sz w:val="16"/>
                <w:szCs w:val="18"/>
              </w:rPr>
              <w:t>Year</w:t>
            </w:r>
          </w:p>
        </w:tc>
        <w:tc>
          <w:tcPr>
            <w:tcW w:w="2593" w:type="dxa"/>
            <w:vMerge w:val="restart"/>
            <w:vAlign w:val="center"/>
          </w:tcPr>
          <w:p w14:paraId="67771AC4" w14:textId="77777777" w:rsidR="00CB3C10" w:rsidRPr="00956589" w:rsidRDefault="00CB3C10" w:rsidP="006470EB">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 xml:space="preserve">(TJ of </w:t>
            </w:r>
            <w:r w:rsidR="006470EB">
              <w:rPr>
                <w:rFonts w:ascii="Arial" w:hAnsi="Arial" w:cs="Arial"/>
                <w:b/>
                <w:sz w:val="16"/>
                <w:szCs w:val="18"/>
              </w:rPr>
              <w:t>fuel oil</w:t>
            </w:r>
            <w:r>
              <w:rPr>
                <w:rFonts w:ascii="Arial" w:hAnsi="Arial" w:cs="Arial"/>
                <w:b/>
                <w:sz w:val="16"/>
                <w:szCs w:val="18"/>
              </w:rPr>
              <w:t>/year)</w:t>
            </w:r>
          </w:p>
        </w:tc>
        <w:tc>
          <w:tcPr>
            <w:tcW w:w="2861" w:type="dxa"/>
            <w:vAlign w:val="center"/>
          </w:tcPr>
          <w:p w14:paraId="5F4ACE2F" w14:textId="1990CE97" w:rsidR="00CB3C10" w:rsidRPr="00956589" w:rsidRDefault="00CB3C10" w:rsidP="006470EB">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 xml:space="preserve">/TJ of </w:t>
            </w:r>
            <w:r w:rsidR="006470EB">
              <w:rPr>
                <w:rFonts w:ascii="Arial" w:hAnsi="Arial" w:cs="Arial"/>
                <w:b/>
                <w:sz w:val="16"/>
                <w:szCs w:val="18"/>
              </w:rPr>
              <w:t>oil</w:t>
            </w:r>
            <w:r>
              <w:rPr>
                <w:rFonts w:ascii="Arial" w:hAnsi="Arial" w:cs="Arial"/>
                <w:b/>
                <w:sz w:val="16"/>
                <w:szCs w:val="18"/>
              </w:rPr>
              <w:t>)</w:t>
            </w:r>
          </w:p>
        </w:tc>
        <w:tc>
          <w:tcPr>
            <w:tcW w:w="2737" w:type="dxa"/>
            <w:vAlign w:val="center"/>
          </w:tcPr>
          <w:p w14:paraId="53D4BA03" w14:textId="63522CF4" w:rsidR="00CB3C10" w:rsidRPr="00956589" w:rsidRDefault="00CB3C10" w:rsidP="006C3A3C">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6470EB" w:rsidRPr="00956589" w14:paraId="0210673F" w14:textId="77777777" w:rsidTr="00E95BD6">
        <w:tc>
          <w:tcPr>
            <w:tcW w:w="870" w:type="dxa"/>
            <w:vMerge/>
          </w:tcPr>
          <w:p w14:paraId="112319EA" w14:textId="77777777" w:rsidR="006470EB" w:rsidRPr="00956589" w:rsidRDefault="006470EB" w:rsidP="006C3A3C">
            <w:pPr>
              <w:spacing w:before="120"/>
              <w:jc w:val="both"/>
              <w:rPr>
                <w:rFonts w:ascii="Arial" w:hAnsi="Arial" w:cs="Arial"/>
                <w:sz w:val="16"/>
                <w:szCs w:val="18"/>
              </w:rPr>
            </w:pPr>
          </w:p>
        </w:tc>
        <w:tc>
          <w:tcPr>
            <w:tcW w:w="2593" w:type="dxa"/>
            <w:vMerge/>
            <w:vAlign w:val="center"/>
          </w:tcPr>
          <w:p w14:paraId="0AA5EFBE" w14:textId="77777777" w:rsidR="006470EB" w:rsidRPr="00956589" w:rsidRDefault="006470EB" w:rsidP="006C3A3C">
            <w:pPr>
              <w:spacing w:before="120"/>
              <w:jc w:val="center"/>
              <w:rPr>
                <w:rFonts w:ascii="Arial" w:hAnsi="Arial" w:cs="Arial"/>
                <w:sz w:val="16"/>
                <w:szCs w:val="18"/>
              </w:rPr>
            </w:pPr>
          </w:p>
        </w:tc>
        <w:tc>
          <w:tcPr>
            <w:tcW w:w="2861" w:type="dxa"/>
            <w:vAlign w:val="center"/>
          </w:tcPr>
          <w:p w14:paraId="1AEAF550" w14:textId="77777777" w:rsidR="006470EB" w:rsidRPr="00956589" w:rsidRDefault="006470EB" w:rsidP="006C3A3C">
            <w:pPr>
              <w:spacing w:before="120"/>
              <w:jc w:val="center"/>
              <w:rPr>
                <w:rFonts w:ascii="Arial" w:hAnsi="Arial" w:cs="Arial"/>
                <w:b/>
                <w:sz w:val="16"/>
                <w:szCs w:val="18"/>
              </w:rPr>
            </w:pPr>
            <w:r w:rsidRPr="00956589">
              <w:rPr>
                <w:rFonts w:ascii="Arial" w:hAnsi="Arial" w:cs="Arial"/>
                <w:b/>
                <w:sz w:val="16"/>
                <w:szCs w:val="18"/>
              </w:rPr>
              <w:t>Air</w:t>
            </w:r>
          </w:p>
        </w:tc>
        <w:tc>
          <w:tcPr>
            <w:tcW w:w="2737" w:type="dxa"/>
            <w:vAlign w:val="center"/>
          </w:tcPr>
          <w:p w14:paraId="42D1B4C3" w14:textId="77777777" w:rsidR="006470EB" w:rsidRPr="00956589" w:rsidRDefault="006470EB" w:rsidP="006C3A3C">
            <w:pPr>
              <w:spacing w:before="120"/>
              <w:jc w:val="center"/>
              <w:rPr>
                <w:rFonts w:ascii="Arial" w:hAnsi="Arial" w:cs="Arial"/>
                <w:b/>
                <w:sz w:val="16"/>
                <w:szCs w:val="18"/>
              </w:rPr>
            </w:pPr>
            <w:r>
              <w:rPr>
                <w:rFonts w:ascii="Arial" w:hAnsi="Arial" w:cs="Arial"/>
                <w:b/>
                <w:sz w:val="16"/>
                <w:szCs w:val="18"/>
              </w:rPr>
              <w:t>Air</w:t>
            </w:r>
          </w:p>
        </w:tc>
      </w:tr>
      <w:tr w:rsidR="001634B6" w:rsidRPr="00956589" w14:paraId="19CD1ACA" w14:textId="77777777" w:rsidTr="00E95BD6">
        <w:tc>
          <w:tcPr>
            <w:tcW w:w="870" w:type="dxa"/>
            <w:vAlign w:val="center"/>
          </w:tcPr>
          <w:p w14:paraId="169F7909" w14:textId="06B8BA2C" w:rsidR="001634B6" w:rsidRPr="00956589" w:rsidRDefault="009E5BB1" w:rsidP="009E5BB1">
            <w:pPr>
              <w:spacing w:before="120"/>
              <w:rPr>
                <w:rFonts w:ascii="Arial" w:hAnsi="Arial" w:cs="Arial"/>
                <w:b/>
                <w:sz w:val="16"/>
                <w:szCs w:val="18"/>
              </w:rPr>
            </w:pPr>
            <w:r>
              <w:rPr>
                <w:rFonts w:ascii="Arial" w:hAnsi="Arial" w:cs="Arial"/>
                <w:b/>
                <w:sz w:val="16"/>
                <w:szCs w:val="18"/>
              </w:rPr>
              <w:t>201</w:t>
            </w:r>
            <w:r w:rsidR="000E07F1">
              <w:rPr>
                <w:rFonts w:ascii="Arial" w:hAnsi="Arial" w:cs="Arial"/>
                <w:b/>
                <w:sz w:val="16"/>
                <w:szCs w:val="18"/>
              </w:rPr>
              <w:t>2</w:t>
            </w:r>
          </w:p>
        </w:tc>
        <w:tc>
          <w:tcPr>
            <w:tcW w:w="2593" w:type="dxa"/>
            <w:vAlign w:val="center"/>
          </w:tcPr>
          <w:p w14:paraId="7EF31B98" w14:textId="3FD9FF0A" w:rsidR="001634B6" w:rsidRDefault="000E07F1" w:rsidP="009E5BB1">
            <w:pPr>
              <w:spacing w:before="120"/>
              <w:jc w:val="center"/>
              <w:rPr>
                <w:rFonts w:ascii="Arial" w:hAnsi="Arial" w:cs="Arial"/>
                <w:sz w:val="16"/>
                <w:szCs w:val="18"/>
              </w:rPr>
            </w:pPr>
            <w:r>
              <w:rPr>
                <w:rFonts w:ascii="Arial" w:hAnsi="Arial" w:cs="Arial"/>
                <w:sz w:val="16"/>
                <w:szCs w:val="18"/>
              </w:rPr>
              <w:t>3,310</w:t>
            </w:r>
          </w:p>
        </w:tc>
        <w:tc>
          <w:tcPr>
            <w:tcW w:w="2861" w:type="dxa"/>
            <w:vAlign w:val="center"/>
          </w:tcPr>
          <w:p w14:paraId="4F768FCF" w14:textId="18231134" w:rsidR="001634B6" w:rsidRDefault="001634B6" w:rsidP="006C3A3C">
            <w:pPr>
              <w:spacing w:before="120"/>
              <w:jc w:val="center"/>
              <w:rPr>
                <w:rFonts w:ascii="Arial" w:hAnsi="Arial" w:cs="Arial"/>
                <w:sz w:val="16"/>
                <w:szCs w:val="18"/>
              </w:rPr>
            </w:pPr>
            <w:r>
              <w:rPr>
                <w:rFonts w:ascii="Arial" w:hAnsi="Arial" w:cs="Arial"/>
                <w:sz w:val="16"/>
                <w:szCs w:val="18"/>
              </w:rPr>
              <w:t>2.5</w:t>
            </w:r>
          </w:p>
        </w:tc>
        <w:tc>
          <w:tcPr>
            <w:tcW w:w="2737" w:type="dxa"/>
            <w:vAlign w:val="center"/>
          </w:tcPr>
          <w:p w14:paraId="1277D257" w14:textId="58A9603E" w:rsidR="001634B6" w:rsidRDefault="000E07F1" w:rsidP="006470EB">
            <w:pPr>
              <w:spacing w:before="120"/>
              <w:jc w:val="center"/>
              <w:rPr>
                <w:rFonts w:ascii="Arial" w:hAnsi="Arial" w:cs="Arial"/>
                <w:sz w:val="16"/>
                <w:szCs w:val="18"/>
              </w:rPr>
            </w:pPr>
            <w:r>
              <w:rPr>
                <w:rFonts w:ascii="Arial" w:hAnsi="Arial" w:cs="Arial"/>
                <w:sz w:val="16"/>
                <w:szCs w:val="18"/>
              </w:rPr>
              <w:t>0.0083</w:t>
            </w:r>
          </w:p>
        </w:tc>
      </w:tr>
      <w:tr w:rsidR="006470EB" w:rsidRPr="00956589" w14:paraId="322CC1CC" w14:textId="77777777" w:rsidTr="00E95BD6">
        <w:tc>
          <w:tcPr>
            <w:tcW w:w="870" w:type="dxa"/>
            <w:vAlign w:val="center"/>
          </w:tcPr>
          <w:p w14:paraId="4A559D86" w14:textId="344F3660" w:rsidR="006470EB" w:rsidRPr="00956589" w:rsidRDefault="000E07F1" w:rsidP="006C3A3C">
            <w:pPr>
              <w:spacing w:before="120"/>
              <w:rPr>
                <w:rFonts w:ascii="Arial" w:hAnsi="Arial" w:cs="Arial"/>
                <w:b/>
                <w:sz w:val="16"/>
                <w:szCs w:val="18"/>
              </w:rPr>
            </w:pPr>
            <w:r>
              <w:rPr>
                <w:rFonts w:ascii="Arial" w:hAnsi="Arial" w:cs="Arial"/>
                <w:b/>
                <w:sz w:val="16"/>
                <w:szCs w:val="18"/>
              </w:rPr>
              <w:t>2016</w:t>
            </w:r>
          </w:p>
        </w:tc>
        <w:tc>
          <w:tcPr>
            <w:tcW w:w="2593" w:type="dxa"/>
            <w:vAlign w:val="center"/>
          </w:tcPr>
          <w:p w14:paraId="5188FC04" w14:textId="62A75A45" w:rsidR="006470EB" w:rsidRPr="00956589" w:rsidRDefault="000E07F1" w:rsidP="006C3A3C">
            <w:pPr>
              <w:spacing w:before="120"/>
              <w:jc w:val="center"/>
              <w:rPr>
                <w:rFonts w:ascii="Arial" w:hAnsi="Arial" w:cs="Arial"/>
                <w:sz w:val="16"/>
                <w:szCs w:val="18"/>
              </w:rPr>
            </w:pPr>
            <w:r>
              <w:rPr>
                <w:rFonts w:ascii="Arial" w:hAnsi="Arial" w:cs="Arial"/>
                <w:sz w:val="16"/>
                <w:szCs w:val="18"/>
              </w:rPr>
              <w:t>1,020</w:t>
            </w:r>
          </w:p>
        </w:tc>
        <w:tc>
          <w:tcPr>
            <w:tcW w:w="2861" w:type="dxa"/>
            <w:vAlign w:val="center"/>
          </w:tcPr>
          <w:p w14:paraId="0F390A3C" w14:textId="77777777" w:rsidR="006470EB" w:rsidRPr="00956589" w:rsidRDefault="006470EB" w:rsidP="006C3A3C">
            <w:pPr>
              <w:spacing w:before="120"/>
              <w:jc w:val="center"/>
              <w:rPr>
                <w:rFonts w:ascii="Arial" w:hAnsi="Arial" w:cs="Arial"/>
                <w:sz w:val="16"/>
                <w:szCs w:val="18"/>
              </w:rPr>
            </w:pPr>
            <w:r>
              <w:rPr>
                <w:rFonts w:ascii="Arial" w:hAnsi="Arial" w:cs="Arial"/>
                <w:sz w:val="16"/>
                <w:szCs w:val="18"/>
              </w:rPr>
              <w:t>2.5</w:t>
            </w:r>
          </w:p>
        </w:tc>
        <w:tc>
          <w:tcPr>
            <w:tcW w:w="2737" w:type="dxa"/>
            <w:vAlign w:val="center"/>
          </w:tcPr>
          <w:p w14:paraId="1A4A5F0A" w14:textId="7152CE78" w:rsidR="006470EB" w:rsidRPr="00956589" w:rsidRDefault="000E07F1" w:rsidP="006470EB">
            <w:pPr>
              <w:spacing w:before="120"/>
              <w:jc w:val="center"/>
              <w:rPr>
                <w:rFonts w:ascii="Arial" w:hAnsi="Arial" w:cs="Arial"/>
                <w:sz w:val="16"/>
                <w:szCs w:val="18"/>
              </w:rPr>
            </w:pPr>
            <w:r>
              <w:rPr>
                <w:rFonts w:ascii="Arial" w:hAnsi="Arial" w:cs="Arial"/>
                <w:sz w:val="16"/>
                <w:szCs w:val="18"/>
              </w:rPr>
              <w:t>0.0026</w:t>
            </w:r>
          </w:p>
        </w:tc>
      </w:tr>
      <w:tr w:rsidR="00513F44" w:rsidRPr="00956589" w14:paraId="6C232BDA" w14:textId="77777777" w:rsidTr="00E95BD6">
        <w:tc>
          <w:tcPr>
            <w:tcW w:w="870" w:type="dxa"/>
            <w:vAlign w:val="center"/>
          </w:tcPr>
          <w:p w14:paraId="2AA3FC8F" w14:textId="53B281F0" w:rsidR="00513F44" w:rsidRDefault="00513F44" w:rsidP="006C3A3C">
            <w:pPr>
              <w:spacing w:before="120"/>
              <w:rPr>
                <w:rFonts w:ascii="Arial" w:hAnsi="Arial" w:cs="Arial"/>
                <w:b/>
                <w:sz w:val="16"/>
                <w:szCs w:val="18"/>
              </w:rPr>
            </w:pPr>
            <w:r>
              <w:rPr>
                <w:rFonts w:ascii="Arial" w:hAnsi="Arial" w:cs="Arial"/>
                <w:b/>
                <w:sz w:val="16"/>
                <w:szCs w:val="18"/>
              </w:rPr>
              <w:t>2020</w:t>
            </w:r>
          </w:p>
        </w:tc>
        <w:tc>
          <w:tcPr>
            <w:tcW w:w="2593" w:type="dxa"/>
            <w:vAlign w:val="center"/>
          </w:tcPr>
          <w:p w14:paraId="701CD2E3" w14:textId="07ED72A5" w:rsidR="00513F44" w:rsidRDefault="00513F44" w:rsidP="006C3A3C">
            <w:pPr>
              <w:spacing w:before="120"/>
              <w:jc w:val="center"/>
              <w:rPr>
                <w:rFonts w:ascii="Arial" w:hAnsi="Arial" w:cs="Arial"/>
                <w:sz w:val="16"/>
                <w:szCs w:val="18"/>
              </w:rPr>
            </w:pPr>
            <w:r>
              <w:rPr>
                <w:rFonts w:ascii="Arial" w:hAnsi="Arial" w:cs="Arial"/>
                <w:sz w:val="16"/>
                <w:szCs w:val="18"/>
              </w:rPr>
              <w:t>640</w:t>
            </w:r>
          </w:p>
        </w:tc>
        <w:tc>
          <w:tcPr>
            <w:tcW w:w="2861" w:type="dxa"/>
            <w:vAlign w:val="center"/>
          </w:tcPr>
          <w:p w14:paraId="1CD33F9C" w14:textId="04143735" w:rsidR="00513F44" w:rsidRDefault="00513F44" w:rsidP="006C3A3C">
            <w:pPr>
              <w:spacing w:before="120"/>
              <w:jc w:val="center"/>
              <w:rPr>
                <w:rFonts w:ascii="Arial" w:hAnsi="Arial" w:cs="Arial"/>
                <w:sz w:val="16"/>
                <w:szCs w:val="18"/>
              </w:rPr>
            </w:pPr>
            <w:r>
              <w:rPr>
                <w:rFonts w:ascii="Arial" w:hAnsi="Arial" w:cs="Arial"/>
                <w:sz w:val="16"/>
                <w:szCs w:val="18"/>
              </w:rPr>
              <w:t>2.5</w:t>
            </w:r>
          </w:p>
        </w:tc>
        <w:tc>
          <w:tcPr>
            <w:tcW w:w="2737" w:type="dxa"/>
            <w:vAlign w:val="center"/>
          </w:tcPr>
          <w:p w14:paraId="6F3C01EF" w14:textId="292064E2" w:rsidR="00513F44" w:rsidRDefault="00513F44" w:rsidP="006470EB">
            <w:pPr>
              <w:spacing w:before="120"/>
              <w:jc w:val="center"/>
              <w:rPr>
                <w:rFonts w:ascii="Arial" w:hAnsi="Arial" w:cs="Arial"/>
                <w:sz w:val="16"/>
                <w:szCs w:val="18"/>
              </w:rPr>
            </w:pPr>
            <w:r>
              <w:rPr>
                <w:rFonts w:ascii="Arial" w:hAnsi="Arial" w:cs="Arial"/>
                <w:sz w:val="16"/>
                <w:szCs w:val="18"/>
              </w:rPr>
              <w:t>0.0016</w:t>
            </w:r>
          </w:p>
        </w:tc>
      </w:tr>
    </w:tbl>
    <w:p w14:paraId="7A138DAA" w14:textId="2EEBB2F9" w:rsidR="00CB3C10" w:rsidRPr="00080C09" w:rsidRDefault="000E07F1" w:rsidP="00CB3C10">
      <w:pPr>
        <w:tabs>
          <w:tab w:val="left" w:pos="2760"/>
        </w:tabs>
        <w:spacing w:before="120" w:line="300" w:lineRule="atLeast"/>
        <w:jc w:val="both"/>
        <w:rPr>
          <w:rFonts w:ascii="Arial" w:hAnsi="Arial" w:cs="Arial"/>
          <w:b/>
          <w:szCs w:val="18"/>
        </w:rPr>
      </w:pPr>
      <w:r>
        <w:rPr>
          <w:rFonts w:ascii="Arial" w:hAnsi="Arial" w:cs="Arial"/>
          <w:b/>
          <w:szCs w:val="18"/>
        </w:rPr>
        <w:t xml:space="preserve">Certainty assessment for </w:t>
      </w:r>
      <w:r w:rsidR="00513F44">
        <w:rPr>
          <w:rFonts w:ascii="Arial" w:hAnsi="Arial" w:cs="Arial"/>
          <w:b/>
          <w:szCs w:val="18"/>
        </w:rPr>
        <w:t>2020</w:t>
      </w:r>
    </w:p>
    <w:p w14:paraId="5B2EBBCD" w14:textId="77777777" w:rsidR="00CB3C10" w:rsidRDefault="00CB3C10" w:rsidP="00CB3C10">
      <w:pPr>
        <w:tabs>
          <w:tab w:val="left" w:pos="1701"/>
        </w:tabs>
        <w:spacing w:after="0" w:line="300" w:lineRule="atLeast"/>
        <w:jc w:val="both"/>
        <w:rPr>
          <w:szCs w:val="18"/>
        </w:rPr>
      </w:pPr>
      <w:r>
        <w:rPr>
          <w:szCs w:val="18"/>
        </w:rPr>
        <w:t xml:space="preserve">Activity data: </w:t>
      </w:r>
      <w:r>
        <w:rPr>
          <w:szCs w:val="18"/>
        </w:rPr>
        <w:tab/>
        <w:t>High (because it is based on actual fuel consumption data)</w:t>
      </w:r>
    </w:p>
    <w:p w14:paraId="2AE789DB" w14:textId="77777777" w:rsidR="00CB3C10" w:rsidRDefault="00CB3C10" w:rsidP="00CB3C10">
      <w:pPr>
        <w:tabs>
          <w:tab w:val="left" w:pos="1701"/>
        </w:tabs>
        <w:spacing w:line="300" w:lineRule="atLeast"/>
        <w:ind w:left="1701" w:hanging="1701"/>
        <w:jc w:val="both"/>
        <w:rPr>
          <w:szCs w:val="18"/>
        </w:rPr>
      </w:pPr>
      <w:r>
        <w:rPr>
          <w:szCs w:val="18"/>
        </w:rPr>
        <w:t xml:space="preserve">Emission factor: </w:t>
      </w:r>
      <w:r>
        <w:rPr>
          <w:szCs w:val="18"/>
        </w:rPr>
        <w:tab/>
      </w:r>
      <w:r w:rsidR="006470EB">
        <w:rPr>
          <w:szCs w:val="18"/>
        </w:rPr>
        <w:t>L</w:t>
      </w:r>
      <w:r>
        <w:rPr>
          <w:szCs w:val="18"/>
        </w:rPr>
        <w:t>ow (</w:t>
      </w:r>
      <w:r w:rsidRPr="00944DCC">
        <w:rPr>
          <w:szCs w:val="18"/>
        </w:rPr>
        <w:t xml:space="preserve">because </w:t>
      </w:r>
      <w:r w:rsidR="006470EB">
        <w:rPr>
          <w:szCs w:val="18"/>
        </w:rPr>
        <w:t>it is</w:t>
      </w:r>
      <w:r>
        <w:rPr>
          <w:szCs w:val="18"/>
        </w:rPr>
        <w:t xml:space="preserve"> based on the Toolkit default factors)</w:t>
      </w:r>
    </w:p>
    <w:p w14:paraId="56A4F947" w14:textId="77777777" w:rsidR="006D0512" w:rsidRPr="00A311F7" w:rsidRDefault="00181A97" w:rsidP="00804C57">
      <w:pPr>
        <w:pStyle w:val="Heading3"/>
      </w:pPr>
      <w:bookmarkStart w:id="183" w:name="_Toc112768094"/>
      <w:r>
        <w:t>Fuel o</w:t>
      </w:r>
      <w:r w:rsidR="00804C57">
        <w:t>il</w:t>
      </w:r>
      <w:r>
        <w:t xml:space="preserve"> and natural gas</w:t>
      </w:r>
      <w:r w:rsidR="00406145">
        <w:t>-fired power plant</w:t>
      </w:r>
      <w:r w:rsidR="001B37E4">
        <w:t>s</w:t>
      </w:r>
      <w:bookmarkEnd w:id="183"/>
    </w:p>
    <w:p w14:paraId="0A8F3768" w14:textId="77777777" w:rsidR="00420536" w:rsidRPr="00420536" w:rsidRDefault="00420536" w:rsidP="00872E08">
      <w:pPr>
        <w:spacing w:line="300" w:lineRule="atLeast"/>
        <w:jc w:val="both"/>
        <w:rPr>
          <w:rFonts w:ascii="Arial" w:hAnsi="Arial" w:cs="Arial"/>
          <w:b/>
          <w:szCs w:val="18"/>
        </w:rPr>
      </w:pPr>
      <w:r w:rsidRPr="00420536">
        <w:rPr>
          <w:rFonts w:ascii="Arial" w:hAnsi="Arial" w:cs="Arial"/>
          <w:b/>
          <w:szCs w:val="18"/>
        </w:rPr>
        <w:t>Fuel oil and natural gas-fired electricity generation</w:t>
      </w:r>
    </w:p>
    <w:p w14:paraId="334D3AAB" w14:textId="36EBEA3C" w:rsidR="005A36BB" w:rsidRDefault="29F78A4E" w:rsidP="0C34660A">
      <w:pPr>
        <w:spacing w:line="300" w:lineRule="atLeast"/>
        <w:jc w:val="both"/>
        <w:rPr>
          <w:lang w:val="en-US"/>
        </w:rPr>
      </w:pPr>
      <w:r w:rsidRPr="0C34660A">
        <w:rPr>
          <w:lang w:val="en-US"/>
        </w:rPr>
        <w:t xml:space="preserve">In 2020 there were 6 </w:t>
      </w:r>
      <w:r w:rsidR="553D12AF" w:rsidRPr="0C34660A">
        <w:rPr>
          <w:lang w:val="en-US"/>
        </w:rPr>
        <w:t xml:space="preserve">power stations in New Zealand with </w:t>
      </w:r>
      <w:r w:rsidRPr="0C34660A">
        <w:rPr>
          <w:lang w:val="en-US"/>
        </w:rPr>
        <w:t xml:space="preserve">the sole function of generating </w:t>
      </w:r>
      <w:r w:rsidR="553D12AF" w:rsidRPr="0C34660A">
        <w:rPr>
          <w:lang w:val="en-US"/>
        </w:rPr>
        <w:t>electricity</w:t>
      </w:r>
      <w:r w:rsidRPr="0C34660A">
        <w:rPr>
          <w:lang w:val="en-US"/>
        </w:rPr>
        <w:t xml:space="preserve"> using natural gas with a total capacity of 1,240</w:t>
      </w:r>
      <w:r w:rsidR="0DE37AFE" w:rsidRPr="0C34660A">
        <w:rPr>
          <w:lang w:val="en-US"/>
        </w:rPr>
        <w:t xml:space="preserve"> </w:t>
      </w:r>
      <w:r w:rsidRPr="0C34660A">
        <w:rPr>
          <w:lang w:val="en-US"/>
        </w:rPr>
        <w:t>MW</w:t>
      </w:r>
      <w:r w:rsidR="31930303" w:rsidRPr="0C34660A">
        <w:rPr>
          <w:lang w:val="en-US"/>
        </w:rPr>
        <w:t xml:space="preserve"> including the new Junction Road </w:t>
      </w:r>
      <w:r w:rsidR="3DF426F3" w:rsidRPr="0C34660A">
        <w:rPr>
          <w:lang w:val="en-US"/>
        </w:rPr>
        <w:t xml:space="preserve">plant </w:t>
      </w:r>
      <w:r w:rsidR="31930303" w:rsidRPr="0C34660A">
        <w:rPr>
          <w:lang w:val="en-US"/>
        </w:rPr>
        <w:t>in Taranaki</w:t>
      </w:r>
      <w:r w:rsidR="74915C6B" w:rsidRPr="0C34660A">
        <w:rPr>
          <w:lang w:val="en-US"/>
        </w:rPr>
        <w:t xml:space="preserve"> opened in mid-2020</w:t>
      </w:r>
      <w:bookmarkStart w:id="184" w:name="_Int_w7mjxRzK"/>
      <w:r w:rsidRPr="0C34660A">
        <w:rPr>
          <w:lang w:val="en-US"/>
        </w:rPr>
        <w:t xml:space="preserve">. </w:t>
      </w:r>
      <w:bookmarkEnd w:id="184"/>
      <w:r w:rsidRPr="0C34660A">
        <w:rPr>
          <w:lang w:val="en-US"/>
        </w:rPr>
        <w:t xml:space="preserve">Should the three Rankine units at Huntly Power be fired on natural gas they would bring an additional </w:t>
      </w:r>
      <w:r w:rsidR="0E3260D2" w:rsidRPr="0C34660A">
        <w:rPr>
          <w:lang w:val="en-US"/>
        </w:rPr>
        <w:t>750 MW of gas fired generating capacity. In addition, there are another 5 gas-fired cogeneration plants in New Zealand which produce steam energy in addition to electrical energy. Their total capacity is 156 MW</w:t>
      </w:r>
      <w:bookmarkStart w:id="185" w:name="_Int_OBcDErZy"/>
      <w:r w:rsidR="0E3260D2" w:rsidRPr="0C34660A">
        <w:rPr>
          <w:lang w:val="en-US"/>
        </w:rPr>
        <w:t xml:space="preserve">. </w:t>
      </w:r>
      <w:bookmarkEnd w:id="185"/>
      <w:r w:rsidR="0E3260D2" w:rsidRPr="0C34660A">
        <w:rPr>
          <w:lang w:val="en-US"/>
        </w:rPr>
        <w:t>(WSP, 2020)</w:t>
      </w:r>
    </w:p>
    <w:p w14:paraId="2F2E3374" w14:textId="4A9226B2" w:rsidR="009E5BB1" w:rsidRDefault="553D12AF" w:rsidP="0C34660A">
      <w:pPr>
        <w:spacing w:line="300" w:lineRule="atLeast"/>
        <w:jc w:val="both"/>
        <w:rPr>
          <w:lang w:val="en-US"/>
        </w:rPr>
      </w:pPr>
      <w:r w:rsidRPr="0C34660A">
        <w:rPr>
          <w:lang w:val="en-US"/>
        </w:rPr>
        <w:t xml:space="preserve">In </w:t>
      </w:r>
      <w:r w:rsidR="44AC381F" w:rsidRPr="0C34660A">
        <w:rPr>
          <w:lang w:val="en-US"/>
        </w:rPr>
        <w:t>2020</w:t>
      </w:r>
      <w:r w:rsidRPr="0C34660A">
        <w:rPr>
          <w:lang w:val="en-US"/>
        </w:rPr>
        <w:t xml:space="preserve"> </w:t>
      </w:r>
      <w:r w:rsidR="08078827" w:rsidRPr="0C34660A">
        <w:rPr>
          <w:lang w:val="en-US"/>
        </w:rPr>
        <w:t xml:space="preserve">the total consumption of natural gas for electricity generation was </w:t>
      </w:r>
      <w:r w:rsidR="44AC381F" w:rsidRPr="0C34660A">
        <w:rPr>
          <w:lang w:val="en-US"/>
        </w:rPr>
        <w:t xml:space="preserve">41,190 </w:t>
      </w:r>
      <w:r w:rsidR="2BEA14D3" w:rsidRPr="0C34660A">
        <w:rPr>
          <w:lang w:val="en-US"/>
        </w:rPr>
        <w:t>TJ (1 TJ = 10</w:t>
      </w:r>
      <w:r w:rsidR="2BEA14D3" w:rsidRPr="0C34660A">
        <w:rPr>
          <w:vertAlign w:val="superscript"/>
          <w:lang w:val="en-US"/>
        </w:rPr>
        <w:t>12</w:t>
      </w:r>
      <w:r w:rsidR="2BEA14D3" w:rsidRPr="0C34660A">
        <w:rPr>
          <w:lang w:val="en-US"/>
        </w:rPr>
        <w:t xml:space="preserve"> Joules)</w:t>
      </w:r>
      <w:r w:rsidR="08078827" w:rsidRPr="0C34660A">
        <w:rPr>
          <w:lang w:val="en-US"/>
        </w:rPr>
        <w:t>, including that used in cogeneration plants</w:t>
      </w:r>
      <w:r w:rsidR="5BAFEADC" w:rsidRPr="0C34660A">
        <w:rPr>
          <w:lang w:val="en-US"/>
        </w:rPr>
        <w:t xml:space="preserve"> </w:t>
      </w:r>
      <w:r w:rsidR="44AC381F" w:rsidRPr="0C34660A">
        <w:rPr>
          <w:noProof/>
        </w:rPr>
        <w:t>(Ministry of Business Innovation and Employment, 2021)</w:t>
      </w:r>
      <w:r w:rsidRPr="0C34660A">
        <w:rPr>
          <w:lang w:val="en-US"/>
        </w:rPr>
        <w:t>.</w:t>
      </w:r>
      <w:r w:rsidR="08078827" w:rsidRPr="0C34660A">
        <w:rPr>
          <w:lang w:val="en-US"/>
        </w:rPr>
        <w:t xml:space="preserve"> </w:t>
      </w:r>
      <w:r w:rsidR="34AFCBAE" w:rsidRPr="0C34660A">
        <w:rPr>
          <w:lang w:val="en-US"/>
        </w:rPr>
        <w:t xml:space="preserve">This is </w:t>
      </w:r>
      <w:bookmarkStart w:id="186" w:name="_Int_L9ncHUjj"/>
      <w:r w:rsidR="34AFCBAE" w:rsidRPr="0C34660A">
        <w:rPr>
          <w:lang w:val="en-US"/>
        </w:rPr>
        <w:t>considerably less</w:t>
      </w:r>
      <w:bookmarkEnd w:id="186"/>
      <w:r w:rsidR="34AFCBAE" w:rsidRPr="0C34660A">
        <w:rPr>
          <w:lang w:val="en-US"/>
        </w:rPr>
        <w:t xml:space="preserve"> than the 56,360 TJ consumed in </w:t>
      </w:r>
      <w:r w:rsidR="7AB92841" w:rsidRPr="0C34660A">
        <w:rPr>
          <w:lang w:val="en-US"/>
        </w:rPr>
        <w:t>2016</w:t>
      </w:r>
      <w:r w:rsidR="34AFCBAE" w:rsidRPr="0C34660A">
        <w:rPr>
          <w:lang w:val="en-US"/>
        </w:rPr>
        <w:t xml:space="preserve">. There are </w:t>
      </w:r>
      <w:bookmarkStart w:id="187" w:name="_Int_q94AamIn"/>
      <w:proofErr w:type="gramStart"/>
      <w:r w:rsidR="34AFCBAE" w:rsidRPr="0C34660A">
        <w:rPr>
          <w:lang w:val="en-US"/>
        </w:rPr>
        <w:t>a number of</w:t>
      </w:r>
      <w:bookmarkEnd w:id="187"/>
      <w:proofErr w:type="gramEnd"/>
      <w:r w:rsidR="34AFCBAE" w:rsidRPr="0C34660A">
        <w:rPr>
          <w:lang w:val="en-US"/>
        </w:rPr>
        <w:t xml:space="preserve"> factors which have influenced this decline</w:t>
      </w:r>
      <w:bookmarkStart w:id="188" w:name="_Int_KNL7MjLS"/>
      <w:r w:rsidR="34AFCBAE" w:rsidRPr="0C34660A">
        <w:rPr>
          <w:lang w:val="en-US"/>
        </w:rPr>
        <w:t xml:space="preserve">. </w:t>
      </w:r>
      <w:bookmarkEnd w:id="188"/>
      <w:r w:rsidR="34AFCBAE" w:rsidRPr="0C34660A">
        <w:rPr>
          <w:lang w:val="en-US"/>
        </w:rPr>
        <w:t>C</w:t>
      </w:r>
      <w:r w:rsidR="3DF426F3" w:rsidRPr="0C34660A">
        <w:rPr>
          <w:lang w:val="en-US"/>
        </w:rPr>
        <w:t>OVID</w:t>
      </w:r>
      <w:r w:rsidR="34AFCBAE" w:rsidRPr="0C34660A">
        <w:rPr>
          <w:lang w:val="en-US"/>
        </w:rPr>
        <w:t xml:space="preserve">-19 </w:t>
      </w:r>
      <w:r w:rsidR="64542F53" w:rsidRPr="0C34660A">
        <w:rPr>
          <w:lang w:val="en-US"/>
        </w:rPr>
        <w:t xml:space="preserve">and the associated national and regional lockdowns led to reduced demand for electricity. There has been </w:t>
      </w:r>
      <w:bookmarkStart w:id="189" w:name="_Int_spBbVlFk"/>
      <w:r w:rsidR="64542F53" w:rsidRPr="0C34660A">
        <w:rPr>
          <w:lang w:val="en-US"/>
        </w:rPr>
        <w:t>some</w:t>
      </w:r>
      <w:bookmarkEnd w:id="189"/>
      <w:r w:rsidR="64542F53" w:rsidRPr="0C34660A">
        <w:rPr>
          <w:lang w:val="en-US"/>
        </w:rPr>
        <w:t xml:space="preserve"> specific reduction in industrial demand with the closure of sites such as Pacific Steel, Holcim Cement, and the wind up of Norske Skog’s share of the Tasman Mill. Improvements in household energy efficiency such as more efficient lighting and better insulation have led to reduced residential demand</w:t>
      </w:r>
      <w:r w:rsidR="796B4920" w:rsidRPr="0C34660A">
        <w:rPr>
          <w:lang w:val="en-US"/>
        </w:rPr>
        <w:t xml:space="preserve"> and this effect has been compounded by milder winters </w:t>
      </w:r>
      <w:r w:rsidR="796B4920" w:rsidRPr="0C34660A">
        <w:rPr>
          <w:noProof/>
        </w:rPr>
        <w:t>(Ministry of Business Innovation and Employment, 2021)</w:t>
      </w:r>
      <w:r w:rsidR="796B4920" w:rsidRPr="0C34660A">
        <w:rPr>
          <w:lang w:val="en-US"/>
        </w:rPr>
        <w:t>.</w:t>
      </w:r>
    </w:p>
    <w:p w14:paraId="34D07A34" w14:textId="73BE2E50" w:rsidR="00B942F2" w:rsidRPr="00B942F2" w:rsidRDefault="00997E15" w:rsidP="00B942F2">
      <w:pPr>
        <w:spacing w:line="300" w:lineRule="atLeast"/>
        <w:jc w:val="both"/>
        <w:rPr>
          <w:szCs w:val="18"/>
          <w:lang w:val="en-US"/>
        </w:rPr>
      </w:pPr>
      <w:r>
        <w:rPr>
          <w:szCs w:val="18"/>
          <w:lang w:val="en-US"/>
        </w:rPr>
        <w:t>There are two diesel power stations in New Zealand - Bream Bay Peaker in Northland and Whirinaki in Hawkes Bay</w:t>
      </w:r>
      <w:r w:rsidR="003D2FE7">
        <w:rPr>
          <w:szCs w:val="18"/>
          <w:lang w:val="en-US"/>
        </w:rPr>
        <w:t xml:space="preserve"> (WSP, 2020)</w:t>
      </w:r>
      <w:r>
        <w:rPr>
          <w:szCs w:val="18"/>
          <w:lang w:val="en-US"/>
        </w:rPr>
        <w:t xml:space="preserve">. Because diesel is the most expensive fuel for electricity generation </w:t>
      </w:r>
      <w:r w:rsidR="00557D5C">
        <w:rPr>
          <w:szCs w:val="18"/>
          <w:lang w:val="en-US"/>
        </w:rPr>
        <w:t>it is</w:t>
      </w:r>
      <w:r>
        <w:rPr>
          <w:szCs w:val="18"/>
          <w:lang w:val="en-US"/>
        </w:rPr>
        <w:t xml:space="preserve"> reserved for use in periods </w:t>
      </w:r>
      <w:r w:rsidR="00557D5C">
        <w:rPr>
          <w:szCs w:val="18"/>
          <w:lang w:val="en-US"/>
        </w:rPr>
        <w:t xml:space="preserve">of high electricity demand and in times of reduced power security. Whirinaki was used more in 2020 </w:t>
      </w:r>
      <w:r w:rsidR="003D2FE7">
        <w:rPr>
          <w:szCs w:val="18"/>
          <w:lang w:val="en-US"/>
        </w:rPr>
        <w:t xml:space="preserve">than in 2016 </w:t>
      </w:r>
      <w:r w:rsidR="00557D5C">
        <w:rPr>
          <w:szCs w:val="18"/>
          <w:lang w:val="en-US"/>
        </w:rPr>
        <w:t>to cover the adverse market conditions caused by the dry year and natural gas supply shortages.</w:t>
      </w:r>
      <w:r w:rsidR="007926FB">
        <w:rPr>
          <w:szCs w:val="18"/>
          <w:lang w:val="en-US"/>
        </w:rPr>
        <w:t xml:space="preserve"> </w:t>
      </w:r>
      <w:r w:rsidR="005A36BB">
        <w:rPr>
          <w:szCs w:val="18"/>
          <w:lang w:val="en-US"/>
        </w:rPr>
        <w:t>The total consumption of diesel</w:t>
      </w:r>
      <w:r w:rsidR="00927073">
        <w:rPr>
          <w:szCs w:val="18"/>
          <w:lang w:val="en-US"/>
        </w:rPr>
        <w:t xml:space="preserve"> for electricity generation</w:t>
      </w:r>
      <w:r w:rsidR="005A36BB">
        <w:rPr>
          <w:szCs w:val="18"/>
          <w:lang w:val="en-US"/>
        </w:rPr>
        <w:t xml:space="preserve"> in </w:t>
      </w:r>
      <w:r w:rsidR="0093662D">
        <w:rPr>
          <w:szCs w:val="18"/>
          <w:lang w:val="en-US"/>
        </w:rPr>
        <w:t xml:space="preserve">2020 </w:t>
      </w:r>
      <w:r w:rsidR="005A36BB">
        <w:rPr>
          <w:szCs w:val="18"/>
          <w:lang w:val="en-US"/>
        </w:rPr>
        <w:t xml:space="preserve">was </w:t>
      </w:r>
      <w:r w:rsidR="0093662D">
        <w:rPr>
          <w:szCs w:val="18"/>
          <w:lang w:val="en-US"/>
        </w:rPr>
        <w:t>1,430</w:t>
      </w:r>
      <w:r w:rsidR="007058F9">
        <w:rPr>
          <w:szCs w:val="18"/>
          <w:lang w:val="en-US"/>
        </w:rPr>
        <w:t xml:space="preserve"> TJ</w:t>
      </w:r>
      <w:r w:rsidR="00557D5C">
        <w:rPr>
          <w:szCs w:val="18"/>
          <w:lang w:val="en-US"/>
        </w:rPr>
        <w:t>.</w:t>
      </w:r>
    </w:p>
    <w:p w14:paraId="3CECECB1" w14:textId="7A2C0DE5" w:rsidR="00420536" w:rsidRDefault="449DA829" w:rsidP="00872E08">
      <w:pPr>
        <w:spacing w:line="300" w:lineRule="atLeast"/>
        <w:jc w:val="both"/>
      </w:pPr>
      <w:r>
        <w:t xml:space="preserve">There </w:t>
      </w:r>
      <w:r w:rsidR="48B9CD62">
        <w:t xml:space="preserve">are </w:t>
      </w:r>
      <w:r>
        <w:t xml:space="preserve">no dioxin emission data available for gas-fired electricity plants in New Zealand, so the UNEP Toolkit default factors </w:t>
      </w:r>
      <w:r w:rsidR="6DF83E4A">
        <w:t>have been</w:t>
      </w:r>
      <w:r>
        <w:t xml:space="preserve"> used. These make no distinction between the use of gas or oil and indicate that the only relevant release route is to air.</w:t>
      </w:r>
    </w:p>
    <w:p w14:paraId="68924AF7" w14:textId="47A6AD4B" w:rsidR="007926FB" w:rsidRDefault="00420536" w:rsidP="00420536">
      <w:pPr>
        <w:spacing w:line="300" w:lineRule="atLeast"/>
        <w:jc w:val="both"/>
        <w:rPr>
          <w:szCs w:val="18"/>
        </w:rPr>
      </w:pPr>
      <w:r>
        <w:rPr>
          <w:szCs w:val="18"/>
        </w:rPr>
        <w:t xml:space="preserve">The </w:t>
      </w:r>
      <w:r w:rsidR="007926FB">
        <w:rPr>
          <w:szCs w:val="18"/>
        </w:rPr>
        <w:t xml:space="preserve">2020 </w:t>
      </w:r>
      <w:r>
        <w:rPr>
          <w:szCs w:val="18"/>
        </w:rPr>
        <w:t>release estimates for fuel</w:t>
      </w:r>
      <w:r w:rsidR="00923579">
        <w:rPr>
          <w:szCs w:val="18"/>
        </w:rPr>
        <w:t xml:space="preserve"> oil (diesel) and natural gas</w:t>
      </w:r>
      <w:r>
        <w:rPr>
          <w:szCs w:val="18"/>
        </w:rPr>
        <w:t xml:space="preserve">-fired </w:t>
      </w:r>
      <w:r w:rsidR="00923579">
        <w:rPr>
          <w:szCs w:val="18"/>
        </w:rPr>
        <w:t>electricity generation</w:t>
      </w:r>
      <w:r>
        <w:rPr>
          <w:szCs w:val="18"/>
        </w:rPr>
        <w:t xml:space="preserve"> are shown in</w:t>
      </w:r>
      <w:r w:rsidR="004E4D2F">
        <w:rPr>
          <w:szCs w:val="18"/>
        </w:rPr>
        <w:t xml:space="preserve"> </w:t>
      </w:r>
      <w:r w:rsidR="0015580E">
        <w:rPr>
          <w:szCs w:val="18"/>
        </w:rPr>
        <w:t>T</w:t>
      </w:r>
      <w:r w:rsidR="004E4D2F">
        <w:rPr>
          <w:szCs w:val="18"/>
        </w:rPr>
        <w:t>able 5-4</w:t>
      </w:r>
      <w:r w:rsidR="001C094A">
        <w:rPr>
          <w:szCs w:val="18"/>
        </w:rPr>
        <w:t>.</w:t>
      </w:r>
    </w:p>
    <w:p w14:paraId="36B6DCC0" w14:textId="77777777" w:rsidR="007926FB" w:rsidRDefault="007926FB">
      <w:pPr>
        <w:spacing w:after="0"/>
        <w:rPr>
          <w:szCs w:val="18"/>
        </w:rPr>
      </w:pPr>
      <w:r>
        <w:rPr>
          <w:szCs w:val="18"/>
        </w:rPr>
        <w:br w:type="page"/>
      </w:r>
    </w:p>
    <w:p w14:paraId="0DBF2A16" w14:textId="54E2433A" w:rsidR="00420536" w:rsidRPr="00A117FA" w:rsidRDefault="00923579" w:rsidP="00101AA8">
      <w:pPr>
        <w:pStyle w:val="Caption"/>
        <w:jc w:val="left"/>
        <w:rPr>
          <w:rFonts w:cs="Arial"/>
          <w:szCs w:val="18"/>
        </w:rPr>
      </w:pPr>
      <w:bookmarkStart w:id="190" w:name="_Ref359737235"/>
      <w:r w:rsidRPr="00923579">
        <w:rPr>
          <w:rFonts w:cs="Arial"/>
        </w:rPr>
        <w:lastRenderedPageBreak/>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4</w:t>
      </w:r>
      <w:r w:rsidR="00C17BA5">
        <w:rPr>
          <w:rFonts w:cs="Arial"/>
        </w:rPr>
        <w:fldChar w:fldCharType="end"/>
      </w:r>
      <w:bookmarkEnd w:id="190"/>
      <w:r w:rsidR="00420536" w:rsidRPr="00A117FA">
        <w:rPr>
          <w:rFonts w:cs="Arial"/>
        </w:rPr>
        <w:t xml:space="preserve">: </w:t>
      </w:r>
      <w:r w:rsidR="007908AA">
        <w:rPr>
          <w:rFonts w:cs="Arial"/>
        </w:rPr>
        <w:t>Dioxin</w:t>
      </w:r>
      <w:r w:rsidR="00420536" w:rsidRPr="00A117FA">
        <w:rPr>
          <w:rFonts w:cs="Arial"/>
        </w:rPr>
        <w:t xml:space="preserve"> releases from </w:t>
      </w:r>
      <w:r>
        <w:rPr>
          <w:rFonts w:cs="Arial"/>
        </w:rPr>
        <w:t>fuel oil and natural gas</w:t>
      </w:r>
      <w:r w:rsidR="00420536">
        <w:rPr>
          <w:rFonts w:cs="Arial"/>
        </w:rPr>
        <w:t xml:space="preserve">-fired </w:t>
      </w:r>
      <w:r>
        <w:rPr>
          <w:rFonts w:cs="Arial"/>
        </w:rPr>
        <w:t>electricity generation</w:t>
      </w:r>
    </w:p>
    <w:tbl>
      <w:tblPr>
        <w:tblStyle w:val="TableGrid"/>
        <w:tblW w:w="0" w:type="auto"/>
        <w:tblLook w:val="04A0" w:firstRow="1" w:lastRow="0" w:firstColumn="1" w:lastColumn="0" w:noHBand="0" w:noVBand="1"/>
      </w:tblPr>
      <w:tblGrid>
        <w:gridCol w:w="807"/>
        <w:gridCol w:w="2615"/>
        <w:gridCol w:w="2882"/>
        <w:gridCol w:w="2757"/>
      </w:tblGrid>
      <w:tr w:rsidR="00420536" w:rsidRPr="00956589" w14:paraId="5AA26F45" w14:textId="77777777" w:rsidTr="00944F46">
        <w:tc>
          <w:tcPr>
            <w:tcW w:w="807" w:type="dxa"/>
            <w:vMerge w:val="restart"/>
            <w:vAlign w:val="center"/>
          </w:tcPr>
          <w:p w14:paraId="79BE3EEB" w14:textId="77777777" w:rsidR="00420536" w:rsidRPr="00956589" w:rsidRDefault="00420536" w:rsidP="006C3A3C">
            <w:pPr>
              <w:spacing w:before="120"/>
              <w:jc w:val="center"/>
              <w:rPr>
                <w:rFonts w:ascii="Arial" w:hAnsi="Arial" w:cs="Arial"/>
                <w:b/>
                <w:sz w:val="16"/>
                <w:szCs w:val="18"/>
              </w:rPr>
            </w:pPr>
            <w:r w:rsidRPr="00956589">
              <w:rPr>
                <w:rFonts w:ascii="Arial" w:hAnsi="Arial" w:cs="Arial"/>
                <w:b/>
                <w:sz w:val="16"/>
                <w:szCs w:val="18"/>
              </w:rPr>
              <w:t>Year</w:t>
            </w:r>
          </w:p>
        </w:tc>
        <w:tc>
          <w:tcPr>
            <w:tcW w:w="2615" w:type="dxa"/>
            <w:vMerge w:val="restart"/>
            <w:vAlign w:val="center"/>
          </w:tcPr>
          <w:p w14:paraId="1280AEAA" w14:textId="74050D6F" w:rsidR="00420536" w:rsidRPr="00956589" w:rsidRDefault="00420536" w:rsidP="0015580E">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(TJ of fuel/year)</w:t>
            </w:r>
          </w:p>
        </w:tc>
        <w:tc>
          <w:tcPr>
            <w:tcW w:w="2882" w:type="dxa"/>
            <w:vAlign w:val="center"/>
          </w:tcPr>
          <w:p w14:paraId="6DB97BCF" w14:textId="00E146A0" w:rsidR="00420536" w:rsidRPr="00956589" w:rsidRDefault="00420536" w:rsidP="0015580E">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 xml:space="preserve">/TJ of </w:t>
            </w:r>
            <w:r w:rsidR="0015580E">
              <w:rPr>
                <w:rFonts w:ascii="Arial" w:hAnsi="Arial" w:cs="Arial"/>
                <w:b/>
                <w:sz w:val="16"/>
                <w:szCs w:val="18"/>
              </w:rPr>
              <w:t>fuel</w:t>
            </w:r>
            <w:r>
              <w:rPr>
                <w:rFonts w:ascii="Arial" w:hAnsi="Arial" w:cs="Arial"/>
                <w:b/>
                <w:sz w:val="16"/>
                <w:szCs w:val="18"/>
              </w:rPr>
              <w:t>)</w:t>
            </w:r>
          </w:p>
        </w:tc>
        <w:tc>
          <w:tcPr>
            <w:tcW w:w="2757" w:type="dxa"/>
            <w:vAlign w:val="center"/>
          </w:tcPr>
          <w:p w14:paraId="7FCF9C0C" w14:textId="503ECEBD" w:rsidR="00420536" w:rsidRPr="00956589" w:rsidRDefault="00420536" w:rsidP="006C3A3C">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420536" w:rsidRPr="00956589" w14:paraId="0D47C14A" w14:textId="77777777" w:rsidTr="00E95BD6">
        <w:tc>
          <w:tcPr>
            <w:tcW w:w="807" w:type="dxa"/>
            <w:vMerge/>
          </w:tcPr>
          <w:p w14:paraId="24938E19" w14:textId="77777777" w:rsidR="00420536" w:rsidRPr="00956589" w:rsidRDefault="00420536" w:rsidP="006C3A3C">
            <w:pPr>
              <w:spacing w:before="120"/>
              <w:jc w:val="both"/>
              <w:rPr>
                <w:rFonts w:ascii="Arial" w:hAnsi="Arial" w:cs="Arial"/>
                <w:sz w:val="16"/>
                <w:szCs w:val="18"/>
              </w:rPr>
            </w:pPr>
          </w:p>
        </w:tc>
        <w:tc>
          <w:tcPr>
            <w:tcW w:w="2615" w:type="dxa"/>
            <w:vMerge/>
            <w:vAlign w:val="center"/>
          </w:tcPr>
          <w:p w14:paraId="4BBF1B5D" w14:textId="77777777" w:rsidR="00420536" w:rsidRPr="00956589" w:rsidRDefault="00420536" w:rsidP="006C3A3C">
            <w:pPr>
              <w:spacing w:before="120"/>
              <w:jc w:val="center"/>
              <w:rPr>
                <w:rFonts w:ascii="Arial" w:hAnsi="Arial" w:cs="Arial"/>
                <w:sz w:val="16"/>
                <w:szCs w:val="18"/>
              </w:rPr>
            </w:pPr>
          </w:p>
        </w:tc>
        <w:tc>
          <w:tcPr>
            <w:tcW w:w="2882" w:type="dxa"/>
            <w:vAlign w:val="center"/>
          </w:tcPr>
          <w:p w14:paraId="7D89A728" w14:textId="77777777" w:rsidR="00420536" w:rsidRPr="00956589" w:rsidRDefault="00420536" w:rsidP="006C3A3C">
            <w:pPr>
              <w:spacing w:before="120"/>
              <w:jc w:val="center"/>
              <w:rPr>
                <w:rFonts w:ascii="Arial" w:hAnsi="Arial" w:cs="Arial"/>
                <w:b/>
                <w:sz w:val="16"/>
                <w:szCs w:val="18"/>
              </w:rPr>
            </w:pPr>
            <w:r w:rsidRPr="00956589">
              <w:rPr>
                <w:rFonts w:ascii="Arial" w:hAnsi="Arial" w:cs="Arial"/>
                <w:b/>
                <w:sz w:val="16"/>
                <w:szCs w:val="18"/>
              </w:rPr>
              <w:t>Air</w:t>
            </w:r>
          </w:p>
        </w:tc>
        <w:tc>
          <w:tcPr>
            <w:tcW w:w="2757" w:type="dxa"/>
            <w:vAlign w:val="center"/>
          </w:tcPr>
          <w:p w14:paraId="24DEAAB6" w14:textId="77777777" w:rsidR="00420536" w:rsidRPr="00956589" w:rsidRDefault="00420536" w:rsidP="006C3A3C">
            <w:pPr>
              <w:spacing w:before="120"/>
              <w:jc w:val="center"/>
              <w:rPr>
                <w:rFonts w:ascii="Arial" w:hAnsi="Arial" w:cs="Arial"/>
                <w:b/>
                <w:sz w:val="16"/>
                <w:szCs w:val="18"/>
              </w:rPr>
            </w:pPr>
            <w:r>
              <w:rPr>
                <w:rFonts w:ascii="Arial" w:hAnsi="Arial" w:cs="Arial"/>
                <w:b/>
                <w:sz w:val="16"/>
                <w:szCs w:val="18"/>
              </w:rPr>
              <w:t>Air</w:t>
            </w:r>
          </w:p>
        </w:tc>
      </w:tr>
      <w:tr w:rsidR="00923579" w:rsidRPr="00956589" w14:paraId="6E341D9C" w14:textId="77777777" w:rsidTr="00E95BD6">
        <w:tc>
          <w:tcPr>
            <w:tcW w:w="807" w:type="dxa"/>
            <w:vAlign w:val="center"/>
          </w:tcPr>
          <w:p w14:paraId="14CEFE11" w14:textId="2AFEF39A" w:rsidR="00923579" w:rsidRPr="00956589" w:rsidRDefault="00251E8A" w:rsidP="006C3A3C">
            <w:pPr>
              <w:spacing w:before="120"/>
              <w:rPr>
                <w:rFonts w:ascii="Arial" w:hAnsi="Arial" w:cs="Arial"/>
                <w:b/>
                <w:sz w:val="16"/>
                <w:szCs w:val="18"/>
              </w:rPr>
            </w:pPr>
            <w:r>
              <w:rPr>
                <w:rFonts w:ascii="Arial" w:hAnsi="Arial" w:cs="Arial"/>
                <w:b/>
                <w:sz w:val="16"/>
                <w:szCs w:val="18"/>
              </w:rPr>
              <w:t>2012</w:t>
            </w:r>
          </w:p>
        </w:tc>
        <w:tc>
          <w:tcPr>
            <w:tcW w:w="2615" w:type="dxa"/>
            <w:vAlign w:val="center"/>
          </w:tcPr>
          <w:p w14:paraId="63F57EE8" w14:textId="11D4188A" w:rsidR="00923579" w:rsidRDefault="00251E8A" w:rsidP="006C3A3C">
            <w:pPr>
              <w:spacing w:before="120"/>
              <w:jc w:val="center"/>
              <w:rPr>
                <w:rFonts w:ascii="Arial" w:hAnsi="Arial" w:cs="Arial"/>
                <w:sz w:val="16"/>
                <w:szCs w:val="18"/>
              </w:rPr>
            </w:pPr>
            <w:r>
              <w:rPr>
                <w:rFonts w:ascii="Arial" w:hAnsi="Arial" w:cs="Arial"/>
                <w:sz w:val="16"/>
                <w:szCs w:val="18"/>
              </w:rPr>
              <w:t>72,190</w:t>
            </w:r>
          </w:p>
        </w:tc>
        <w:tc>
          <w:tcPr>
            <w:tcW w:w="2882" w:type="dxa"/>
            <w:vAlign w:val="center"/>
          </w:tcPr>
          <w:p w14:paraId="5C1274FA" w14:textId="10BE2573" w:rsidR="00923579" w:rsidRDefault="00251E8A"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4B1E8DD6" w14:textId="69AF72E8" w:rsidR="00923579" w:rsidRDefault="00251E8A" w:rsidP="006C3A3C">
            <w:pPr>
              <w:spacing w:before="120"/>
              <w:jc w:val="center"/>
              <w:rPr>
                <w:rFonts w:ascii="Arial" w:hAnsi="Arial" w:cs="Arial"/>
                <w:sz w:val="16"/>
                <w:szCs w:val="18"/>
              </w:rPr>
            </w:pPr>
            <w:r>
              <w:rPr>
                <w:rFonts w:ascii="Arial" w:hAnsi="Arial" w:cs="Arial"/>
                <w:sz w:val="16"/>
                <w:szCs w:val="18"/>
              </w:rPr>
              <w:t>0.036</w:t>
            </w:r>
          </w:p>
        </w:tc>
      </w:tr>
      <w:tr w:rsidR="00251E8A" w:rsidRPr="00956589" w14:paraId="16EB4F3D" w14:textId="77777777" w:rsidTr="00E95BD6">
        <w:tc>
          <w:tcPr>
            <w:tcW w:w="807" w:type="dxa"/>
            <w:vAlign w:val="center"/>
          </w:tcPr>
          <w:p w14:paraId="6060E5D4" w14:textId="011C308F" w:rsidR="00251E8A" w:rsidRPr="00956589" w:rsidRDefault="00251E8A" w:rsidP="006C3A3C">
            <w:pPr>
              <w:spacing w:before="120"/>
              <w:rPr>
                <w:rFonts w:ascii="Arial" w:hAnsi="Arial" w:cs="Arial"/>
                <w:b/>
                <w:sz w:val="16"/>
                <w:szCs w:val="18"/>
              </w:rPr>
            </w:pPr>
            <w:r>
              <w:rPr>
                <w:rFonts w:ascii="Arial" w:hAnsi="Arial" w:cs="Arial"/>
                <w:b/>
                <w:sz w:val="16"/>
                <w:szCs w:val="18"/>
              </w:rPr>
              <w:t>2016</w:t>
            </w:r>
          </w:p>
        </w:tc>
        <w:tc>
          <w:tcPr>
            <w:tcW w:w="2615" w:type="dxa"/>
            <w:vAlign w:val="center"/>
          </w:tcPr>
          <w:p w14:paraId="005DCF1C" w14:textId="05BB971F" w:rsidR="00251E8A" w:rsidRPr="00956589" w:rsidRDefault="00251E8A" w:rsidP="006C3A3C">
            <w:pPr>
              <w:spacing w:before="120"/>
              <w:jc w:val="center"/>
              <w:rPr>
                <w:rFonts w:ascii="Arial" w:hAnsi="Arial" w:cs="Arial"/>
                <w:sz w:val="16"/>
                <w:szCs w:val="18"/>
              </w:rPr>
            </w:pPr>
            <w:r>
              <w:rPr>
                <w:rFonts w:ascii="Arial" w:hAnsi="Arial" w:cs="Arial"/>
                <w:sz w:val="16"/>
                <w:szCs w:val="18"/>
              </w:rPr>
              <w:t>56,380</w:t>
            </w:r>
          </w:p>
        </w:tc>
        <w:tc>
          <w:tcPr>
            <w:tcW w:w="2882" w:type="dxa"/>
            <w:vAlign w:val="center"/>
          </w:tcPr>
          <w:p w14:paraId="29DF1786" w14:textId="2949926B" w:rsidR="00251E8A" w:rsidRPr="00956589" w:rsidRDefault="00251E8A"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6E964BEA" w14:textId="65CFFA19" w:rsidR="00251E8A" w:rsidRPr="00956589" w:rsidRDefault="00251E8A" w:rsidP="006C3A3C">
            <w:pPr>
              <w:spacing w:before="120"/>
              <w:jc w:val="center"/>
              <w:rPr>
                <w:rFonts w:ascii="Arial" w:hAnsi="Arial" w:cs="Arial"/>
                <w:sz w:val="16"/>
                <w:szCs w:val="18"/>
              </w:rPr>
            </w:pPr>
            <w:r>
              <w:rPr>
                <w:rFonts w:ascii="Arial" w:hAnsi="Arial" w:cs="Arial"/>
                <w:sz w:val="16"/>
                <w:szCs w:val="18"/>
              </w:rPr>
              <w:t>0.028</w:t>
            </w:r>
          </w:p>
        </w:tc>
      </w:tr>
      <w:tr w:rsidR="007926FB" w:rsidRPr="00956589" w14:paraId="7870B492" w14:textId="77777777" w:rsidTr="00E95BD6">
        <w:tc>
          <w:tcPr>
            <w:tcW w:w="807" w:type="dxa"/>
            <w:vAlign w:val="center"/>
          </w:tcPr>
          <w:p w14:paraId="0CD62654" w14:textId="04FED66E" w:rsidR="007926FB" w:rsidRDefault="007926FB" w:rsidP="006C3A3C">
            <w:pPr>
              <w:spacing w:before="120"/>
              <w:rPr>
                <w:rFonts w:ascii="Arial" w:hAnsi="Arial" w:cs="Arial"/>
                <w:b/>
                <w:sz w:val="16"/>
                <w:szCs w:val="18"/>
              </w:rPr>
            </w:pPr>
            <w:r>
              <w:rPr>
                <w:rFonts w:ascii="Arial" w:hAnsi="Arial" w:cs="Arial"/>
                <w:b/>
                <w:sz w:val="16"/>
                <w:szCs w:val="18"/>
              </w:rPr>
              <w:t>2020</w:t>
            </w:r>
          </w:p>
        </w:tc>
        <w:tc>
          <w:tcPr>
            <w:tcW w:w="2615" w:type="dxa"/>
            <w:vAlign w:val="center"/>
          </w:tcPr>
          <w:p w14:paraId="0E89185F" w14:textId="0452883F" w:rsidR="007926FB" w:rsidRDefault="007926FB" w:rsidP="006C3A3C">
            <w:pPr>
              <w:spacing w:before="120"/>
              <w:jc w:val="center"/>
              <w:rPr>
                <w:rFonts w:ascii="Arial" w:hAnsi="Arial" w:cs="Arial"/>
                <w:sz w:val="16"/>
                <w:szCs w:val="18"/>
              </w:rPr>
            </w:pPr>
            <w:r>
              <w:rPr>
                <w:rFonts w:ascii="Arial" w:hAnsi="Arial" w:cs="Arial"/>
                <w:sz w:val="16"/>
                <w:szCs w:val="18"/>
              </w:rPr>
              <w:t>42,620</w:t>
            </w:r>
          </w:p>
        </w:tc>
        <w:tc>
          <w:tcPr>
            <w:tcW w:w="2882" w:type="dxa"/>
            <w:vAlign w:val="center"/>
          </w:tcPr>
          <w:p w14:paraId="3C789C4D" w14:textId="3E2F6333" w:rsidR="007926FB" w:rsidRDefault="007926FB"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7A10FAC1" w14:textId="0BC375FF" w:rsidR="007926FB" w:rsidRDefault="0069631E" w:rsidP="006C3A3C">
            <w:pPr>
              <w:spacing w:before="120"/>
              <w:jc w:val="center"/>
              <w:rPr>
                <w:rFonts w:ascii="Arial" w:hAnsi="Arial" w:cs="Arial"/>
                <w:sz w:val="16"/>
                <w:szCs w:val="18"/>
              </w:rPr>
            </w:pPr>
            <w:r>
              <w:rPr>
                <w:rFonts w:ascii="Arial" w:hAnsi="Arial" w:cs="Arial"/>
                <w:sz w:val="16"/>
                <w:szCs w:val="18"/>
              </w:rPr>
              <w:t>0.021</w:t>
            </w:r>
          </w:p>
        </w:tc>
      </w:tr>
    </w:tbl>
    <w:p w14:paraId="5C4B9B1E" w14:textId="51BE6DE5" w:rsidR="00420536" w:rsidRPr="00080C09" w:rsidRDefault="00420536" w:rsidP="00420536">
      <w:pPr>
        <w:tabs>
          <w:tab w:val="left" w:pos="2760"/>
        </w:tabs>
        <w:spacing w:before="120" w:line="300" w:lineRule="atLeast"/>
        <w:jc w:val="both"/>
        <w:rPr>
          <w:rFonts w:ascii="Arial" w:hAnsi="Arial" w:cs="Arial"/>
          <w:b/>
          <w:szCs w:val="18"/>
        </w:rPr>
      </w:pPr>
      <w:r w:rsidRPr="00080C09">
        <w:rPr>
          <w:rFonts w:ascii="Arial" w:hAnsi="Arial" w:cs="Arial"/>
          <w:b/>
          <w:szCs w:val="18"/>
        </w:rPr>
        <w:t>Certainty assessment for 20</w:t>
      </w:r>
      <w:r w:rsidR="0069631E">
        <w:rPr>
          <w:rFonts w:ascii="Arial" w:hAnsi="Arial" w:cs="Arial"/>
          <w:b/>
          <w:szCs w:val="18"/>
        </w:rPr>
        <w:t>20</w:t>
      </w:r>
    </w:p>
    <w:p w14:paraId="5B8AC46F" w14:textId="77777777" w:rsidR="00420536" w:rsidRDefault="00420536" w:rsidP="00420536">
      <w:pPr>
        <w:tabs>
          <w:tab w:val="left" w:pos="1701"/>
        </w:tabs>
        <w:spacing w:after="0" w:line="300" w:lineRule="atLeast"/>
        <w:jc w:val="both"/>
        <w:rPr>
          <w:szCs w:val="18"/>
        </w:rPr>
      </w:pPr>
      <w:r>
        <w:rPr>
          <w:szCs w:val="18"/>
        </w:rPr>
        <w:t xml:space="preserve">Activity data: </w:t>
      </w:r>
      <w:r>
        <w:rPr>
          <w:szCs w:val="18"/>
        </w:rPr>
        <w:tab/>
        <w:t>High (because it is based on actual fuel consumption data)</w:t>
      </w:r>
    </w:p>
    <w:p w14:paraId="759EBDCC" w14:textId="77777777" w:rsidR="00420536" w:rsidRDefault="00420536" w:rsidP="00420536">
      <w:pPr>
        <w:tabs>
          <w:tab w:val="left" w:pos="1701"/>
        </w:tabs>
        <w:spacing w:line="300" w:lineRule="atLeast"/>
        <w:ind w:left="1701" w:hanging="1701"/>
        <w:jc w:val="both"/>
        <w:rPr>
          <w:szCs w:val="18"/>
        </w:rPr>
      </w:pPr>
      <w:r>
        <w:rPr>
          <w:szCs w:val="18"/>
        </w:rPr>
        <w:t xml:space="preserve">Emission factor: </w:t>
      </w:r>
      <w:r>
        <w:rPr>
          <w:szCs w:val="18"/>
        </w:rPr>
        <w:tab/>
        <w:t>Low (</w:t>
      </w:r>
      <w:r w:rsidRPr="00944DCC">
        <w:rPr>
          <w:szCs w:val="18"/>
        </w:rPr>
        <w:t xml:space="preserve">because </w:t>
      </w:r>
      <w:r>
        <w:rPr>
          <w:szCs w:val="18"/>
        </w:rPr>
        <w:t>it is based on the Toolkit default factors)</w:t>
      </w:r>
    </w:p>
    <w:p w14:paraId="1EC68154" w14:textId="77777777" w:rsidR="00923579" w:rsidRPr="00923579" w:rsidRDefault="00923579" w:rsidP="009048D3">
      <w:pPr>
        <w:spacing w:line="300" w:lineRule="atLeast"/>
        <w:jc w:val="both"/>
        <w:rPr>
          <w:rFonts w:ascii="Arial" w:hAnsi="Arial" w:cs="Arial"/>
          <w:b/>
          <w:szCs w:val="18"/>
        </w:rPr>
      </w:pPr>
      <w:r w:rsidRPr="00923579">
        <w:rPr>
          <w:rFonts w:ascii="Arial" w:hAnsi="Arial" w:cs="Arial"/>
          <w:b/>
          <w:szCs w:val="18"/>
        </w:rPr>
        <w:t>Industrial/commercial fue</w:t>
      </w:r>
      <w:r w:rsidR="00445442">
        <w:rPr>
          <w:rFonts w:ascii="Arial" w:hAnsi="Arial" w:cs="Arial"/>
          <w:b/>
          <w:szCs w:val="18"/>
        </w:rPr>
        <w:t>l oil and gas-fired power plant</w:t>
      </w:r>
      <w:r w:rsidR="001B37E4">
        <w:rPr>
          <w:rFonts w:ascii="Arial" w:hAnsi="Arial" w:cs="Arial"/>
          <w:b/>
          <w:szCs w:val="18"/>
        </w:rPr>
        <w:t>s</w:t>
      </w:r>
    </w:p>
    <w:p w14:paraId="405C244B" w14:textId="5C379956" w:rsidR="00C94E66" w:rsidRPr="00C94E66" w:rsidRDefault="00C94E66" w:rsidP="00C94E66">
      <w:pPr>
        <w:spacing w:line="300" w:lineRule="atLeast"/>
        <w:jc w:val="both"/>
        <w:rPr>
          <w:szCs w:val="18"/>
        </w:rPr>
      </w:pPr>
      <w:r w:rsidRPr="00C94E66">
        <w:rPr>
          <w:szCs w:val="18"/>
        </w:rPr>
        <w:t xml:space="preserve">The major </w:t>
      </w:r>
      <w:r>
        <w:rPr>
          <w:szCs w:val="18"/>
        </w:rPr>
        <w:t>industrial</w:t>
      </w:r>
      <w:r w:rsidRPr="00C94E66">
        <w:rPr>
          <w:szCs w:val="18"/>
        </w:rPr>
        <w:t xml:space="preserve"> uses </w:t>
      </w:r>
      <w:r>
        <w:rPr>
          <w:szCs w:val="18"/>
        </w:rPr>
        <w:t>of fuel oil (di</w:t>
      </w:r>
      <w:r w:rsidR="00DE701C">
        <w:rPr>
          <w:szCs w:val="18"/>
        </w:rPr>
        <w:t xml:space="preserve">esel), LPG and natural gas </w:t>
      </w:r>
      <w:r w:rsidRPr="00C94E66">
        <w:rPr>
          <w:szCs w:val="18"/>
        </w:rPr>
        <w:t xml:space="preserve">are in dairy factories, </w:t>
      </w:r>
      <w:r w:rsidR="00DE701C">
        <w:rPr>
          <w:szCs w:val="18"/>
        </w:rPr>
        <w:t>meat processing</w:t>
      </w:r>
      <w:r w:rsidR="00294C55">
        <w:rPr>
          <w:szCs w:val="18"/>
        </w:rPr>
        <w:t xml:space="preserve"> plants</w:t>
      </w:r>
      <w:r w:rsidR="00DE701C">
        <w:rPr>
          <w:szCs w:val="18"/>
        </w:rPr>
        <w:t>, pulp and paper and other wood processing industries</w:t>
      </w:r>
      <w:r w:rsidRPr="00C94E66">
        <w:rPr>
          <w:szCs w:val="18"/>
        </w:rPr>
        <w:t>, and steel manufacture.</w:t>
      </w:r>
      <w:r>
        <w:rPr>
          <w:szCs w:val="18"/>
        </w:rPr>
        <w:t xml:space="preserve"> However, there are also numerous small boilers found in industrial/commercial businesses</w:t>
      </w:r>
      <w:r w:rsidR="00C817B6">
        <w:rPr>
          <w:szCs w:val="18"/>
        </w:rPr>
        <w:t>,</w:t>
      </w:r>
      <w:r>
        <w:rPr>
          <w:szCs w:val="18"/>
        </w:rPr>
        <w:t xml:space="preserve"> and institutions, such as schools and hospitals.</w:t>
      </w:r>
    </w:p>
    <w:p w14:paraId="29E9349A" w14:textId="0983F339" w:rsidR="00C94E66" w:rsidRPr="00C94E66" w:rsidRDefault="00C94E66" w:rsidP="00C94E66">
      <w:pPr>
        <w:spacing w:line="300" w:lineRule="atLeast"/>
        <w:jc w:val="both"/>
        <w:rPr>
          <w:szCs w:val="18"/>
          <w:lang w:val="en-US"/>
        </w:rPr>
      </w:pPr>
      <w:r>
        <w:rPr>
          <w:szCs w:val="18"/>
          <w:lang w:val="en-US"/>
        </w:rPr>
        <w:t>The i</w:t>
      </w:r>
      <w:r w:rsidRPr="00C94E66">
        <w:rPr>
          <w:szCs w:val="18"/>
          <w:lang w:val="en-US"/>
        </w:rPr>
        <w:t xml:space="preserve">ndustrial and commercial consumption of natural gas (excluding electricity generation) accounted for </w:t>
      </w:r>
      <w:r w:rsidR="0069631E">
        <w:rPr>
          <w:szCs w:val="18"/>
          <w:lang w:val="en-US"/>
        </w:rPr>
        <w:t xml:space="preserve">69,970 </w:t>
      </w:r>
      <w:r w:rsidR="00C817B6">
        <w:rPr>
          <w:szCs w:val="18"/>
          <w:lang w:val="en-US"/>
        </w:rPr>
        <w:t>TJ</w:t>
      </w:r>
      <w:r w:rsidRPr="00C94E66">
        <w:rPr>
          <w:szCs w:val="18"/>
          <w:lang w:val="en-US"/>
        </w:rPr>
        <w:t xml:space="preserve"> of energy in 2</w:t>
      </w:r>
      <w:r w:rsidR="0069631E">
        <w:rPr>
          <w:szCs w:val="18"/>
          <w:lang w:val="en-US"/>
        </w:rPr>
        <w:t>020</w:t>
      </w:r>
      <w:r w:rsidR="003E6BEA">
        <w:rPr>
          <w:szCs w:val="18"/>
          <w:lang w:val="en-US"/>
        </w:rPr>
        <w:t xml:space="preserve"> </w:t>
      </w:r>
      <w:r w:rsidR="0069631E" w:rsidRPr="00F1175E">
        <w:rPr>
          <w:noProof/>
          <w:szCs w:val="18"/>
        </w:rPr>
        <w:t xml:space="preserve">(Ministry of Business Innovation and Employment, </w:t>
      </w:r>
      <w:r w:rsidR="0069631E">
        <w:rPr>
          <w:noProof/>
          <w:szCs w:val="18"/>
        </w:rPr>
        <w:t>2021</w:t>
      </w:r>
      <w:r w:rsidR="0069631E" w:rsidRPr="00F1175E">
        <w:rPr>
          <w:noProof/>
          <w:szCs w:val="18"/>
        </w:rPr>
        <w:t>)</w:t>
      </w:r>
      <w:r w:rsidRPr="00C94E66">
        <w:rPr>
          <w:szCs w:val="18"/>
          <w:lang w:val="en-US"/>
        </w:rPr>
        <w:t xml:space="preserve">. </w:t>
      </w:r>
      <w:r w:rsidR="00DE701C">
        <w:rPr>
          <w:szCs w:val="18"/>
          <w:lang w:val="en-US"/>
        </w:rPr>
        <w:t>In addition, the i</w:t>
      </w:r>
      <w:r w:rsidRPr="00C94E66">
        <w:rPr>
          <w:szCs w:val="18"/>
          <w:lang w:val="en-US"/>
        </w:rPr>
        <w:t>ndustrial and commercial use</w:t>
      </w:r>
      <w:r w:rsidR="00DE701C">
        <w:rPr>
          <w:szCs w:val="18"/>
          <w:lang w:val="en-US"/>
        </w:rPr>
        <w:t>s</w:t>
      </w:r>
      <w:r w:rsidRPr="00C94E66">
        <w:rPr>
          <w:szCs w:val="18"/>
          <w:lang w:val="en-US"/>
        </w:rPr>
        <w:t xml:space="preserve"> of LPG </w:t>
      </w:r>
      <w:r w:rsidR="00DE701C">
        <w:rPr>
          <w:szCs w:val="18"/>
          <w:lang w:val="en-US"/>
        </w:rPr>
        <w:t>were</w:t>
      </w:r>
      <w:r w:rsidRPr="00C94E66">
        <w:rPr>
          <w:szCs w:val="18"/>
          <w:lang w:val="en-US"/>
        </w:rPr>
        <w:t xml:space="preserve"> </w:t>
      </w:r>
      <w:r w:rsidR="0069631E">
        <w:rPr>
          <w:szCs w:val="18"/>
          <w:lang w:val="en-US"/>
        </w:rPr>
        <w:t>5390</w:t>
      </w:r>
      <w:r w:rsidR="00C817B6">
        <w:rPr>
          <w:szCs w:val="18"/>
          <w:lang w:val="en-US"/>
        </w:rPr>
        <w:t xml:space="preserve"> TJ</w:t>
      </w:r>
      <w:r w:rsidRPr="00C94E66">
        <w:rPr>
          <w:szCs w:val="18"/>
          <w:lang w:val="en-US"/>
        </w:rPr>
        <w:t xml:space="preserve">, half of which has been assumed to be used in heat-raising appliances. </w:t>
      </w:r>
      <w:r w:rsidR="00AA3644">
        <w:rPr>
          <w:szCs w:val="18"/>
          <w:lang w:val="en-US"/>
        </w:rPr>
        <w:t>The industrial sector has been growing rapidly since 2006, primarily being driven by growth in chemical manufacturing and food processing.</w:t>
      </w:r>
    </w:p>
    <w:p w14:paraId="7293CC3D" w14:textId="087342B3" w:rsidR="00C94E66" w:rsidRPr="00C94E66" w:rsidRDefault="17084B5C" w:rsidP="0C34660A">
      <w:pPr>
        <w:spacing w:line="300" w:lineRule="atLeast"/>
        <w:jc w:val="both"/>
        <w:rPr>
          <w:lang w:val="en-US"/>
        </w:rPr>
      </w:pPr>
      <w:r w:rsidRPr="0C34660A">
        <w:rPr>
          <w:lang w:val="en-US"/>
        </w:rPr>
        <w:t>The i</w:t>
      </w:r>
      <w:r w:rsidR="3B4E27EA" w:rsidRPr="0C34660A">
        <w:rPr>
          <w:lang w:val="en-US"/>
        </w:rPr>
        <w:t>ndustrial and commercial combustion of diesel in boilers is not easily distinguished from that used in stationary combustion engines</w:t>
      </w:r>
      <w:r w:rsidR="00DE701C" w:rsidRPr="0C34660A">
        <w:rPr>
          <w:rStyle w:val="FootnoteReference"/>
          <w:lang w:val="en-US"/>
        </w:rPr>
        <w:footnoteReference w:id="4"/>
      </w:r>
      <w:r w:rsidRPr="0C34660A">
        <w:rPr>
          <w:lang w:val="en-US"/>
        </w:rPr>
        <w:t xml:space="preserve"> </w:t>
      </w:r>
      <w:bookmarkStart w:id="191" w:name="_Int_mkNbiYnm"/>
      <w:proofErr w:type="gramStart"/>
      <w:r w:rsidR="3B4E27EA" w:rsidRPr="0C34660A">
        <w:rPr>
          <w:lang w:val="en-US"/>
        </w:rPr>
        <w:t>on the basis of</w:t>
      </w:r>
      <w:bookmarkEnd w:id="191"/>
      <w:proofErr w:type="gramEnd"/>
      <w:r w:rsidR="3B4E27EA" w:rsidRPr="0C34660A">
        <w:rPr>
          <w:lang w:val="en-US"/>
        </w:rPr>
        <w:t xml:space="preserve"> the available statistical information. An estimate of the heat produced by </w:t>
      </w:r>
      <w:r w:rsidRPr="0C34660A">
        <w:rPr>
          <w:lang w:val="en-US"/>
        </w:rPr>
        <w:t xml:space="preserve">diesel-fired </w:t>
      </w:r>
      <w:r w:rsidR="3B4E27EA" w:rsidRPr="0C34660A">
        <w:rPr>
          <w:lang w:val="en-US"/>
        </w:rPr>
        <w:t xml:space="preserve">boilers has been made using </w:t>
      </w:r>
      <w:r w:rsidRPr="0C34660A">
        <w:rPr>
          <w:lang w:val="en-US"/>
        </w:rPr>
        <w:t>the plant</w:t>
      </w:r>
      <w:r w:rsidR="3B4E27EA" w:rsidRPr="0C34660A">
        <w:rPr>
          <w:lang w:val="en-US"/>
        </w:rPr>
        <w:t xml:space="preserve"> capacities recorded in the </w:t>
      </w:r>
      <w:r w:rsidRPr="0C34660A">
        <w:rPr>
          <w:lang w:val="en-US"/>
        </w:rPr>
        <w:t>Heat Plant Database</w:t>
      </w:r>
      <w:r w:rsidR="50AF3356" w:rsidRPr="0C34660A">
        <w:rPr>
          <w:lang w:val="en-US"/>
        </w:rPr>
        <w:t xml:space="preserve"> </w:t>
      </w:r>
      <w:sdt>
        <w:sdtPr>
          <w:rPr>
            <w:lang w:val="en-US"/>
          </w:rPr>
          <w:id w:val="2110547487"/>
          <w:lock w:val="contentLocked"/>
          <w:placeholder>
            <w:docPart w:val="DefaultPlaceholder_1081868574"/>
          </w:placeholder>
          <w:citation/>
        </w:sdtPr>
        <w:sdtEndPr/>
        <w:sdtContent>
          <w:r w:rsidR="003E6BEA" w:rsidRPr="0C34660A">
            <w:rPr>
              <w:lang w:val="en-US"/>
            </w:rPr>
            <w:fldChar w:fldCharType="begin"/>
          </w:r>
          <w:r w:rsidR="003E6BEA">
            <w:rPr>
              <w:szCs w:val="18"/>
            </w:rPr>
            <w:instrText xml:space="preserve"> CITATION CRL2011 \l 5129 </w:instrText>
          </w:r>
          <w:r w:rsidR="003E6BEA" w:rsidRPr="0C34660A">
            <w:rPr>
              <w:lang w:val="en-US"/>
            </w:rPr>
            <w:fldChar w:fldCharType="separate"/>
          </w:r>
          <w:r w:rsidR="25EC959F" w:rsidRPr="0C34660A">
            <w:rPr>
              <w:noProof/>
            </w:rPr>
            <w:t>(CRL Energy, 2011)</w:t>
          </w:r>
          <w:r w:rsidR="003E6BEA" w:rsidRPr="0C34660A">
            <w:rPr>
              <w:lang w:val="en-US"/>
            </w:rPr>
            <w:fldChar w:fldCharType="end"/>
          </w:r>
        </w:sdtContent>
      </w:sdt>
      <w:r w:rsidRPr="0C34660A">
        <w:rPr>
          <w:lang w:val="en-US"/>
        </w:rPr>
        <w:t xml:space="preserve">. The </w:t>
      </w:r>
      <w:r w:rsidR="3B4E27EA" w:rsidRPr="0C34660A">
        <w:rPr>
          <w:lang w:val="en-US"/>
        </w:rPr>
        <w:t xml:space="preserve">total </w:t>
      </w:r>
      <w:r w:rsidRPr="0C34660A">
        <w:rPr>
          <w:lang w:val="en-US"/>
        </w:rPr>
        <w:t xml:space="preserve">installed </w:t>
      </w:r>
      <w:r w:rsidR="3B4E27EA" w:rsidRPr="0C34660A">
        <w:rPr>
          <w:lang w:val="en-US"/>
        </w:rPr>
        <w:t xml:space="preserve">capacity is 189 MW. If it is assumed these boilers operate 24 hours </w:t>
      </w:r>
      <w:r w:rsidRPr="0C34660A">
        <w:rPr>
          <w:lang w:val="en-US"/>
        </w:rPr>
        <w:t>a</w:t>
      </w:r>
      <w:r w:rsidR="3B4E27EA" w:rsidRPr="0C34660A">
        <w:rPr>
          <w:lang w:val="en-US"/>
        </w:rPr>
        <w:t xml:space="preserve"> day for 320 days a year, at 75% efficiency, the total energy consumed would be about </w:t>
      </w:r>
      <w:r w:rsidR="444D10CF" w:rsidRPr="0C34660A">
        <w:rPr>
          <w:lang w:val="en-US"/>
        </w:rPr>
        <w:t xml:space="preserve">3900 </w:t>
      </w:r>
      <w:r w:rsidR="4C13079A" w:rsidRPr="0C34660A">
        <w:rPr>
          <w:lang w:val="en-US"/>
        </w:rPr>
        <w:t xml:space="preserve">TJ </w:t>
      </w:r>
      <w:r w:rsidRPr="0C34660A">
        <w:rPr>
          <w:lang w:val="en-US"/>
        </w:rPr>
        <w:t>per year.</w:t>
      </w:r>
    </w:p>
    <w:p w14:paraId="012BA758" w14:textId="485A4D96" w:rsidR="0031583E" w:rsidRPr="003A5A40" w:rsidRDefault="00C94E66" w:rsidP="003A5A40">
      <w:pPr>
        <w:spacing w:line="300" w:lineRule="atLeast"/>
        <w:jc w:val="both"/>
        <w:rPr>
          <w:szCs w:val="18"/>
          <w:lang w:val="en-US"/>
        </w:rPr>
      </w:pPr>
      <w:r w:rsidRPr="00C94E66">
        <w:rPr>
          <w:szCs w:val="18"/>
          <w:lang w:val="en-US"/>
        </w:rPr>
        <w:t xml:space="preserve">The UNEP Toolkit provides an emission factor of 0.5 µg </w:t>
      </w:r>
      <w:r w:rsidR="0009594D">
        <w:rPr>
          <w:szCs w:val="18"/>
          <w:lang w:val="en-US"/>
        </w:rPr>
        <w:t>TEQ</w:t>
      </w:r>
      <w:r w:rsidRPr="00C94E66">
        <w:rPr>
          <w:szCs w:val="18"/>
          <w:lang w:val="en-US"/>
        </w:rPr>
        <w:t xml:space="preserve"> </w:t>
      </w:r>
      <w:r w:rsidR="00DE701C">
        <w:rPr>
          <w:szCs w:val="18"/>
          <w:lang w:val="en-US"/>
        </w:rPr>
        <w:t xml:space="preserve">per </w:t>
      </w:r>
      <w:r w:rsidRPr="00C94E66">
        <w:rPr>
          <w:szCs w:val="18"/>
          <w:lang w:val="en-US"/>
        </w:rPr>
        <w:t>TJ</w:t>
      </w:r>
      <w:r w:rsidR="00C817B6">
        <w:rPr>
          <w:szCs w:val="18"/>
          <w:lang w:val="en-US"/>
        </w:rPr>
        <w:t xml:space="preserve"> </w:t>
      </w:r>
      <w:r w:rsidR="00C817B6" w:rsidRPr="00C817B6">
        <w:rPr>
          <w:szCs w:val="18"/>
          <w:lang w:val="en-US"/>
        </w:rPr>
        <w:t>(</w:t>
      </w:r>
      <w:r w:rsidR="00C817B6">
        <w:rPr>
          <w:szCs w:val="18"/>
          <w:lang w:val="en-US"/>
        </w:rPr>
        <w:t>0.5</w:t>
      </w:r>
      <w:r w:rsidR="00C817B6" w:rsidRPr="00C817B6">
        <w:rPr>
          <w:szCs w:val="18"/>
          <w:lang w:val="en-US"/>
        </w:rPr>
        <w:t xml:space="preserve"> x 10</w:t>
      </w:r>
      <w:r w:rsidR="00C817B6" w:rsidRPr="00C817B6">
        <w:rPr>
          <w:szCs w:val="18"/>
          <w:vertAlign w:val="superscript"/>
          <w:lang w:val="en-US"/>
        </w:rPr>
        <w:t>-6</w:t>
      </w:r>
      <w:r w:rsidR="00C817B6" w:rsidRPr="00C817B6">
        <w:rPr>
          <w:szCs w:val="18"/>
          <w:lang w:val="en-US"/>
        </w:rPr>
        <w:t xml:space="preserve"> g </w:t>
      </w:r>
      <w:r w:rsidR="00C817B6">
        <w:rPr>
          <w:szCs w:val="18"/>
          <w:lang w:val="en-US"/>
        </w:rPr>
        <w:t xml:space="preserve">TEQ </w:t>
      </w:r>
      <w:r w:rsidR="00C817B6" w:rsidRPr="00C817B6">
        <w:rPr>
          <w:szCs w:val="18"/>
          <w:lang w:val="en-US"/>
        </w:rPr>
        <w:t>per TJ)</w:t>
      </w:r>
      <w:r w:rsidR="00C279DD">
        <w:rPr>
          <w:szCs w:val="18"/>
          <w:lang w:val="en-US"/>
        </w:rPr>
        <w:t xml:space="preserve"> </w:t>
      </w:r>
      <w:r w:rsidRPr="00C94E66">
        <w:rPr>
          <w:szCs w:val="18"/>
          <w:lang w:val="en-US"/>
        </w:rPr>
        <w:t xml:space="preserve">for </w:t>
      </w:r>
      <w:r w:rsidR="00DE701C">
        <w:rPr>
          <w:szCs w:val="18"/>
          <w:lang w:val="en-US"/>
        </w:rPr>
        <w:t xml:space="preserve">the discharges to air from power </w:t>
      </w:r>
      <w:r w:rsidRPr="00C94E66">
        <w:rPr>
          <w:szCs w:val="18"/>
          <w:lang w:val="en-US"/>
        </w:rPr>
        <w:t>plants fired with natural gas and light fuel oil</w:t>
      </w:r>
      <w:r w:rsidR="00DE701C">
        <w:rPr>
          <w:szCs w:val="18"/>
          <w:lang w:val="en-US"/>
        </w:rPr>
        <w:t xml:space="preserve">. </w:t>
      </w:r>
      <w:r w:rsidRPr="00C94E66">
        <w:rPr>
          <w:szCs w:val="18"/>
          <w:lang w:val="en-US"/>
        </w:rPr>
        <w:t>The</w:t>
      </w:r>
      <w:r w:rsidR="00DE701C">
        <w:rPr>
          <w:szCs w:val="18"/>
          <w:lang w:val="en-US"/>
        </w:rPr>
        <w:t>re are no fact</w:t>
      </w:r>
      <w:r w:rsidR="00CC1BB5">
        <w:rPr>
          <w:szCs w:val="18"/>
          <w:lang w:val="en-US"/>
        </w:rPr>
        <w:t xml:space="preserve">ors for releases to any of the </w:t>
      </w:r>
      <w:r w:rsidR="00DE701C">
        <w:rPr>
          <w:szCs w:val="18"/>
          <w:lang w:val="en-US"/>
        </w:rPr>
        <w:t>other release routes.</w:t>
      </w:r>
      <w:r w:rsidR="00CC1BB5">
        <w:rPr>
          <w:szCs w:val="18"/>
          <w:lang w:val="en-US"/>
        </w:rPr>
        <w:t xml:space="preserve"> The UNEP Toolkit factor has been used in the absence of any relevant New Zealand data.</w:t>
      </w:r>
    </w:p>
    <w:p w14:paraId="5DDDAE88" w14:textId="3C33AE2A" w:rsidR="0013563C" w:rsidRDefault="00AE1339" w:rsidP="00AE1339">
      <w:pPr>
        <w:spacing w:line="300" w:lineRule="atLeast"/>
        <w:jc w:val="both"/>
        <w:rPr>
          <w:szCs w:val="18"/>
        </w:rPr>
      </w:pPr>
      <w:r>
        <w:rPr>
          <w:szCs w:val="18"/>
        </w:rPr>
        <w:t xml:space="preserve">The </w:t>
      </w:r>
      <w:r w:rsidR="0069631E">
        <w:rPr>
          <w:szCs w:val="18"/>
        </w:rPr>
        <w:t xml:space="preserve">2020 </w:t>
      </w:r>
      <w:r>
        <w:rPr>
          <w:szCs w:val="18"/>
        </w:rPr>
        <w:t xml:space="preserve">release estimates for </w:t>
      </w:r>
      <w:r w:rsidR="00CC1BB5">
        <w:rPr>
          <w:szCs w:val="18"/>
        </w:rPr>
        <w:t xml:space="preserve">industrial/commercial </w:t>
      </w:r>
      <w:r>
        <w:rPr>
          <w:szCs w:val="18"/>
        </w:rPr>
        <w:t xml:space="preserve">fuel oil and gas-fired </w:t>
      </w:r>
      <w:r w:rsidR="00445442">
        <w:rPr>
          <w:szCs w:val="18"/>
        </w:rPr>
        <w:t>power plant</w:t>
      </w:r>
      <w:r>
        <w:rPr>
          <w:szCs w:val="18"/>
        </w:rPr>
        <w:t xml:space="preserve"> are shown in </w:t>
      </w:r>
      <w:r w:rsidR="00CC1BB5" w:rsidRPr="00CC1BB5">
        <w:rPr>
          <w:szCs w:val="18"/>
        </w:rPr>
        <w:fldChar w:fldCharType="begin"/>
      </w:r>
      <w:r w:rsidR="00CC1BB5" w:rsidRPr="00CC1BB5">
        <w:rPr>
          <w:szCs w:val="18"/>
        </w:rPr>
        <w:instrText xml:space="preserve"> REF _Ref359743335 \h </w:instrText>
      </w:r>
      <w:r w:rsidR="00CC1BB5">
        <w:rPr>
          <w:szCs w:val="18"/>
        </w:rPr>
        <w:instrText xml:space="preserve"> \* MERGEFORMAT </w:instrText>
      </w:r>
      <w:r w:rsidR="00CC1BB5" w:rsidRPr="00CC1BB5">
        <w:rPr>
          <w:szCs w:val="18"/>
        </w:rPr>
      </w:r>
      <w:r w:rsidR="00CC1BB5" w:rsidRPr="00CC1BB5">
        <w:rPr>
          <w:szCs w:val="18"/>
        </w:rPr>
        <w:fldChar w:fldCharType="separate"/>
      </w:r>
      <w:r w:rsidR="00141D7F" w:rsidRPr="00141D7F">
        <w:t xml:space="preserve">Table </w:t>
      </w:r>
      <w:r w:rsidR="00141D7F" w:rsidRPr="00141D7F">
        <w:rPr>
          <w:noProof/>
        </w:rPr>
        <w:t>5</w:t>
      </w:r>
      <w:r w:rsidR="00141D7F" w:rsidRPr="00141D7F">
        <w:rPr>
          <w:noProof/>
        </w:rPr>
        <w:noBreakHyphen/>
        <w:t>5</w:t>
      </w:r>
      <w:r w:rsidR="00CC1BB5" w:rsidRPr="00CC1BB5">
        <w:rPr>
          <w:szCs w:val="18"/>
        </w:rPr>
        <w:fldChar w:fldCharType="end"/>
      </w:r>
      <w:r>
        <w:rPr>
          <w:szCs w:val="18"/>
        </w:rPr>
        <w:t>, along with the correspo</w:t>
      </w:r>
      <w:r w:rsidR="0031583E">
        <w:rPr>
          <w:szCs w:val="18"/>
        </w:rPr>
        <w:t>nding estimates made in the 2012</w:t>
      </w:r>
      <w:r>
        <w:rPr>
          <w:szCs w:val="18"/>
        </w:rPr>
        <w:t xml:space="preserve"> </w:t>
      </w:r>
      <w:r w:rsidR="0069631E">
        <w:rPr>
          <w:szCs w:val="18"/>
        </w:rPr>
        <w:t xml:space="preserve">and 2016 </w:t>
      </w:r>
      <w:r>
        <w:rPr>
          <w:szCs w:val="18"/>
        </w:rPr>
        <w:t>Inventor</w:t>
      </w:r>
      <w:r w:rsidR="0069631E">
        <w:rPr>
          <w:szCs w:val="18"/>
        </w:rPr>
        <w:t>ies</w:t>
      </w:r>
      <w:r>
        <w:rPr>
          <w:szCs w:val="18"/>
        </w:rPr>
        <w:t>.</w:t>
      </w:r>
    </w:p>
    <w:p w14:paraId="159A8693" w14:textId="77777777" w:rsidR="0013563C" w:rsidRDefault="0013563C">
      <w:pPr>
        <w:spacing w:after="0"/>
        <w:rPr>
          <w:szCs w:val="18"/>
        </w:rPr>
      </w:pPr>
      <w:r>
        <w:rPr>
          <w:szCs w:val="18"/>
        </w:rPr>
        <w:br w:type="page"/>
      </w:r>
    </w:p>
    <w:p w14:paraId="6F912D85" w14:textId="28902026" w:rsidR="00AE1339" w:rsidRPr="00A117FA" w:rsidRDefault="00CC1BB5" w:rsidP="00101AA8">
      <w:pPr>
        <w:pStyle w:val="Caption"/>
        <w:jc w:val="left"/>
        <w:rPr>
          <w:rFonts w:cs="Arial"/>
          <w:szCs w:val="18"/>
        </w:rPr>
      </w:pPr>
      <w:bookmarkStart w:id="192" w:name="_Ref359743335"/>
      <w:r w:rsidRPr="00CC1BB5">
        <w:rPr>
          <w:rFonts w:cs="Arial"/>
        </w:rPr>
        <w:lastRenderedPageBreak/>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5</w:t>
      </w:r>
      <w:r w:rsidR="00C17BA5">
        <w:rPr>
          <w:rFonts w:cs="Arial"/>
        </w:rPr>
        <w:fldChar w:fldCharType="end"/>
      </w:r>
      <w:bookmarkEnd w:id="192"/>
      <w:r w:rsidRPr="00CC1BB5">
        <w:rPr>
          <w:rFonts w:cs="Arial"/>
        </w:rPr>
        <w:t>:</w:t>
      </w:r>
      <w:r>
        <w:rPr>
          <w:rFonts w:cs="Arial"/>
        </w:rPr>
        <w:t xml:space="preserve"> </w:t>
      </w:r>
      <w:r w:rsidR="002856F7">
        <w:rPr>
          <w:rFonts w:cs="Arial"/>
        </w:rPr>
        <w:t>Dioxin</w:t>
      </w:r>
      <w:r w:rsidR="00AE1339" w:rsidRPr="00A117FA">
        <w:rPr>
          <w:rFonts w:cs="Arial"/>
        </w:rPr>
        <w:t xml:space="preserve"> releases from </w:t>
      </w:r>
      <w:r w:rsidRPr="00CC1BB5">
        <w:rPr>
          <w:rFonts w:cs="Arial"/>
        </w:rPr>
        <w:t>fue</w:t>
      </w:r>
      <w:r w:rsidR="00445442">
        <w:rPr>
          <w:rFonts w:cs="Arial"/>
        </w:rPr>
        <w:t>l oil and gas-fired power plant</w:t>
      </w:r>
    </w:p>
    <w:tbl>
      <w:tblPr>
        <w:tblStyle w:val="TableGrid"/>
        <w:tblW w:w="0" w:type="auto"/>
        <w:tblLook w:val="04A0" w:firstRow="1" w:lastRow="0" w:firstColumn="1" w:lastColumn="0" w:noHBand="0" w:noVBand="1"/>
      </w:tblPr>
      <w:tblGrid>
        <w:gridCol w:w="807"/>
        <w:gridCol w:w="2615"/>
        <w:gridCol w:w="2882"/>
        <w:gridCol w:w="2757"/>
      </w:tblGrid>
      <w:tr w:rsidR="00AE1339" w:rsidRPr="00956589" w14:paraId="0197DDBD" w14:textId="77777777" w:rsidTr="00944F46">
        <w:tc>
          <w:tcPr>
            <w:tcW w:w="807" w:type="dxa"/>
            <w:vMerge w:val="restart"/>
            <w:vAlign w:val="center"/>
          </w:tcPr>
          <w:p w14:paraId="2F8C31A4" w14:textId="77777777" w:rsidR="00AE1339" w:rsidRPr="00956589" w:rsidRDefault="00AE1339" w:rsidP="006C3A3C">
            <w:pPr>
              <w:spacing w:before="120"/>
              <w:jc w:val="center"/>
              <w:rPr>
                <w:rFonts w:ascii="Arial" w:hAnsi="Arial" w:cs="Arial"/>
                <w:b/>
                <w:sz w:val="16"/>
                <w:szCs w:val="18"/>
              </w:rPr>
            </w:pPr>
            <w:r w:rsidRPr="00956589">
              <w:rPr>
                <w:rFonts w:ascii="Arial" w:hAnsi="Arial" w:cs="Arial"/>
                <w:b/>
                <w:sz w:val="16"/>
                <w:szCs w:val="18"/>
              </w:rPr>
              <w:t>Year</w:t>
            </w:r>
          </w:p>
        </w:tc>
        <w:tc>
          <w:tcPr>
            <w:tcW w:w="2615" w:type="dxa"/>
            <w:vMerge w:val="restart"/>
            <w:vAlign w:val="center"/>
          </w:tcPr>
          <w:p w14:paraId="305930D4" w14:textId="77777777" w:rsidR="00AE1339" w:rsidRPr="00956589" w:rsidRDefault="00AE1339" w:rsidP="00CC1BB5">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(TJ of f</w:t>
            </w:r>
            <w:r w:rsidR="00CC1BB5">
              <w:rPr>
                <w:rFonts w:ascii="Arial" w:hAnsi="Arial" w:cs="Arial"/>
                <w:b/>
                <w:sz w:val="16"/>
                <w:szCs w:val="18"/>
              </w:rPr>
              <w:t>uel</w:t>
            </w:r>
            <w:r>
              <w:rPr>
                <w:rFonts w:ascii="Arial" w:hAnsi="Arial" w:cs="Arial"/>
                <w:b/>
                <w:sz w:val="16"/>
                <w:szCs w:val="18"/>
              </w:rPr>
              <w:t>/year)</w:t>
            </w:r>
          </w:p>
        </w:tc>
        <w:tc>
          <w:tcPr>
            <w:tcW w:w="2882" w:type="dxa"/>
            <w:vAlign w:val="center"/>
          </w:tcPr>
          <w:p w14:paraId="68B2FD18" w14:textId="507F3D72" w:rsidR="00AE1339" w:rsidRPr="00956589" w:rsidRDefault="00AE1339" w:rsidP="00CC1BB5">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 xml:space="preserve">/TJ of </w:t>
            </w:r>
            <w:r w:rsidR="00CC1BB5">
              <w:rPr>
                <w:rFonts w:ascii="Arial" w:hAnsi="Arial" w:cs="Arial"/>
                <w:b/>
                <w:sz w:val="16"/>
                <w:szCs w:val="18"/>
              </w:rPr>
              <w:t>fuel</w:t>
            </w:r>
            <w:r>
              <w:rPr>
                <w:rFonts w:ascii="Arial" w:hAnsi="Arial" w:cs="Arial"/>
                <w:b/>
                <w:sz w:val="16"/>
                <w:szCs w:val="18"/>
              </w:rPr>
              <w:t>)</w:t>
            </w:r>
          </w:p>
        </w:tc>
        <w:tc>
          <w:tcPr>
            <w:tcW w:w="2757" w:type="dxa"/>
            <w:vAlign w:val="center"/>
          </w:tcPr>
          <w:p w14:paraId="35A477E2" w14:textId="3C651A47" w:rsidR="00AE1339" w:rsidRPr="00956589" w:rsidRDefault="00AE1339" w:rsidP="006C3A3C">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AE1339" w:rsidRPr="00956589" w14:paraId="1D482CF2" w14:textId="77777777" w:rsidTr="00E95BD6">
        <w:tc>
          <w:tcPr>
            <w:tcW w:w="807" w:type="dxa"/>
            <w:vMerge/>
          </w:tcPr>
          <w:p w14:paraId="3A225DD3" w14:textId="77777777" w:rsidR="00AE1339" w:rsidRPr="00956589" w:rsidRDefault="00AE1339" w:rsidP="006C3A3C">
            <w:pPr>
              <w:spacing w:before="120"/>
              <w:jc w:val="both"/>
              <w:rPr>
                <w:rFonts w:ascii="Arial" w:hAnsi="Arial" w:cs="Arial"/>
                <w:sz w:val="16"/>
                <w:szCs w:val="18"/>
              </w:rPr>
            </w:pPr>
          </w:p>
        </w:tc>
        <w:tc>
          <w:tcPr>
            <w:tcW w:w="2615" w:type="dxa"/>
            <w:vMerge/>
            <w:vAlign w:val="center"/>
          </w:tcPr>
          <w:p w14:paraId="53762A0A" w14:textId="77777777" w:rsidR="00AE1339" w:rsidRPr="00956589" w:rsidRDefault="00AE1339" w:rsidP="006C3A3C">
            <w:pPr>
              <w:spacing w:before="120"/>
              <w:jc w:val="center"/>
              <w:rPr>
                <w:rFonts w:ascii="Arial" w:hAnsi="Arial" w:cs="Arial"/>
                <w:sz w:val="16"/>
                <w:szCs w:val="18"/>
              </w:rPr>
            </w:pPr>
          </w:p>
        </w:tc>
        <w:tc>
          <w:tcPr>
            <w:tcW w:w="2882" w:type="dxa"/>
            <w:vAlign w:val="center"/>
          </w:tcPr>
          <w:p w14:paraId="7737A463" w14:textId="77777777" w:rsidR="00AE1339" w:rsidRPr="00956589" w:rsidRDefault="00AE1339" w:rsidP="006C3A3C">
            <w:pPr>
              <w:spacing w:before="120"/>
              <w:jc w:val="center"/>
              <w:rPr>
                <w:rFonts w:ascii="Arial" w:hAnsi="Arial" w:cs="Arial"/>
                <w:b/>
                <w:sz w:val="16"/>
                <w:szCs w:val="18"/>
              </w:rPr>
            </w:pPr>
            <w:r w:rsidRPr="00956589">
              <w:rPr>
                <w:rFonts w:ascii="Arial" w:hAnsi="Arial" w:cs="Arial"/>
                <w:b/>
                <w:sz w:val="16"/>
                <w:szCs w:val="18"/>
              </w:rPr>
              <w:t>Air</w:t>
            </w:r>
          </w:p>
        </w:tc>
        <w:tc>
          <w:tcPr>
            <w:tcW w:w="2757" w:type="dxa"/>
            <w:vAlign w:val="center"/>
          </w:tcPr>
          <w:p w14:paraId="2CAA533E" w14:textId="77777777" w:rsidR="00AE1339" w:rsidRPr="00956589" w:rsidRDefault="00AE1339" w:rsidP="006C3A3C">
            <w:pPr>
              <w:spacing w:before="120"/>
              <w:jc w:val="center"/>
              <w:rPr>
                <w:rFonts w:ascii="Arial" w:hAnsi="Arial" w:cs="Arial"/>
                <w:b/>
                <w:sz w:val="16"/>
                <w:szCs w:val="18"/>
              </w:rPr>
            </w:pPr>
            <w:r>
              <w:rPr>
                <w:rFonts w:ascii="Arial" w:hAnsi="Arial" w:cs="Arial"/>
                <w:b/>
                <w:sz w:val="16"/>
                <w:szCs w:val="18"/>
              </w:rPr>
              <w:t>Air</w:t>
            </w:r>
          </w:p>
        </w:tc>
      </w:tr>
      <w:tr w:rsidR="00AE1339" w:rsidRPr="00956589" w14:paraId="02F053FB" w14:textId="77777777" w:rsidTr="00E95BD6">
        <w:tc>
          <w:tcPr>
            <w:tcW w:w="807" w:type="dxa"/>
            <w:vAlign w:val="center"/>
          </w:tcPr>
          <w:p w14:paraId="74F0F4F6" w14:textId="043B53B9" w:rsidR="00AE1339" w:rsidRPr="00956589" w:rsidRDefault="00251E8A" w:rsidP="006C3A3C">
            <w:pPr>
              <w:spacing w:before="120"/>
              <w:rPr>
                <w:rFonts w:ascii="Arial" w:hAnsi="Arial" w:cs="Arial"/>
                <w:b/>
                <w:sz w:val="16"/>
                <w:szCs w:val="18"/>
              </w:rPr>
            </w:pPr>
            <w:r>
              <w:rPr>
                <w:rFonts w:ascii="Arial" w:hAnsi="Arial" w:cs="Arial"/>
                <w:b/>
                <w:sz w:val="16"/>
                <w:szCs w:val="18"/>
              </w:rPr>
              <w:t>2012</w:t>
            </w:r>
          </w:p>
        </w:tc>
        <w:tc>
          <w:tcPr>
            <w:tcW w:w="2615" w:type="dxa"/>
            <w:vAlign w:val="center"/>
          </w:tcPr>
          <w:p w14:paraId="5AF27248" w14:textId="730780F3" w:rsidR="00AE1339" w:rsidRDefault="00251E8A" w:rsidP="006C3A3C">
            <w:pPr>
              <w:spacing w:before="120"/>
              <w:jc w:val="center"/>
              <w:rPr>
                <w:rFonts w:ascii="Arial" w:hAnsi="Arial" w:cs="Arial"/>
                <w:sz w:val="16"/>
                <w:szCs w:val="18"/>
              </w:rPr>
            </w:pPr>
            <w:r>
              <w:rPr>
                <w:rFonts w:ascii="Arial" w:hAnsi="Arial" w:cs="Arial"/>
                <w:sz w:val="16"/>
                <w:szCs w:val="18"/>
              </w:rPr>
              <w:t>53,530</w:t>
            </w:r>
          </w:p>
        </w:tc>
        <w:tc>
          <w:tcPr>
            <w:tcW w:w="2882" w:type="dxa"/>
            <w:vAlign w:val="center"/>
          </w:tcPr>
          <w:p w14:paraId="22172A2C" w14:textId="01EAD295" w:rsidR="00AE1339" w:rsidRDefault="00251E8A"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6DB990AE" w14:textId="289D4B9D" w:rsidR="00AE1339" w:rsidRDefault="00251E8A" w:rsidP="00AA3644">
            <w:pPr>
              <w:spacing w:before="120"/>
              <w:jc w:val="center"/>
              <w:rPr>
                <w:rFonts w:ascii="Arial" w:hAnsi="Arial" w:cs="Arial"/>
                <w:sz w:val="16"/>
                <w:szCs w:val="18"/>
              </w:rPr>
            </w:pPr>
            <w:r>
              <w:rPr>
                <w:rFonts w:ascii="Arial" w:hAnsi="Arial" w:cs="Arial"/>
                <w:sz w:val="16"/>
                <w:szCs w:val="18"/>
              </w:rPr>
              <w:t>0.027</w:t>
            </w:r>
          </w:p>
        </w:tc>
      </w:tr>
      <w:tr w:rsidR="00251E8A" w:rsidRPr="00956589" w14:paraId="1DBDD337" w14:textId="77777777" w:rsidTr="00E95BD6">
        <w:tc>
          <w:tcPr>
            <w:tcW w:w="807" w:type="dxa"/>
            <w:vAlign w:val="center"/>
          </w:tcPr>
          <w:p w14:paraId="58D285E5" w14:textId="5B6B2A4E" w:rsidR="00251E8A" w:rsidRPr="00956589" w:rsidRDefault="00251E8A" w:rsidP="006C3A3C">
            <w:pPr>
              <w:spacing w:before="120"/>
              <w:rPr>
                <w:rFonts w:ascii="Arial" w:hAnsi="Arial" w:cs="Arial"/>
                <w:b/>
                <w:sz w:val="16"/>
                <w:szCs w:val="18"/>
              </w:rPr>
            </w:pPr>
            <w:r>
              <w:rPr>
                <w:rFonts w:ascii="Arial" w:hAnsi="Arial" w:cs="Arial"/>
                <w:b/>
                <w:sz w:val="16"/>
                <w:szCs w:val="18"/>
              </w:rPr>
              <w:t>2016</w:t>
            </w:r>
          </w:p>
        </w:tc>
        <w:tc>
          <w:tcPr>
            <w:tcW w:w="2615" w:type="dxa"/>
            <w:vAlign w:val="center"/>
          </w:tcPr>
          <w:p w14:paraId="1F678780" w14:textId="56937E7F" w:rsidR="00251E8A" w:rsidRPr="00956589" w:rsidRDefault="00251E8A" w:rsidP="006C3A3C">
            <w:pPr>
              <w:spacing w:before="120"/>
              <w:jc w:val="center"/>
              <w:rPr>
                <w:rFonts w:ascii="Arial" w:hAnsi="Arial" w:cs="Arial"/>
                <w:sz w:val="16"/>
                <w:szCs w:val="18"/>
              </w:rPr>
            </w:pPr>
            <w:r>
              <w:rPr>
                <w:rFonts w:ascii="Arial" w:hAnsi="Arial" w:cs="Arial"/>
                <w:sz w:val="16"/>
                <w:szCs w:val="18"/>
              </w:rPr>
              <w:t>82,150</w:t>
            </w:r>
          </w:p>
        </w:tc>
        <w:tc>
          <w:tcPr>
            <w:tcW w:w="2882" w:type="dxa"/>
            <w:vAlign w:val="center"/>
          </w:tcPr>
          <w:p w14:paraId="61C5F3CB" w14:textId="1203A7DB" w:rsidR="00251E8A" w:rsidRPr="00956589" w:rsidRDefault="00251E8A"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022698BA" w14:textId="2E5605BC" w:rsidR="00251E8A" w:rsidRPr="00956589" w:rsidRDefault="00251E8A" w:rsidP="006C3A3C">
            <w:pPr>
              <w:spacing w:before="120"/>
              <w:jc w:val="center"/>
              <w:rPr>
                <w:rFonts w:ascii="Arial" w:hAnsi="Arial" w:cs="Arial"/>
                <w:sz w:val="16"/>
                <w:szCs w:val="18"/>
              </w:rPr>
            </w:pPr>
            <w:r>
              <w:rPr>
                <w:rFonts w:ascii="Arial" w:hAnsi="Arial" w:cs="Arial"/>
                <w:sz w:val="16"/>
                <w:szCs w:val="18"/>
              </w:rPr>
              <w:t>0.041</w:t>
            </w:r>
          </w:p>
        </w:tc>
      </w:tr>
      <w:tr w:rsidR="0013563C" w:rsidRPr="00956589" w14:paraId="0A202D3F" w14:textId="77777777" w:rsidTr="00E95BD6">
        <w:tc>
          <w:tcPr>
            <w:tcW w:w="807" w:type="dxa"/>
            <w:vAlign w:val="center"/>
          </w:tcPr>
          <w:p w14:paraId="1A60BD48" w14:textId="686B40E1" w:rsidR="0013563C" w:rsidRDefault="0013563C" w:rsidP="006C3A3C">
            <w:pPr>
              <w:spacing w:before="120"/>
              <w:rPr>
                <w:rFonts w:ascii="Arial" w:hAnsi="Arial" w:cs="Arial"/>
                <w:b/>
                <w:sz w:val="16"/>
                <w:szCs w:val="18"/>
              </w:rPr>
            </w:pPr>
            <w:r>
              <w:rPr>
                <w:rFonts w:ascii="Arial" w:hAnsi="Arial" w:cs="Arial"/>
                <w:b/>
                <w:sz w:val="16"/>
                <w:szCs w:val="18"/>
              </w:rPr>
              <w:t>2020</w:t>
            </w:r>
          </w:p>
        </w:tc>
        <w:tc>
          <w:tcPr>
            <w:tcW w:w="2615" w:type="dxa"/>
            <w:vAlign w:val="center"/>
          </w:tcPr>
          <w:p w14:paraId="0C4A3E76" w14:textId="0C87A06E" w:rsidR="0013563C" w:rsidRDefault="0013563C" w:rsidP="006C3A3C">
            <w:pPr>
              <w:spacing w:before="120"/>
              <w:jc w:val="center"/>
              <w:rPr>
                <w:rFonts w:ascii="Arial" w:hAnsi="Arial" w:cs="Arial"/>
                <w:sz w:val="16"/>
                <w:szCs w:val="18"/>
              </w:rPr>
            </w:pPr>
            <w:r>
              <w:rPr>
                <w:rFonts w:ascii="Arial" w:hAnsi="Arial" w:cs="Arial"/>
                <w:sz w:val="16"/>
                <w:szCs w:val="18"/>
              </w:rPr>
              <w:t>76,565</w:t>
            </w:r>
          </w:p>
        </w:tc>
        <w:tc>
          <w:tcPr>
            <w:tcW w:w="2882" w:type="dxa"/>
            <w:vAlign w:val="center"/>
          </w:tcPr>
          <w:p w14:paraId="174AFD67" w14:textId="1EC8877E" w:rsidR="0013563C" w:rsidRDefault="0013563C" w:rsidP="006C3A3C">
            <w:pPr>
              <w:spacing w:before="120"/>
              <w:jc w:val="center"/>
              <w:rPr>
                <w:rFonts w:ascii="Arial" w:hAnsi="Arial" w:cs="Arial"/>
                <w:sz w:val="16"/>
                <w:szCs w:val="18"/>
              </w:rPr>
            </w:pPr>
            <w:r>
              <w:rPr>
                <w:rFonts w:ascii="Arial" w:hAnsi="Arial" w:cs="Arial"/>
                <w:sz w:val="16"/>
                <w:szCs w:val="18"/>
              </w:rPr>
              <w:t>0.5</w:t>
            </w:r>
          </w:p>
        </w:tc>
        <w:tc>
          <w:tcPr>
            <w:tcW w:w="2757" w:type="dxa"/>
            <w:vAlign w:val="center"/>
          </w:tcPr>
          <w:p w14:paraId="32E8054D" w14:textId="7AA27C68" w:rsidR="0013563C" w:rsidRDefault="0013563C" w:rsidP="006C3A3C">
            <w:pPr>
              <w:spacing w:before="120"/>
              <w:jc w:val="center"/>
              <w:rPr>
                <w:rFonts w:ascii="Arial" w:hAnsi="Arial" w:cs="Arial"/>
                <w:sz w:val="16"/>
                <w:szCs w:val="18"/>
              </w:rPr>
            </w:pPr>
            <w:r>
              <w:rPr>
                <w:rFonts w:ascii="Arial" w:hAnsi="Arial" w:cs="Arial"/>
                <w:sz w:val="16"/>
                <w:szCs w:val="18"/>
              </w:rPr>
              <w:t>0.0383</w:t>
            </w:r>
          </w:p>
        </w:tc>
      </w:tr>
    </w:tbl>
    <w:p w14:paraId="7CB00261" w14:textId="2B2067D7" w:rsidR="00AE1339" w:rsidRPr="00080C09" w:rsidRDefault="00AE1339" w:rsidP="00AE1339">
      <w:pPr>
        <w:tabs>
          <w:tab w:val="left" w:pos="2760"/>
        </w:tabs>
        <w:spacing w:before="120" w:line="300" w:lineRule="atLeast"/>
        <w:jc w:val="both"/>
        <w:rPr>
          <w:rFonts w:ascii="Arial" w:hAnsi="Arial" w:cs="Arial"/>
          <w:b/>
          <w:szCs w:val="18"/>
        </w:rPr>
      </w:pPr>
      <w:r w:rsidRPr="00080C09">
        <w:rPr>
          <w:rFonts w:ascii="Arial" w:hAnsi="Arial" w:cs="Arial"/>
          <w:b/>
          <w:szCs w:val="18"/>
        </w:rPr>
        <w:t xml:space="preserve">Certainty assessment for </w:t>
      </w:r>
      <w:r w:rsidR="0013563C">
        <w:rPr>
          <w:rFonts w:ascii="Arial" w:hAnsi="Arial" w:cs="Arial"/>
          <w:b/>
          <w:szCs w:val="18"/>
        </w:rPr>
        <w:t>2020</w:t>
      </w:r>
    </w:p>
    <w:p w14:paraId="0758313D" w14:textId="77777777" w:rsidR="00AE1339" w:rsidRDefault="00AE1339" w:rsidP="00AE1339">
      <w:pPr>
        <w:tabs>
          <w:tab w:val="left" w:pos="1701"/>
        </w:tabs>
        <w:spacing w:after="0" w:line="300" w:lineRule="atLeast"/>
        <w:jc w:val="both"/>
        <w:rPr>
          <w:szCs w:val="18"/>
        </w:rPr>
      </w:pPr>
      <w:r>
        <w:rPr>
          <w:szCs w:val="18"/>
        </w:rPr>
        <w:t xml:space="preserve">Activity data: </w:t>
      </w:r>
      <w:r>
        <w:rPr>
          <w:szCs w:val="18"/>
        </w:rPr>
        <w:tab/>
        <w:t>High (because it is based on actual fuel consumption data)</w:t>
      </w:r>
    </w:p>
    <w:p w14:paraId="5D659726" w14:textId="77777777" w:rsidR="00AE1339" w:rsidRDefault="00AE1339" w:rsidP="00AE1339">
      <w:pPr>
        <w:tabs>
          <w:tab w:val="left" w:pos="1701"/>
        </w:tabs>
        <w:spacing w:line="300" w:lineRule="atLeast"/>
        <w:ind w:left="1701" w:hanging="1701"/>
        <w:jc w:val="both"/>
        <w:rPr>
          <w:szCs w:val="18"/>
        </w:rPr>
      </w:pPr>
      <w:r>
        <w:rPr>
          <w:szCs w:val="18"/>
        </w:rPr>
        <w:t xml:space="preserve">Emission factor: </w:t>
      </w:r>
      <w:r>
        <w:rPr>
          <w:szCs w:val="18"/>
        </w:rPr>
        <w:tab/>
        <w:t>Low (</w:t>
      </w:r>
      <w:r w:rsidRPr="00944DCC">
        <w:rPr>
          <w:szCs w:val="18"/>
        </w:rPr>
        <w:t xml:space="preserve">because </w:t>
      </w:r>
      <w:r>
        <w:rPr>
          <w:szCs w:val="18"/>
        </w:rPr>
        <w:t>it is based on the Toolkit default factors)</w:t>
      </w:r>
    </w:p>
    <w:p w14:paraId="1679664A" w14:textId="77777777" w:rsidR="002661DB" w:rsidRPr="0031583E" w:rsidRDefault="00804C57" w:rsidP="00261F78">
      <w:pPr>
        <w:pStyle w:val="Heading2"/>
        <w:rPr>
          <w:rFonts w:eastAsia="Calibri"/>
        </w:rPr>
      </w:pPr>
      <w:bookmarkStart w:id="193" w:name="_Toc358573509"/>
      <w:bookmarkStart w:id="194" w:name="_Ref359569919"/>
      <w:bookmarkStart w:id="195" w:name="_Ref359768535"/>
      <w:bookmarkStart w:id="196" w:name="_Ref381351218"/>
      <w:bookmarkStart w:id="197" w:name="_Toc112768095"/>
      <w:r w:rsidRPr="0031583E">
        <w:rPr>
          <w:rFonts w:eastAsia="Calibri"/>
        </w:rPr>
        <w:t>Biomass</w:t>
      </w:r>
      <w:r w:rsidR="00074007" w:rsidRPr="0031583E">
        <w:rPr>
          <w:rFonts w:eastAsia="Calibri"/>
        </w:rPr>
        <w:t xml:space="preserve"> power </w:t>
      </w:r>
      <w:bookmarkEnd w:id="193"/>
      <w:r w:rsidRPr="0031583E">
        <w:rPr>
          <w:rFonts w:eastAsia="Calibri"/>
        </w:rPr>
        <w:t>plant</w:t>
      </w:r>
      <w:bookmarkEnd w:id="194"/>
      <w:bookmarkEnd w:id="195"/>
      <w:r w:rsidR="001B37E4" w:rsidRPr="0031583E">
        <w:rPr>
          <w:rFonts w:eastAsia="Calibri"/>
        </w:rPr>
        <w:t>s</w:t>
      </w:r>
      <w:bookmarkEnd w:id="196"/>
      <w:bookmarkEnd w:id="197"/>
    </w:p>
    <w:p w14:paraId="4A55DE5A" w14:textId="61FF04F1" w:rsidR="00C555DA" w:rsidRPr="00C555DA" w:rsidRDefault="00C555DA" w:rsidP="00C555DA">
      <w:pPr>
        <w:spacing w:line="300" w:lineRule="atLeast"/>
        <w:jc w:val="both"/>
        <w:rPr>
          <w:rFonts w:eastAsia="Calibri"/>
          <w:szCs w:val="22"/>
        </w:rPr>
      </w:pPr>
      <w:r w:rsidRPr="00C555DA">
        <w:rPr>
          <w:rFonts w:eastAsia="Calibri"/>
          <w:szCs w:val="22"/>
        </w:rPr>
        <w:t>The</w:t>
      </w:r>
      <w:r w:rsidR="005F320E">
        <w:rPr>
          <w:rFonts w:eastAsia="Calibri"/>
          <w:szCs w:val="22"/>
        </w:rPr>
        <w:t>re are</w:t>
      </w:r>
      <w:r w:rsidRPr="00C555DA">
        <w:rPr>
          <w:rFonts w:eastAsia="Calibri"/>
          <w:szCs w:val="22"/>
        </w:rPr>
        <w:t xml:space="preserve"> </w:t>
      </w:r>
      <w:r w:rsidR="00902A5C">
        <w:rPr>
          <w:rFonts w:eastAsia="Calibri"/>
          <w:szCs w:val="22"/>
        </w:rPr>
        <w:t>2</w:t>
      </w:r>
      <w:r w:rsidR="00902A5C" w:rsidRPr="00C555DA">
        <w:rPr>
          <w:rFonts w:eastAsia="Calibri"/>
          <w:szCs w:val="22"/>
        </w:rPr>
        <w:t xml:space="preserve"> </w:t>
      </w:r>
      <w:r w:rsidR="005F320E">
        <w:rPr>
          <w:rFonts w:eastAsia="Calibri"/>
          <w:szCs w:val="22"/>
        </w:rPr>
        <w:t xml:space="preserve">large </w:t>
      </w:r>
      <w:r w:rsidRPr="00C555DA">
        <w:rPr>
          <w:rFonts w:eastAsia="Calibri"/>
          <w:szCs w:val="22"/>
        </w:rPr>
        <w:t>biomass-fired cogeneration plants</w:t>
      </w:r>
      <w:r w:rsidR="005F320E">
        <w:rPr>
          <w:rFonts w:eastAsia="Calibri"/>
          <w:szCs w:val="22"/>
        </w:rPr>
        <w:t xml:space="preserve"> in New Zealand</w:t>
      </w:r>
      <w:r w:rsidR="0013563C">
        <w:rPr>
          <w:rFonts w:eastAsia="Calibri"/>
          <w:szCs w:val="22"/>
        </w:rPr>
        <w:t xml:space="preserve">. </w:t>
      </w:r>
      <w:r w:rsidRPr="00C555DA">
        <w:rPr>
          <w:rFonts w:eastAsia="Calibri"/>
          <w:szCs w:val="22"/>
        </w:rPr>
        <w:t xml:space="preserve">These </w:t>
      </w:r>
      <w:r w:rsidR="00902A5C">
        <w:rPr>
          <w:rFonts w:eastAsia="Calibri"/>
          <w:szCs w:val="22"/>
        </w:rPr>
        <w:t>are the power boilers at the Kinleith</w:t>
      </w:r>
      <w:r w:rsidRPr="00C555DA">
        <w:rPr>
          <w:rFonts w:eastAsia="Calibri"/>
          <w:szCs w:val="22"/>
        </w:rPr>
        <w:t xml:space="preserve"> pulp and paper</w:t>
      </w:r>
      <w:r w:rsidR="00902A5C">
        <w:rPr>
          <w:rFonts w:eastAsia="Calibri"/>
          <w:szCs w:val="22"/>
        </w:rPr>
        <w:t xml:space="preserve"> mill </w:t>
      </w:r>
      <w:r w:rsidRPr="00C555DA">
        <w:rPr>
          <w:rFonts w:eastAsia="Calibri"/>
          <w:szCs w:val="22"/>
        </w:rPr>
        <w:t>and the thermo-mechanical pulp plant in Napier. Biomass is also burned in the recovery boilers at the pulp and paper mills, and in numerous other power boilers in board mills, fi</w:t>
      </w:r>
      <w:r w:rsidR="009C603D">
        <w:rPr>
          <w:rFonts w:eastAsia="Calibri"/>
          <w:szCs w:val="22"/>
        </w:rPr>
        <w:t xml:space="preserve">breboard plants, and sawmills. </w:t>
      </w:r>
      <w:r w:rsidRPr="00C555DA">
        <w:rPr>
          <w:rFonts w:eastAsia="Calibri"/>
          <w:szCs w:val="22"/>
        </w:rPr>
        <w:t xml:space="preserve">The Heat Plant Database lists about </w:t>
      </w:r>
      <w:r w:rsidR="002E0090">
        <w:rPr>
          <w:rFonts w:eastAsia="Calibri"/>
          <w:szCs w:val="22"/>
        </w:rPr>
        <w:t>175</w:t>
      </w:r>
      <w:r w:rsidR="002E0090" w:rsidRPr="00C555DA">
        <w:rPr>
          <w:rFonts w:eastAsia="Calibri"/>
          <w:szCs w:val="22"/>
        </w:rPr>
        <w:t xml:space="preserve"> </w:t>
      </w:r>
      <w:r w:rsidRPr="00C555DA">
        <w:rPr>
          <w:rFonts w:eastAsia="Calibri"/>
          <w:szCs w:val="22"/>
        </w:rPr>
        <w:t>industrial wood-fired installations rated at greater than 1 MW capacity, with a total combined capacity of more than 10</w:t>
      </w:r>
      <w:r w:rsidR="00C55ED1">
        <w:rPr>
          <w:rFonts w:eastAsia="Calibri"/>
          <w:szCs w:val="22"/>
        </w:rPr>
        <w:t>3</w:t>
      </w:r>
      <w:r w:rsidR="002E0090">
        <w:rPr>
          <w:rFonts w:eastAsia="Calibri"/>
          <w:szCs w:val="22"/>
        </w:rPr>
        <w:t>5</w:t>
      </w:r>
      <w:r w:rsidRPr="00C555DA">
        <w:rPr>
          <w:rFonts w:eastAsia="Calibri"/>
          <w:szCs w:val="22"/>
        </w:rPr>
        <w:t xml:space="preserve"> MW</w:t>
      </w:r>
      <w:r w:rsidR="003E6BEA">
        <w:rPr>
          <w:rFonts w:eastAsia="Calibri"/>
          <w:szCs w:val="22"/>
        </w:rPr>
        <w:t xml:space="preserve"> </w:t>
      </w:r>
      <w:sdt>
        <w:sdtPr>
          <w:rPr>
            <w:rFonts w:eastAsia="Calibri"/>
            <w:szCs w:val="22"/>
          </w:rPr>
          <w:id w:val="-1589222556"/>
          <w:citation/>
        </w:sdtPr>
        <w:sdtEndPr/>
        <w:sdtContent>
          <w:r w:rsidR="003E6BEA">
            <w:rPr>
              <w:rFonts w:eastAsia="Calibri"/>
              <w:szCs w:val="22"/>
            </w:rPr>
            <w:fldChar w:fldCharType="begin"/>
          </w:r>
          <w:r w:rsidR="003E6BEA">
            <w:rPr>
              <w:rFonts w:eastAsia="Calibri"/>
              <w:szCs w:val="22"/>
            </w:rPr>
            <w:instrText xml:space="preserve"> CITATION CRL2011 \l 5129 </w:instrText>
          </w:r>
          <w:r w:rsidR="003E6BEA">
            <w:rPr>
              <w:rFonts w:eastAsia="Calibri"/>
              <w:szCs w:val="22"/>
            </w:rPr>
            <w:fldChar w:fldCharType="separate"/>
          </w:r>
          <w:r w:rsidR="00F1175E" w:rsidRPr="00F1175E">
            <w:rPr>
              <w:rFonts w:eastAsia="Calibri"/>
              <w:noProof/>
              <w:szCs w:val="22"/>
            </w:rPr>
            <w:t>(CRL Energy, 2011)</w:t>
          </w:r>
          <w:r w:rsidR="003E6BEA">
            <w:rPr>
              <w:rFonts w:eastAsia="Calibri"/>
              <w:szCs w:val="22"/>
            </w:rPr>
            <w:fldChar w:fldCharType="end"/>
          </w:r>
        </w:sdtContent>
      </w:sdt>
      <w:r w:rsidRPr="00C555DA">
        <w:rPr>
          <w:rFonts w:eastAsia="Calibri"/>
          <w:szCs w:val="22"/>
        </w:rPr>
        <w:t xml:space="preserve">. Altogether, these account for </w:t>
      </w:r>
      <w:r w:rsidR="002E0090">
        <w:rPr>
          <w:rFonts w:eastAsia="Calibri"/>
          <w:szCs w:val="22"/>
        </w:rPr>
        <w:t>about 8</w:t>
      </w:r>
      <w:r w:rsidRPr="00C555DA">
        <w:rPr>
          <w:rFonts w:eastAsia="Calibri"/>
          <w:szCs w:val="22"/>
        </w:rPr>
        <w:t>0% of New Zealand wood combustion.</w:t>
      </w:r>
    </w:p>
    <w:p w14:paraId="5B4008BF" w14:textId="41990D5A" w:rsidR="00EB4062" w:rsidRDefault="00EB4062" w:rsidP="00EB4062">
      <w:pPr>
        <w:spacing w:line="300" w:lineRule="atLeast"/>
        <w:jc w:val="both"/>
        <w:rPr>
          <w:rFonts w:eastAsia="Calibri"/>
          <w:szCs w:val="22"/>
        </w:rPr>
      </w:pPr>
      <w:r w:rsidRPr="00EB4062">
        <w:rPr>
          <w:rFonts w:eastAsia="Calibri"/>
          <w:szCs w:val="22"/>
        </w:rPr>
        <w:t xml:space="preserve">This section addresses the industrial </w:t>
      </w:r>
      <w:r w:rsidR="00882E4F">
        <w:rPr>
          <w:rFonts w:eastAsia="Calibri"/>
          <w:szCs w:val="22"/>
        </w:rPr>
        <w:t>biomass power plants, and any incidental incineration of wood waste.</w:t>
      </w:r>
      <w:r w:rsidRPr="00EB4062">
        <w:rPr>
          <w:rFonts w:eastAsia="Calibri"/>
          <w:szCs w:val="22"/>
        </w:rPr>
        <w:t xml:space="preserve"> Combustion processes in the pulp and paper industry are split into two with wood and biomass combustion included here and the combustion of black liquor solids covered in section </w:t>
      </w:r>
      <w:r w:rsidR="00882E4F">
        <w:rPr>
          <w:rFonts w:eastAsia="Calibri"/>
          <w:szCs w:val="22"/>
        </w:rPr>
        <w:t>8.</w:t>
      </w:r>
    </w:p>
    <w:p w14:paraId="66457FEC" w14:textId="622DA597" w:rsidR="00971999" w:rsidRDefault="6CD46293" w:rsidP="0C34660A">
      <w:pPr>
        <w:spacing w:line="300" w:lineRule="atLeast"/>
        <w:jc w:val="both"/>
        <w:rPr>
          <w:rFonts w:eastAsia="Calibri"/>
        </w:rPr>
      </w:pPr>
      <w:r w:rsidRPr="0C34660A">
        <w:rPr>
          <w:rFonts w:eastAsia="Calibri"/>
        </w:rPr>
        <w:t xml:space="preserve">For previous </w:t>
      </w:r>
      <w:bookmarkStart w:id="198" w:name="_Int_VmJm9RZh"/>
      <w:r w:rsidRPr="0C34660A">
        <w:rPr>
          <w:rFonts w:eastAsia="Calibri"/>
        </w:rPr>
        <w:t>inventories,</w:t>
      </w:r>
      <w:bookmarkEnd w:id="198"/>
      <w:r w:rsidRPr="0C34660A">
        <w:rPr>
          <w:rFonts w:eastAsia="Calibri"/>
        </w:rPr>
        <w:t xml:space="preserve"> an estimate of the annual biomass energy burned was obtained using t</w:t>
      </w:r>
      <w:r w:rsidR="20398D65" w:rsidRPr="0C34660A">
        <w:rPr>
          <w:rFonts w:eastAsia="Calibri"/>
        </w:rPr>
        <w:t>he gross heat energy ratings for relevant plant listed in the Heat Plant Database</w:t>
      </w:r>
      <w:r w:rsidR="50AF3356" w:rsidRPr="0C34660A">
        <w:rPr>
          <w:rFonts w:eastAsia="Calibri"/>
        </w:rPr>
        <w:t xml:space="preserve"> </w:t>
      </w:r>
      <w:sdt>
        <w:sdtPr>
          <w:rPr>
            <w:rFonts w:eastAsia="Calibri"/>
          </w:rPr>
          <w:id w:val="564062795"/>
          <w:lock w:val="contentLocked"/>
          <w:placeholder>
            <w:docPart w:val="DefaultPlaceholder_1081868574"/>
          </w:placeholder>
          <w:citation/>
        </w:sdtPr>
        <w:sdtEndPr/>
        <w:sdtContent>
          <w:r w:rsidR="003E6BEA" w:rsidRPr="0C34660A">
            <w:rPr>
              <w:rFonts w:eastAsia="Calibri"/>
            </w:rPr>
            <w:fldChar w:fldCharType="begin"/>
          </w:r>
          <w:r w:rsidR="003E6BEA" w:rsidRPr="0C34660A">
            <w:rPr>
              <w:rFonts w:eastAsia="Calibri"/>
            </w:rPr>
            <w:instrText xml:space="preserve"> CITATION CRL2011 \l 5129 </w:instrText>
          </w:r>
          <w:r w:rsidR="003E6BEA" w:rsidRPr="0C34660A">
            <w:rPr>
              <w:rFonts w:eastAsia="Calibri"/>
            </w:rPr>
            <w:fldChar w:fldCharType="separate"/>
          </w:r>
          <w:r w:rsidR="25EC959F" w:rsidRPr="0C34660A">
            <w:rPr>
              <w:rFonts w:eastAsia="Calibri"/>
              <w:noProof/>
            </w:rPr>
            <w:t>(CRL Energy, 2011)</w:t>
          </w:r>
          <w:r w:rsidR="003E6BEA" w:rsidRPr="0C34660A">
            <w:rPr>
              <w:rFonts w:eastAsia="Calibri"/>
            </w:rPr>
            <w:fldChar w:fldCharType="end"/>
          </w:r>
        </w:sdtContent>
      </w:sdt>
      <w:r w:rsidRPr="0C34660A">
        <w:rPr>
          <w:rFonts w:eastAsia="Calibri"/>
        </w:rPr>
        <w:t>. These ratings</w:t>
      </w:r>
      <w:r w:rsidR="20398D65" w:rsidRPr="0C34660A">
        <w:rPr>
          <w:rFonts w:eastAsia="Calibri"/>
        </w:rPr>
        <w:t xml:space="preserve"> were summed, and an estimate of the annual energy consumption was made based on the assumption that the facilities operated 24 hours a day</w:t>
      </w:r>
      <w:r w:rsidR="00415BA5" w:rsidRPr="0C34660A">
        <w:rPr>
          <w:rFonts w:eastAsia="Calibri"/>
        </w:rPr>
        <w:t>,</w:t>
      </w:r>
      <w:r w:rsidR="20398D65" w:rsidRPr="0C34660A">
        <w:rPr>
          <w:rFonts w:eastAsia="Calibri"/>
        </w:rPr>
        <w:t xml:space="preserve"> at 70% capacity</w:t>
      </w:r>
      <w:r w:rsidR="00415BA5" w:rsidRPr="0C34660A">
        <w:rPr>
          <w:rFonts w:eastAsia="Calibri"/>
        </w:rPr>
        <w:t>,</w:t>
      </w:r>
      <w:r w:rsidR="20398D65" w:rsidRPr="0C34660A">
        <w:rPr>
          <w:rFonts w:eastAsia="Calibri"/>
        </w:rPr>
        <w:t xml:space="preserve"> for 320 days per year. </w:t>
      </w:r>
    </w:p>
    <w:p w14:paraId="128CE1DA" w14:textId="07B629BE" w:rsidR="00706B8D" w:rsidRDefault="5C73C306" w:rsidP="0C34660A">
      <w:pPr>
        <w:spacing w:line="300" w:lineRule="atLeast"/>
        <w:jc w:val="both"/>
        <w:rPr>
          <w:rFonts w:eastAsia="Calibri"/>
        </w:rPr>
      </w:pPr>
      <w:r w:rsidRPr="0C34660A">
        <w:rPr>
          <w:rFonts w:eastAsia="Calibri"/>
        </w:rPr>
        <w:t>In 2017 MBIE commissioned the Crown Research Institute Scion to prepare an up-to-date database of energy raising plant in currently operating wood processing and pulp and paper operations in New Zealand</w:t>
      </w:r>
      <w:r w:rsidR="356ACDCE" w:rsidRPr="0C34660A">
        <w:rPr>
          <w:rFonts w:eastAsia="Calibri"/>
        </w:rPr>
        <w:t xml:space="preserve"> (MBIE, 2017)</w:t>
      </w:r>
      <w:r w:rsidRPr="0C34660A">
        <w:rPr>
          <w:rFonts w:eastAsia="Calibri"/>
        </w:rPr>
        <w:t>. Scion produced a database with details for 173 wood processing operations along with</w:t>
      </w:r>
      <w:r w:rsidR="2EFD5CC5" w:rsidRPr="0C34660A">
        <w:rPr>
          <w:rFonts w:eastAsia="Calibri"/>
        </w:rPr>
        <w:t xml:space="preserve"> improved</w:t>
      </w:r>
      <w:r w:rsidRPr="0C34660A">
        <w:rPr>
          <w:rFonts w:eastAsia="Calibri"/>
        </w:rPr>
        <w:t xml:space="preserve"> estimates </w:t>
      </w:r>
      <w:r w:rsidR="356ACDCE" w:rsidRPr="0C34660A">
        <w:rPr>
          <w:rFonts w:eastAsia="Calibri"/>
        </w:rPr>
        <w:t xml:space="preserve">of bioenergy consumption. They </w:t>
      </w:r>
      <w:r w:rsidRPr="0C34660A">
        <w:rPr>
          <w:rFonts w:eastAsia="Calibri"/>
        </w:rPr>
        <w:t>have continued to update th</w:t>
      </w:r>
      <w:r w:rsidR="356ACDCE" w:rsidRPr="0C34660A">
        <w:rPr>
          <w:rFonts w:eastAsia="Calibri"/>
        </w:rPr>
        <w:t xml:space="preserve">is </w:t>
      </w:r>
      <w:r w:rsidRPr="0C34660A">
        <w:rPr>
          <w:rFonts w:eastAsia="Calibri"/>
        </w:rPr>
        <w:t>database</w:t>
      </w:r>
      <w:r w:rsidR="356ACDCE" w:rsidRPr="0C34660A">
        <w:rPr>
          <w:rFonts w:eastAsia="Calibri"/>
        </w:rPr>
        <w:t xml:space="preserve"> annually</w:t>
      </w:r>
      <w:r w:rsidRPr="0C34660A">
        <w:rPr>
          <w:rFonts w:eastAsia="Calibri"/>
        </w:rPr>
        <w:t xml:space="preserve"> and this is used by MBIE to derive annual industrial energy raised by biomass.</w:t>
      </w:r>
    </w:p>
    <w:p w14:paraId="2062BE5E" w14:textId="548DABD2" w:rsidR="00706B8D" w:rsidRDefault="008A1E0F" w:rsidP="00706B8D">
      <w:pPr>
        <w:spacing w:line="300" w:lineRule="atLeast"/>
        <w:jc w:val="both"/>
        <w:rPr>
          <w:rFonts w:eastAsia="Calibri"/>
          <w:szCs w:val="22"/>
        </w:rPr>
      </w:pPr>
      <w:r>
        <w:rPr>
          <w:rFonts w:eastAsia="Calibri"/>
          <w:szCs w:val="22"/>
        </w:rPr>
        <w:t>For 2020 a combined value of 48</w:t>
      </w:r>
      <w:r w:rsidR="000D0610">
        <w:rPr>
          <w:rFonts w:eastAsia="Calibri"/>
          <w:szCs w:val="22"/>
        </w:rPr>
        <w:t>,</w:t>
      </w:r>
      <w:r>
        <w:rPr>
          <w:rFonts w:eastAsia="Calibri"/>
          <w:szCs w:val="22"/>
        </w:rPr>
        <w:t>66</w:t>
      </w:r>
      <w:r w:rsidR="000D0610">
        <w:rPr>
          <w:rFonts w:eastAsia="Calibri"/>
          <w:szCs w:val="22"/>
        </w:rPr>
        <w:t>0</w:t>
      </w:r>
      <w:r>
        <w:rPr>
          <w:rFonts w:eastAsia="Calibri"/>
          <w:szCs w:val="22"/>
        </w:rPr>
        <w:t xml:space="preserve"> </w:t>
      </w:r>
      <w:r w:rsidR="000D0610">
        <w:rPr>
          <w:rFonts w:eastAsia="Calibri"/>
          <w:szCs w:val="22"/>
        </w:rPr>
        <w:t>T</w:t>
      </w:r>
      <w:r>
        <w:rPr>
          <w:rFonts w:eastAsia="Calibri"/>
          <w:szCs w:val="22"/>
        </w:rPr>
        <w:t xml:space="preserve">J </w:t>
      </w:r>
      <w:r w:rsidR="00D75D90">
        <w:rPr>
          <w:rFonts w:eastAsia="Calibri"/>
          <w:szCs w:val="22"/>
        </w:rPr>
        <w:t>(1 TJ – 10</w:t>
      </w:r>
      <w:r w:rsidR="00D75D90" w:rsidRPr="002227E7">
        <w:rPr>
          <w:rFonts w:eastAsia="Calibri"/>
          <w:szCs w:val="22"/>
          <w:vertAlign w:val="superscript"/>
        </w:rPr>
        <w:t>12</w:t>
      </w:r>
      <w:r w:rsidR="00D75D90">
        <w:rPr>
          <w:rFonts w:eastAsia="Calibri"/>
          <w:szCs w:val="22"/>
        </w:rPr>
        <w:t xml:space="preserve"> Joules) </w:t>
      </w:r>
      <w:r>
        <w:rPr>
          <w:rFonts w:eastAsia="Calibri"/>
          <w:szCs w:val="22"/>
        </w:rPr>
        <w:t>for biomass energy consumption was reported by MBIE (Ministry of Business Innovation and Employment, 2021)</w:t>
      </w:r>
      <w:r w:rsidR="00A522B3">
        <w:rPr>
          <w:rFonts w:eastAsia="Calibri"/>
          <w:szCs w:val="22"/>
        </w:rPr>
        <w:t>. To avoid double counting</w:t>
      </w:r>
      <w:r w:rsidR="00C279DD">
        <w:rPr>
          <w:rFonts w:eastAsia="Calibri"/>
          <w:szCs w:val="22"/>
        </w:rPr>
        <w:t>,</w:t>
      </w:r>
      <w:r w:rsidR="00A522B3">
        <w:rPr>
          <w:rFonts w:eastAsia="Calibri"/>
          <w:szCs w:val="22"/>
        </w:rPr>
        <w:t xml:space="preserve"> the components for black liquor consumption and wood used for domestic heating must be subtracted from this total. </w:t>
      </w:r>
      <w:r w:rsidR="00496AD8">
        <w:rPr>
          <w:rFonts w:eastAsia="Calibri"/>
          <w:szCs w:val="22"/>
        </w:rPr>
        <w:t>As shown in Section 5.4</w:t>
      </w:r>
      <w:r w:rsidR="00C279DD">
        <w:rPr>
          <w:rFonts w:eastAsia="Calibri"/>
          <w:szCs w:val="22"/>
        </w:rPr>
        <w:t>,</w:t>
      </w:r>
      <w:r w:rsidR="00496AD8">
        <w:rPr>
          <w:rFonts w:eastAsia="Calibri"/>
          <w:szCs w:val="22"/>
        </w:rPr>
        <w:t xml:space="preserve"> domestic wood burning accounted for 7,538 TJ in 2020</w:t>
      </w:r>
      <w:r w:rsidR="00D75D90">
        <w:rPr>
          <w:rFonts w:eastAsia="Calibri"/>
          <w:szCs w:val="22"/>
        </w:rPr>
        <w:t>.</w:t>
      </w:r>
      <w:r w:rsidR="00496AD8">
        <w:rPr>
          <w:rFonts w:eastAsia="Calibri"/>
          <w:szCs w:val="22"/>
        </w:rPr>
        <w:t xml:space="preserve"> </w:t>
      </w:r>
      <w:r w:rsidR="00127A64">
        <w:rPr>
          <w:rFonts w:eastAsia="Calibri"/>
          <w:szCs w:val="22"/>
        </w:rPr>
        <w:t xml:space="preserve">Currently data </w:t>
      </w:r>
      <w:r w:rsidR="00496AD8">
        <w:rPr>
          <w:rFonts w:eastAsia="Calibri"/>
          <w:szCs w:val="22"/>
        </w:rPr>
        <w:t>is no</w:t>
      </w:r>
      <w:r w:rsidR="00127A64">
        <w:rPr>
          <w:rFonts w:eastAsia="Calibri"/>
          <w:szCs w:val="22"/>
        </w:rPr>
        <w:t>t</w:t>
      </w:r>
      <w:r w:rsidR="00496AD8">
        <w:rPr>
          <w:rFonts w:eastAsia="Calibri"/>
          <w:szCs w:val="22"/>
        </w:rPr>
        <w:t xml:space="preserve"> data available for </w:t>
      </w:r>
      <w:r w:rsidR="00127A64">
        <w:rPr>
          <w:rFonts w:eastAsia="Calibri"/>
          <w:szCs w:val="22"/>
        </w:rPr>
        <w:t xml:space="preserve">the energy value of </w:t>
      </w:r>
      <w:r w:rsidR="00496AD8">
        <w:rPr>
          <w:rFonts w:eastAsia="Calibri"/>
          <w:szCs w:val="22"/>
        </w:rPr>
        <w:t xml:space="preserve">black </w:t>
      </w:r>
      <w:r w:rsidR="00127A64">
        <w:rPr>
          <w:rFonts w:eastAsia="Calibri"/>
          <w:szCs w:val="22"/>
        </w:rPr>
        <w:t xml:space="preserve">liquor burned in 2020 so </w:t>
      </w:r>
      <w:r w:rsidR="000D0610">
        <w:rPr>
          <w:rFonts w:eastAsia="Calibri"/>
          <w:szCs w:val="22"/>
        </w:rPr>
        <w:t xml:space="preserve">the value of 9,440 TJ used in the 2016 Inventory will be used. On this basis it is estimated that </w:t>
      </w:r>
      <w:r w:rsidR="00D75D90">
        <w:rPr>
          <w:rFonts w:eastAsia="Calibri"/>
          <w:szCs w:val="22"/>
        </w:rPr>
        <w:t>biomass fired industrial plants consumed 31,682 TJ in 2020.</w:t>
      </w:r>
    </w:p>
    <w:p w14:paraId="463A4354" w14:textId="37377AD1" w:rsidR="006C3A3C" w:rsidRDefault="006B26EE" w:rsidP="006C3A3C">
      <w:pPr>
        <w:spacing w:line="300" w:lineRule="atLeast"/>
        <w:jc w:val="both"/>
        <w:rPr>
          <w:rFonts w:eastAsia="Calibri"/>
          <w:szCs w:val="22"/>
        </w:rPr>
      </w:pPr>
      <w:r>
        <w:rPr>
          <w:rFonts w:eastAsia="Calibri"/>
          <w:szCs w:val="22"/>
          <w:lang w:val="en-US"/>
        </w:rPr>
        <w:t>The 20</w:t>
      </w:r>
      <w:r w:rsidR="00647E31">
        <w:rPr>
          <w:rFonts w:eastAsia="Calibri"/>
          <w:szCs w:val="22"/>
          <w:lang w:val="en-US"/>
        </w:rPr>
        <w:t>12</w:t>
      </w:r>
      <w:r w:rsidR="00305C0F">
        <w:rPr>
          <w:rFonts w:eastAsia="Calibri"/>
          <w:szCs w:val="22"/>
          <w:lang w:val="en-US"/>
        </w:rPr>
        <w:t xml:space="preserve"> and 2016</w:t>
      </w:r>
      <w:r>
        <w:rPr>
          <w:rFonts w:eastAsia="Calibri"/>
          <w:szCs w:val="22"/>
          <w:lang w:val="en-US"/>
        </w:rPr>
        <w:t xml:space="preserve"> Inventory estimates were based on the default factors given in the </w:t>
      </w:r>
      <w:r w:rsidR="006C3A3C" w:rsidRPr="006C3A3C">
        <w:rPr>
          <w:rFonts w:eastAsia="Calibri"/>
          <w:szCs w:val="22"/>
          <w:lang w:val="en-US"/>
        </w:rPr>
        <w:t>UNEP Toolkit</w:t>
      </w:r>
      <w:r w:rsidR="00294C55">
        <w:rPr>
          <w:rFonts w:eastAsia="Calibri"/>
          <w:szCs w:val="22"/>
          <w:lang w:val="en-US"/>
        </w:rPr>
        <w:t>,</w:t>
      </w:r>
      <w:r w:rsidR="006C3A3C" w:rsidRPr="006C3A3C">
        <w:rPr>
          <w:rFonts w:eastAsia="Calibri"/>
          <w:szCs w:val="22"/>
          <w:lang w:val="en-US"/>
        </w:rPr>
        <w:t xml:space="preserve"> of 50 μg </w:t>
      </w:r>
      <w:r w:rsidR="0009594D">
        <w:rPr>
          <w:rFonts w:eastAsia="Calibri"/>
          <w:szCs w:val="22"/>
          <w:lang w:val="en-US"/>
        </w:rPr>
        <w:t>TEQ</w:t>
      </w:r>
      <w:r w:rsidR="006C3A3C" w:rsidRPr="006C3A3C">
        <w:rPr>
          <w:rFonts w:eastAsia="Calibri"/>
          <w:szCs w:val="22"/>
          <w:lang w:val="en-US"/>
        </w:rPr>
        <w:t xml:space="preserve"> </w:t>
      </w:r>
      <w:r>
        <w:rPr>
          <w:rFonts w:eastAsia="Calibri"/>
          <w:szCs w:val="22"/>
          <w:lang w:val="en-US"/>
        </w:rPr>
        <w:t xml:space="preserve">per </w:t>
      </w:r>
      <w:r w:rsidR="006C3A3C" w:rsidRPr="006C3A3C">
        <w:rPr>
          <w:rFonts w:eastAsia="Calibri"/>
          <w:szCs w:val="22"/>
          <w:lang w:val="en-US"/>
        </w:rPr>
        <w:t xml:space="preserve">TJ for </w:t>
      </w:r>
      <w:r>
        <w:rPr>
          <w:rFonts w:eastAsia="Calibri"/>
          <w:szCs w:val="22"/>
          <w:lang w:val="en-US"/>
        </w:rPr>
        <w:t xml:space="preserve">releases to air, and 15 </w:t>
      </w:r>
      <w:r w:rsidRPr="006B26EE">
        <w:rPr>
          <w:rFonts w:eastAsia="Calibri"/>
          <w:szCs w:val="22"/>
          <w:lang w:val="en-US"/>
        </w:rPr>
        <w:t xml:space="preserve">μg </w:t>
      </w:r>
      <w:r w:rsidR="0009594D">
        <w:rPr>
          <w:rFonts w:eastAsia="Calibri"/>
          <w:szCs w:val="22"/>
          <w:lang w:val="en-US"/>
        </w:rPr>
        <w:t>TEQ</w:t>
      </w:r>
      <w:r w:rsidRPr="006B26EE">
        <w:rPr>
          <w:rFonts w:eastAsia="Calibri"/>
          <w:szCs w:val="22"/>
          <w:lang w:val="en-US"/>
        </w:rPr>
        <w:t xml:space="preserve"> per TJ </w:t>
      </w:r>
      <w:r>
        <w:rPr>
          <w:rFonts w:eastAsia="Calibri"/>
          <w:szCs w:val="22"/>
          <w:lang w:val="en-US"/>
        </w:rPr>
        <w:t>for releases in residues (ash)</w:t>
      </w:r>
      <w:r w:rsidR="002227E7">
        <w:rPr>
          <w:rFonts w:eastAsia="Calibri"/>
          <w:szCs w:val="22"/>
          <w:lang w:val="en-US"/>
        </w:rPr>
        <w:t xml:space="preserve"> </w:t>
      </w:r>
      <w:r w:rsidR="008615DE" w:rsidRPr="008615DE">
        <w:rPr>
          <w:rFonts w:eastAsia="Calibri"/>
          <w:szCs w:val="22"/>
          <w:lang w:val="en-US"/>
        </w:rPr>
        <w:t>(1 µg TEQ/</w:t>
      </w:r>
      <w:r w:rsidR="008615DE">
        <w:rPr>
          <w:rFonts w:eastAsia="Calibri"/>
          <w:szCs w:val="22"/>
          <w:lang w:val="en-US"/>
        </w:rPr>
        <w:t>TJ</w:t>
      </w:r>
      <w:r w:rsidR="008615DE" w:rsidRPr="008615DE">
        <w:rPr>
          <w:rFonts w:eastAsia="Calibri"/>
          <w:szCs w:val="22"/>
          <w:lang w:val="en-US"/>
        </w:rPr>
        <w:t xml:space="preserve"> = 1 x 10</w:t>
      </w:r>
      <w:r w:rsidR="008615DE" w:rsidRPr="008615DE">
        <w:rPr>
          <w:rFonts w:eastAsia="Calibri"/>
          <w:szCs w:val="22"/>
          <w:vertAlign w:val="superscript"/>
          <w:lang w:val="en-US"/>
        </w:rPr>
        <w:t>-6</w:t>
      </w:r>
      <w:r w:rsidR="008615DE" w:rsidRPr="008615DE">
        <w:rPr>
          <w:rFonts w:eastAsia="Calibri"/>
          <w:szCs w:val="22"/>
          <w:lang w:val="en-US"/>
        </w:rPr>
        <w:t xml:space="preserve"> g TEQ/</w:t>
      </w:r>
      <w:r w:rsidR="008615DE">
        <w:rPr>
          <w:rFonts w:eastAsia="Calibri"/>
          <w:szCs w:val="22"/>
          <w:lang w:val="en-US"/>
        </w:rPr>
        <w:t>TJ</w:t>
      </w:r>
      <w:r w:rsidR="002227E7" w:rsidRPr="002227E7">
        <w:rPr>
          <w:rFonts w:eastAsia="Calibri"/>
          <w:szCs w:val="22"/>
          <w:lang w:val="en-US"/>
        </w:rPr>
        <w:t>)</w:t>
      </w:r>
      <w:r w:rsidR="006C3A3C" w:rsidRPr="006C3A3C">
        <w:rPr>
          <w:rFonts w:eastAsia="Calibri"/>
          <w:szCs w:val="22"/>
          <w:lang w:val="en-US"/>
        </w:rPr>
        <w:t>.</w:t>
      </w:r>
      <w:r>
        <w:rPr>
          <w:rFonts w:eastAsia="Calibri"/>
          <w:szCs w:val="22"/>
          <w:lang w:val="en-US"/>
        </w:rPr>
        <w:t xml:space="preserve"> These factors have also </w:t>
      </w:r>
      <w:r w:rsidR="008857F9">
        <w:rPr>
          <w:rFonts w:eastAsia="Calibri"/>
          <w:szCs w:val="22"/>
          <w:lang w:val="en-US"/>
        </w:rPr>
        <w:t xml:space="preserve">been used for </w:t>
      </w:r>
      <w:r>
        <w:rPr>
          <w:rFonts w:eastAsia="Calibri"/>
          <w:szCs w:val="22"/>
          <w:lang w:val="en-US"/>
        </w:rPr>
        <w:t>the current estimates.</w:t>
      </w:r>
    </w:p>
    <w:p w14:paraId="315C4C79" w14:textId="76A6DC1F" w:rsidR="0031583E" w:rsidRDefault="78AA6DFE" w:rsidP="00930027">
      <w:pPr>
        <w:spacing w:line="300" w:lineRule="atLeast"/>
        <w:jc w:val="both"/>
      </w:pPr>
      <w:r w:rsidRPr="0C34660A">
        <w:lastRenderedPageBreak/>
        <w:t xml:space="preserve">The </w:t>
      </w:r>
      <w:r w:rsidR="1ECE4EA7" w:rsidRPr="0C34660A">
        <w:t>2020</w:t>
      </w:r>
      <w:r w:rsidR="580BB0F6">
        <w:rPr>
          <w:szCs w:val="18"/>
        </w:rPr>
        <w:t xml:space="preserve"> </w:t>
      </w:r>
      <w:r w:rsidRPr="0C34660A">
        <w:t>release estimate</w:t>
      </w:r>
      <w:r w:rsidR="2A3DD3D1" w:rsidRPr="0C34660A">
        <w:t>s for biomass-fired power plant</w:t>
      </w:r>
      <w:r w:rsidRPr="0C34660A">
        <w:t xml:space="preserve"> are shown in</w:t>
      </w:r>
      <w:r w:rsidR="6992F6F5">
        <w:rPr>
          <w:szCs w:val="18"/>
        </w:rPr>
        <w:t xml:space="preserve"> </w:t>
      </w:r>
      <w:r w:rsidR="006B26EE" w:rsidRPr="006B26EE">
        <w:rPr>
          <w:szCs w:val="18"/>
        </w:rPr>
        <w:fldChar w:fldCharType="begin"/>
      </w:r>
      <w:r w:rsidR="006B26EE" w:rsidRPr="006B26EE">
        <w:rPr>
          <w:szCs w:val="18"/>
        </w:rPr>
        <w:instrText xml:space="preserve"> REF _Ref359745846 \h </w:instrText>
      </w:r>
      <w:r w:rsidR="006B26EE">
        <w:rPr>
          <w:szCs w:val="18"/>
        </w:rPr>
        <w:instrText xml:space="preserve"> \* MERGEFORMAT </w:instrText>
      </w:r>
      <w:r w:rsidR="006B26EE" w:rsidRPr="006B26EE">
        <w:rPr>
          <w:szCs w:val="18"/>
        </w:rPr>
      </w:r>
      <w:r w:rsidR="006B26EE" w:rsidRPr="006B26EE">
        <w:rPr>
          <w:szCs w:val="18"/>
        </w:rPr>
        <w:fldChar w:fldCharType="separate"/>
      </w:r>
      <w:r w:rsidR="00141D7F" w:rsidRPr="00141D7F">
        <w:t xml:space="preserve">Table </w:t>
      </w:r>
      <w:r w:rsidR="00141D7F" w:rsidRPr="00141D7F">
        <w:rPr>
          <w:noProof/>
        </w:rPr>
        <w:t>5</w:t>
      </w:r>
      <w:r w:rsidR="00141D7F" w:rsidRPr="00141D7F">
        <w:rPr>
          <w:noProof/>
        </w:rPr>
        <w:noBreakHyphen/>
        <w:t>6</w:t>
      </w:r>
      <w:r w:rsidR="006B26EE" w:rsidRPr="006B26EE">
        <w:rPr>
          <w:szCs w:val="18"/>
        </w:rPr>
        <w:fldChar w:fldCharType="end"/>
      </w:r>
      <w:r w:rsidRPr="0C34660A">
        <w:t xml:space="preserve">, along with the corresponding estimates made in the </w:t>
      </w:r>
      <w:r w:rsidR="580BB0F6" w:rsidRPr="0C34660A">
        <w:t xml:space="preserve">2012 </w:t>
      </w:r>
      <w:r w:rsidR="1ECE4EA7" w:rsidRPr="0C34660A">
        <w:t xml:space="preserve">and 2016 </w:t>
      </w:r>
      <w:r w:rsidRPr="0C34660A">
        <w:t>Invento</w:t>
      </w:r>
      <w:r w:rsidR="1ECE4EA7" w:rsidRPr="0C34660A">
        <w:t>ries.</w:t>
      </w:r>
      <w:r>
        <w:rPr>
          <w:szCs w:val="18"/>
        </w:rPr>
        <w:t xml:space="preserve"> </w:t>
      </w:r>
      <w:r w:rsidR="50FF4805" w:rsidRPr="0C34660A">
        <w:t xml:space="preserve">There are no direct releases to water or in products. The </w:t>
      </w:r>
      <w:r w:rsidR="502F46FE" w:rsidRPr="0C34660A">
        <w:t xml:space="preserve">ash production is </w:t>
      </w:r>
      <w:r w:rsidR="50FF4805" w:rsidRPr="0C34660A">
        <w:t xml:space="preserve">assigned to the residues Toolkit </w:t>
      </w:r>
      <w:bookmarkStart w:id="199" w:name="_Int_xvtyzR79"/>
      <w:r w:rsidR="50FF4805" w:rsidRPr="0C34660A">
        <w:t>vector because</w:t>
      </w:r>
      <w:bookmarkEnd w:id="199"/>
      <w:r w:rsidR="50FF4805" w:rsidRPr="0C34660A">
        <w:t xml:space="preserve"> the final place of disposal is not known with any certainty.</w:t>
      </w:r>
    </w:p>
    <w:p w14:paraId="5C47F596" w14:textId="12957873" w:rsidR="00766901" w:rsidRPr="00A117FA" w:rsidRDefault="006B26EE" w:rsidP="00101AA8">
      <w:pPr>
        <w:pStyle w:val="Caption"/>
        <w:jc w:val="left"/>
        <w:rPr>
          <w:rFonts w:cs="Arial"/>
          <w:szCs w:val="18"/>
        </w:rPr>
      </w:pPr>
      <w:bookmarkStart w:id="200" w:name="_Ref359745846"/>
      <w:r w:rsidRPr="006B26EE">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6</w:t>
      </w:r>
      <w:r w:rsidR="00C17BA5">
        <w:rPr>
          <w:rFonts w:cs="Arial"/>
        </w:rPr>
        <w:fldChar w:fldCharType="end"/>
      </w:r>
      <w:bookmarkEnd w:id="200"/>
      <w:r w:rsidR="00766901" w:rsidRPr="00CC1BB5">
        <w:rPr>
          <w:rFonts w:cs="Arial"/>
        </w:rPr>
        <w:t>:</w:t>
      </w:r>
      <w:r w:rsidR="00766901">
        <w:rPr>
          <w:rFonts w:cs="Arial"/>
        </w:rPr>
        <w:t xml:space="preserve"> </w:t>
      </w:r>
      <w:r w:rsidR="002856F7">
        <w:rPr>
          <w:rFonts w:cs="Arial"/>
        </w:rPr>
        <w:t>Dioxin</w:t>
      </w:r>
      <w:r w:rsidR="00766901" w:rsidRPr="00A117FA">
        <w:rPr>
          <w:rFonts w:cs="Arial"/>
        </w:rPr>
        <w:t xml:space="preserve"> releases from </w:t>
      </w:r>
      <w:r w:rsidR="00766901">
        <w:rPr>
          <w:rFonts w:cs="Arial"/>
        </w:rPr>
        <w:t>biomass</w:t>
      </w:r>
      <w:r w:rsidR="00445442">
        <w:rPr>
          <w:rFonts w:cs="Arial"/>
        </w:rPr>
        <w:t>-fired power plant</w:t>
      </w:r>
    </w:p>
    <w:tbl>
      <w:tblPr>
        <w:tblStyle w:val="TableGrid"/>
        <w:tblW w:w="0" w:type="auto"/>
        <w:tblLook w:val="04A0" w:firstRow="1" w:lastRow="0" w:firstColumn="1" w:lastColumn="0" w:noHBand="0" w:noVBand="1"/>
      </w:tblPr>
      <w:tblGrid>
        <w:gridCol w:w="803"/>
        <w:gridCol w:w="2609"/>
        <w:gridCol w:w="1425"/>
        <w:gridCol w:w="1455"/>
        <w:gridCol w:w="1353"/>
        <w:gridCol w:w="1416"/>
      </w:tblGrid>
      <w:tr w:rsidR="00766901" w:rsidRPr="00956589" w14:paraId="5CA19607" w14:textId="77777777" w:rsidTr="00944F46">
        <w:tc>
          <w:tcPr>
            <w:tcW w:w="803" w:type="dxa"/>
            <w:vMerge w:val="restart"/>
            <w:vAlign w:val="center"/>
          </w:tcPr>
          <w:p w14:paraId="4FA55ACD" w14:textId="77777777" w:rsidR="00766901" w:rsidRPr="00956589" w:rsidRDefault="00766901" w:rsidP="006C3A3C">
            <w:pPr>
              <w:spacing w:before="120"/>
              <w:jc w:val="center"/>
              <w:rPr>
                <w:rFonts w:ascii="Arial" w:hAnsi="Arial" w:cs="Arial"/>
                <w:b/>
                <w:sz w:val="16"/>
                <w:szCs w:val="18"/>
              </w:rPr>
            </w:pPr>
            <w:r w:rsidRPr="00956589">
              <w:rPr>
                <w:rFonts w:ascii="Arial" w:hAnsi="Arial" w:cs="Arial"/>
                <w:b/>
                <w:sz w:val="16"/>
                <w:szCs w:val="18"/>
              </w:rPr>
              <w:t>Year</w:t>
            </w:r>
          </w:p>
        </w:tc>
        <w:tc>
          <w:tcPr>
            <w:tcW w:w="2609" w:type="dxa"/>
            <w:vMerge w:val="restart"/>
            <w:vAlign w:val="center"/>
          </w:tcPr>
          <w:p w14:paraId="1599461D" w14:textId="77777777" w:rsidR="00766901" w:rsidRPr="00956589" w:rsidRDefault="00766901" w:rsidP="006B26EE">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 xml:space="preserve">(TJ of </w:t>
            </w:r>
            <w:r w:rsidR="006B26EE">
              <w:rPr>
                <w:rFonts w:ascii="Arial" w:hAnsi="Arial" w:cs="Arial"/>
                <w:b/>
                <w:sz w:val="16"/>
                <w:szCs w:val="18"/>
              </w:rPr>
              <w:t>biomass</w:t>
            </w:r>
            <w:r>
              <w:rPr>
                <w:rFonts w:ascii="Arial" w:hAnsi="Arial" w:cs="Arial"/>
                <w:b/>
                <w:sz w:val="16"/>
                <w:szCs w:val="18"/>
              </w:rPr>
              <w:t>/year)</w:t>
            </w:r>
          </w:p>
        </w:tc>
        <w:tc>
          <w:tcPr>
            <w:tcW w:w="2880" w:type="dxa"/>
            <w:gridSpan w:val="2"/>
            <w:vAlign w:val="center"/>
          </w:tcPr>
          <w:p w14:paraId="34237FA2" w14:textId="165C7AC4" w:rsidR="00766901" w:rsidRPr="00956589" w:rsidRDefault="00766901" w:rsidP="006B26EE">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 xml:space="preserve">/TJ of </w:t>
            </w:r>
            <w:r w:rsidR="006B26EE">
              <w:rPr>
                <w:rFonts w:ascii="Arial" w:hAnsi="Arial" w:cs="Arial"/>
                <w:b/>
                <w:sz w:val="16"/>
                <w:szCs w:val="18"/>
              </w:rPr>
              <w:t>biomass</w:t>
            </w:r>
            <w:r>
              <w:rPr>
                <w:rFonts w:ascii="Arial" w:hAnsi="Arial" w:cs="Arial"/>
                <w:b/>
                <w:sz w:val="16"/>
                <w:szCs w:val="18"/>
              </w:rPr>
              <w:t>)</w:t>
            </w:r>
          </w:p>
        </w:tc>
        <w:tc>
          <w:tcPr>
            <w:tcW w:w="2769" w:type="dxa"/>
            <w:gridSpan w:val="2"/>
            <w:vAlign w:val="center"/>
          </w:tcPr>
          <w:p w14:paraId="50E42D10" w14:textId="74DE76A9" w:rsidR="00766901" w:rsidRPr="00956589" w:rsidRDefault="00766901" w:rsidP="006C3A3C">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6B26EE" w:rsidRPr="00956589" w14:paraId="23F4E800" w14:textId="77777777" w:rsidTr="00E95BD6">
        <w:tc>
          <w:tcPr>
            <w:tcW w:w="803" w:type="dxa"/>
            <w:vMerge/>
          </w:tcPr>
          <w:p w14:paraId="3E0574DE" w14:textId="77777777" w:rsidR="006B26EE" w:rsidRPr="00956589" w:rsidRDefault="006B26EE" w:rsidP="006C3A3C">
            <w:pPr>
              <w:spacing w:before="120"/>
              <w:jc w:val="both"/>
              <w:rPr>
                <w:rFonts w:ascii="Arial" w:hAnsi="Arial" w:cs="Arial"/>
                <w:sz w:val="16"/>
                <w:szCs w:val="18"/>
              </w:rPr>
            </w:pPr>
          </w:p>
        </w:tc>
        <w:tc>
          <w:tcPr>
            <w:tcW w:w="2609" w:type="dxa"/>
            <w:vMerge/>
            <w:vAlign w:val="center"/>
          </w:tcPr>
          <w:p w14:paraId="726138D2" w14:textId="77777777" w:rsidR="006B26EE" w:rsidRPr="00956589" w:rsidRDefault="006B26EE" w:rsidP="006C3A3C">
            <w:pPr>
              <w:spacing w:before="120"/>
              <w:jc w:val="center"/>
              <w:rPr>
                <w:rFonts w:ascii="Arial" w:hAnsi="Arial" w:cs="Arial"/>
                <w:sz w:val="16"/>
                <w:szCs w:val="18"/>
              </w:rPr>
            </w:pPr>
          </w:p>
        </w:tc>
        <w:tc>
          <w:tcPr>
            <w:tcW w:w="1425" w:type="dxa"/>
            <w:vAlign w:val="center"/>
          </w:tcPr>
          <w:p w14:paraId="16CDB7C5" w14:textId="77777777" w:rsidR="006B26EE" w:rsidRPr="00956589" w:rsidRDefault="006B26EE" w:rsidP="006C3A3C">
            <w:pPr>
              <w:spacing w:before="120"/>
              <w:jc w:val="center"/>
              <w:rPr>
                <w:rFonts w:ascii="Arial" w:hAnsi="Arial" w:cs="Arial"/>
                <w:b/>
                <w:sz w:val="16"/>
                <w:szCs w:val="18"/>
              </w:rPr>
            </w:pPr>
            <w:r w:rsidRPr="00956589">
              <w:rPr>
                <w:rFonts w:ascii="Arial" w:hAnsi="Arial" w:cs="Arial"/>
                <w:b/>
                <w:sz w:val="16"/>
                <w:szCs w:val="18"/>
              </w:rPr>
              <w:t>Air</w:t>
            </w:r>
          </w:p>
        </w:tc>
        <w:tc>
          <w:tcPr>
            <w:tcW w:w="1455" w:type="dxa"/>
            <w:vAlign w:val="center"/>
          </w:tcPr>
          <w:p w14:paraId="6D0FAE32" w14:textId="181AEBCF" w:rsidR="006B26EE" w:rsidRPr="00956589" w:rsidRDefault="006B26EE" w:rsidP="006C3A3C">
            <w:pPr>
              <w:spacing w:before="120"/>
              <w:jc w:val="center"/>
              <w:rPr>
                <w:rFonts w:ascii="Arial" w:hAnsi="Arial" w:cs="Arial"/>
                <w:b/>
                <w:sz w:val="16"/>
                <w:szCs w:val="18"/>
              </w:rPr>
            </w:pPr>
            <w:r>
              <w:rPr>
                <w:rFonts w:ascii="Arial" w:hAnsi="Arial" w:cs="Arial"/>
                <w:b/>
                <w:sz w:val="16"/>
                <w:szCs w:val="18"/>
              </w:rPr>
              <w:t>Residues</w:t>
            </w:r>
          </w:p>
        </w:tc>
        <w:tc>
          <w:tcPr>
            <w:tcW w:w="1353" w:type="dxa"/>
            <w:vAlign w:val="center"/>
          </w:tcPr>
          <w:p w14:paraId="0D9AA5C2" w14:textId="77777777" w:rsidR="006B26EE" w:rsidRPr="00956589" w:rsidRDefault="006B26EE" w:rsidP="006C3A3C">
            <w:pPr>
              <w:spacing w:before="120"/>
              <w:jc w:val="center"/>
              <w:rPr>
                <w:rFonts w:ascii="Arial" w:hAnsi="Arial" w:cs="Arial"/>
                <w:b/>
                <w:sz w:val="16"/>
                <w:szCs w:val="18"/>
              </w:rPr>
            </w:pPr>
            <w:r>
              <w:rPr>
                <w:rFonts w:ascii="Arial" w:hAnsi="Arial" w:cs="Arial"/>
                <w:b/>
                <w:sz w:val="16"/>
                <w:szCs w:val="18"/>
              </w:rPr>
              <w:t>Air</w:t>
            </w:r>
          </w:p>
        </w:tc>
        <w:tc>
          <w:tcPr>
            <w:tcW w:w="1416" w:type="dxa"/>
            <w:vAlign w:val="center"/>
          </w:tcPr>
          <w:p w14:paraId="00D5C50B" w14:textId="1808A463" w:rsidR="006B26EE" w:rsidRPr="00956589" w:rsidRDefault="006B26EE" w:rsidP="006C3A3C">
            <w:pPr>
              <w:spacing w:before="120"/>
              <w:jc w:val="center"/>
              <w:rPr>
                <w:rFonts w:ascii="Arial" w:hAnsi="Arial" w:cs="Arial"/>
                <w:b/>
                <w:sz w:val="16"/>
                <w:szCs w:val="18"/>
              </w:rPr>
            </w:pPr>
            <w:r>
              <w:rPr>
                <w:rFonts w:ascii="Arial" w:hAnsi="Arial" w:cs="Arial"/>
                <w:b/>
                <w:sz w:val="16"/>
                <w:szCs w:val="18"/>
              </w:rPr>
              <w:t>Residues</w:t>
            </w:r>
          </w:p>
        </w:tc>
      </w:tr>
      <w:tr w:rsidR="00CD5FBA" w:rsidRPr="00956589" w14:paraId="00210C64" w14:textId="77777777" w:rsidTr="00E95BD6">
        <w:tc>
          <w:tcPr>
            <w:tcW w:w="803" w:type="dxa"/>
            <w:vMerge w:val="restart"/>
            <w:vAlign w:val="center"/>
          </w:tcPr>
          <w:p w14:paraId="057519E7" w14:textId="7200C305" w:rsidR="00CD5FBA" w:rsidRPr="00956589" w:rsidRDefault="00647E31" w:rsidP="006C3A3C">
            <w:pPr>
              <w:spacing w:before="120"/>
              <w:rPr>
                <w:rFonts w:ascii="Arial" w:hAnsi="Arial" w:cs="Arial"/>
                <w:b/>
                <w:sz w:val="16"/>
                <w:szCs w:val="18"/>
              </w:rPr>
            </w:pPr>
            <w:r>
              <w:rPr>
                <w:rFonts w:ascii="Arial" w:hAnsi="Arial" w:cs="Arial"/>
                <w:b/>
                <w:sz w:val="16"/>
                <w:szCs w:val="18"/>
              </w:rPr>
              <w:t>2012</w:t>
            </w:r>
          </w:p>
        </w:tc>
        <w:tc>
          <w:tcPr>
            <w:tcW w:w="2609" w:type="dxa"/>
            <w:vMerge w:val="restart"/>
            <w:vAlign w:val="center"/>
          </w:tcPr>
          <w:p w14:paraId="786F5FFC" w14:textId="22467B4C" w:rsidR="00CD5FBA" w:rsidRDefault="00647E31" w:rsidP="006C3A3C">
            <w:pPr>
              <w:spacing w:before="120"/>
              <w:jc w:val="center"/>
              <w:rPr>
                <w:rFonts w:ascii="Arial" w:hAnsi="Arial" w:cs="Arial"/>
                <w:sz w:val="16"/>
                <w:szCs w:val="18"/>
              </w:rPr>
            </w:pPr>
            <w:r>
              <w:rPr>
                <w:rFonts w:ascii="Arial" w:hAnsi="Arial" w:cs="Arial"/>
                <w:sz w:val="16"/>
                <w:szCs w:val="18"/>
              </w:rPr>
              <w:t>20,000</w:t>
            </w:r>
          </w:p>
        </w:tc>
        <w:tc>
          <w:tcPr>
            <w:tcW w:w="1425" w:type="dxa"/>
            <w:vAlign w:val="center"/>
          </w:tcPr>
          <w:p w14:paraId="63C23D6B" w14:textId="77777777" w:rsidR="00CD5FBA" w:rsidRDefault="00CD5FBA" w:rsidP="006C3A3C">
            <w:pPr>
              <w:spacing w:before="120"/>
              <w:jc w:val="center"/>
              <w:rPr>
                <w:rFonts w:ascii="Arial" w:hAnsi="Arial" w:cs="Arial"/>
                <w:sz w:val="16"/>
                <w:szCs w:val="18"/>
              </w:rPr>
            </w:pPr>
            <w:r>
              <w:rPr>
                <w:rFonts w:ascii="Arial" w:hAnsi="Arial" w:cs="Arial"/>
                <w:sz w:val="16"/>
                <w:szCs w:val="18"/>
              </w:rPr>
              <w:t>50</w:t>
            </w:r>
          </w:p>
        </w:tc>
        <w:tc>
          <w:tcPr>
            <w:tcW w:w="1455" w:type="dxa"/>
            <w:vAlign w:val="center"/>
          </w:tcPr>
          <w:p w14:paraId="2DBB25A3" w14:textId="5C92D737" w:rsidR="00CD5FBA" w:rsidRDefault="00CD5FBA" w:rsidP="006C3A3C">
            <w:pPr>
              <w:spacing w:before="120"/>
              <w:jc w:val="center"/>
              <w:rPr>
                <w:rFonts w:ascii="Arial" w:hAnsi="Arial" w:cs="Arial"/>
                <w:sz w:val="16"/>
                <w:szCs w:val="18"/>
              </w:rPr>
            </w:pPr>
            <w:r>
              <w:rPr>
                <w:rFonts w:ascii="Arial" w:hAnsi="Arial" w:cs="Arial"/>
                <w:sz w:val="16"/>
                <w:szCs w:val="18"/>
              </w:rPr>
              <w:t>-</w:t>
            </w:r>
          </w:p>
        </w:tc>
        <w:tc>
          <w:tcPr>
            <w:tcW w:w="1353" w:type="dxa"/>
            <w:vAlign w:val="center"/>
          </w:tcPr>
          <w:p w14:paraId="7F9FAA0A" w14:textId="04F4DC6B" w:rsidR="00CD5FBA" w:rsidRDefault="00647E31" w:rsidP="006C3A3C">
            <w:pPr>
              <w:spacing w:before="120"/>
              <w:jc w:val="center"/>
              <w:rPr>
                <w:rFonts w:ascii="Arial" w:hAnsi="Arial" w:cs="Arial"/>
                <w:sz w:val="16"/>
                <w:szCs w:val="18"/>
              </w:rPr>
            </w:pPr>
            <w:r>
              <w:rPr>
                <w:rFonts w:ascii="Arial" w:hAnsi="Arial" w:cs="Arial"/>
                <w:sz w:val="16"/>
                <w:szCs w:val="18"/>
              </w:rPr>
              <w:t>1.000</w:t>
            </w:r>
          </w:p>
        </w:tc>
        <w:tc>
          <w:tcPr>
            <w:tcW w:w="1416" w:type="dxa"/>
            <w:vAlign w:val="center"/>
          </w:tcPr>
          <w:p w14:paraId="2B4B3AF1" w14:textId="08574A80" w:rsidR="00CD5FBA" w:rsidRDefault="00CD5FBA" w:rsidP="006C3A3C">
            <w:pPr>
              <w:spacing w:before="120"/>
              <w:jc w:val="center"/>
              <w:rPr>
                <w:rFonts w:ascii="Arial" w:hAnsi="Arial" w:cs="Arial"/>
                <w:sz w:val="16"/>
                <w:szCs w:val="18"/>
              </w:rPr>
            </w:pPr>
            <w:r>
              <w:rPr>
                <w:rFonts w:ascii="Arial" w:hAnsi="Arial" w:cs="Arial"/>
                <w:sz w:val="16"/>
                <w:szCs w:val="18"/>
              </w:rPr>
              <w:t>-</w:t>
            </w:r>
          </w:p>
        </w:tc>
      </w:tr>
      <w:tr w:rsidR="00CD5FBA" w:rsidRPr="00956589" w14:paraId="5B0B6C79" w14:textId="77777777" w:rsidTr="00E95BD6">
        <w:tc>
          <w:tcPr>
            <w:tcW w:w="803" w:type="dxa"/>
            <w:vMerge/>
            <w:vAlign w:val="center"/>
          </w:tcPr>
          <w:p w14:paraId="065FBE80" w14:textId="77777777" w:rsidR="00CD5FBA" w:rsidRDefault="00CD5FBA" w:rsidP="006C3A3C">
            <w:pPr>
              <w:spacing w:before="120"/>
              <w:rPr>
                <w:rFonts w:ascii="Arial" w:hAnsi="Arial" w:cs="Arial"/>
                <w:b/>
                <w:sz w:val="16"/>
                <w:szCs w:val="18"/>
              </w:rPr>
            </w:pPr>
          </w:p>
        </w:tc>
        <w:tc>
          <w:tcPr>
            <w:tcW w:w="2609" w:type="dxa"/>
            <w:vMerge/>
            <w:vAlign w:val="center"/>
          </w:tcPr>
          <w:p w14:paraId="221BEC06" w14:textId="77777777" w:rsidR="00CD5FBA" w:rsidRDefault="00CD5FBA" w:rsidP="006C3A3C">
            <w:pPr>
              <w:spacing w:before="120"/>
              <w:jc w:val="center"/>
              <w:rPr>
                <w:rFonts w:ascii="Arial" w:hAnsi="Arial" w:cs="Arial"/>
                <w:sz w:val="16"/>
                <w:szCs w:val="18"/>
              </w:rPr>
            </w:pPr>
          </w:p>
        </w:tc>
        <w:tc>
          <w:tcPr>
            <w:tcW w:w="1425" w:type="dxa"/>
            <w:vAlign w:val="center"/>
          </w:tcPr>
          <w:p w14:paraId="243A6C83" w14:textId="17D1CB19" w:rsidR="00CD5FBA" w:rsidRDefault="00CD5FBA" w:rsidP="006C3A3C">
            <w:pPr>
              <w:spacing w:before="120"/>
              <w:jc w:val="center"/>
              <w:rPr>
                <w:rFonts w:ascii="Arial" w:hAnsi="Arial" w:cs="Arial"/>
                <w:sz w:val="16"/>
                <w:szCs w:val="18"/>
              </w:rPr>
            </w:pPr>
            <w:r>
              <w:rPr>
                <w:rFonts w:ascii="Arial" w:hAnsi="Arial" w:cs="Arial"/>
                <w:sz w:val="16"/>
                <w:szCs w:val="18"/>
              </w:rPr>
              <w:t>-</w:t>
            </w:r>
          </w:p>
        </w:tc>
        <w:tc>
          <w:tcPr>
            <w:tcW w:w="1455" w:type="dxa"/>
            <w:vAlign w:val="center"/>
          </w:tcPr>
          <w:p w14:paraId="70619842" w14:textId="4060E52C" w:rsidR="00CD5FBA" w:rsidRDefault="00CD5FBA" w:rsidP="006C3A3C">
            <w:pPr>
              <w:spacing w:before="120"/>
              <w:jc w:val="center"/>
              <w:rPr>
                <w:rFonts w:ascii="Arial" w:hAnsi="Arial" w:cs="Arial"/>
                <w:sz w:val="16"/>
                <w:szCs w:val="18"/>
              </w:rPr>
            </w:pPr>
            <w:r>
              <w:rPr>
                <w:rFonts w:ascii="Arial" w:hAnsi="Arial" w:cs="Arial"/>
                <w:sz w:val="16"/>
                <w:szCs w:val="18"/>
              </w:rPr>
              <w:t>15</w:t>
            </w:r>
          </w:p>
        </w:tc>
        <w:tc>
          <w:tcPr>
            <w:tcW w:w="1353" w:type="dxa"/>
            <w:vAlign w:val="center"/>
          </w:tcPr>
          <w:p w14:paraId="6B1AFE6E" w14:textId="66693334" w:rsidR="00CD5FBA" w:rsidRDefault="00CD5FBA" w:rsidP="006C3A3C">
            <w:pPr>
              <w:spacing w:before="120"/>
              <w:jc w:val="center"/>
              <w:rPr>
                <w:rFonts w:ascii="Arial" w:hAnsi="Arial" w:cs="Arial"/>
                <w:sz w:val="16"/>
                <w:szCs w:val="18"/>
              </w:rPr>
            </w:pPr>
            <w:r>
              <w:rPr>
                <w:rFonts w:ascii="Arial" w:hAnsi="Arial" w:cs="Arial"/>
                <w:sz w:val="16"/>
                <w:szCs w:val="18"/>
              </w:rPr>
              <w:t>-</w:t>
            </w:r>
          </w:p>
        </w:tc>
        <w:tc>
          <w:tcPr>
            <w:tcW w:w="1416" w:type="dxa"/>
            <w:vAlign w:val="center"/>
          </w:tcPr>
          <w:p w14:paraId="059FB5BB" w14:textId="40B8A520" w:rsidR="00CD5FBA" w:rsidRDefault="00647E31" w:rsidP="006C3A3C">
            <w:pPr>
              <w:spacing w:before="120"/>
              <w:jc w:val="center"/>
              <w:rPr>
                <w:rFonts w:ascii="Arial" w:hAnsi="Arial" w:cs="Arial"/>
                <w:sz w:val="16"/>
                <w:szCs w:val="18"/>
              </w:rPr>
            </w:pPr>
            <w:r>
              <w:rPr>
                <w:rFonts w:ascii="Arial" w:hAnsi="Arial" w:cs="Arial"/>
                <w:sz w:val="16"/>
                <w:szCs w:val="18"/>
              </w:rPr>
              <w:t>0.300</w:t>
            </w:r>
          </w:p>
        </w:tc>
      </w:tr>
      <w:tr w:rsidR="00CD5FBA" w:rsidRPr="00956589" w14:paraId="35F8DC82" w14:textId="77777777" w:rsidTr="00E95BD6">
        <w:tc>
          <w:tcPr>
            <w:tcW w:w="803" w:type="dxa"/>
            <w:vMerge w:val="restart"/>
            <w:vAlign w:val="center"/>
          </w:tcPr>
          <w:p w14:paraId="0EE50DD5" w14:textId="06A39592" w:rsidR="00CD5FBA" w:rsidRPr="00956589" w:rsidRDefault="00647E31" w:rsidP="006C3A3C">
            <w:pPr>
              <w:spacing w:before="120"/>
              <w:rPr>
                <w:rFonts w:ascii="Arial" w:hAnsi="Arial" w:cs="Arial"/>
                <w:b/>
                <w:sz w:val="16"/>
                <w:szCs w:val="18"/>
              </w:rPr>
            </w:pPr>
            <w:r>
              <w:rPr>
                <w:rFonts w:ascii="Arial" w:hAnsi="Arial" w:cs="Arial"/>
                <w:b/>
                <w:sz w:val="16"/>
                <w:szCs w:val="18"/>
              </w:rPr>
              <w:t>2016</w:t>
            </w:r>
          </w:p>
        </w:tc>
        <w:tc>
          <w:tcPr>
            <w:tcW w:w="2609" w:type="dxa"/>
            <w:vMerge w:val="restart"/>
            <w:vAlign w:val="center"/>
          </w:tcPr>
          <w:p w14:paraId="04504C05" w14:textId="77777777" w:rsidR="00CD5FBA" w:rsidRPr="00956589" w:rsidRDefault="00CD5FBA" w:rsidP="006C3A3C">
            <w:pPr>
              <w:spacing w:before="120"/>
              <w:jc w:val="center"/>
              <w:rPr>
                <w:rFonts w:ascii="Arial" w:hAnsi="Arial" w:cs="Arial"/>
                <w:sz w:val="16"/>
                <w:szCs w:val="18"/>
              </w:rPr>
            </w:pPr>
            <w:r>
              <w:rPr>
                <w:rFonts w:ascii="Arial" w:hAnsi="Arial" w:cs="Arial"/>
                <w:sz w:val="16"/>
                <w:szCs w:val="18"/>
              </w:rPr>
              <w:t>20,000</w:t>
            </w:r>
          </w:p>
        </w:tc>
        <w:tc>
          <w:tcPr>
            <w:tcW w:w="1425" w:type="dxa"/>
            <w:vAlign w:val="center"/>
          </w:tcPr>
          <w:p w14:paraId="17812109" w14:textId="77777777" w:rsidR="00CD5FBA" w:rsidRPr="00956589" w:rsidRDefault="00CD5FBA" w:rsidP="006C3A3C">
            <w:pPr>
              <w:spacing w:before="120"/>
              <w:jc w:val="center"/>
              <w:rPr>
                <w:rFonts w:ascii="Arial" w:hAnsi="Arial" w:cs="Arial"/>
                <w:sz w:val="16"/>
                <w:szCs w:val="18"/>
              </w:rPr>
            </w:pPr>
            <w:r>
              <w:rPr>
                <w:rFonts w:ascii="Arial" w:hAnsi="Arial" w:cs="Arial"/>
                <w:sz w:val="16"/>
                <w:szCs w:val="18"/>
              </w:rPr>
              <w:t>50</w:t>
            </w:r>
          </w:p>
        </w:tc>
        <w:tc>
          <w:tcPr>
            <w:tcW w:w="1455" w:type="dxa"/>
            <w:vAlign w:val="center"/>
          </w:tcPr>
          <w:p w14:paraId="4FDD0B4D" w14:textId="6CDE49C6" w:rsidR="00CD5FBA" w:rsidRPr="00956589" w:rsidRDefault="00CD5FBA" w:rsidP="006C3A3C">
            <w:pPr>
              <w:spacing w:before="120"/>
              <w:jc w:val="center"/>
              <w:rPr>
                <w:rFonts w:ascii="Arial" w:hAnsi="Arial" w:cs="Arial"/>
                <w:sz w:val="16"/>
                <w:szCs w:val="18"/>
              </w:rPr>
            </w:pPr>
            <w:r>
              <w:rPr>
                <w:rFonts w:ascii="Arial" w:hAnsi="Arial" w:cs="Arial"/>
                <w:sz w:val="16"/>
                <w:szCs w:val="18"/>
              </w:rPr>
              <w:t>-</w:t>
            </w:r>
          </w:p>
        </w:tc>
        <w:tc>
          <w:tcPr>
            <w:tcW w:w="1353" w:type="dxa"/>
            <w:vAlign w:val="center"/>
          </w:tcPr>
          <w:p w14:paraId="6E075B5F" w14:textId="77777777" w:rsidR="00CD5FBA" w:rsidRPr="00956589" w:rsidRDefault="00CD5FBA" w:rsidP="006C3A3C">
            <w:pPr>
              <w:spacing w:before="120"/>
              <w:jc w:val="center"/>
              <w:rPr>
                <w:rFonts w:ascii="Arial" w:hAnsi="Arial" w:cs="Arial"/>
                <w:sz w:val="16"/>
                <w:szCs w:val="18"/>
              </w:rPr>
            </w:pPr>
            <w:r>
              <w:rPr>
                <w:rFonts w:ascii="Arial" w:hAnsi="Arial" w:cs="Arial"/>
                <w:sz w:val="16"/>
                <w:szCs w:val="18"/>
              </w:rPr>
              <w:t>1.000</w:t>
            </w:r>
          </w:p>
        </w:tc>
        <w:tc>
          <w:tcPr>
            <w:tcW w:w="1416" w:type="dxa"/>
            <w:vAlign w:val="center"/>
          </w:tcPr>
          <w:p w14:paraId="2B494C17" w14:textId="26C122BF" w:rsidR="00CD5FBA" w:rsidRPr="00956589" w:rsidRDefault="00CD5FBA" w:rsidP="006C3A3C">
            <w:pPr>
              <w:spacing w:before="120"/>
              <w:jc w:val="center"/>
              <w:rPr>
                <w:rFonts w:ascii="Arial" w:hAnsi="Arial" w:cs="Arial"/>
                <w:sz w:val="16"/>
                <w:szCs w:val="18"/>
              </w:rPr>
            </w:pPr>
            <w:r>
              <w:rPr>
                <w:rFonts w:ascii="Arial" w:hAnsi="Arial" w:cs="Arial"/>
                <w:sz w:val="16"/>
                <w:szCs w:val="18"/>
              </w:rPr>
              <w:t>-</w:t>
            </w:r>
          </w:p>
        </w:tc>
      </w:tr>
      <w:tr w:rsidR="00CD5FBA" w:rsidRPr="00956589" w14:paraId="5E593804" w14:textId="77777777" w:rsidTr="00E95BD6">
        <w:tc>
          <w:tcPr>
            <w:tcW w:w="803" w:type="dxa"/>
            <w:vMerge/>
            <w:vAlign w:val="center"/>
          </w:tcPr>
          <w:p w14:paraId="5AEBE27D" w14:textId="77777777" w:rsidR="00CD5FBA" w:rsidRPr="00956589" w:rsidRDefault="00CD5FBA" w:rsidP="006C3A3C">
            <w:pPr>
              <w:spacing w:before="120"/>
              <w:rPr>
                <w:rFonts w:ascii="Arial" w:hAnsi="Arial" w:cs="Arial"/>
                <w:b/>
                <w:sz w:val="16"/>
                <w:szCs w:val="18"/>
              </w:rPr>
            </w:pPr>
          </w:p>
        </w:tc>
        <w:tc>
          <w:tcPr>
            <w:tcW w:w="2609" w:type="dxa"/>
            <w:vMerge/>
            <w:vAlign w:val="center"/>
          </w:tcPr>
          <w:p w14:paraId="265CCD13" w14:textId="77777777" w:rsidR="00CD5FBA" w:rsidRDefault="00CD5FBA" w:rsidP="006C3A3C">
            <w:pPr>
              <w:spacing w:before="120"/>
              <w:jc w:val="center"/>
              <w:rPr>
                <w:rFonts w:ascii="Arial" w:hAnsi="Arial" w:cs="Arial"/>
                <w:sz w:val="16"/>
                <w:szCs w:val="18"/>
              </w:rPr>
            </w:pPr>
          </w:p>
        </w:tc>
        <w:tc>
          <w:tcPr>
            <w:tcW w:w="1425" w:type="dxa"/>
            <w:vAlign w:val="center"/>
          </w:tcPr>
          <w:p w14:paraId="51340873" w14:textId="5A5ECFED" w:rsidR="00CD5FBA" w:rsidRDefault="00CD5FBA" w:rsidP="006C3A3C">
            <w:pPr>
              <w:spacing w:before="120"/>
              <w:jc w:val="center"/>
              <w:rPr>
                <w:rFonts w:ascii="Arial" w:hAnsi="Arial" w:cs="Arial"/>
                <w:sz w:val="16"/>
                <w:szCs w:val="18"/>
              </w:rPr>
            </w:pPr>
            <w:r>
              <w:rPr>
                <w:rFonts w:ascii="Arial" w:hAnsi="Arial" w:cs="Arial"/>
                <w:sz w:val="16"/>
                <w:szCs w:val="18"/>
              </w:rPr>
              <w:t>-</w:t>
            </w:r>
          </w:p>
        </w:tc>
        <w:tc>
          <w:tcPr>
            <w:tcW w:w="1455" w:type="dxa"/>
            <w:vAlign w:val="center"/>
          </w:tcPr>
          <w:p w14:paraId="5435069B" w14:textId="4601CBED" w:rsidR="00CD5FBA" w:rsidRDefault="00CD5FBA" w:rsidP="006C3A3C">
            <w:pPr>
              <w:spacing w:before="120"/>
              <w:jc w:val="center"/>
              <w:rPr>
                <w:rFonts w:ascii="Arial" w:hAnsi="Arial" w:cs="Arial"/>
                <w:sz w:val="16"/>
                <w:szCs w:val="18"/>
              </w:rPr>
            </w:pPr>
            <w:r>
              <w:rPr>
                <w:rFonts w:ascii="Arial" w:hAnsi="Arial" w:cs="Arial"/>
                <w:sz w:val="16"/>
                <w:szCs w:val="18"/>
              </w:rPr>
              <w:t>15</w:t>
            </w:r>
          </w:p>
        </w:tc>
        <w:tc>
          <w:tcPr>
            <w:tcW w:w="1353" w:type="dxa"/>
            <w:vAlign w:val="center"/>
          </w:tcPr>
          <w:p w14:paraId="114B588E" w14:textId="025BAF70" w:rsidR="00CD5FBA" w:rsidRDefault="00CD5FBA" w:rsidP="006C3A3C">
            <w:pPr>
              <w:spacing w:before="120"/>
              <w:jc w:val="center"/>
              <w:rPr>
                <w:rFonts w:ascii="Arial" w:hAnsi="Arial" w:cs="Arial"/>
                <w:sz w:val="16"/>
                <w:szCs w:val="18"/>
              </w:rPr>
            </w:pPr>
            <w:r>
              <w:rPr>
                <w:rFonts w:ascii="Arial" w:hAnsi="Arial" w:cs="Arial"/>
                <w:sz w:val="16"/>
                <w:szCs w:val="18"/>
              </w:rPr>
              <w:t>-</w:t>
            </w:r>
          </w:p>
        </w:tc>
        <w:tc>
          <w:tcPr>
            <w:tcW w:w="1416" w:type="dxa"/>
            <w:vAlign w:val="center"/>
          </w:tcPr>
          <w:p w14:paraId="1290F6D0" w14:textId="6FCE68AE" w:rsidR="00CD5FBA" w:rsidRDefault="00CD5FBA" w:rsidP="006C3A3C">
            <w:pPr>
              <w:spacing w:before="120"/>
              <w:jc w:val="center"/>
              <w:rPr>
                <w:rFonts w:ascii="Arial" w:hAnsi="Arial" w:cs="Arial"/>
                <w:sz w:val="16"/>
                <w:szCs w:val="18"/>
              </w:rPr>
            </w:pPr>
            <w:r>
              <w:rPr>
                <w:rFonts w:ascii="Arial" w:hAnsi="Arial" w:cs="Arial"/>
                <w:sz w:val="16"/>
                <w:szCs w:val="18"/>
              </w:rPr>
              <w:t>0.300</w:t>
            </w:r>
          </w:p>
        </w:tc>
      </w:tr>
      <w:tr w:rsidR="00305C0F" w:rsidRPr="00956589" w14:paraId="052F6513" w14:textId="77777777" w:rsidTr="00E95BD6">
        <w:tc>
          <w:tcPr>
            <w:tcW w:w="803" w:type="dxa"/>
            <w:vMerge w:val="restart"/>
            <w:vAlign w:val="center"/>
          </w:tcPr>
          <w:p w14:paraId="5A327339" w14:textId="1382CCD7" w:rsidR="00305C0F" w:rsidRPr="00956589" w:rsidRDefault="00305C0F" w:rsidP="006C3A3C">
            <w:pPr>
              <w:spacing w:before="120"/>
              <w:rPr>
                <w:rFonts w:ascii="Arial" w:hAnsi="Arial" w:cs="Arial"/>
                <w:b/>
                <w:sz w:val="16"/>
                <w:szCs w:val="18"/>
              </w:rPr>
            </w:pPr>
            <w:r>
              <w:rPr>
                <w:rFonts w:ascii="Arial" w:hAnsi="Arial" w:cs="Arial"/>
                <w:b/>
                <w:sz w:val="16"/>
                <w:szCs w:val="18"/>
              </w:rPr>
              <w:t>2020</w:t>
            </w:r>
          </w:p>
        </w:tc>
        <w:tc>
          <w:tcPr>
            <w:tcW w:w="2609" w:type="dxa"/>
            <w:vMerge w:val="restart"/>
            <w:vAlign w:val="center"/>
          </w:tcPr>
          <w:p w14:paraId="5C7B2EFE" w14:textId="5252496A" w:rsidR="00305C0F" w:rsidRDefault="00305C0F" w:rsidP="006C3A3C">
            <w:pPr>
              <w:spacing w:before="120"/>
              <w:jc w:val="center"/>
              <w:rPr>
                <w:rFonts w:ascii="Arial" w:hAnsi="Arial" w:cs="Arial"/>
                <w:sz w:val="16"/>
                <w:szCs w:val="18"/>
              </w:rPr>
            </w:pPr>
            <w:r>
              <w:rPr>
                <w:rFonts w:ascii="Arial" w:hAnsi="Arial" w:cs="Arial"/>
                <w:sz w:val="16"/>
                <w:szCs w:val="18"/>
              </w:rPr>
              <w:t>31,682</w:t>
            </w:r>
          </w:p>
        </w:tc>
        <w:tc>
          <w:tcPr>
            <w:tcW w:w="1425" w:type="dxa"/>
            <w:vAlign w:val="center"/>
          </w:tcPr>
          <w:p w14:paraId="7CC6A594" w14:textId="11052A3A" w:rsidR="00305C0F" w:rsidRDefault="00305C0F" w:rsidP="006C3A3C">
            <w:pPr>
              <w:spacing w:before="120"/>
              <w:jc w:val="center"/>
              <w:rPr>
                <w:rFonts w:ascii="Arial" w:hAnsi="Arial" w:cs="Arial"/>
                <w:sz w:val="16"/>
                <w:szCs w:val="18"/>
              </w:rPr>
            </w:pPr>
            <w:r>
              <w:rPr>
                <w:rFonts w:ascii="Arial" w:hAnsi="Arial" w:cs="Arial"/>
                <w:sz w:val="16"/>
                <w:szCs w:val="18"/>
              </w:rPr>
              <w:t>50</w:t>
            </w:r>
          </w:p>
        </w:tc>
        <w:tc>
          <w:tcPr>
            <w:tcW w:w="1455" w:type="dxa"/>
            <w:vAlign w:val="center"/>
          </w:tcPr>
          <w:p w14:paraId="6BCB20C4" w14:textId="44A46EC3" w:rsidR="00305C0F" w:rsidRDefault="00305C0F" w:rsidP="006C3A3C">
            <w:pPr>
              <w:spacing w:before="120"/>
              <w:jc w:val="center"/>
              <w:rPr>
                <w:rFonts w:ascii="Arial" w:hAnsi="Arial" w:cs="Arial"/>
                <w:sz w:val="16"/>
                <w:szCs w:val="18"/>
              </w:rPr>
            </w:pPr>
            <w:r>
              <w:rPr>
                <w:rFonts w:ascii="Arial" w:hAnsi="Arial" w:cs="Arial"/>
                <w:sz w:val="16"/>
                <w:szCs w:val="18"/>
              </w:rPr>
              <w:t>-</w:t>
            </w:r>
          </w:p>
        </w:tc>
        <w:tc>
          <w:tcPr>
            <w:tcW w:w="1353" w:type="dxa"/>
            <w:vAlign w:val="center"/>
          </w:tcPr>
          <w:p w14:paraId="6AB4DEBC" w14:textId="228EBD2A" w:rsidR="00305C0F" w:rsidRDefault="00C3307F" w:rsidP="006C3A3C">
            <w:pPr>
              <w:spacing w:before="120"/>
              <w:jc w:val="center"/>
              <w:rPr>
                <w:rFonts w:ascii="Arial" w:hAnsi="Arial" w:cs="Arial"/>
                <w:sz w:val="16"/>
                <w:szCs w:val="18"/>
              </w:rPr>
            </w:pPr>
            <w:r>
              <w:rPr>
                <w:rFonts w:ascii="Arial" w:hAnsi="Arial" w:cs="Arial"/>
                <w:sz w:val="16"/>
                <w:szCs w:val="18"/>
              </w:rPr>
              <w:t>1.584</w:t>
            </w:r>
          </w:p>
        </w:tc>
        <w:tc>
          <w:tcPr>
            <w:tcW w:w="1416" w:type="dxa"/>
            <w:vAlign w:val="center"/>
          </w:tcPr>
          <w:p w14:paraId="37D1C2EA" w14:textId="77777777" w:rsidR="00305C0F" w:rsidRDefault="00305C0F" w:rsidP="006C3A3C">
            <w:pPr>
              <w:spacing w:before="120"/>
              <w:jc w:val="center"/>
              <w:rPr>
                <w:rFonts w:ascii="Arial" w:hAnsi="Arial" w:cs="Arial"/>
                <w:sz w:val="16"/>
                <w:szCs w:val="18"/>
              </w:rPr>
            </w:pPr>
          </w:p>
        </w:tc>
      </w:tr>
      <w:tr w:rsidR="00305C0F" w:rsidRPr="00956589" w14:paraId="0E9367E8" w14:textId="77777777" w:rsidTr="00E95BD6">
        <w:tc>
          <w:tcPr>
            <w:tcW w:w="803" w:type="dxa"/>
            <w:vMerge/>
            <w:vAlign w:val="center"/>
          </w:tcPr>
          <w:p w14:paraId="00EECB92" w14:textId="77777777" w:rsidR="00305C0F" w:rsidRPr="00956589" w:rsidRDefault="00305C0F" w:rsidP="006C3A3C">
            <w:pPr>
              <w:spacing w:before="120"/>
              <w:rPr>
                <w:rFonts w:ascii="Arial" w:hAnsi="Arial" w:cs="Arial"/>
                <w:b/>
                <w:sz w:val="16"/>
                <w:szCs w:val="18"/>
              </w:rPr>
            </w:pPr>
          </w:p>
        </w:tc>
        <w:tc>
          <w:tcPr>
            <w:tcW w:w="2609" w:type="dxa"/>
            <w:vMerge/>
            <w:vAlign w:val="center"/>
          </w:tcPr>
          <w:p w14:paraId="64045A2E" w14:textId="77777777" w:rsidR="00305C0F" w:rsidRDefault="00305C0F" w:rsidP="006C3A3C">
            <w:pPr>
              <w:spacing w:before="120"/>
              <w:jc w:val="center"/>
              <w:rPr>
                <w:rFonts w:ascii="Arial" w:hAnsi="Arial" w:cs="Arial"/>
                <w:sz w:val="16"/>
                <w:szCs w:val="18"/>
              </w:rPr>
            </w:pPr>
          </w:p>
        </w:tc>
        <w:tc>
          <w:tcPr>
            <w:tcW w:w="1425" w:type="dxa"/>
            <w:vAlign w:val="center"/>
          </w:tcPr>
          <w:p w14:paraId="1604951E" w14:textId="6CB30DE3" w:rsidR="00305C0F" w:rsidRDefault="00305C0F" w:rsidP="006C3A3C">
            <w:pPr>
              <w:spacing w:before="120"/>
              <w:jc w:val="center"/>
              <w:rPr>
                <w:rFonts w:ascii="Arial" w:hAnsi="Arial" w:cs="Arial"/>
                <w:sz w:val="16"/>
                <w:szCs w:val="18"/>
              </w:rPr>
            </w:pPr>
            <w:r>
              <w:rPr>
                <w:rFonts w:ascii="Arial" w:hAnsi="Arial" w:cs="Arial"/>
                <w:sz w:val="16"/>
                <w:szCs w:val="18"/>
              </w:rPr>
              <w:t>-</w:t>
            </w:r>
          </w:p>
        </w:tc>
        <w:tc>
          <w:tcPr>
            <w:tcW w:w="1455" w:type="dxa"/>
            <w:vAlign w:val="center"/>
          </w:tcPr>
          <w:p w14:paraId="48D96F3F" w14:textId="5B235021" w:rsidR="00305C0F" w:rsidRDefault="00305C0F" w:rsidP="006C3A3C">
            <w:pPr>
              <w:spacing w:before="120"/>
              <w:jc w:val="center"/>
              <w:rPr>
                <w:rFonts w:ascii="Arial" w:hAnsi="Arial" w:cs="Arial"/>
                <w:sz w:val="16"/>
                <w:szCs w:val="18"/>
              </w:rPr>
            </w:pPr>
            <w:r>
              <w:rPr>
                <w:rFonts w:ascii="Arial" w:hAnsi="Arial" w:cs="Arial"/>
                <w:sz w:val="16"/>
                <w:szCs w:val="18"/>
              </w:rPr>
              <w:t>15</w:t>
            </w:r>
          </w:p>
        </w:tc>
        <w:tc>
          <w:tcPr>
            <w:tcW w:w="1353" w:type="dxa"/>
            <w:vAlign w:val="center"/>
          </w:tcPr>
          <w:p w14:paraId="588DAB70" w14:textId="77777777" w:rsidR="00305C0F" w:rsidRDefault="00305C0F" w:rsidP="006C3A3C">
            <w:pPr>
              <w:spacing w:before="120"/>
              <w:jc w:val="center"/>
              <w:rPr>
                <w:rFonts w:ascii="Arial" w:hAnsi="Arial" w:cs="Arial"/>
                <w:sz w:val="16"/>
                <w:szCs w:val="18"/>
              </w:rPr>
            </w:pPr>
          </w:p>
        </w:tc>
        <w:tc>
          <w:tcPr>
            <w:tcW w:w="1416" w:type="dxa"/>
            <w:vAlign w:val="center"/>
          </w:tcPr>
          <w:p w14:paraId="4DF6C293" w14:textId="2BACC12E" w:rsidR="00305C0F" w:rsidRDefault="00C3307F" w:rsidP="006C3A3C">
            <w:pPr>
              <w:spacing w:before="120"/>
              <w:jc w:val="center"/>
              <w:rPr>
                <w:rFonts w:ascii="Arial" w:hAnsi="Arial" w:cs="Arial"/>
                <w:sz w:val="16"/>
                <w:szCs w:val="18"/>
              </w:rPr>
            </w:pPr>
            <w:r>
              <w:rPr>
                <w:rFonts w:ascii="Arial" w:hAnsi="Arial" w:cs="Arial"/>
                <w:sz w:val="16"/>
                <w:szCs w:val="18"/>
              </w:rPr>
              <w:t>0.475</w:t>
            </w:r>
          </w:p>
        </w:tc>
      </w:tr>
    </w:tbl>
    <w:p w14:paraId="27302C03" w14:textId="07F865B7" w:rsidR="00766901" w:rsidRPr="00080C09" w:rsidRDefault="00766901" w:rsidP="00766901">
      <w:pPr>
        <w:tabs>
          <w:tab w:val="left" w:pos="2760"/>
        </w:tabs>
        <w:spacing w:before="120" w:line="300" w:lineRule="atLeast"/>
        <w:jc w:val="both"/>
        <w:rPr>
          <w:rFonts w:ascii="Arial" w:hAnsi="Arial" w:cs="Arial"/>
          <w:b/>
          <w:szCs w:val="18"/>
        </w:rPr>
      </w:pPr>
      <w:r w:rsidRPr="00080C09">
        <w:rPr>
          <w:rFonts w:ascii="Arial" w:hAnsi="Arial" w:cs="Arial"/>
          <w:b/>
          <w:szCs w:val="18"/>
        </w:rPr>
        <w:t xml:space="preserve">Certainty assessment for </w:t>
      </w:r>
      <w:r w:rsidR="00305C0F">
        <w:rPr>
          <w:rFonts w:ascii="Arial" w:hAnsi="Arial" w:cs="Arial"/>
          <w:b/>
          <w:szCs w:val="18"/>
        </w:rPr>
        <w:t>2020</w:t>
      </w:r>
    </w:p>
    <w:p w14:paraId="7E153F2F" w14:textId="4D9FF08F" w:rsidR="00766901" w:rsidRDefault="0031583E" w:rsidP="00766901">
      <w:pPr>
        <w:tabs>
          <w:tab w:val="left" w:pos="1701"/>
        </w:tabs>
        <w:spacing w:after="0" w:line="300" w:lineRule="atLeast"/>
        <w:jc w:val="both"/>
        <w:rPr>
          <w:szCs w:val="18"/>
        </w:rPr>
      </w:pPr>
      <w:r>
        <w:rPr>
          <w:szCs w:val="18"/>
        </w:rPr>
        <w:t xml:space="preserve">Activity data: </w:t>
      </w:r>
      <w:r>
        <w:rPr>
          <w:szCs w:val="18"/>
        </w:rPr>
        <w:tab/>
        <w:t>Medium</w:t>
      </w:r>
      <w:r w:rsidR="00766901">
        <w:rPr>
          <w:szCs w:val="18"/>
        </w:rPr>
        <w:t xml:space="preserve"> (because it is based on </w:t>
      </w:r>
      <w:r>
        <w:rPr>
          <w:szCs w:val="18"/>
        </w:rPr>
        <w:t>an estimate of fuel consumption</w:t>
      </w:r>
      <w:r w:rsidR="00766901">
        <w:rPr>
          <w:szCs w:val="18"/>
        </w:rPr>
        <w:t>)</w:t>
      </w:r>
    </w:p>
    <w:p w14:paraId="271F3D09" w14:textId="3F0F3EB6" w:rsidR="001C67DA" w:rsidRDefault="00766901" w:rsidP="00F630FD">
      <w:pPr>
        <w:tabs>
          <w:tab w:val="left" w:pos="1701"/>
        </w:tabs>
        <w:spacing w:line="300" w:lineRule="atLeast"/>
        <w:ind w:left="1701" w:hanging="1701"/>
        <w:jc w:val="both"/>
        <w:rPr>
          <w:rFonts w:eastAsia="Calibri"/>
          <w:szCs w:val="18"/>
        </w:rPr>
      </w:pPr>
      <w:r>
        <w:rPr>
          <w:szCs w:val="18"/>
        </w:rPr>
        <w:t xml:space="preserve">Emission factor: </w:t>
      </w:r>
      <w:r>
        <w:rPr>
          <w:szCs w:val="18"/>
        </w:rPr>
        <w:tab/>
        <w:t>Low (</w:t>
      </w:r>
      <w:r w:rsidRPr="00944DCC">
        <w:rPr>
          <w:szCs w:val="18"/>
        </w:rPr>
        <w:t xml:space="preserve">because </w:t>
      </w:r>
      <w:r>
        <w:rPr>
          <w:szCs w:val="18"/>
        </w:rPr>
        <w:t>it is based on the Toolkit default factors)</w:t>
      </w:r>
      <w:r w:rsidR="0035585D">
        <w:rPr>
          <w:rFonts w:eastAsia="Calibri"/>
          <w:szCs w:val="18"/>
        </w:rPr>
        <w:t xml:space="preserve"> </w:t>
      </w:r>
    </w:p>
    <w:p w14:paraId="74754780" w14:textId="77777777" w:rsidR="001C67DA" w:rsidRPr="00A311F7" w:rsidRDefault="001C67DA" w:rsidP="00261F78">
      <w:pPr>
        <w:pStyle w:val="Heading2"/>
      </w:pPr>
      <w:bookmarkStart w:id="201" w:name="_Toc112768096"/>
      <w:r>
        <w:t>Landfill, biogas combustion</w:t>
      </w:r>
      <w:bookmarkEnd w:id="201"/>
    </w:p>
    <w:p w14:paraId="5244F368" w14:textId="7315FBAC" w:rsidR="00141DF6" w:rsidRDefault="00141DF6" w:rsidP="00141DF6">
      <w:pPr>
        <w:spacing w:line="300" w:lineRule="atLeast"/>
        <w:jc w:val="both"/>
        <w:rPr>
          <w:szCs w:val="18"/>
          <w:lang w:val="en"/>
        </w:rPr>
      </w:pPr>
      <w:r w:rsidRPr="00141DF6">
        <w:rPr>
          <w:szCs w:val="18"/>
          <w:lang w:val="en"/>
        </w:rPr>
        <w:t>Landfill</w:t>
      </w:r>
      <w:r>
        <w:rPr>
          <w:szCs w:val="18"/>
          <w:lang w:val="en"/>
        </w:rPr>
        <w:t xml:space="preserve"> gas from solid waste disposal </w:t>
      </w:r>
      <w:r w:rsidR="00407F1D">
        <w:rPr>
          <w:szCs w:val="18"/>
          <w:lang w:val="en"/>
        </w:rPr>
        <w:t>and biogas from domestic waste</w:t>
      </w:r>
      <w:r w:rsidRPr="00141DF6">
        <w:rPr>
          <w:szCs w:val="18"/>
          <w:lang w:val="en"/>
        </w:rPr>
        <w:t xml:space="preserve">water treatment are both generated from anaerobic digestion of organic matter. The resulting gas is predominantly methane but may also contain carbon monoxide, carbon dioxide, </w:t>
      </w:r>
      <w:proofErr w:type="gramStart"/>
      <w:r w:rsidRPr="00141DF6">
        <w:rPr>
          <w:szCs w:val="18"/>
          <w:lang w:val="en"/>
        </w:rPr>
        <w:t>ammonia</w:t>
      </w:r>
      <w:proofErr w:type="gramEnd"/>
      <w:r>
        <w:rPr>
          <w:szCs w:val="18"/>
          <w:lang w:val="en"/>
        </w:rPr>
        <w:t xml:space="preserve"> and</w:t>
      </w:r>
      <w:r w:rsidRPr="00141DF6">
        <w:rPr>
          <w:szCs w:val="18"/>
          <w:lang w:val="en"/>
        </w:rPr>
        <w:t xml:space="preserve"> smaller fractions of </w:t>
      </w:r>
      <w:r w:rsidR="00407F1D">
        <w:rPr>
          <w:szCs w:val="18"/>
          <w:lang w:val="en"/>
        </w:rPr>
        <w:t>volatile organic compounds</w:t>
      </w:r>
      <w:r w:rsidRPr="00141DF6">
        <w:rPr>
          <w:szCs w:val="18"/>
          <w:lang w:val="en"/>
        </w:rPr>
        <w:t xml:space="preserve"> </w:t>
      </w:r>
      <w:sdt>
        <w:sdtPr>
          <w:rPr>
            <w:szCs w:val="18"/>
            <w:lang w:val="en"/>
          </w:rPr>
          <w:id w:val="-1403142129"/>
          <w:citation/>
        </w:sdtPr>
        <w:sdtEndPr/>
        <w:sdtContent>
          <w:r>
            <w:rPr>
              <w:szCs w:val="18"/>
              <w:lang w:val="en"/>
            </w:rPr>
            <w:fldChar w:fldCharType="begin"/>
          </w:r>
          <w:r>
            <w:rPr>
              <w:szCs w:val="18"/>
            </w:rPr>
            <w:instrText xml:space="preserve"> CITATION UNEP13 \l 5129 </w:instrText>
          </w:r>
          <w:r>
            <w:rPr>
              <w:szCs w:val="18"/>
              <w:lang w:val="en"/>
            </w:rPr>
            <w:fldChar w:fldCharType="separate"/>
          </w:r>
          <w:r w:rsidR="00F1175E" w:rsidRPr="00F1175E">
            <w:rPr>
              <w:noProof/>
              <w:szCs w:val="18"/>
            </w:rPr>
            <w:t>(United Nations Environment Programme, 2013)</w:t>
          </w:r>
          <w:r>
            <w:rPr>
              <w:szCs w:val="18"/>
              <w:lang w:val="en"/>
            </w:rPr>
            <w:fldChar w:fldCharType="end"/>
          </w:r>
        </w:sdtContent>
      </w:sdt>
      <w:r>
        <w:rPr>
          <w:szCs w:val="18"/>
          <w:lang w:val="en"/>
        </w:rPr>
        <w:t>.</w:t>
      </w:r>
      <w:r w:rsidRPr="00141DF6">
        <w:rPr>
          <w:szCs w:val="18"/>
          <w:lang w:val="en"/>
        </w:rPr>
        <w:t xml:space="preserve"> </w:t>
      </w:r>
      <w:r>
        <w:rPr>
          <w:szCs w:val="18"/>
          <w:lang w:val="en"/>
        </w:rPr>
        <w:t xml:space="preserve">Dioxins </w:t>
      </w:r>
      <w:r w:rsidR="00D87A29">
        <w:rPr>
          <w:szCs w:val="18"/>
          <w:lang w:val="en"/>
        </w:rPr>
        <w:t>can</w:t>
      </w:r>
      <w:r>
        <w:rPr>
          <w:szCs w:val="18"/>
          <w:lang w:val="en"/>
        </w:rPr>
        <w:t xml:space="preserve"> be produced when the gases are burned, either in a flare or a gas engine (eg</w:t>
      </w:r>
      <w:r w:rsidR="004D2B21">
        <w:rPr>
          <w:szCs w:val="18"/>
          <w:lang w:val="en"/>
        </w:rPr>
        <w:t>,</w:t>
      </w:r>
      <w:r>
        <w:rPr>
          <w:szCs w:val="18"/>
          <w:lang w:val="en"/>
        </w:rPr>
        <w:t xml:space="preserve"> for electricity generation).</w:t>
      </w:r>
    </w:p>
    <w:p w14:paraId="57140A53" w14:textId="1E621CEF" w:rsidR="00C3307F" w:rsidRDefault="00C3307F" w:rsidP="00141DF6">
      <w:pPr>
        <w:spacing w:line="300" w:lineRule="atLeast"/>
        <w:jc w:val="both"/>
        <w:rPr>
          <w:szCs w:val="18"/>
          <w:lang w:val="en"/>
        </w:rPr>
      </w:pPr>
      <w:r>
        <w:rPr>
          <w:szCs w:val="18"/>
          <w:lang w:val="en"/>
        </w:rPr>
        <w:t>For 2020 combustion of sludge biogas</w:t>
      </w:r>
      <w:r w:rsidR="007766F3">
        <w:rPr>
          <w:szCs w:val="18"/>
          <w:lang w:val="en"/>
        </w:rPr>
        <w:t xml:space="preserve">, </w:t>
      </w:r>
      <w:r>
        <w:rPr>
          <w:szCs w:val="18"/>
          <w:lang w:val="en"/>
        </w:rPr>
        <w:t>produced from digestion of wastewater solids</w:t>
      </w:r>
      <w:r w:rsidR="007766F3">
        <w:rPr>
          <w:szCs w:val="18"/>
          <w:lang w:val="en"/>
        </w:rPr>
        <w:t xml:space="preserve">, </w:t>
      </w:r>
      <w:r>
        <w:rPr>
          <w:szCs w:val="18"/>
          <w:lang w:val="en"/>
        </w:rPr>
        <w:t xml:space="preserve">generated 1,090 TJ </w:t>
      </w:r>
      <w:r w:rsidR="007766F3">
        <w:rPr>
          <w:szCs w:val="18"/>
          <w:lang w:val="en"/>
        </w:rPr>
        <w:t>and landfill gas combustion generated 2,700 TJ (Ministry of Business Innovation and Employment, 2021)</w:t>
      </w:r>
      <w:r w:rsidR="00BC12C1">
        <w:rPr>
          <w:szCs w:val="18"/>
          <w:lang w:val="en"/>
        </w:rPr>
        <w:t xml:space="preserve"> </w:t>
      </w:r>
      <w:r w:rsidR="007766F3">
        <w:rPr>
          <w:szCs w:val="18"/>
          <w:lang w:val="en"/>
        </w:rPr>
        <w:t>giving a combined value for this sector of 3,790 TJ.</w:t>
      </w:r>
    </w:p>
    <w:p w14:paraId="52213BEF" w14:textId="5C2D84B0" w:rsidR="00D87A29" w:rsidRDefault="00141DF6" w:rsidP="00141DF6">
      <w:pPr>
        <w:spacing w:line="300" w:lineRule="atLeast"/>
        <w:jc w:val="both"/>
        <w:rPr>
          <w:szCs w:val="18"/>
          <w:lang w:val="en"/>
        </w:rPr>
      </w:pPr>
      <w:r w:rsidRPr="00141DF6">
        <w:rPr>
          <w:szCs w:val="18"/>
          <w:lang w:val="en"/>
        </w:rPr>
        <w:t xml:space="preserve">The Toolkit emission factor for landfill and </w:t>
      </w:r>
      <w:r w:rsidR="00475A87">
        <w:rPr>
          <w:szCs w:val="18"/>
          <w:lang w:val="en"/>
        </w:rPr>
        <w:t>biogas utilisation is 8 µg TEQ/</w:t>
      </w:r>
      <w:r w:rsidRPr="00141DF6">
        <w:rPr>
          <w:szCs w:val="18"/>
          <w:lang w:val="en"/>
        </w:rPr>
        <w:t>TJ gas burned</w:t>
      </w:r>
      <w:r w:rsidR="004821FF">
        <w:rPr>
          <w:szCs w:val="18"/>
          <w:lang w:val="en"/>
        </w:rPr>
        <w:t xml:space="preserve"> </w:t>
      </w:r>
      <w:r w:rsidR="004821FF" w:rsidRPr="004821FF">
        <w:rPr>
          <w:szCs w:val="18"/>
          <w:lang w:val="en"/>
        </w:rPr>
        <w:t>(</w:t>
      </w:r>
      <w:r w:rsidR="004821FF">
        <w:rPr>
          <w:szCs w:val="18"/>
          <w:lang w:val="en"/>
        </w:rPr>
        <w:t>8</w:t>
      </w:r>
      <w:r w:rsidR="004821FF" w:rsidRPr="004821FF">
        <w:rPr>
          <w:szCs w:val="18"/>
          <w:lang w:val="en"/>
        </w:rPr>
        <w:t xml:space="preserve"> x </w:t>
      </w:r>
      <w:r w:rsidR="00B95C45" w:rsidRPr="00B95C45">
        <w:rPr>
          <w:szCs w:val="18"/>
          <w:lang w:val="en"/>
        </w:rPr>
        <w:t>10</w:t>
      </w:r>
      <w:r w:rsidR="00B95C45" w:rsidRPr="00B95C45">
        <w:rPr>
          <w:szCs w:val="18"/>
          <w:vertAlign w:val="superscript"/>
          <w:lang w:val="en"/>
        </w:rPr>
        <w:t>-6</w:t>
      </w:r>
      <w:r w:rsidR="00B95C45" w:rsidRPr="00B95C45">
        <w:rPr>
          <w:szCs w:val="18"/>
          <w:lang w:val="en"/>
        </w:rPr>
        <w:t xml:space="preserve"> </w:t>
      </w:r>
      <w:r w:rsidR="004821FF">
        <w:rPr>
          <w:szCs w:val="18"/>
          <w:lang w:val="en"/>
        </w:rPr>
        <w:t>g TEQ/T</w:t>
      </w:r>
      <w:r w:rsidR="004821FF" w:rsidRPr="004821FF">
        <w:rPr>
          <w:szCs w:val="18"/>
          <w:lang w:val="en"/>
        </w:rPr>
        <w:t>J)</w:t>
      </w:r>
      <w:r w:rsidR="00475A87">
        <w:rPr>
          <w:szCs w:val="18"/>
          <w:lang w:val="en"/>
        </w:rPr>
        <w:t xml:space="preserve">, and the estimated releases to air are shown in </w:t>
      </w:r>
      <w:r w:rsidR="0066574E">
        <w:rPr>
          <w:szCs w:val="18"/>
          <w:lang w:val="en"/>
        </w:rPr>
        <w:t>Table 5-7</w:t>
      </w:r>
      <w:r w:rsidR="00475A87">
        <w:rPr>
          <w:szCs w:val="18"/>
          <w:lang w:val="en"/>
        </w:rPr>
        <w:t xml:space="preserve"> below</w:t>
      </w:r>
      <w:r w:rsidR="007E415D">
        <w:rPr>
          <w:szCs w:val="18"/>
          <w:lang w:val="en"/>
        </w:rPr>
        <w:t>.</w:t>
      </w:r>
      <w:r w:rsidR="00475A87">
        <w:rPr>
          <w:szCs w:val="18"/>
          <w:lang w:val="en"/>
        </w:rPr>
        <w:t xml:space="preserve"> There are no releases to any other environmental compartments.</w:t>
      </w:r>
      <w:r w:rsidR="00D87A29">
        <w:rPr>
          <w:szCs w:val="18"/>
          <w:lang w:val="en"/>
        </w:rPr>
        <w:t xml:space="preserve"> </w:t>
      </w:r>
    </w:p>
    <w:p w14:paraId="4A0924EE" w14:textId="77777777" w:rsidR="00F630FD" w:rsidRDefault="00F630FD">
      <w:pPr>
        <w:spacing w:after="0"/>
        <w:rPr>
          <w:rFonts w:ascii="Arial" w:hAnsi="Arial" w:cs="Arial"/>
          <w:b/>
          <w:bCs/>
        </w:rPr>
      </w:pPr>
      <w:r>
        <w:rPr>
          <w:rFonts w:cs="Arial"/>
        </w:rPr>
        <w:br w:type="page"/>
      </w:r>
    </w:p>
    <w:p w14:paraId="3DD62A84" w14:textId="7D8D8329" w:rsidR="00475A87" w:rsidRPr="00A117FA" w:rsidRDefault="007E415D" w:rsidP="00101AA8">
      <w:pPr>
        <w:pStyle w:val="Caption"/>
        <w:jc w:val="left"/>
        <w:rPr>
          <w:rFonts w:cs="Arial"/>
          <w:szCs w:val="18"/>
        </w:rPr>
      </w:pPr>
      <w:r w:rsidRPr="007E415D">
        <w:rPr>
          <w:rFonts w:cs="Arial"/>
        </w:rPr>
        <w:lastRenderedPageBreak/>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7</w:t>
      </w:r>
      <w:r w:rsidR="00C17BA5">
        <w:rPr>
          <w:rFonts w:cs="Arial"/>
        </w:rPr>
        <w:fldChar w:fldCharType="end"/>
      </w:r>
      <w:r w:rsidR="00475A87" w:rsidRPr="007E415D">
        <w:rPr>
          <w:rFonts w:cs="Arial"/>
        </w:rPr>
        <w:t>:</w:t>
      </w:r>
      <w:r w:rsidR="00475A87">
        <w:rPr>
          <w:rFonts w:cs="Arial"/>
        </w:rPr>
        <w:t xml:space="preserve"> </w:t>
      </w:r>
      <w:r w:rsidR="00471893">
        <w:rPr>
          <w:rFonts w:cs="Arial"/>
        </w:rPr>
        <w:t>Dioxin</w:t>
      </w:r>
      <w:r w:rsidR="00475A87" w:rsidRPr="00A117FA">
        <w:rPr>
          <w:rFonts w:cs="Arial"/>
        </w:rPr>
        <w:t xml:space="preserve"> releases from </w:t>
      </w:r>
      <w:r>
        <w:rPr>
          <w:rFonts w:cs="Arial"/>
        </w:rPr>
        <w:t>landfill gas and biogas combustion</w:t>
      </w:r>
    </w:p>
    <w:tbl>
      <w:tblPr>
        <w:tblStyle w:val="TableGrid"/>
        <w:tblW w:w="0" w:type="auto"/>
        <w:tblLook w:val="04A0" w:firstRow="1" w:lastRow="0" w:firstColumn="1" w:lastColumn="0" w:noHBand="0" w:noVBand="1"/>
      </w:tblPr>
      <w:tblGrid>
        <w:gridCol w:w="870"/>
        <w:gridCol w:w="2596"/>
        <w:gridCol w:w="2859"/>
        <w:gridCol w:w="2736"/>
      </w:tblGrid>
      <w:tr w:rsidR="00475A87" w:rsidRPr="00956589" w14:paraId="7E2C1DCC" w14:textId="77777777" w:rsidTr="00944F46">
        <w:tc>
          <w:tcPr>
            <w:tcW w:w="870" w:type="dxa"/>
            <w:vMerge w:val="restart"/>
            <w:vAlign w:val="center"/>
          </w:tcPr>
          <w:p w14:paraId="5C29F1E1" w14:textId="77777777" w:rsidR="00475A87" w:rsidRPr="00956589" w:rsidRDefault="00475A87" w:rsidP="008A208D">
            <w:pPr>
              <w:spacing w:before="120"/>
              <w:jc w:val="center"/>
              <w:rPr>
                <w:rFonts w:ascii="Arial" w:hAnsi="Arial" w:cs="Arial"/>
                <w:b/>
                <w:sz w:val="16"/>
                <w:szCs w:val="18"/>
              </w:rPr>
            </w:pPr>
            <w:r w:rsidRPr="00956589">
              <w:rPr>
                <w:rFonts w:ascii="Arial" w:hAnsi="Arial" w:cs="Arial"/>
                <w:b/>
                <w:sz w:val="16"/>
                <w:szCs w:val="18"/>
              </w:rPr>
              <w:t>Year</w:t>
            </w:r>
          </w:p>
        </w:tc>
        <w:tc>
          <w:tcPr>
            <w:tcW w:w="2596" w:type="dxa"/>
            <w:vMerge w:val="restart"/>
            <w:vAlign w:val="center"/>
          </w:tcPr>
          <w:p w14:paraId="50311C1B" w14:textId="77777777" w:rsidR="00475A87" w:rsidRPr="00956589" w:rsidRDefault="00475A87" w:rsidP="008A208D">
            <w:pPr>
              <w:spacing w:before="120"/>
              <w:jc w:val="center"/>
              <w:rPr>
                <w:rFonts w:ascii="Arial" w:hAnsi="Arial" w:cs="Arial"/>
                <w:b/>
                <w:sz w:val="16"/>
                <w:szCs w:val="18"/>
              </w:rPr>
            </w:pPr>
            <w:r w:rsidRPr="00956589">
              <w:rPr>
                <w:rFonts w:ascii="Arial" w:hAnsi="Arial" w:cs="Arial"/>
                <w:b/>
                <w:sz w:val="16"/>
                <w:szCs w:val="18"/>
              </w:rPr>
              <w:t>Activity Rate</w:t>
            </w:r>
            <w:r>
              <w:rPr>
                <w:rFonts w:ascii="Arial" w:hAnsi="Arial" w:cs="Arial"/>
                <w:b/>
                <w:sz w:val="16"/>
                <w:szCs w:val="18"/>
              </w:rPr>
              <w:t xml:space="preserve"> </w:t>
            </w:r>
            <w:r>
              <w:rPr>
                <w:rFonts w:ascii="Arial" w:hAnsi="Arial" w:cs="Arial"/>
                <w:b/>
                <w:sz w:val="16"/>
                <w:szCs w:val="18"/>
              </w:rPr>
              <w:br/>
              <w:t>(TJ of gas/year)</w:t>
            </w:r>
          </w:p>
        </w:tc>
        <w:tc>
          <w:tcPr>
            <w:tcW w:w="2859" w:type="dxa"/>
            <w:vAlign w:val="center"/>
          </w:tcPr>
          <w:p w14:paraId="071009B6" w14:textId="14FD1B85" w:rsidR="00475A87" w:rsidRPr="00956589" w:rsidRDefault="00475A87" w:rsidP="008A208D">
            <w:pPr>
              <w:spacing w:before="120"/>
              <w:jc w:val="center"/>
              <w:rPr>
                <w:rFonts w:ascii="Arial" w:hAnsi="Arial" w:cs="Arial"/>
                <w:b/>
                <w:sz w:val="16"/>
                <w:szCs w:val="18"/>
              </w:rPr>
            </w:pPr>
            <w:r w:rsidRPr="00956589">
              <w:rPr>
                <w:rFonts w:ascii="Arial" w:hAnsi="Arial" w:cs="Arial"/>
                <w:b/>
                <w:sz w:val="16"/>
                <w:szCs w:val="18"/>
              </w:rPr>
              <w:t>Release factors</w:t>
            </w:r>
            <w:r w:rsidRPr="00956589">
              <w:rPr>
                <w:rFonts w:ascii="Arial" w:hAnsi="Arial" w:cs="Arial"/>
                <w:sz w:val="16"/>
                <w:szCs w:val="18"/>
              </w:rPr>
              <w:t xml:space="preserve"> </w:t>
            </w:r>
            <w:r>
              <w:rPr>
                <w:rFonts w:ascii="Arial" w:hAnsi="Arial" w:cs="Arial"/>
                <w:sz w:val="16"/>
                <w:szCs w:val="18"/>
              </w:rPr>
              <w:br/>
              <w:t>(</w:t>
            </w:r>
            <w:r>
              <w:rPr>
                <w:rFonts w:ascii="Arial" w:hAnsi="Arial" w:cs="Arial"/>
                <w:b/>
                <w:sz w:val="16"/>
                <w:szCs w:val="18"/>
              </w:rPr>
              <w:t xml:space="preserve">µg </w:t>
            </w:r>
            <w:r w:rsidR="0009594D">
              <w:rPr>
                <w:rFonts w:ascii="Arial" w:hAnsi="Arial" w:cs="Arial"/>
                <w:b/>
                <w:sz w:val="16"/>
                <w:szCs w:val="18"/>
              </w:rPr>
              <w:t>TEQ</w:t>
            </w:r>
            <w:r>
              <w:rPr>
                <w:rFonts w:ascii="Arial" w:hAnsi="Arial" w:cs="Arial"/>
                <w:b/>
                <w:sz w:val="16"/>
                <w:szCs w:val="18"/>
              </w:rPr>
              <w:t>/TJ of gas)</w:t>
            </w:r>
          </w:p>
        </w:tc>
        <w:tc>
          <w:tcPr>
            <w:tcW w:w="2736" w:type="dxa"/>
            <w:vAlign w:val="center"/>
          </w:tcPr>
          <w:p w14:paraId="0D512CB0" w14:textId="4D15816D" w:rsidR="00475A87" w:rsidRPr="00956589" w:rsidRDefault="00475A87" w:rsidP="008A208D">
            <w:pPr>
              <w:spacing w:before="120"/>
              <w:jc w:val="center"/>
              <w:rPr>
                <w:rFonts w:ascii="Arial" w:hAnsi="Arial" w:cs="Arial"/>
                <w:b/>
                <w:sz w:val="16"/>
                <w:szCs w:val="18"/>
              </w:rPr>
            </w:pPr>
            <w:r w:rsidRPr="00956589">
              <w:rPr>
                <w:rFonts w:ascii="Arial" w:hAnsi="Arial" w:cs="Arial"/>
                <w:b/>
                <w:sz w:val="16"/>
                <w:szCs w:val="18"/>
              </w:rPr>
              <w:t xml:space="preserve">Annual releases (g </w:t>
            </w:r>
            <w:r w:rsidR="0009594D">
              <w:rPr>
                <w:rFonts w:ascii="Arial" w:hAnsi="Arial" w:cs="Arial"/>
                <w:b/>
                <w:sz w:val="16"/>
                <w:szCs w:val="18"/>
              </w:rPr>
              <w:t>TEQ</w:t>
            </w:r>
            <w:r w:rsidRPr="00956589">
              <w:rPr>
                <w:rFonts w:ascii="Arial" w:hAnsi="Arial" w:cs="Arial"/>
                <w:b/>
                <w:sz w:val="16"/>
                <w:szCs w:val="18"/>
              </w:rPr>
              <w:t>/yr)</w:t>
            </w:r>
          </w:p>
        </w:tc>
      </w:tr>
      <w:tr w:rsidR="00475A87" w:rsidRPr="00956589" w14:paraId="2D154A79" w14:textId="77777777" w:rsidTr="00E95BD6">
        <w:tc>
          <w:tcPr>
            <w:tcW w:w="870" w:type="dxa"/>
            <w:vMerge/>
          </w:tcPr>
          <w:p w14:paraId="7D800E58" w14:textId="77777777" w:rsidR="00475A87" w:rsidRPr="00956589" w:rsidRDefault="00475A87" w:rsidP="008A208D">
            <w:pPr>
              <w:spacing w:before="120"/>
              <w:jc w:val="both"/>
              <w:rPr>
                <w:rFonts w:ascii="Arial" w:hAnsi="Arial" w:cs="Arial"/>
                <w:sz w:val="16"/>
                <w:szCs w:val="18"/>
              </w:rPr>
            </w:pPr>
          </w:p>
        </w:tc>
        <w:tc>
          <w:tcPr>
            <w:tcW w:w="2596" w:type="dxa"/>
            <w:vMerge/>
            <w:vAlign w:val="center"/>
          </w:tcPr>
          <w:p w14:paraId="34B35442" w14:textId="77777777" w:rsidR="00475A87" w:rsidRPr="00956589" w:rsidRDefault="00475A87" w:rsidP="008A208D">
            <w:pPr>
              <w:spacing w:before="120"/>
              <w:jc w:val="center"/>
              <w:rPr>
                <w:rFonts w:ascii="Arial" w:hAnsi="Arial" w:cs="Arial"/>
                <w:sz w:val="16"/>
                <w:szCs w:val="18"/>
              </w:rPr>
            </w:pPr>
          </w:p>
        </w:tc>
        <w:tc>
          <w:tcPr>
            <w:tcW w:w="2859" w:type="dxa"/>
            <w:vAlign w:val="center"/>
          </w:tcPr>
          <w:p w14:paraId="5EB43F6B" w14:textId="77777777" w:rsidR="00475A87" w:rsidRPr="00956589" w:rsidRDefault="00475A87" w:rsidP="008A208D">
            <w:pPr>
              <w:spacing w:before="120"/>
              <w:jc w:val="center"/>
              <w:rPr>
                <w:rFonts w:ascii="Arial" w:hAnsi="Arial" w:cs="Arial"/>
                <w:b/>
                <w:sz w:val="16"/>
                <w:szCs w:val="18"/>
              </w:rPr>
            </w:pPr>
            <w:r w:rsidRPr="00956589">
              <w:rPr>
                <w:rFonts w:ascii="Arial" w:hAnsi="Arial" w:cs="Arial"/>
                <w:b/>
                <w:sz w:val="16"/>
                <w:szCs w:val="18"/>
              </w:rPr>
              <w:t>Air</w:t>
            </w:r>
          </w:p>
        </w:tc>
        <w:tc>
          <w:tcPr>
            <w:tcW w:w="2736" w:type="dxa"/>
            <w:vAlign w:val="center"/>
          </w:tcPr>
          <w:p w14:paraId="43F1C4BC" w14:textId="77777777" w:rsidR="00475A87" w:rsidRPr="00956589" w:rsidRDefault="00475A87" w:rsidP="008A208D">
            <w:pPr>
              <w:spacing w:before="120"/>
              <w:jc w:val="center"/>
              <w:rPr>
                <w:rFonts w:ascii="Arial" w:hAnsi="Arial" w:cs="Arial"/>
                <w:b/>
                <w:sz w:val="16"/>
                <w:szCs w:val="18"/>
              </w:rPr>
            </w:pPr>
            <w:r>
              <w:rPr>
                <w:rFonts w:ascii="Arial" w:hAnsi="Arial" w:cs="Arial"/>
                <w:b/>
                <w:sz w:val="16"/>
                <w:szCs w:val="18"/>
              </w:rPr>
              <w:t>Air</w:t>
            </w:r>
          </w:p>
        </w:tc>
      </w:tr>
      <w:tr w:rsidR="00475A87" w:rsidRPr="00956589" w14:paraId="3E937503" w14:textId="77777777" w:rsidTr="00E95BD6">
        <w:tc>
          <w:tcPr>
            <w:tcW w:w="870" w:type="dxa"/>
            <w:vAlign w:val="center"/>
          </w:tcPr>
          <w:p w14:paraId="24D6C632" w14:textId="33F073F3" w:rsidR="00475A87" w:rsidRPr="00956589" w:rsidRDefault="0031583E" w:rsidP="00114D66">
            <w:pPr>
              <w:spacing w:before="120"/>
              <w:rPr>
                <w:rFonts w:ascii="Arial" w:hAnsi="Arial" w:cs="Arial"/>
                <w:b/>
                <w:sz w:val="16"/>
                <w:szCs w:val="18"/>
              </w:rPr>
            </w:pPr>
            <w:r>
              <w:rPr>
                <w:rFonts w:ascii="Arial" w:hAnsi="Arial" w:cs="Arial"/>
                <w:b/>
                <w:sz w:val="16"/>
                <w:szCs w:val="18"/>
              </w:rPr>
              <w:t>2012</w:t>
            </w:r>
          </w:p>
        </w:tc>
        <w:tc>
          <w:tcPr>
            <w:tcW w:w="2596" w:type="dxa"/>
            <w:vAlign w:val="center"/>
          </w:tcPr>
          <w:p w14:paraId="5E7E3584" w14:textId="57987D44" w:rsidR="00475A87" w:rsidRDefault="00B36FE0" w:rsidP="008A208D">
            <w:pPr>
              <w:spacing w:before="120"/>
              <w:jc w:val="center"/>
              <w:rPr>
                <w:rFonts w:ascii="Arial" w:hAnsi="Arial" w:cs="Arial"/>
                <w:sz w:val="16"/>
                <w:szCs w:val="18"/>
              </w:rPr>
            </w:pPr>
            <w:r>
              <w:rPr>
                <w:rFonts w:ascii="Arial" w:hAnsi="Arial" w:cs="Arial"/>
                <w:sz w:val="16"/>
                <w:szCs w:val="18"/>
              </w:rPr>
              <w:t>3,</w:t>
            </w:r>
            <w:r w:rsidR="0031583E">
              <w:rPr>
                <w:rFonts w:ascii="Arial" w:hAnsi="Arial" w:cs="Arial"/>
                <w:sz w:val="16"/>
                <w:szCs w:val="18"/>
              </w:rPr>
              <w:t>104</w:t>
            </w:r>
          </w:p>
        </w:tc>
        <w:tc>
          <w:tcPr>
            <w:tcW w:w="2859" w:type="dxa"/>
            <w:vAlign w:val="center"/>
          </w:tcPr>
          <w:p w14:paraId="2AD8027D" w14:textId="650577F9" w:rsidR="00475A87" w:rsidRDefault="0031583E" w:rsidP="008A208D">
            <w:pPr>
              <w:spacing w:before="120"/>
              <w:jc w:val="center"/>
              <w:rPr>
                <w:rFonts w:ascii="Arial" w:hAnsi="Arial" w:cs="Arial"/>
                <w:sz w:val="16"/>
                <w:szCs w:val="18"/>
              </w:rPr>
            </w:pPr>
            <w:r>
              <w:rPr>
                <w:rFonts w:ascii="Arial" w:hAnsi="Arial" w:cs="Arial"/>
                <w:sz w:val="16"/>
                <w:szCs w:val="18"/>
              </w:rPr>
              <w:t>8</w:t>
            </w:r>
          </w:p>
        </w:tc>
        <w:tc>
          <w:tcPr>
            <w:tcW w:w="2736" w:type="dxa"/>
            <w:vAlign w:val="center"/>
          </w:tcPr>
          <w:p w14:paraId="3BE440B7" w14:textId="1DD88A8A" w:rsidR="00475A87" w:rsidRDefault="0031583E" w:rsidP="008A208D">
            <w:pPr>
              <w:spacing w:before="120"/>
              <w:jc w:val="center"/>
              <w:rPr>
                <w:rFonts w:ascii="Arial" w:hAnsi="Arial" w:cs="Arial"/>
                <w:sz w:val="16"/>
                <w:szCs w:val="18"/>
              </w:rPr>
            </w:pPr>
            <w:r>
              <w:rPr>
                <w:rFonts w:ascii="Arial" w:hAnsi="Arial" w:cs="Arial"/>
                <w:sz w:val="16"/>
                <w:szCs w:val="18"/>
              </w:rPr>
              <w:t>0.025</w:t>
            </w:r>
          </w:p>
        </w:tc>
      </w:tr>
      <w:tr w:rsidR="0031583E" w:rsidRPr="00956589" w14:paraId="6C092787" w14:textId="77777777" w:rsidTr="00E95BD6">
        <w:tc>
          <w:tcPr>
            <w:tcW w:w="870" w:type="dxa"/>
            <w:vAlign w:val="center"/>
          </w:tcPr>
          <w:p w14:paraId="39FCC756" w14:textId="0C07B970" w:rsidR="0031583E" w:rsidRPr="00956589" w:rsidRDefault="0031583E" w:rsidP="008A208D">
            <w:pPr>
              <w:spacing w:before="120"/>
              <w:rPr>
                <w:rFonts w:ascii="Arial" w:hAnsi="Arial" w:cs="Arial"/>
                <w:b/>
                <w:sz w:val="16"/>
                <w:szCs w:val="18"/>
              </w:rPr>
            </w:pPr>
            <w:r>
              <w:rPr>
                <w:rFonts w:ascii="Arial" w:hAnsi="Arial" w:cs="Arial"/>
                <w:b/>
                <w:sz w:val="16"/>
                <w:szCs w:val="18"/>
              </w:rPr>
              <w:t>2016</w:t>
            </w:r>
          </w:p>
        </w:tc>
        <w:tc>
          <w:tcPr>
            <w:tcW w:w="2596" w:type="dxa"/>
            <w:vAlign w:val="center"/>
          </w:tcPr>
          <w:p w14:paraId="31780084" w14:textId="568D2B51" w:rsidR="0031583E" w:rsidRPr="00956589" w:rsidRDefault="0031583E" w:rsidP="008A208D">
            <w:pPr>
              <w:spacing w:before="120"/>
              <w:jc w:val="center"/>
              <w:rPr>
                <w:rFonts w:ascii="Arial" w:hAnsi="Arial" w:cs="Arial"/>
                <w:sz w:val="16"/>
                <w:szCs w:val="18"/>
              </w:rPr>
            </w:pPr>
            <w:r>
              <w:rPr>
                <w:rFonts w:ascii="Arial" w:hAnsi="Arial" w:cs="Arial"/>
                <w:sz w:val="16"/>
                <w:szCs w:val="18"/>
              </w:rPr>
              <w:t>3</w:t>
            </w:r>
            <w:r w:rsidR="00B36FE0">
              <w:rPr>
                <w:rFonts w:ascii="Arial" w:hAnsi="Arial" w:cs="Arial"/>
                <w:sz w:val="16"/>
                <w:szCs w:val="18"/>
              </w:rPr>
              <w:t>,</w:t>
            </w:r>
            <w:r>
              <w:rPr>
                <w:rFonts w:ascii="Arial" w:hAnsi="Arial" w:cs="Arial"/>
                <w:sz w:val="16"/>
                <w:szCs w:val="18"/>
              </w:rPr>
              <w:t>250</w:t>
            </w:r>
          </w:p>
        </w:tc>
        <w:tc>
          <w:tcPr>
            <w:tcW w:w="2859" w:type="dxa"/>
            <w:vAlign w:val="center"/>
          </w:tcPr>
          <w:p w14:paraId="63B88C5C" w14:textId="165BC711" w:rsidR="0031583E" w:rsidRPr="00956589" w:rsidRDefault="0031583E" w:rsidP="008A208D">
            <w:pPr>
              <w:spacing w:before="120"/>
              <w:jc w:val="center"/>
              <w:rPr>
                <w:rFonts w:ascii="Arial" w:hAnsi="Arial" w:cs="Arial"/>
                <w:sz w:val="16"/>
                <w:szCs w:val="18"/>
              </w:rPr>
            </w:pPr>
            <w:r>
              <w:rPr>
                <w:rFonts w:ascii="Arial" w:hAnsi="Arial" w:cs="Arial"/>
                <w:sz w:val="16"/>
                <w:szCs w:val="18"/>
              </w:rPr>
              <w:t>8</w:t>
            </w:r>
          </w:p>
        </w:tc>
        <w:tc>
          <w:tcPr>
            <w:tcW w:w="2736" w:type="dxa"/>
            <w:vAlign w:val="center"/>
          </w:tcPr>
          <w:p w14:paraId="39ED9F68" w14:textId="4E934537" w:rsidR="0031583E" w:rsidRPr="00956589" w:rsidRDefault="0031583E" w:rsidP="00475A87">
            <w:pPr>
              <w:spacing w:before="120"/>
              <w:jc w:val="center"/>
              <w:rPr>
                <w:rFonts w:ascii="Arial" w:hAnsi="Arial" w:cs="Arial"/>
                <w:sz w:val="16"/>
                <w:szCs w:val="18"/>
              </w:rPr>
            </w:pPr>
            <w:r>
              <w:rPr>
                <w:rFonts w:ascii="Arial" w:hAnsi="Arial" w:cs="Arial"/>
                <w:sz w:val="16"/>
                <w:szCs w:val="18"/>
              </w:rPr>
              <w:t>0.02</w:t>
            </w:r>
            <w:r w:rsidR="00980785">
              <w:rPr>
                <w:rFonts w:ascii="Arial" w:hAnsi="Arial" w:cs="Arial"/>
                <w:sz w:val="16"/>
                <w:szCs w:val="18"/>
              </w:rPr>
              <w:t>6</w:t>
            </w:r>
          </w:p>
        </w:tc>
      </w:tr>
      <w:tr w:rsidR="007766F3" w:rsidRPr="00956589" w14:paraId="3632FE75" w14:textId="77777777" w:rsidTr="00E95BD6">
        <w:tc>
          <w:tcPr>
            <w:tcW w:w="870" w:type="dxa"/>
            <w:vAlign w:val="center"/>
          </w:tcPr>
          <w:p w14:paraId="3FA659EE" w14:textId="69235D7A" w:rsidR="007766F3" w:rsidRDefault="007766F3" w:rsidP="008A208D">
            <w:pPr>
              <w:spacing w:before="120"/>
              <w:rPr>
                <w:rFonts w:ascii="Arial" w:hAnsi="Arial" w:cs="Arial"/>
                <w:b/>
                <w:sz w:val="16"/>
                <w:szCs w:val="18"/>
              </w:rPr>
            </w:pPr>
            <w:r>
              <w:rPr>
                <w:rFonts w:ascii="Arial" w:hAnsi="Arial" w:cs="Arial"/>
                <w:b/>
                <w:sz w:val="16"/>
                <w:szCs w:val="18"/>
              </w:rPr>
              <w:t>2020</w:t>
            </w:r>
          </w:p>
        </w:tc>
        <w:tc>
          <w:tcPr>
            <w:tcW w:w="2596" w:type="dxa"/>
            <w:vAlign w:val="center"/>
          </w:tcPr>
          <w:p w14:paraId="6BD4D7F3" w14:textId="7CF0D2C2" w:rsidR="007766F3" w:rsidRDefault="007766F3" w:rsidP="008A208D">
            <w:pPr>
              <w:spacing w:before="120"/>
              <w:jc w:val="center"/>
              <w:rPr>
                <w:rFonts w:ascii="Arial" w:hAnsi="Arial" w:cs="Arial"/>
                <w:sz w:val="16"/>
                <w:szCs w:val="18"/>
              </w:rPr>
            </w:pPr>
            <w:r>
              <w:rPr>
                <w:rFonts w:ascii="Arial" w:hAnsi="Arial" w:cs="Arial"/>
                <w:sz w:val="16"/>
                <w:szCs w:val="18"/>
              </w:rPr>
              <w:t>3,790</w:t>
            </w:r>
          </w:p>
        </w:tc>
        <w:tc>
          <w:tcPr>
            <w:tcW w:w="2859" w:type="dxa"/>
            <w:vAlign w:val="center"/>
          </w:tcPr>
          <w:p w14:paraId="5F6D72F9" w14:textId="270DF6C2" w:rsidR="007766F3" w:rsidRDefault="007766F3" w:rsidP="008A208D">
            <w:pPr>
              <w:spacing w:before="120"/>
              <w:jc w:val="center"/>
              <w:rPr>
                <w:rFonts w:ascii="Arial" w:hAnsi="Arial" w:cs="Arial"/>
                <w:sz w:val="16"/>
                <w:szCs w:val="18"/>
              </w:rPr>
            </w:pPr>
            <w:r>
              <w:rPr>
                <w:rFonts w:ascii="Arial" w:hAnsi="Arial" w:cs="Arial"/>
                <w:sz w:val="16"/>
                <w:szCs w:val="18"/>
              </w:rPr>
              <w:t>8</w:t>
            </w:r>
          </w:p>
        </w:tc>
        <w:tc>
          <w:tcPr>
            <w:tcW w:w="2736" w:type="dxa"/>
            <w:vAlign w:val="center"/>
          </w:tcPr>
          <w:p w14:paraId="04E0914E" w14:textId="20DAE3C2" w:rsidR="007766F3" w:rsidRDefault="007766F3" w:rsidP="00475A87">
            <w:pPr>
              <w:spacing w:before="120"/>
              <w:jc w:val="center"/>
              <w:rPr>
                <w:rFonts w:ascii="Arial" w:hAnsi="Arial" w:cs="Arial"/>
                <w:sz w:val="16"/>
                <w:szCs w:val="18"/>
              </w:rPr>
            </w:pPr>
            <w:r>
              <w:rPr>
                <w:rFonts w:ascii="Arial" w:hAnsi="Arial" w:cs="Arial"/>
                <w:sz w:val="16"/>
                <w:szCs w:val="18"/>
              </w:rPr>
              <w:t>0.030</w:t>
            </w:r>
          </w:p>
        </w:tc>
      </w:tr>
    </w:tbl>
    <w:p w14:paraId="363E6293" w14:textId="5B878015" w:rsidR="00475A87" w:rsidRPr="00080C09" w:rsidRDefault="00475A87" w:rsidP="00475A87">
      <w:pPr>
        <w:tabs>
          <w:tab w:val="left" w:pos="2760"/>
        </w:tabs>
        <w:spacing w:before="120" w:line="300" w:lineRule="atLeast"/>
        <w:jc w:val="both"/>
        <w:rPr>
          <w:rFonts w:ascii="Arial" w:hAnsi="Arial" w:cs="Arial"/>
          <w:b/>
          <w:szCs w:val="18"/>
        </w:rPr>
      </w:pPr>
      <w:r w:rsidRPr="00080C09">
        <w:rPr>
          <w:rFonts w:ascii="Arial" w:hAnsi="Arial" w:cs="Arial"/>
          <w:b/>
          <w:szCs w:val="18"/>
        </w:rPr>
        <w:t xml:space="preserve">Certainty assessment for </w:t>
      </w:r>
      <w:r w:rsidR="00114D66">
        <w:rPr>
          <w:rFonts w:ascii="Arial" w:hAnsi="Arial" w:cs="Arial"/>
          <w:b/>
          <w:szCs w:val="18"/>
        </w:rPr>
        <w:t>20</w:t>
      </w:r>
      <w:r w:rsidR="00BC12C1">
        <w:rPr>
          <w:rFonts w:ascii="Arial" w:hAnsi="Arial" w:cs="Arial"/>
          <w:b/>
          <w:szCs w:val="18"/>
        </w:rPr>
        <w:t>20</w:t>
      </w:r>
    </w:p>
    <w:p w14:paraId="1258770C" w14:textId="77777777" w:rsidR="00475A87" w:rsidRPr="003777A7" w:rsidRDefault="00475A87" w:rsidP="00475A87">
      <w:pPr>
        <w:tabs>
          <w:tab w:val="left" w:pos="1701"/>
        </w:tabs>
        <w:spacing w:after="0" w:line="300" w:lineRule="atLeast"/>
        <w:jc w:val="both"/>
        <w:rPr>
          <w:szCs w:val="18"/>
        </w:rPr>
      </w:pPr>
      <w:r w:rsidRPr="003777A7">
        <w:rPr>
          <w:szCs w:val="18"/>
        </w:rPr>
        <w:t xml:space="preserve">Activity data: </w:t>
      </w:r>
      <w:r w:rsidRPr="003777A7">
        <w:rPr>
          <w:szCs w:val="18"/>
        </w:rPr>
        <w:tab/>
      </w:r>
      <w:r w:rsidR="003777A7" w:rsidRPr="00235C91">
        <w:rPr>
          <w:szCs w:val="18"/>
        </w:rPr>
        <w:t>Medium</w:t>
      </w:r>
      <w:r w:rsidRPr="003777A7">
        <w:rPr>
          <w:szCs w:val="18"/>
        </w:rPr>
        <w:t xml:space="preserve"> (because it is based on </w:t>
      </w:r>
      <w:r w:rsidR="00AF5F15">
        <w:rPr>
          <w:szCs w:val="18"/>
        </w:rPr>
        <w:t xml:space="preserve">a </w:t>
      </w:r>
      <w:r w:rsidR="003777A7">
        <w:rPr>
          <w:szCs w:val="18"/>
        </w:rPr>
        <w:t>nat</w:t>
      </w:r>
      <w:r w:rsidR="00235C91">
        <w:rPr>
          <w:szCs w:val="18"/>
        </w:rPr>
        <w:t xml:space="preserve">ional </w:t>
      </w:r>
      <w:r w:rsidR="00AF5F15">
        <w:rPr>
          <w:szCs w:val="18"/>
        </w:rPr>
        <w:t>data source</w:t>
      </w:r>
      <w:r w:rsidRPr="003777A7">
        <w:rPr>
          <w:szCs w:val="18"/>
        </w:rPr>
        <w:t>)</w:t>
      </w:r>
    </w:p>
    <w:p w14:paraId="66DBD26F" w14:textId="77777777" w:rsidR="00475A87" w:rsidRDefault="00475A87" w:rsidP="00475A87">
      <w:pPr>
        <w:tabs>
          <w:tab w:val="left" w:pos="1701"/>
        </w:tabs>
        <w:spacing w:line="300" w:lineRule="atLeast"/>
        <w:ind w:left="1701" w:hanging="1701"/>
        <w:jc w:val="both"/>
        <w:rPr>
          <w:szCs w:val="18"/>
        </w:rPr>
      </w:pPr>
      <w:r w:rsidRPr="003777A7">
        <w:rPr>
          <w:szCs w:val="18"/>
        </w:rPr>
        <w:t xml:space="preserve">Emission factor: </w:t>
      </w:r>
      <w:r w:rsidRPr="003777A7">
        <w:rPr>
          <w:szCs w:val="18"/>
        </w:rPr>
        <w:tab/>
        <w:t>Low (because it is based on the</w:t>
      </w:r>
      <w:r w:rsidR="003777A7">
        <w:rPr>
          <w:szCs w:val="18"/>
        </w:rPr>
        <w:t xml:space="preserve"> Toolkit default factor</w:t>
      </w:r>
      <w:r w:rsidRPr="003777A7">
        <w:rPr>
          <w:szCs w:val="18"/>
        </w:rPr>
        <w:t>)</w:t>
      </w:r>
    </w:p>
    <w:p w14:paraId="17B7C1A7" w14:textId="77777777" w:rsidR="001C67DA" w:rsidRPr="00A311F7" w:rsidRDefault="001C67DA" w:rsidP="00261F78">
      <w:pPr>
        <w:pStyle w:val="Heading2"/>
      </w:pPr>
      <w:bookmarkStart w:id="202" w:name="_Toc112768097"/>
      <w:r>
        <w:t>Household heating and cooking with biomass</w:t>
      </w:r>
      <w:bookmarkEnd w:id="202"/>
    </w:p>
    <w:p w14:paraId="6F6BB2A3" w14:textId="5D58C9B2" w:rsidR="00BC12C1" w:rsidRDefault="00BC12C1" w:rsidP="00006148">
      <w:pPr>
        <w:spacing w:line="300" w:lineRule="atLeast"/>
        <w:jc w:val="both"/>
        <w:rPr>
          <w:szCs w:val="18"/>
          <w:lang w:val="en"/>
        </w:rPr>
      </w:pPr>
      <w:r>
        <w:rPr>
          <w:szCs w:val="18"/>
          <w:lang w:val="en"/>
        </w:rPr>
        <w:t>The number of wood burners in operation in New Zealand in 2020 New Zealand was estimated at 532,280 by a residential energy baseline study conducted in 202</w:t>
      </w:r>
      <w:r w:rsidR="00F755F6">
        <w:rPr>
          <w:szCs w:val="18"/>
          <w:lang w:val="en"/>
        </w:rPr>
        <w:t>1</w:t>
      </w:r>
      <w:r>
        <w:rPr>
          <w:szCs w:val="18"/>
          <w:lang w:val="en"/>
        </w:rPr>
        <w:t xml:space="preserve"> (EnergyConsult, 2021)</w:t>
      </w:r>
      <w:r w:rsidR="00E3465F">
        <w:rPr>
          <w:szCs w:val="18"/>
          <w:lang w:val="en"/>
        </w:rPr>
        <w:t xml:space="preserve">. The study shows a steady decline has occurred in wood burner numbers in the last 10 years and this </w:t>
      </w:r>
      <w:r w:rsidR="00F755F6">
        <w:rPr>
          <w:szCs w:val="18"/>
          <w:lang w:val="en"/>
        </w:rPr>
        <w:t>is</w:t>
      </w:r>
      <w:r w:rsidR="00E3465F">
        <w:rPr>
          <w:szCs w:val="18"/>
          <w:lang w:val="en"/>
        </w:rPr>
        <w:t xml:space="preserve"> reflected in a decline</w:t>
      </w:r>
      <w:r w:rsidR="00F755F6">
        <w:rPr>
          <w:szCs w:val="18"/>
          <w:lang w:val="en"/>
        </w:rPr>
        <w:t xml:space="preserve"> in energy consumption.</w:t>
      </w:r>
    </w:p>
    <w:p w14:paraId="4A74A94C" w14:textId="2581F2B0" w:rsidR="00521E33" w:rsidRDefault="008508EA" w:rsidP="00006148">
      <w:pPr>
        <w:spacing w:line="300" w:lineRule="atLeast"/>
        <w:jc w:val="both"/>
        <w:rPr>
          <w:szCs w:val="18"/>
          <w:lang w:val="en"/>
        </w:rPr>
      </w:pPr>
      <w:r>
        <w:rPr>
          <w:szCs w:val="18"/>
          <w:lang w:val="en"/>
        </w:rPr>
        <w:t>The Energy Efficiency and Conservation Authority (EECA) produces an energy end use database which provides details on energy consumption for a wide variety of end use categories including household consumption</w:t>
      </w:r>
      <w:r w:rsidR="0066574E">
        <w:rPr>
          <w:szCs w:val="18"/>
          <w:lang w:val="en"/>
        </w:rPr>
        <w:t xml:space="preserve"> </w:t>
      </w:r>
      <w:r w:rsidR="00D357EA" w:rsidRPr="00F1175E">
        <w:rPr>
          <w:noProof/>
          <w:szCs w:val="18"/>
        </w:rPr>
        <w:t xml:space="preserve">(Energy Efficiency and Conservation Authority, </w:t>
      </w:r>
      <w:r w:rsidR="00D357EA">
        <w:rPr>
          <w:noProof/>
          <w:szCs w:val="18"/>
        </w:rPr>
        <w:t>2022</w:t>
      </w:r>
      <w:r w:rsidR="00D357EA" w:rsidRPr="00F1175E">
        <w:rPr>
          <w:noProof/>
          <w:szCs w:val="18"/>
        </w:rPr>
        <w:t>)</w:t>
      </w:r>
      <w:r w:rsidR="0066574E">
        <w:rPr>
          <w:noProof/>
          <w:szCs w:val="18"/>
        </w:rPr>
        <w:t>.</w:t>
      </w:r>
      <w:r w:rsidR="004A053E">
        <w:rPr>
          <w:szCs w:val="18"/>
          <w:lang w:val="en"/>
        </w:rPr>
        <w:t xml:space="preserve"> </w:t>
      </w:r>
      <w:r>
        <w:rPr>
          <w:szCs w:val="18"/>
          <w:lang w:val="en"/>
        </w:rPr>
        <w:t>For household heating and cooking with biomass</w:t>
      </w:r>
      <w:r w:rsidR="00521E33">
        <w:rPr>
          <w:szCs w:val="18"/>
          <w:lang w:val="en"/>
        </w:rPr>
        <w:t xml:space="preserve"> in </w:t>
      </w:r>
      <w:r w:rsidR="00D357EA">
        <w:rPr>
          <w:szCs w:val="18"/>
          <w:lang w:val="en"/>
        </w:rPr>
        <w:t>2020</w:t>
      </w:r>
      <w:r>
        <w:rPr>
          <w:szCs w:val="18"/>
          <w:lang w:val="en"/>
        </w:rPr>
        <w:t xml:space="preserve"> the database shows a total energy consumption </w:t>
      </w:r>
      <w:r w:rsidR="00DB705F">
        <w:rPr>
          <w:szCs w:val="18"/>
          <w:lang w:val="en"/>
        </w:rPr>
        <w:t xml:space="preserve">of </w:t>
      </w:r>
      <w:r w:rsidR="00D357EA">
        <w:rPr>
          <w:szCs w:val="18"/>
          <w:lang w:val="en"/>
        </w:rPr>
        <w:t xml:space="preserve">7538 </w:t>
      </w:r>
      <w:r w:rsidR="00065FD4">
        <w:rPr>
          <w:szCs w:val="18"/>
          <w:lang w:val="en"/>
        </w:rPr>
        <w:t>TJ for wood. Th</w:t>
      </w:r>
      <w:r w:rsidR="00D357EA">
        <w:rPr>
          <w:szCs w:val="18"/>
          <w:lang w:val="en"/>
        </w:rPr>
        <w:t xml:space="preserve">is total comprised </w:t>
      </w:r>
      <w:r w:rsidR="008A6A17">
        <w:rPr>
          <w:szCs w:val="18"/>
          <w:lang w:val="en"/>
        </w:rPr>
        <w:t>7231 TJ for wood burner space heating, 222</w:t>
      </w:r>
      <w:r w:rsidR="00065FD4">
        <w:rPr>
          <w:szCs w:val="18"/>
          <w:lang w:val="en"/>
        </w:rPr>
        <w:t xml:space="preserve"> </w:t>
      </w:r>
      <w:r w:rsidR="008A6A17">
        <w:rPr>
          <w:szCs w:val="18"/>
          <w:lang w:val="en"/>
        </w:rPr>
        <w:t>TJ for space heating with an open fire and 85 TJ was used for water heating.</w:t>
      </w:r>
      <w:r w:rsidR="00521E33">
        <w:rPr>
          <w:szCs w:val="18"/>
          <w:lang w:val="en"/>
        </w:rPr>
        <w:t xml:space="preserve"> </w:t>
      </w:r>
    </w:p>
    <w:p w14:paraId="5BDAA363" w14:textId="28B6ED28" w:rsidR="00F630FD" w:rsidRDefault="52557A28" w:rsidP="003D73C3">
      <w:pPr>
        <w:spacing w:line="300" w:lineRule="atLeast"/>
        <w:jc w:val="both"/>
      </w:pPr>
      <w:r>
        <w:t xml:space="preserve">The </w:t>
      </w:r>
      <w:r w:rsidR="424699A8">
        <w:t>2020</w:t>
      </w:r>
      <w:r w:rsidR="40E5A1D8">
        <w:t xml:space="preserve"> </w:t>
      </w:r>
      <w:r>
        <w:t xml:space="preserve">release estimates for domestic wood combustion are shown in </w:t>
      </w:r>
      <w:r w:rsidR="538C36DF">
        <w:t>Table 5-8</w:t>
      </w:r>
      <w:r>
        <w:t xml:space="preserve"> along with the corresponding estimates made in the 20</w:t>
      </w:r>
      <w:r w:rsidR="226D095D">
        <w:t>12</w:t>
      </w:r>
      <w:r>
        <w:t xml:space="preserve"> </w:t>
      </w:r>
      <w:r w:rsidR="7D2E0C99">
        <w:t xml:space="preserve">and 2016 </w:t>
      </w:r>
      <w:r>
        <w:t>Inventor</w:t>
      </w:r>
      <w:r w:rsidR="7D2E0C99">
        <w:t>ies</w:t>
      </w:r>
      <w:r>
        <w:t xml:space="preserve">. </w:t>
      </w:r>
      <w:r w:rsidR="23E7DA18">
        <w:t xml:space="preserve">There are no direct releases to water or in products. </w:t>
      </w:r>
      <w:r w:rsidR="00944F46">
        <w:t>Releases from ash</w:t>
      </w:r>
      <w:r w:rsidR="23E7DA18">
        <w:t xml:space="preserve"> </w:t>
      </w:r>
      <w:r w:rsidR="00944F46">
        <w:t xml:space="preserve">are </w:t>
      </w:r>
      <w:r w:rsidR="23E7DA18">
        <w:t xml:space="preserve">assigned to the residues Toolkit </w:t>
      </w:r>
      <w:bookmarkStart w:id="203" w:name="_Int_jnCSMeTe"/>
      <w:r w:rsidR="23E7DA18">
        <w:t>vector because</w:t>
      </w:r>
      <w:bookmarkEnd w:id="203"/>
      <w:r w:rsidR="23E7DA18">
        <w:t xml:space="preserve"> the final place of disposal is not known with any certainty.</w:t>
      </w:r>
      <w:bookmarkStart w:id="204" w:name="_Ref382144285"/>
    </w:p>
    <w:p w14:paraId="59AFEB64" w14:textId="31C7C96E" w:rsidR="00D371CC" w:rsidRPr="00F928C4" w:rsidRDefault="00D371CC" w:rsidP="00101AA8">
      <w:pPr>
        <w:pStyle w:val="Caption"/>
        <w:jc w:val="left"/>
        <w:rPr>
          <w:rFonts w:cs="Arial"/>
          <w:szCs w:val="18"/>
        </w:rPr>
      </w:pPr>
      <w:r w:rsidRPr="009B3A3E">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8</w:t>
      </w:r>
      <w:r w:rsidR="00C17BA5">
        <w:rPr>
          <w:rFonts w:cs="Arial"/>
        </w:rPr>
        <w:fldChar w:fldCharType="end"/>
      </w:r>
      <w:bookmarkEnd w:id="204"/>
      <w:r w:rsidRPr="00F928C4">
        <w:rPr>
          <w:rFonts w:cs="Arial"/>
          <w:szCs w:val="18"/>
        </w:rPr>
        <w:t xml:space="preserve">: </w:t>
      </w:r>
      <w:r w:rsidR="00471893">
        <w:rPr>
          <w:rFonts w:cs="Arial"/>
          <w:szCs w:val="18"/>
        </w:rPr>
        <w:t>Dioxin</w:t>
      </w:r>
      <w:r w:rsidRPr="00F928C4">
        <w:rPr>
          <w:rFonts w:cs="Arial"/>
          <w:szCs w:val="18"/>
        </w:rPr>
        <w:t xml:space="preserve"> releases from domestic </w:t>
      </w:r>
      <w:r>
        <w:rPr>
          <w:rFonts w:cs="Arial"/>
          <w:szCs w:val="18"/>
        </w:rPr>
        <w:t>wood</w:t>
      </w:r>
      <w:r w:rsidRPr="00F928C4">
        <w:rPr>
          <w:rFonts w:cs="Arial"/>
          <w:szCs w:val="18"/>
        </w:rPr>
        <w:t xml:space="preserve"> combustion</w:t>
      </w:r>
    </w:p>
    <w:tbl>
      <w:tblPr>
        <w:tblStyle w:val="TableGrid"/>
        <w:tblW w:w="9322" w:type="dxa"/>
        <w:tblLayout w:type="fixed"/>
        <w:tblLook w:val="04A0" w:firstRow="1" w:lastRow="0" w:firstColumn="1" w:lastColumn="0" w:noHBand="0" w:noVBand="1"/>
      </w:tblPr>
      <w:tblGrid>
        <w:gridCol w:w="675"/>
        <w:gridCol w:w="1985"/>
        <w:gridCol w:w="1665"/>
        <w:gridCol w:w="1666"/>
        <w:gridCol w:w="1665"/>
        <w:gridCol w:w="1666"/>
      </w:tblGrid>
      <w:tr w:rsidR="0056530D" w:rsidRPr="00C20F3E" w14:paraId="4039EFDC" w14:textId="77777777" w:rsidTr="009B3A3E">
        <w:tc>
          <w:tcPr>
            <w:tcW w:w="675" w:type="dxa"/>
            <w:vMerge w:val="restart"/>
            <w:vAlign w:val="center"/>
          </w:tcPr>
          <w:p w14:paraId="4CE63C49" w14:textId="77777777" w:rsidR="0056530D" w:rsidRPr="002B015E" w:rsidRDefault="0056530D" w:rsidP="009B3A3E">
            <w:pPr>
              <w:spacing w:line="300" w:lineRule="atLeast"/>
              <w:jc w:val="both"/>
              <w:rPr>
                <w:rFonts w:ascii="Arial" w:hAnsi="Arial" w:cs="Arial"/>
                <w:b/>
                <w:sz w:val="16"/>
                <w:szCs w:val="16"/>
              </w:rPr>
            </w:pPr>
            <w:r w:rsidRPr="002B015E">
              <w:rPr>
                <w:rFonts w:ascii="Arial" w:hAnsi="Arial" w:cs="Arial"/>
                <w:b/>
                <w:sz w:val="16"/>
                <w:szCs w:val="16"/>
              </w:rPr>
              <w:t>Year</w:t>
            </w:r>
          </w:p>
        </w:tc>
        <w:tc>
          <w:tcPr>
            <w:tcW w:w="1985" w:type="dxa"/>
            <w:vMerge w:val="restart"/>
            <w:vAlign w:val="center"/>
          </w:tcPr>
          <w:p w14:paraId="37A39802" w14:textId="7039D85B" w:rsidR="0056530D" w:rsidRPr="002B015E" w:rsidRDefault="0056530D">
            <w:pPr>
              <w:spacing w:line="300" w:lineRule="atLeast"/>
              <w:jc w:val="center"/>
              <w:rPr>
                <w:rFonts w:ascii="Arial" w:hAnsi="Arial" w:cs="Arial"/>
                <w:b/>
                <w:sz w:val="16"/>
                <w:szCs w:val="16"/>
              </w:rPr>
            </w:pPr>
            <w:r w:rsidRPr="002B015E">
              <w:rPr>
                <w:rFonts w:ascii="Arial" w:hAnsi="Arial" w:cs="Arial"/>
                <w:b/>
                <w:sz w:val="16"/>
                <w:szCs w:val="16"/>
              </w:rPr>
              <w:t>Activity Rates</w:t>
            </w:r>
            <w:r w:rsidRPr="002B015E">
              <w:rPr>
                <w:rFonts w:ascii="Arial" w:hAnsi="Arial" w:cs="Arial"/>
                <w:b/>
                <w:sz w:val="16"/>
                <w:szCs w:val="16"/>
              </w:rPr>
              <w:br/>
              <w:t>(TJ wood/year)</w:t>
            </w:r>
          </w:p>
        </w:tc>
        <w:tc>
          <w:tcPr>
            <w:tcW w:w="3331" w:type="dxa"/>
            <w:gridSpan w:val="2"/>
            <w:vAlign w:val="center"/>
          </w:tcPr>
          <w:p w14:paraId="1A0B5640" w14:textId="4156D2CD" w:rsidR="0056530D" w:rsidRPr="002B015E" w:rsidRDefault="0056530D" w:rsidP="009B3A3E">
            <w:pPr>
              <w:spacing w:line="300" w:lineRule="atLeast"/>
              <w:jc w:val="center"/>
              <w:rPr>
                <w:rFonts w:ascii="Arial" w:hAnsi="Arial" w:cs="Arial"/>
                <w:b/>
                <w:sz w:val="16"/>
                <w:szCs w:val="16"/>
              </w:rPr>
            </w:pPr>
            <w:r w:rsidRPr="002B015E">
              <w:rPr>
                <w:rFonts w:ascii="Arial" w:hAnsi="Arial" w:cs="Arial"/>
                <w:b/>
                <w:sz w:val="16"/>
                <w:szCs w:val="16"/>
              </w:rPr>
              <w:t>Release factors</w:t>
            </w:r>
            <w:r w:rsidRPr="002B015E">
              <w:rPr>
                <w:rFonts w:ascii="Arial" w:hAnsi="Arial" w:cs="Arial"/>
                <w:b/>
                <w:sz w:val="16"/>
                <w:szCs w:val="16"/>
              </w:rPr>
              <w:br/>
            </w:r>
            <w:r w:rsidRPr="002B015E">
              <w:rPr>
                <w:rFonts w:ascii="Arial" w:hAnsi="Arial" w:cs="Arial"/>
                <w:sz w:val="16"/>
                <w:szCs w:val="16"/>
              </w:rPr>
              <w:t>(</w:t>
            </w:r>
            <w:r w:rsidRPr="002B015E">
              <w:rPr>
                <w:rFonts w:ascii="Arial" w:hAnsi="Arial" w:cs="Arial"/>
                <w:b/>
                <w:sz w:val="16"/>
                <w:szCs w:val="16"/>
              </w:rPr>
              <w:t xml:space="preserve">µg </w:t>
            </w:r>
            <w:r w:rsidR="0009594D">
              <w:rPr>
                <w:rFonts w:ascii="Arial" w:hAnsi="Arial" w:cs="Arial"/>
                <w:b/>
                <w:sz w:val="16"/>
                <w:szCs w:val="16"/>
              </w:rPr>
              <w:t>TEQ</w:t>
            </w:r>
            <w:r w:rsidRPr="002B015E">
              <w:rPr>
                <w:rFonts w:ascii="Arial" w:hAnsi="Arial" w:cs="Arial"/>
                <w:b/>
                <w:sz w:val="16"/>
                <w:szCs w:val="16"/>
              </w:rPr>
              <w:t xml:space="preserve">/TJ </w:t>
            </w:r>
            <w:r w:rsidR="009B3A3E" w:rsidRPr="002B015E">
              <w:rPr>
                <w:rFonts w:ascii="Arial" w:hAnsi="Arial" w:cs="Arial"/>
                <w:b/>
                <w:sz w:val="16"/>
                <w:szCs w:val="16"/>
              </w:rPr>
              <w:t>wood</w:t>
            </w:r>
            <w:r w:rsidRPr="002B015E">
              <w:rPr>
                <w:rFonts w:ascii="Arial" w:hAnsi="Arial" w:cs="Arial"/>
                <w:b/>
                <w:sz w:val="16"/>
                <w:szCs w:val="16"/>
              </w:rPr>
              <w:t>)</w:t>
            </w:r>
          </w:p>
        </w:tc>
        <w:tc>
          <w:tcPr>
            <w:tcW w:w="3331" w:type="dxa"/>
            <w:gridSpan w:val="2"/>
            <w:vAlign w:val="center"/>
          </w:tcPr>
          <w:p w14:paraId="3FF8A0B4" w14:textId="3AE1D8F1" w:rsidR="0056530D" w:rsidRPr="002B015E" w:rsidRDefault="0056530D" w:rsidP="009B3A3E">
            <w:pPr>
              <w:spacing w:line="300" w:lineRule="atLeast"/>
              <w:jc w:val="center"/>
              <w:rPr>
                <w:rFonts w:ascii="Arial" w:hAnsi="Arial" w:cs="Arial"/>
                <w:b/>
                <w:sz w:val="16"/>
                <w:szCs w:val="16"/>
              </w:rPr>
            </w:pPr>
            <w:r w:rsidRPr="002B015E">
              <w:rPr>
                <w:rFonts w:ascii="Arial" w:hAnsi="Arial" w:cs="Arial"/>
                <w:b/>
                <w:sz w:val="16"/>
                <w:szCs w:val="16"/>
              </w:rPr>
              <w:t xml:space="preserve">Annual releases </w:t>
            </w:r>
            <w:r w:rsidRPr="002B015E">
              <w:rPr>
                <w:rFonts w:ascii="Arial" w:hAnsi="Arial" w:cs="Arial"/>
                <w:b/>
                <w:sz w:val="16"/>
                <w:szCs w:val="16"/>
              </w:rPr>
              <w:br/>
              <w:t xml:space="preserve">(g </w:t>
            </w:r>
            <w:r w:rsidR="0009594D">
              <w:rPr>
                <w:rFonts w:ascii="Arial" w:hAnsi="Arial" w:cs="Arial"/>
                <w:b/>
                <w:sz w:val="16"/>
                <w:szCs w:val="16"/>
              </w:rPr>
              <w:t>TEQ</w:t>
            </w:r>
            <w:r w:rsidRPr="002B015E">
              <w:rPr>
                <w:rFonts w:ascii="Arial" w:hAnsi="Arial" w:cs="Arial"/>
                <w:b/>
                <w:sz w:val="16"/>
                <w:szCs w:val="16"/>
              </w:rPr>
              <w:t>/yr)</w:t>
            </w:r>
          </w:p>
        </w:tc>
      </w:tr>
      <w:tr w:rsidR="0056530D" w:rsidRPr="00C20F3E" w14:paraId="23E51FA1" w14:textId="77777777" w:rsidTr="009B3A3E">
        <w:tc>
          <w:tcPr>
            <w:tcW w:w="675" w:type="dxa"/>
            <w:vMerge/>
          </w:tcPr>
          <w:p w14:paraId="09B395EE" w14:textId="77777777" w:rsidR="0056530D" w:rsidRPr="002B015E" w:rsidRDefault="0056530D" w:rsidP="009B3A3E">
            <w:pPr>
              <w:spacing w:line="300" w:lineRule="atLeast"/>
              <w:jc w:val="both"/>
              <w:rPr>
                <w:rFonts w:ascii="Arial" w:hAnsi="Arial" w:cs="Arial"/>
                <w:sz w:val="16"/>
                <w:szCs w:val="16"/>
              </w:rPr>
            </w:pPr>
          </w:p>
        </w:tc>
        <w:tc>
          <w:tcPr>
            <w:tcW w:w="1985" w:type="dxa"/>
            <w:vMerge/>
            <w:vAlign w:val="center"/>
          </w:tcPr>
          <w:p w14:paraId="068BFAA2" w14:textId="6CE20210" w:rsidR="0056530D" w:rsidRPr="002B015E" w:rsidRDefault="0056530D" w:rsidP="009B3A3E">
            <w:pPr>
              <w:spacing w:line="300" w:lineRule="atLeast"/>
              <w:jc w:val="center"/>
              <w:rPr>
                <w:rFonts w:ascii="Arial" w:hAnsi="Arial" w:cs="Arial"/>
                <w:b/>
                <w:sz w:val="16"/>
                <w:szCs w:val="16"/>
              </w:rPr>
            </w:pPr>
          </w:p>
        </w:tc>
        <w:tc>
          <w:tcPr>
            <w:tcW w:w="1665" w:type="dxa"/>
            <w:vAlign w:val="center"/>
          </w:tcPr>
          <w:p w14:paraId="431AC343" w14:textId="45EDCCBF" w:rsidR="0056530D" w:rsidRPr="002B015E" w:rsidRDefault="0056530D">
            <w:pPr>
              <w:spacing w:line="300" w:lineRule="atLeast"/>
              <w:jc w:val="center"/>
              <w:rPr>
                <w:rFonts w:ascii="Arial" w:hAnsi="Arial" w:cs="Arial"/>
                <w:b/>
                <w:sz w:val="16"/>
                <w:szCs w:val="16"/>
              </w:rPr>
            </w:pPr>
            <w:r w:rsidRPr="002B015E">
              <w:rPr>
                <w:rFonts w:ascii="Arial" w:hAnsi="Arial" w:cs="Arial"/>
                <w:b/>
                <w:sz w:val="16"/>
                <w:szCs w:val="16"/>
              </w:rPr>
              <w:t>Air</w:t>
            </w:r>
          </w:p>
        </w:tc>
        <w:tc>
          <w:tcPr>
            <w:tcW w:w="1666" w:type="dxa"/>
            <w:vAlign w:val="center"/>
          </w:tcPr>
          <w:p w14:paraId="74C1B3D5" w14:textId="19FFEA08" w:rsidR="0056530D" w:rsidRPr="002B015E" w:rsidRDefault="0056530D">
            <w:pPr>
              <w:spacing w:line="300" w:lineRule="atLeast"/>
              <w:jc w:val="center"/>
              <w:rPr>
                <w:rFonts w:ascii="Arial" w:hAnsi="Arial" w:cs="Arial"/>
                <w:b/>
                <w:sz w:val="16"/>
                <w:szCs w:val="16"/>
              </w:rPr>
            </w:pPr>
            <w:r w:rsidRPr="002B015E">
              <w:rPr>
                <w:rFonts w:ascii="Arial" w:hAnsi="Arial" w:cs="Arial"/>
                <w:b/>
                <w:sz w:val="16"/>
                <w:szCs w:val="16"/>
              </w:rPr>
              <w:t>Residues</w:t>
            </w:r>
          </w:p>
        </w:tc>
        <w:tc>
          <w:tcPr>
            <w:tcW w:w="1665" w:type="dxa"/>
            <w:vAlign w:val="center"/>
          </w:tcPr>
          <w:p w14:paraId="461CF20F" w14:textId="77777777" w:rsidR="0056530D" w:rsidRPr="002B015E" w:rsidRDefault="0056530D" w:rsidP="009B3A3E">
            <w:pPr>
              <w:spacing w:line="300" w:lineRule="atLeast"/>
              <w:jc w:val="center"/>
              <w:rPr>
                <w:rFonts w:ascii="Arial" w:hAnsi="Arial" w:cs="Arial"/>
                <w:b/>
                <w:sz w:val="16"/>
                <w:szCs w:val="16"/>
              </w:rPr>
            </w:pPr>
            <w:r w:rsidRPr="002B015E">
              <w:rPr>
                <w:rFonts w:ascii="Arial" w:hAnsi="Arial" w:cs="Arial"/>
                <w:b/>
                <w:sz w:val="16"/>
                <w:szCs w:val="16"/>
              </w:rPr>
              <w:t>Air</w:t>
            </w:r>
          </w:p>
        </w:tc>
        <w:tc>
          <w:tcPr>
            <w:tcW w:w="1666" w:type="dxa"/>
            <w:vAlign w:val="center"/>
          </w:tcPr>
          <w:p w14:paraId="5F7EF0B4" w14:textId="6E982DCC" w:rsidR="0056530D" w:rsidRPr="002B015E" w:rsidRDefault="0056530D">
            <w:pPr>
              <w:spacing w:line="300" w:lineRule="atLeast"/>
              <w:jc w:val="center"/>
              <w:rPr>
                <w:rFonts w:ascii="Arial" w:hAnsi="Arial" w:cs="Arial"/>
                <w:b/>
                <w:sz w:val="16"/>
                <w:szCs w:val="16"/>
              </w:rPr>
            </w:pPr>
            <w:r w:rsidRPr="002B015E">
              <w:rPr>
                <w:rFonts w:ascii="Arial" w:hAnsi="Arial" w:cs="Arial"/>
                <w:b/>
                <w:sz w:val="16"/>
                <w:szCs w:val="16"/>
              </w:rPr>
              <w:t>Residues</w:t>
            </w:r>
          </w:p>
        </w:tc>
      </w:tr>
      <w:tr w:rsidR="00A930B7" w:rsidRPr="00C20F3E" w14:paraId="001D33CD" w14:textId="77777777" w:rsidTr="009B3A3E">
        <w:tc>
          <w:tcPr>
            <w:tcW w:w="675" w:type="dxa"/>
            <w:vMerge w:val="restart"/>
            <w:vAlign w:val="center"/>
          </w:tcPr>
          <w:p w14:paraId="27FB2F18" w14:textId="4611A319" w:rsidR="00A930B7" w:rsidRPr="002B015E" w:rsidRDefault="00521E33" w:rsidP="009B3A3E">
            <w:pPr>
              <w:spacing w:line="300" w:lineRule="atLeast"/>
              <w:jc w:val="both"/>
              <w:rPr>
                <w:rFonts w:ascii="Arial" w:hAnsi="Arial" w:cs="Arial"/>
                <w:b/>
                <w:sz w:val="16"/>
                <w:szCs w:val="16"/>
              </w:rPr>
            </w:pPr>
            <w:r>
              <w:rPr>
                <w:rFonts w:ascii="Arial" w:hAnsi="Arial" w:cs="Arial"/>
                <w:b/>
                <w:sz w:val="16"/>
                <w:szCs w:val="16"/>
              </w:rPr>
              <w:t>2012</w:t>
            </w:r>
          </w:p>
        </w:tc>
        <w:tc>
          <w:tcPr>
            <w:tcW w:w="1985" w:type="dxa"/>
            <w:vMerge w:val="restart"/>
            <w:vAlign w:val="center"/>
          </w:tcPr>
          <w:p w14:paraId="43C8209A" w14:textId="2DAACD00" w:rsidR="00A930B7" w:rsidRPr="002B015E" w:rsidRDefault="00521E33" w:rsidP="009B3A3E">
            <w:pPr>
              <w:spacing w:line="300" w:lineRule="atLeast"/>
              <w:jc w:val="center"/>
              <w:rPr>
                <w:rFonts w:ascii="Arial" w:hAnsi="Arial" w:cs="Arial"/>
                <w:sz w:val="16"/>
                <w:szCs w:val="16"/>
              </w:rPr>
            </w:pPr>
            <w:r>
              <w:rPr>
                <w:rFonts w:ascii="Arial" w:hAnsi="Arial" w:cs="Arial"/>
                <w:sz w:val="16"/>
                <w:szCs w:val="16"/>
              </w:rPr>
              <w:t>8,200</w:t>
            </w:r>
          </w:p>
        </w:tc>
        <w:tc>
          <w:tcPr>
            <w:tcW w:w="1665" w:type="dxa"/>
            <w:vAlign w:val="center"/>
          </w:tcPr>
          <w:p w14:paraId="6F9787B6" w14:textId="0C874774" w:rsidR="00A930B7" w:rsidRPr="002B015E" w:rsidRDefault="00521E33" w:rsidP="009B3A3E">
            <w:pPr>
              <w:spacing w:line="300" w:lineRule="atLeast"/>
              <w:jc w:val="center"/>
              <w:rPr>
                <w:rFonts w:ascii="Arial" w:hAnsi="Arial" w:cs="Arial"/>
                <w:sz w:val="16"/>
                <w:szCs w:val="16"/>
              </w:rPr>
            </w:pPr>
            <w:r>
              <w:rPr>
                <w:rFonts w:ascii="Arial" w:hAnsi="Arial" w:cs="Arial"/>
                <w:sz w:val="16"/>
                <w:szCs w:val="16"/>
              </w:rPr>
              <w:t>100</w:t>
            </w:r>
          </w:p>
        </w:tc>
        <w:tc>
          <w:tcPr>
            <w:tcW w:w="1666" w:type="dxa"/>
            <w:vAlign w:val="center"/>
          </w:tcPr>
          <w:p w14:paraId="233E542B" w14:textId="1C38C0AF" w:rsidR="00A930B7" w:rsidRPr="002B015E" w:rsidRDefault="00A930B7" w:rsidP="009B3A3E">
            <w:pPr>
              <w:spacing w:line="300" w:lineRule="atLeast"/>
              <w:jc w:val="center"/>
              <w:rPr>
                <w:rFonts w:ascii="Arial" w:hAnsi="Arial" w:cs="Arial"/>
                <w:sz w:val="16"/>
                <w:szCs w:val="16"/>
              </w:rPr>
            </w:pPr>
          </w:p>
        </w:tc>
        <w:tc>
          <w:tcPr>
            <w:tcW w:w="1665" w:type="dxa"/>
            <w:vAlign w:val="center"/>
          </w:tcPr>
          <w:p w14:paraId="292FC3A0" w14:textId="4898440E" w:rsidR="00A930B7" w:rsidRPr="002B015E" w:rsidRDefault="00521E33" w:rsidP="009B3A3E">
            <w:pPr>
              <w:spacing w:line="300" w:lineRule="atLeast"/>
              <w:jc w:val="center"/>
              <w:rPr>
                <w:rFonts w:ascii="Arial" w:hAnsi="Arial" w:cs="Arial"/>
                <w:sz w:val="16"/>
                <w:szCs w:val="16"/>
              </w:rPr>
            </w:pPr>
            <w:r>
              <w:rPr>
                <w:rFonts w:ascii="Arial" w:hAnsi="Arial" w:cs="Arial"/>
                <w:sz w:val="16"/>
                <w:szCs w:val="16"/>
              </w:rPr>
              <w:t>0.820</w:t>
            </w:r>
          </w:p>
        </w:tc>
        <w:tc>
          <w:tcPr>
            <w:tcW w:w="1666" w:type="dxa"/>
            <w:vAlign w:val="center"/>
          </w:tcPr>
          <w:p w14:paraId="287087F9" w14:textId="75CFF261" w:rsidR="00A930B7" w:rsidRPr="002B015E" w:rsidRDefault="00A930B7" w:rsidP="009B3A3E">
            <w:pPr>
              <w:spacing w:line="300" w:lineRule="atLeast"/>
              <w:jc w:val="center"/>
              <w:rPr>
                <w:rFonts w:ascii="Arial" w:hAnsi="Arial" w:cs="Arial"/>
                <w:sz w:val="16"/>
                <w:szCs w:val="16"/>
              </w:rPr>
            </w:pPr>
          </w:p>
        </w:tc>
      </w:tr>
      <w:tr w:rsidR="00A930B7" w:rsidRPr="00C20F3E" w14:paraId="2980D227" w14:textId="77777777" w:rsidTr="009B3A3E">
        <w:tc>
          <w:tcPr>
            <w:tcW w:w="675" w:type="dxa"/>
            <w:vMerge/>
            <w:vAlign w:val="center"/>
          </w:tcPr>
          <w:p w14:paraId="79AB990F" w14:textId="77777777" w:rsidR="00A930B7" w:rsidRPr="002B015E" w:rsidRDefault="00A930B7" w:rsidP="009B3A3E">
            <w:pPr>
              <w:spacing w:line="300" w:lineRule="atLeast"/>
              <w:jc w:val="both"/>
              <w:rPr>
                <w:rFonts w:ascii="Arial" w:hAnsi="Arial" w:cs="Arial"/>
                <w:b/>
                <w:sz w:val="16"/>
                <w:szCs w:val="16"/>
              </w:rPr>
            </w:pPr>
          </w:p>
        </w:tc>
        <w:tc>
          <w:tcPr>
            <w:tcW w:w="1985" w:type="dxa"/>
            <w:vMerge/>
            <w:vAlign w:val="center"/>
          </w:tcPr>
          <w:p w14:paraId="471BCBA9" w14:textId="77777777" w:rsidR="00A930B7" w:rsidRPr="002B015E" w:rsidRDefault="00A930B7" w:rsidP="009B3A3E">
            <w:pPr>
              <w:spacing w:line="300" w:lineRule="atLeast"/>
              <w:jc w:val="center"/>
              <w:rPr>
                <w:rFonts w:ascii="Arial" w:hAnsi="Arial" w:cs="Arial"/>
                <w:sz w:val="16"/>
                <w:szCs w:val="16"/>
              </w:rPr>
            </w:pPr>
          </w:p>
        </w:tc>
        <w:tc>
          <w:tcPr>
            <w:tcW w:w="1665" w:type="dxa"/>
            <w:vAlign w:val="center"/>
          </w:tcPr>
          <w:p w14:paraId="1060EBF0" w14:textId="33CC7783" w:rsidR="00A930B7" w:rsidRPr="002B015E" w:rsidRDefault="00A930B7" w:rsidP="009B3A3E">
            <w:pPr>
              <w:spacing w:line="300" w:lineRule="atLeast"/>
              <w:jc w:val="center"/>
              <w:rPr>
                <w:rFonts w:ascii="Arial" w:hAnsi="Arial" w:cs="Arial"/>
                <w:sz w:val="16"/>
                <w:szCs w:val="16"/>
              </w:rPr>
            </w:pPr>
          </w:p>
        </w:tc>
        <w:tc>
          <w:tcPr>
            <w:tcW w:w="1666" w:type="dxa"/>
            <w:vAlign w:val="center"/>
          </w:tcPr>
          <w:p w14:paraId="71480BFC" w14:textId="3CCCE76F" w:rsidR="00A930B7" w:rsidRPr="002B015E" w:rsidRDefault="00521E33" w:rsidP="009B3A3E">
            <w:pPr>
              <w:spacing w:line="300" w:lineRule="atLeast"/>
              <w:jc w:val="center"/>
              <w:rPr>
                <w:rFonts w:ascii="Arial" w:hAnsi="Arial" w:cs="Arial"/>
                <w:sz w:val="16"/>
                <w:szCs w:val="16"/>
              </w:rPr>
            </w:pPr>
            <w:r>
              <w:rPr>
                <w:rFonts w:ascii="Arial" w:hAnsi="Arial" w:cs="Arial"/>
                <w:sz w:val="16"/>
                <w:szCs w:val="16"/>
              </w:rPr>
              <w:t>20</w:t>
            </w:r>
          </w:p>
        </w:tc>
        <w:tc>
          <w:tcPr>
            <w:tcW w:w="1665" w:type="dxa"/>
            <w:vAlign w:val="center"/>
          </w:tcPr>
          <w:p w14:paraId="7400AC6B" w14:textId="2FFC4079" w:rsidR="00A930B7" w:rsidRPr="002B015E" w:rsidRDefault="00A930B7" w:rsidP="009B3A3E">
            <w:pPr>
              <w:spacing w:line="300" w:lineRule="atLeast"/>
              <w:jc w:val="center"/>
              <w:rPr>
                <w:rFonts w:ascii="Arial" w:hAnsi="Arial" w:cs="Arial"/>
                <w:sz w:val="16"/>
                <w:szCs w:val="16"/>
              </w:rPr>
            </w:pPr>
          </w:p>
        </w:tc>
        <w:tc>
          <w:tcPr>
            <w:tcW w:w="1666" w:type="dxa"/>
            <w:vAlign w:val="center"/>
          </w:tcPr>
          <w:p w14:paraId="58E37809" w14:textId="336F32FB" w:rsidR="00A930B7" w:rsidRPr="002B015E" w:rsidRDefault="00521E33" w:rsidP="009B3A3E">
            <w:pPr>
              <w:spacing w:line="300" w:lineRule="atLeast"/>
              <w:jc w:val="center"/>
              <w:rPr>
                <w:rFonts w:ascii="Arial" w:hAnsi="Arial" w:cs="Arial"/>
                <w:sz w:val="16"/>
                <w:szCs w:val="16"/>
              </w:rPr>
            </w:pPr>
            <w:r>
              <w:rPr>
                <w:rFonts w:ascii="Arial" w:hAnsi="Arial" w:cs="Arial"/>
                <w:sz w:val="16"/>
                <w:szCs w:val="16"/>
              </w:rPr>
              <w:t>0.164</w:t>
            </w:r>
          </w:p>
        </w:tc>
      </w:tr>
      <w:tr w:rsidR="00521E33" w:rsidRPr="00C20F3E" w14:paraId="0EA9A5F4" w14:textId="77777777" w:rsidTr="009B3A3E">
        <w:tc>
          <w:tcPr>
            <w:tcW w:w="675" w:type="dxa"/>
            <w:vMerge w:val="restart"/>
            <w:vAlign w:val="center"/>
          </w:tcPr>
          <w:p w14:paraId="7B58F8DD" w14:textId="6A5D0777" w:rsidR="00521E33" w:rsidRPr="002B015E" w:rsidRDefault="00521E33" w:rsidP="009B3A3E">
            <w:pPr>
              <w:spacing w:line="300" w:lineRule="atLeast"/>
              <w:jc w:val="both"/>
              <w:rPr>
                <w:rFonts w:ascii="Arial" w:hAnsi="Arial" w:cs="Arial"/>
                <w:b/>
                <w:sz w:val="16"/>
                <w:szCs w:val="16"/>
              </w:rPr>
            </w:pPr>
            <w:r>
              <w:rPr>
                <w:rFonts w:ascii="Arial" w:hAnsi="Arial" w:cs="Arial"/>
                <w:b/>
                <w:sz w:val="16"/>
                <w:szCs w:val="16"/>
              </w:rPr>
              <w:t>2016</w:t>
            </w:r>
          </w:p>
        </w:tc>
        <w:tc>
          <w:tcPr>
            <w:tcW w:w="1985" w:type="dxa"/>
            <w:vMerge w:val="restart"/>
            <w:vAlign w:val="center"/>
          </w:tcPr>
          <w:p w14:paraId="6410707D" w14:textId="73387317"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8118</w:t>
            </w:r>
          </w:p>
        </w:tc>
        <w:tc>
          <w:tcPr>
            <w:tcW w:w="1665" w:type="dxa"/>
            <w:vAlign w:val="center"/>
          </w:tcPr>
          <w:p w14:paraId="65B85967" w14:textId="4DDD0730" w:rsidR="00521E33" w:rsidRPr="002B015E" w:rsidRDefault="00521E33" w:rsidP="009B3A3E">
            <w:pPr>
              <w:spacing w:line="300" w:lineRule="atLeast"/>
              <w:jc w:val="center"/>
              <w:rPr>
                <w:rFonts w:ascii="Arial" w:hAnsi="Arial" w:cs="Arial"/>
                <w:sz w:val="16"/>
                <w:szCs w:val="16"/>
              </w:rPr>
            </w:pPr>
            <w:r w:rsidRPr="002B015E">
              <w:rPr>
                <w:rFonts w:ascii="Arial" w:hAnsi="Arial" w:cs="Arial"/>
                <w:sz w:val="16"/>
                <w:szCs w:val="16"/>
              </w:rPr>
              <w:t>100</w:t>
            </w:r>
          </w:p>
        </w:tc>
        <w:tc>
          <w:tcPr>
            <w:tcW w:w="1666" w:type="dxa"/>
            <w:vAlign w:val="center"/>
          </w:tcPr>
          <w:p w14:paraId="6C4AB721" w14:textId="74A8941C"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w:t>
            </w:r>
          </w:p>
        </w:tc>
        <w:tc>
          <w:tcPr>
            <w:tcW w:w="1665" w:type="dxa"/>
            <w:vAlign w:val="center"/>
          </w:tcPr>
          <w:p w14:paraId="096070B7" w14:textId="74AC11F8"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0.812</w:t>
            </w:r>
          </w:p>
        </w:tc>
        <w:tc>
          <w:tcPr>
            <w:tcW w:w="1666" w:type="dxa"/>
            <w:vAlign w:val="center"/>
          </w:tcPr>
          <w:p w14:paraId="53D0DC8B" w14:textId="41BB0122"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w:t>
            </w:r>
          </w:p>
        </w:tc>
      </w:tr>
      <w:tr w:rsidR="00521E33" w:rsidRPr="00C20F3E" w14:paraId="163C4E6C" w14:textId="77777777" w:rsidTr="009B3A3E">
        <w:tc>
          <w:tcPr>
            <w:tcW w:w="675" w:type="dxa"/>
            <w:vMerge/>
            <w:vAlign w:val="center"/>
          </w:tcPr>
          <w:p w14:paraId="19EFF97A" w14:textId="77777777" w:rsidR="00521E33" w:rsidRPr="002B015E" w:rsidRDefault="00521E33" w:rsidP="009B3A3E">
            <w:pPr>
              <w:spacing w:line="300" w:lineRule="atLeast"/>
              <w:jc w:val="both"/>
              <w:rPr>
                <w:rFonts w:ascii="Arial" w:hAnsi="Arial" w:cs="Arial"/>
                <w:b/>
                <w:sz w:val="16"/>
                <w:szCs w:val="16"/>
              </w:rPr>
            </w:pPr>
          </w:p>
        </w:tc>
        <w:tc>
          <w:tcPr>
            <w:tcW w:w="1985" w:type="dxa"/>
            <w:vMerge/>
            <w:vAlign w:val="center"/>
          </w:tcPr>
          <w:p w14:paraId="26428208" w14:textId="77777777" w:rsidR="00521E33" w:rsidRPr="002B015E" w:rsidRDefault="00521E33" w:rsidP="009B3A3E">
            <w:pPr>
              <w:spacing w:line="300" w:lineRule="atLeast"/>
              <w:jc w:val="center"/>
              <w:rPr>
                <w:rFonts w:ascii="Arial" w:hAnsi="Arial" w:cs="Arial"/>
                <w:sz w:val="16"/>
                <w:szCs w:val="16"/>
              </w:rPr>
            </w:pPr>
          </w:p>
        </w:tc>
        <w:tc>
          <w:tcPr>
            <w:tcW w:w="1665" w:type="dxa"/>
            <w:vAlign w:val="center"/>
          </w:tcPr>
          <w:p w14:paraId="60833609" w14:textId="02559C29"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w:t>
            </w:r>
          </w:p>
        </w:tc>
        <w:tc>
          <w:tcPr>
            <w:tcW w:w="1666" w:type="dxa"/>
            <w:vAlign w:val="center"/>
          </w:tcPr>
          <w:p w14:paraId="24BCDBE6" w14:textId="2C2A4DE2" w:rsidR="00521E33" w:rsidRPr="002B015E" w:rsidRDefault="00521E33" w:rsidP="009B3A3E">
            <w:pPr>
              <w:spacing w:line="300" w:lineRule="atLeast"/>
              <w:jc w:val="center"/>
              <w:rPr>
                <w:rFonts w:ascii="Arial" w:hAnsi="Arial" w:cs="Arial"/>
                <w:sz w:val="16"/>
                <w:szCs w:val="16"/>
              </w:rPr>
            </w:pPr>
            <w:r w:rsidRPr="002B015E">
              <w:rPr>
                <w:rFonts w:ascii="Arial" w:hAnsi="Arial" w:cs="Arial"/>
                <w:sz w:val="16"/>
                <w:szCs w:val="16"/>
              </w:rPr>
              <w:t>20</w:t>
            </w:r>
          </w:p>
        </w:tc>
        <w:tc>
          <w:tcPr>
            <w:tcW w:w="1665" w:type="dxa"/>
            <w:vAlign w:val="center"/>
          </w:tcPr>
          <w:p w14:paraId="7C4CDE38" w14:textId="43CAB196"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w:t>
            </w:r>
          </w:p>
        </w:tc>
        <w:tc>
          <w:tcPr>
            <w:tcW w:w="1666" w:type="dxa"/>
            <w:vAlign w:val="center"/>
          </w:tcPr>
          <w:p w14:paraId="2BF5F81E" w14:textId="249D7B84" w:rsidR="00521E33" w:rsidRPr="002B015E" w:rsidRDefault="00521E33" w:rsidP="009B3A3E">
            <w:pPr>
              <w:spacing w:line="300" w:lineRule="atLeast"/>
              <w:jc w:val="center"/>
              <w:rPr>
                <w:rFonts w:ascii="Arial" w:hAnsi="Arial" w:cs="Arial"/>
                <w:sz w:val="16"/>
                <w:szCs w:val="16"/>
              </w:rPr>
            </w:pPr>
            <w:r>
              <w:rPr>
                <w:rFonts w:ascii="Arial" w:hAnsi="Arial" w:cs="Arial"/>
                <w:sz w:val="16"/>
                <w:szCs w:val="16"/>
              </w:rPr>
              <w:t>0.162</w:t>
            </w:r>
          </w:p>
        </w:tc>
      </w:tr>
      <w:tr w:rsidR="00E3465F" w:rsidRPr="00C20F3E" w14:paraId="0AA98B7C" w14:textId="77777777" w:rsidTr="009B3A3E">
        <w:tc>
          <w:tcPr>
            <w:tcW w:w="675" w:type="dxa"/>
            <w:vMerge w:val="restart"/>
            <w:vAlign w:val="center"/>
          </w:tcPr>
          <w:p w14:paraId="3C8E19BE" w14:textId="50A89164" w:rsidR="00E3465F" w:rsidRPr="002B015E" w:rsidRDefault="00E3465F" w:rsidP="009B3A3E">
            <w:pPr>
              <w:spacing w:line="300" w:lineRule="atLeast"/>
              <w:jc w:val="both"/>
              <w:rPr>
                <w:rFonts w:ascii="Arial" w:hAnsi="Arial" w:cs="Arial"/>
                <w:b/>
                <w:sz w:val="16"/>
                <w:szCs w:val="16"/>
              </w:rPr>
            </w:pPr>
            <w:r>
              <w:rPr>
                <w:rFonts w:ascii="Arial" w:hAnsi="Arial" w:cs="Arial"/>
                <w:b/>
                <w:sz w:val="16"/>
                <w:szCs w:val="16"/>
              </w:rPr>
              <w:t>2020</w:t>
            </w:r>
          </w:p>
        </w:tc>
        <w:tc>
          <w:tcPr>
            <w:tcW w:w="1985" w:type="dxa"/>
            <w:vMerge w:val="restart"/>
            <w:vAlign w:val="center"/>
          </w:tcPr>
          <w:p w14:paraId="327E68C3" w14:textId="78A21763" w:rsidR="00E3465F" w:rsidRPr="002B015E" w:rsidRDefault="00E3465F" w:rsidP="009B3A3E">
            <w:pPr>
              <w:spacing w:line="300" w:lineRule="atLeast"/>
              <w:jc w:val="center"/>
              <w:rPr>
                <w:rFonts w:ascii="Arial" w:hAnsi="Arial" w:cs="Arial"/>
                <w:sz w:val="16"/>
                <w:szCs w:val="16"/>
              </w:rPr>
            </w:pPr>
            <w:r>
              <w:rPr>
                <w:rFonts w:ascii="Arial" w:hAnsi="Arial" w:cs="Arial"/>
                <w:sz w:val="16"/>
                <w:szCs w:val="16"/>
              </w:rPr>
              <w:t>7,538</w:t>
            </w:r>
          </w:p>
        </w:tc>
        <w:tc>
          <w:tcPr>
            <w:tcW w:w="1665" w:type="dxa"/>
            <w:vAlign w:val="center"/>
          </w:tcPr>
          <w:p w14:paraId="3685D968" w14:textId="23A1CDA3" w:rsidR="00E3465F" w:rsidRDefault="00E3465F" w:rsidP="009B3A3E">
            <w:pPr>
              <w:spacing w:line="300" w:lineRule="atLeast"/>
              <w:jc w:val="center"/>
              <w:rPr>
                <w:rFonts w:ascii="Arial" w:hAnsi="Arial" w:cs="Arial"/>
                <w:sz w:val="16"/>
                <w:szCs w:val="16"/>
              </w:rPr>
            </w:pPr>
            <w:r>
              <w:rPr>
                <w:rFonts w:ascii="Arial" w:hAnsi="Arial" w:cs="Arial"/>
                <w:sz w:val="16"/>
                <w:szCs w:val="16"/>
              </w:rPr>
              <w:t>100</w:t>
            </w:r>
          </w:p>
        </w:tc>
        <w:tc>
          <w:tcPr>
            <w:tcW w:w="1666" w:type="dxa"/>
            <w:vAlign w:val="center"/>
          </w:tcPr>
          <w:p w14:paraId="47F23915" w14:textId="455D881D" w:rsidR="00E3465F" w:rsidRPr="002B015E" w:rsidRDefault="00E3465F" w:rsidP="009B3A3E">
            <w:pPr>
              <w:spacing w:line="300" w:lineRule="atLeast"/>
              <w:jc w:val="center"/>
              <w:rPr>
                <w:rFonts w:ascii="Arial" w:hAnsi="Arial" w:cs="Arial"/>
                <w:sz w:val="16"/>
                <w:szCs w:val="16"/>
              </w:rPr>
            </w:pPr>
            <w:r>
              <w:rPr>
                <w:rFonts w:ascii="Arial" w:hAnsi="Arial" w:cs="Arial"/>
                <w:sz w:val="16"/>
                <w:szCs w:val="16"/>
              </w:rPr>
              <w:t>-</w:t>
            </w:r>
          </w:p>
        </w:tc>
        <w:tc>
          <w:tcPr>
            <w:tcW w:w="1665" w:type="dxa"/>
            <w:vAlign w:val="center"/>
          </w:tcPr>
          <w:p w14:paraId="3284AD5A" w14:textId="1A0BE4D3" w:rsidR="00E3465F" w:rsidRDefault="00E3465F" w:rsidP="009B3A3E">
            <w:pPr>
              <w:spacing w:line="300" w:lineRule="atLeast"/>
              <w:jc w:val="center"/>
              <w:rPr>
                <w:rFonts w:ascii="Arial" w:hAnsi="Arial" w:cs="Arial"/>
                <w:sz w:val="16"/>
                <w:szCs w:val="16"/>
              </w:rPr>
            </w:pPr>
            <w:r>
              <w:rPr>
                <w:rFonts w:ascii="Arial" w:hAnsi="Arial" w:cs="Arial"/>
                <w:sz w:val="16"/>
                <w:szCs w:val="16"/>
              </w:rPr>
              <w:t>0.754</w:t>
            </w:r>
          </w:p>
        </w:tc>
        <w:tc>
          <w:tcPr>
            <w:tcW w:w="1666" w:type="dxa"/>
            <w:vAlign w:val="center"/>
          </w:tcPr>
          <w:p w14:paraId="26FB1D8E" w14:textId="77777777" w:rsidR="00E3465F" w:rsidRDefault="00E3465F" w:rsidP="009B3A3E">
            <w:pPr>
              <w:spacing w:line="300" w:lineRule="atLeast"/>
              <w:jc w:val="center"/>
              <w:rPr>
                <w:rFonts w:ascii="Arial" w:hAnsi="Arial" w:cs="Arial"/>
                <w:sz w:val="16"/>
                <w:szCs w:val="16"/>
              </w:rPr>
            </w:pPr>
          </w:p>
        </w:tc>
      </w:tr>
      <w:tr w:rsidR="00E3465F" w:rsidRPr="00C20F3E" w14:paraId="6F20CE53" w14:textId="77777777" w:rsidTr="009B3A3E">
        <w:tc>
          <w:tcPr>
            <w:tcW w:w="675" w:type="dxa"/>
            <w:vMerge/>
            <w:vAlign w:val="center"/>
          </w:tcPr>
          <w:p w14:paraId="438B7B2B" w14:textId="77777777" w:rsidR="00E3465F" w:rsidRPr="002B015E" w:rsidRDefault="00E3465F" w:rsidP="009B3A3E">
            <w:pPr>
              <w:spacing w:line="300" w:lineRule="atLeast"/>
              <w:jc w:val="both"/>
              <w:rPr>
                <w:rFonts w:ascii="Arial" w:hAnsi="Arial" w:cs="Arial"/>
                <w:b/>
                <w:sz w:val="16"/>
                <w:szCs w:val="16"/>
              </w:rPr>
            </w:pPr>
          </w:p>
        </w:tc>
        <w:tc>
          <w:tcPr>
            <w:tcW w:w="1985" w:type="dxa"/>
            <w:vMerge/>
            <w:vAlign w:val="center"/>
          </w:tcPr>
          <w:p w14:paraId="5900E8C7" w14:textId="77777777" w:rsidR="00E3465F" w:rsidRPr="002B015E" w:rsidRDefault="00E3465F" w:rsidP="009B3A3E">
            <w:pPr>
              <w:spacing w:line="300" w:lineRule="atLeast"/>
              <w:jc w:val="center"/>
              <w:rPr>
                <w:rFonts w:ascii="Arial" w:hAnsi="Arial" w:cs="Arial"/>
                <w:sz w:val="16"/>
                <w:szCs w:val="16"/>
              </w:rPr>
            </w:pPr>
          </w:p>
        </w:tc>
        <w:tc>
          <w:tcPr>
            <w:tcW w:w="1665" w:type="dxa"/>
            <w:vAlign w:val="center"/>
          </w:tcPr>
          <w:p w14:paraId="12EEF110" w14:textId="7978DC92" w:rsidR="00E3465F" w:rsidRDefault="00E3465F" w:rsidP="009B3A3E">
            <w:pPr>
              <w:spacing w:line="300" w:lineRule="atLeast"/>
              <w:jc w:val="center"/>
              <w:rPr>
                <w:rFonts w:ascii="Arial" w:hAnsi="Arial" w:cs="Arial"/>
                <w:sz w:val="16"/>
                <w:szCs w:val="16"/>
              </w:rPr>
            </w:pPr>
            <w:r>
              <w:rPr>
                <w:rFonts w:ascii="Arial" w:hAnsi="Arial" w:cs="Arial"/>
                <w:sz w:val="16"/>
                <w:szCs w:val="16"/>
              </w:rPr>
              <w:t>-</w:t>
            </w:r>
          </w:p>
        </w:tc>
        <w:tc>
          <w:tcPr>
            <w:tcW w:w="1666" w:type="dxa"/>
            <w:vAlign w:val="center"/>
          </w:tcPr>
          <w:p w14:paraId="73A2B353" w14:textId="16E6E3B7" w:rsidR="00E3465F" w:rsidRPr="002B015E" w:rsidRDefault="00E3465F" w:rsidP="009B3A3E">
            <w:pPr>
              <w:spacing w:line="300" w:lineRule="atLeast"/>
              <w:jc w:val="center"/>
              <w:rPr>
                <w:rFonts w:ascii="Arial" w:hAnsi="Arial" w:cs="Arial"/>
                <w:sz w:val="16"/>
                <w:szCs w:val="16"/>
              </w:rPr>
            </w:pPr>
            <w:r>
              <w:rPr>
                <w:rFonts w:ascii="Arial" w:hAnsi="Arial" w:cs="Arial"/>
                <w:sz w:val="16"/>
                <w:szCs w:val="16"/>
              </w:rPr>
              <w:t>20</w:t>
            </w:r>
          </w:p>
        </w:tc>
        <w:tc>
          <w:tcPr>
            <w:tcW w:w="1665" w:type="dxa"/>
            <w:vAlign w:val="center"/>
          </w:tcPr>
          <w:p w14:paraId="43C6600D" w14:textId="77777777" w:rsidR="00E3465F" w:rsidRDefault="00E3465F" w:rsidP="009B3A3E">
            <w:pPr>
              <w:spacing w:line="300" w:lineRule="atLeast"/>
              <w:jc w:val="center"/>
              <w:rPr>
                <w:rFonts w:ascii="Arial" w:hAnsi="Arial" w:cs="Arial"/>
                <w:sz w:val="16"/>
                <w:szCs w:val="16"/>
              </w:rPr>
            </w:pPr>
          </w:p>
        </w:tc>
        <w:tc>
          <w:tcPr>
            <w:tcW w:w="1666" w:type="dxa"/>
            <w:vAlign w:val="center"/>
          </w:tcPr>
          <w:p w14:paraId="2C5FB7F4" w14:textId="49DE276D" w:rsidR="00E3465F" w:rsidRDefault="00E3465F" w:rsidP="009B3A3E">
            <w:pPr>
              <w:spacing w:line="300" w:lineRule="atLeast"/>
              <w:jc w:val="center"/>
              <w:rPr>
                <w:rFonts w:ascii="Arial" w:hAnsi="Arial" w:cs="Arial"/>
                <w:sz w:val="16"/>
                <w:szCs w:val="16"/>
              </w:rPr>
            </w:pPr>
            <w:r>
              <w:rPr>
                <w:rFonts w:ascii="Arial" w:hAnsi="Arial" w:cs="Arial"/>
                <w:sz w:val="16"/>
                <w:szCs w:val="16"/>
              </w:rPr>
              <w:t>0.151</w:t>
            </w:r>
          </w:p>
        </w:tc>
      </w:tr>
    </w:tbl>
    <w:p w14:paraId="1D5032DF" w14:textId="0343C26A" w:rsidR="00D371CC" w:rsidRPr="0035585D" w:rsidRDefault="00D371CC" w:rsidP="00517E33">
      <w:pPr>
        <w:spacing w:after="0" w:line="300" w:lineRule="atLeast"/>
        <w:jc w:val="both"/>
        <w:rPr>
          <w:rFonts w:ascii="Arial" w:hAnsi="Arial" w:cs="Arial"/>
          <w:b/>
          <w:szCs w:val="18"/>
        </w:rPr>
      </w:pPr>
      <w:r w:rsidRPr="0035585D">
        <w:rPr>
          <w:rFonts w:ascii="Arial" w:hAnsi="Arial" w:cs="Arial"/>
          <w:b/>
          <w:szCs w:val="18"/>
        </w:rPr>
        <w:t xml:space="preserve">Certainty assessment for </w:t>
      </w:r>
      <w:r w:rsidR="00F755F6">
        <w:rPr>
          <w:rFonts w:ascii="Arial" w:hAnsi="Arial" w:cs="Arial"/>
          <w:b/>
          <w:szCs w:val="18"/>
        </w:rPr>
        <w:t>2020</w:t>
      </w:r>
    </w:p>
    <w:p w14:paraId="28BC5574" w14:textId="47A0C270" w:rsidR="00D371CC" w:rsidRPr="00C20F3E" w:rsidRDefault="00D371CC" w:rsidP="00517E33">
      <w:pPr>
        <w:spacing w:after="0" w:line="300" w:lineRule="atLeast"/>
        <w:ind w:left="1560" w:hanging="1560"/>
        <w:jc w:val="both"/>
        <w:rPr>
          <w:szCs w:val="18"/>
        </w:rPr>
      </w:pPr>
      <w:r w:rsidRPr="00C20F3E">
        <w:rPr>
          <w:szCs w:val="18"/>
        </w:rPr>
        <w:t xml:space="preserve">Activity data: </w:t>
      </w:r>
      <w:r w:rsidRPr="00C20F3E">
        <w:rPr>
          <w:szCs w:val="18"/>
        </w:rPr>
        <w:tab/>
        <w:t xml:space="preserve">High </w:t>
      </w:r>
      <w:r w:rsidR="00F844B5">
        <w:rPr>
          <w:szCs w:val="18"/>
        </w:rPr>
        <w:t>(</w:t>
      </w:r>
      <w:r w:rsidRPr="00C20F3E">
        <w:rPr>
          <w:szCs w:val="18"/>
        </w:rPr>
        <w:t>because</w:t>
      </w:r>
      <w:r>
        <w:rPr>
          <w:szCs w:val="18"/>
        </w:rPr>
        <w:t xml:space="preserve"> </w:t>
      </w:r>
      <w:r w:rsidR="00F844B5">
        <w:rPr>
          <w:szCs w:val="18"/>
        </w:rPr>
        <w:t xml:space="preserve">it is based on a </w:t>
      </w:r>
      <w:r>
        <w:rPr>
          <w:szCs w:val="18"/>
        </w:rPr>
        <w:t>national</w:t>
      </w:r>
      <w:r w:rsidRPr="00C20F3E">
        <w:rPr>
          <w:szCs w:val="18"/>
        </w:rPr>
        <w:t xml:space="preserve"> </w:t>
      </w:r>
      <w:r w:rsidR="00F844B5">
        <w:rPr>
          <w:szCs w:val="18"/>
        </w:rPr>
        <w:t>survey of energy use coupled with census data</w:t>
      </w:r>
      <w:r w:rsidR="0015580E">
        <w:rPr>
          <w:szCs w:val="18"/>
        </w:rPr>
        <w:t>)</w:t>
      </w:r>
    </w:p>
    <w:p w14:paraId="5E25A127" w14:textId="01FD58F8" w:rsidR="00E3465F" w:rsidRDefault="00D371CC" w:rsidP="003D73C3">
      <w:pPr>
        <w:spacing w:after="0" w:line="300" w:lineRule="atLeast"/>
        <w:ind w:left="1560" w:hanging="1560"/>
        <w:jc w:val="both"/>
        <w:rPr>
          <w:szCs w:val="18"/>
        </w:rPr>
      </w:pPr>
      <w:r w:rsidRPr="00C20F3E">
        <w:rPr>
          <w:szCs w:val="18"/>
        </w:rPr>
        <w:t>Emission factor</w:t>
      </w:r>
      <w:r>
        <w:rPr>
          <w:szCs w:val="18"/>
        </w:rPr>
        <w:t>s</w:t>
      </w:r>
      <w:r w:rsidRPr="00C20F3E">
        <w:rPr>
          <w:szCs w:val="18"/>
        </w:rPr>
        <w:t xml:space="preserve">: </w:t>
      </w:r>
      <w:r w:rsidRPr="00C20F3E">
        <w:rPr>
          <w:szCs w:val="18"/>
        </w:rPr>
        <w:tab/>
        <w:t xml:space="preserve">Low (because </w:t>
      </w:r>
      <w:r w:rsidR="00F844B5">
        <w:rPr>
          <w:szCs w:val="18"/>
        </w:rPr>
        <w:t xml:space="preserve">they are </w:t>
      </w:r>
      <w:r w:rsidRPr="00C20F3E">
        <w:rPr>
          <w:szCs w:val="18"/>
        </w:rPr>
        <w:t>based on the Toolkit default factor</w:t>
      </w:r>
      <w:r w:rsidR="00F844B5">
        <w:rPr>
          <w:szCs w:val="18"/>
        </w:rPr>
        <w:t>s</w:t>
      </w:r>
      <w:r w:rsidRPr="00C20F3E">
        <w:rPr>
          <w:szCs w:val="18"/>
        </w:rPr>
        <w:t>)</w:t>
      </w:r>
      <w:r w:rsidR="00E3465F">
        <w:rPr>
          <w:szCs w:val="18"/>
        </w:rPr>
        <w:br w:type="page"/>
      </w:r>
    </w:p>
    <w:p w14:paraId="53711041" w14:textId="77777777" w:rsidR="001C67DA" w:rsidRPr="00A311F7" w:rsidRDefault="001C67DA" w:rsidP="00261F78">
      <w:pPr>
        <w:pStyle w:val="Heading2"/>
      </w:pPr>
      <w:bookmarkStart w:id="205" w:name="_Ref381970698"/>
      <w:bookmarkStart w:id="206" w:name="_Toc112768098"/>
      <w:r>
        <w:lastRenderedPageBreak/>
        <w:t>Household heating and cooking with fossil fuels</w:t>
      </w:r>
      <w:bookmarkEnd w:id="205"/>
      <w:bookmarkEnd w:id="206"/>
    </w:p>
    <w:p w14:paraId="338973AB" w14:textId="23C68846" w:rsidR="001C67DA" w:rsidRDefault="003207FC" w:rsidP="001C67DA">
      <w:pPr>
        <w:spacing w:line="300" w:lineRule="atLeast"/>
        <w:jc w:val="both"/>
        <w:rPr>
          <w:szCs w:val="18"/>
          <w:lang w:val="en"/>
        </w:rPr>
      </w:pPr>
      <w:r w:rsidRPr="003207FC">
        <w:rPr>
          <w:szCs w:val="18"/>
          <w:lang w:val="en"/>
        </w:rPr>
        <w:t xml:space="preserve">This sub-section addresses the </w:t>
      </w:r>
      <w:r>
        <w:rPr>
          <w:szCs w:val="18"/>
          <w:lang w:val="en"/>
        </w:rPr>
        <w:t xml:space="preserve">dioxin </w:t>
      </w:r>
      <w:r w:rsidRPr="003207FC">
        <w:rPr>
          <w:szCs w:val="18"/>
          <w:lang w:val="en"/>
        </w:rPr>
        <w:t xml:space="preserve">emissions from </w:t>
      </w:r>
      <w:r>
        <w:rPr>
          <w:szCs w:val="18"/>
          <w:lang w:val="en"/>
        </w:rPr>
        <w:t xml:space="preserve">the </w:t>
      </w:r>
      <w:r w:rsidRPr="003207FC">
        <w:rPr>
          <w:szCs w:val="18"/>
          <w:lang w:val="en"/>
        </w:rPr>
        <w:t xml:space="preserve">domestic burning of oil, </w:t>
      </w:r>
      <w:proofErr w:type="gramStart"/>
      <w:r w:rsidRPr="003207FC">
        <w:rPr>
          <w:szCs w:val="18"/>
          <w:lang w:val="en"/>
        </w:rPr>
        <w:t>coal</w:t>
      </w:r>
      <w:proofErr w:type="gramEnd"/>
      <w:r w:rsidRPr="003207FC">
        <w:rPr>
          <w:szCs w:val="18"/>
          <w:lang w:val="en"/>
        </w:rPr>
        <w:t xml:space="preserve"> and gas</w:t>
      </w:r>
      <w:r>
        <w:rPr>
          <w:szCs w:val="18"/>
          <w:lang w:val="en"/>
        </w:rPr>
        <w:t>. The oil category covers both fuel oil and diesel, while gas consumption includes both natural gas and LPG.</w:t>
      </w:r>
    </w:p>
    <w:p w14:paraId="3B2729BC" w14:textId="77777777" w:rsidR="00287582" w:rsidRPr="00A311F7" w:rsidRDefault="00287582" w:rsidP="00287582">
      <w:pPr>
        <w:pStyle w:val="Heading3"/>
      </w:pPr>
      <w:bookmarkStart w:id="207" w:name="_Toc112768099"/>
      <w:r>
        <w:t>Coal</w:t>
      </w:r>
      <w:bookmarkEnd w:id="207"/>
    </w:p>
    <w:p w14:paraId="6878D721" w14:textId="05481FBC" w:rsidR="00287582" w:rsidRDefault="19C9285E" w:rsidP="00287582">
      <w:pPr>
        <w:spacing w:line="300" w:lineRule="atLeast"/>
        <w:jc w:val="both"/>
      </w:pPr>
      <w:r>
        <w:t xml:space="preserve">The total amount of coal burned in domestic appliances in </w:t>
      </w:r>
      <w:r w:rsidR="5D44B3A5">
        <w:t>2020</w:t>
      </w:r>
      <w:r w:rsidR="40E5A1D8">
        <w:t xml:space="preserve"> </w:t>
      </w:r>
      <w:r>
        <w:t xml:space="preserve">was </w:t>
      </w:r>
      <w:r w:rsidR="5D44B3A5">
        <w:t xml:space="preserve">267 </w:t>
      </w:r>
      <w:r w:rsidR="760D7BF6">
        <w:t xml:space="preserve">TJ </w:t>
      </w:r>
      <w:r w:rsidR="5D44B3A5" w:rsidRPr="0C34660A">
        <w:rPr>
          <w:noProof/>
        </w:rPr>
        <w:t>(Energy Efficiency and Conservation Authority, 202</w:t>
      </w:r>
      <w:r w:rsidR="299C3CE3" w:rsidRPr="0C34660A">
        <w:rPr>
          <w:noProof/>
        </w:rPr>
        <w:t>2</w:t>
      </w:r>
      <w:r w:rsidR="5D44B3A5" w:rsidRPr="0C34660A">
        <w:rPr>
          <w:noProof/>
        </w:rPr>
        <w:t>)</w:t>
      </w:r>
      <w:r>
        <w:t xml:space="preserve">, </w:t>
      </w:r>
      <w:r w:rsidR="760D7BF6" w:rsidRPr="0C34660A">
        <w:rPr>
          <w:lang w:val="en"/>
        </w:rPr>
        <w:t>(1 TJ = 10</w:t>
      </w:r>
      <w:r w:rsidR="760D7BF6" w:rsidRPr="0C34660A">
        <w:rPr>
          <w:vertAlign w:val="superscript"/>
          <w:lang w:val="en"/>
        </w:rPr>
        <w:t>12</w:t>
      </w:r>
      <w:r w:rsidR="760D7BF6" w:rsidRPr="0C34660A">
        <w:rPr>
          <w:lang w:val="en"/>
        </w:rPr>
        <w:t xml:space="preserve"> Joules)</w:t>
      </w:r>
      <w:r w:rsidR="40E5A1D8">
        <w:t xml:space="preserve">. </w:t>
      </w:r>
      <w:bookmarkStart w:id="208" w:name="_Int_Gt7IannC"/>
      <w:proofErr w:type="gramStart"/>
      <w:r w:rsidR="5D44B3A5">
        <w:t xml:space="preserve">All </w:t>
      </w:r>
      <w:r w:rsidR="4B8D7A25">
        <w:t>of</w:t>
      </w:r>
      <w:bookmarkEnd w:id="208"/>
      <w:proofErr w:type="gramEnd"/>
      <w:r w:rsidR="4B8D7A25">
        <w:t xml:space="preserve"> the coal burned was for space heating</w:t>
      </w:r>
      <w:r w:rsidR="50A50EB1">
        <w:t>,</w:t>
      </w:r>
      <w:r w:rsidR="4B8D7A25">
        <w:t xml:space="preserve"> </w:t>
      </w:r>
      <w:r w:rsidR="2E47F48E">
        <w:t>with 91 TJ used in coal burners and 176 TJ in open fires.</w:t>
      </w:r>
      <w:r w:rsidR="5D44B3A5" w:rsidRPr="0C34660A">
        <w:rPr>
          <w:noProof/>
        </w:rPr>
        <w:t xml:space="preserve"> </w:t>
      </w:r>
    </w:p>
    <w:p w14:paraId="6F2C1C9B" w14:textId="39DB79B3" w:rsidR="007A1C65" w:rsidRDefault="004A053E" w:rsidP="00C20F3E">
      <w:pPr>
        <w:spacing w:line="300" w:lineRule="atLeast"/>
        <w:jc w:val="both"/>
        <w:rPr>
          <w:szCs w:val="18"/>
        </w:rPr>
      </w:pPr>
      <w:r>
        <w:rPr>
          <w:szCs w:val="18"/>
        </w:rPr>
        <w:t xml:space="preserve">As with </w:t>
      </w:r>
      <w:r w:rsidR="00832F12">
        <w:rPr>
          <w:szCs w:val="18"/>
        </w:rPr>
        <w:t xml:space="preserve">the </w:t>
      </w:r>
      <w:r w:rsidR="00DE3297">
        <w:rPr>
          <w:szCs w:val="18"/>
        </w:rPr>
        <w:t>2016</w:t>
      </w:r>
      <w:r w:rsidR="00832F12">
        <w:rPr>
          <w:szCs w:val="18"/>
        </w:rPr>
        <w:t xml:space="preserve"> dioxin inventory the Toolkit factor of 100 µg </w:t>
      </w:r>
      <w:r w:rsidR="0009594D">
        <w:rPr>
          <w:szCs w:val="18"/>
        </w:rPr>
        <w:t>TEQ</w:t>
      </w:r>
      <w:r w:rsidR="00832F12">
        <w:rPr>
          <w:szCs w:val="18"/>
        </w:rPr>
        <w:t>/TJ of coal</w:t>
      </w:r>
      <w:r w:rsidR="00FE1340">
        <w:rPr>
          <w:szCs w:val="18"/>
          <w:lang w:val="en"/>
        </w:rPr>
        <w:t xml:space="preserve"> </w:t>
      </w:r>
      <w:r w:rsidR="00922F24">
        <w:rPr>
          <w:szCs w:val="18"/>
        </w:rPr>
        <w:t>has been</w:t>
      </w:r>
      <w:r w:rsidR="00832F12">
        <w:rPr>
          <w:szCs w:val="18"/>
        </w:rPr>
        <w:t xml:space="preserve"> used for estimating the releases to air</w:t>
      </w:r>
      <w:r w:rsidR="008615DE">
        <w:rPr>
          <w:szCs w:val="18"/>
        </w:rPr>
        <w:t xml:space="preserve"> </w:t>
      </w:r>
      <w:r w:rsidR="008615DE" w:rsidRPr="008615DE">
        <w:rPr>
          <w:szCs w:val="18"/>
          <w:lang w:val="en-US"/>
        </w:rPr>
        <w:t>(1 µg TEQ/</w:t>
      </w:r>
      <w:r w:rsidR="0015580E">
        <w:rPr>
          <w:szCs w:val="18"/>
          <w:lang w:val="en-US"/>
        </w:rPr>
        <w:t>TJ</w:t>
      </w:r>
      <w:r w:rsidR="0015580E" w:rsidRPr="008615DE">
        <w:rPr>
          <w:szCs w:val="18"/>
          <w:lang w:val="en-US"/>
        </w:rPr>
        <w:t xml:space="preserve"> </w:t>
      </w:r>
      <w:r w:rsidR="008615DE" w:rsidRPr="008615DE">
        <w:rPr>
          <w:szCs w:val="18"/>
          <w:lang w:val="en-US"/>
        </w:rPr>
        <w:t>= 1 x 10</w:t>
      </w:r>
      <w:r w:rsidR="008615DE" w:rsidRPr="008615DE">
        <w:rPr>
          <w:szCs w:val="18"/>
          <w:vertAlign w:val="superscript"/>
          <w:lang w:val="en-US"/>
        </w:rPr>
        <w:t>-6</w:t>
      </w:r>
      <w:r w:rsidR="008615DE" w:rsidRPr="008615DE">
        <w:rPr>
          <w:szCs w:val="18"/>
          <w:lang w:val="en-US"/>
        </w:rPr>
        <w:t xml:space="preserve"> g TEQ/</w:t>
      </w:r>
      <w:r w:rsidR="0015580E">
        <w:rPr>
          <w:szCs w:val="18"/>
          <w:lang w:val="en-US"/>
        </w:rPr>
        <w:t>TJ</w:t>
      </w:r>
      <w:r w:rsidR="008615DE" w:rsidRPr="008615DE">
        <w:rPr>
          <w:szCs w:val="18"/>
          <w:lang w:val="en-US"/>
        </w:rPr>
        <w:t>)</w:t>
      </w:r>
      <w:r w:rsidR="00832F12">
        <w:rPr>
          <w:szCs w:val="18"/>
        </w:rPr>
        <w:t xml:space="preserve">. </w:t>
      </w:r>
      <w:r w:rsidR="00922F24">
        <w:rPr>
          <w:szCs w:val="18"/>
        </w:rPr>
        <w:t>Also</w:t>
      </w:r>
      <w:r w:rsidR="00832F12">
        <w:rPr>
          <w:szCs w:val="18"/>
        </w:rPr>
        <w:t xml:space="preserve">, the releases via ash </w:t>
      </w:r>
      <w:r w:rsidR="00922F24">
        <w:rPr>
          <w:szCs w:val="18"/>
        </w:rPr>
        <w:t xml:space="preserve">have been </w:t>
      </w:r>
      <w:r w:rsidR="00832F12">
        <w:rPr>
          <w:szCs w:val="18"/>
        </w:rPr>
        <w:t xml:space="preserve">determined using a factor of 0.41 µg </w:t>
      </w:r>
      <w:r w:rsidR="0009594D">
        <w:rPr>
          <w:szCs w:val="18"/>
        </w:rPr>
        <w:t>TEQ</w:t>
      </w:r>
      <w:r w:rsidR="00832F12">
        <w:rPr>
          <w:szCs w:val="18"/>
        </w:rPr>
        <w:t xml:space="preserve">/tonne of ash, which was originally used in the 2000 Inventory report. This was derived from a UK study, but it was considered more appropriate </w:t>
      </w:r>
      <w:r w:rsidR="00F928C4">
        <w:rPr>
          <w:szCs w:val="18"/>
        </w:rPr>
        <w:t xml:space="preserve">than the Toolkit factor of 5 </w:t>
      </w:r>
      <w:r w:rsidR="00F928C4" w:rsidRPr="00F928C4">
        <w:rPr>
          <w:szCs w:val="18"/>
        </w:rPr>
        <w:t xml:space="preserve">µg </w:t>
      </w:r>
      <w:r w:rsidR="0009594D">
        <w:rPr>
          <w:szCs w:val="18"/>
        </w:rPr>
        <w:t>TEQ</w:t>
      </w:r>
      <w:r w:rsidR="00F928C4" w:rsidRPr="00F928C4">
        <w:rPr>
          <w:szCs w:val="18"/>
        </w:rPr>
        <w:t>/tonne of ash</w:t>
      </w:r>
      <w:r w:rsidR="00F928C4">
        <w:rPr>
          <w:szCs w:val="18"/>
        </w:rPr>
        <w:t>, which relates to the dioxin concentrations in soot rather than ash.</w:t>
      </w:r>
      <w:r w:rsidR="007A1C65">
        <w:rPr>
          <w:szCs w:val="18"/>
        </w:rPr>
        <w:t xml:space="preserve"> </w:t>
      </w:r>
      <w:r w:rsidR="00F928C4">
        <w:rPr>
          <w:szCs w:val="18"/>
        </w:rPr>
        <w:t xml:space="preserve">The ash quantities were calculated </w:t>
      </w:r>
      <w:r w:rsidR="00AD5C7B">
        <w:rPr>
          <w:szCs w:val="18"/>
        </w:rPr>
        <w:t>using a factor of 1</w:t>
      </w:r>
      <w:r w:rsidR="00DE3297">
        <w:rPr>
          <w:szCs w:val="18"/>
        </w:rPr>
        <w:t>.</w:t>
      </w:r>
      <w:r w:rsidR="00AD5C7B">
        <w:rPr>
          <w:szCs w:val="18"/>
        </w:rPr>
        <w:t>265 tonnes/</w:t>
      </w:r>
      <w:r w:rsidR="00DE3297">
        <w:rPr>
          <w:szCs w:val="18"/>
        </w:rPr>
        <w:t>T</w:t>
      </w:r>
      <w:r w:rsidR="00922F24">
        <w:rPr>
          <w:szCs w:val="18"/>
        </w:rPr>
        <w:t>J</w:t>
      </w:r>
      <w:r w:rsidR="00AD5C7B">
        <w:rPr>
          <w:szCs w:val="18"/>
        </w:rPr>
        <w:t xml:space="preserve">, which was derived from an assumed average </w:t>
      </w:r>
      <w:r w:rsidR="00F928C4">
        <w:rPr>
          <w:szCs w:val="18"/>
        </w:rPr>
        <w:t>ash content of 3.1</w:t>
      </w:r>
      <w:r w:rsidR="00260D1A">
        <w:rPr>
          <w:szCs w:val="18"/>
        </w:rPr>
        <w:t>5</w:t>
      </w:r>
      <w:r w:rsidR="00F928C4">
        <w:rPr>
          <w:szCs w:val="18"/>
        </w:rPr>
        <w:t xml:space="preserve">% for New Zealand coal and a calorific value of </w:t>
      </w:r>
      <w:r w:rsidR="00AD5C7B">
        <w:rPr>
          <w:szCs w:val="18"/>
        </w:rPr>
        <w:t>25</w:t>
      </w:r>
      <w:r w:rsidR="00F928C4">
        <w:rPr>
          <w:szCs w:val="18"/>
        </w:rPr>
        <w:t xml:space="preserve"> </w:t>
      </w:r>
      <w:r w:rsidR="00AD5C7B">
        <w:rPr>
          <w:szCs w:val="18"/>
        </w:rPr>
        <w:t>M</w:t>
      </w:r>
      <w:r w:rsidR="00F928C4">
        <w:rPr>
          <w:szCs w:val="18"/>
        </w:rPr>
        <w:t>J/</w:t>
      </w:r>
      <w:r w:rsidR="00AD5C7B">
        <w:rPr>
          <w:szCs w:val="18"/>
        </w:rPr>
        <w:t>kg</w:t>
      </w:r>
      <w:r w:rsidR="00FE1340">
        <w:rPr>
          <w:szCs w:val="18"/>
        </w:rPr>
        <w:t xml:space="preserve"> </w:t>
      </w:r>
      <w:r w:rsidR="00FE1340" w:rsidRPr="00FE1340">
        <w:rPr>
          <w:szCs w:val="18"/>
          <w:lang w:val="en"/>
        </w:rPr>
        <w:t>(</w:t>
      </w:r>
      <w:r w:rsidR="00FE1340">
        <w:rPr>
          <w:szCs w:val="18"/>
          <w:lang w:val="en"/>
        </w:rPr>
        <w:t>25</w:t>
      </w:r>
      <w:r w:rsidR="00FE1340" w:rsidRPr="00FE1340">
        <w:rPr>
          <w:szCs w:val="18"/>
          <w:lang w:val="en"/>
        </w:rPr>
        <w:t xml:space="preserve"> x 10</w:t>
      </w:r>
      <w:r w:rsidR="00FE1340" w:rsidRPr="00FE1340">
        <w:rPr>
          <w:szCs w:val="18"/>
          <w:vertAlign w:val="superscript"/>
          <w:lang w:val="en"/>
        </w:rPr>
        <w:t>6</w:t>
      </w:r>
      <w:r w:rsidR="00FE1340" w:rsidRPr="00FE1340">
        <w:rPr>
          <w:szCs w:val="18"/>
          <w:lang w:val="en"/>
        </w:rPr>
        <w:t xml:space="preserve"> J</w:t>
      </w:r>
      <w:r w:rsidR="00FE1340">
        <w:rPr>
          <w:szCs w:val="18"/>
          <w:lang w:val="en"/>
        </w:rPr>
        <w:t>/kg</w:t>
      </w:r>
      <w:r w:rsidR="00FE1340" w:rsidRPr="00FE1340">
        <w:rPr>
          <w:szCs w:val="18"/>
          <w:lang w:val="en"/>
        </w:rPr>
        <w:t>)</w:t>
      </w:r>
      <w:r w:rsidR="00521E33">
        <w:rPr>
          <w:szCs w:val="18"/>
        </w:rPr>
        <w:t>.</w:t>
      </w:r>
    </w:p>
    <w:p w14:paraId="7EE1F1EA" w14:textId="45070829" w:rsidR="00C20F3E" w:rsidRPr="00C20F3E" w:rsidRDefault="2AAC5124" w:rsidP="00C20F3E">
      <w:pPr>
        <w:spacing w:line="300" w:lineRule="atLeast"/>
        <w:jc w:val="both"/>
      </w:pPr>
      <w:r w:rsidRPr="0C34660A">
        <w:t xml:space="preserve">The </w:t>
      </w:r>
      <w:r w:rsidR="2E47F48E" w:rsidRPr="0C34660A">
        <w:t>2020</w:t>
      </w:r>
      <w:r w:rsidR="40E5A1D8">
        <w:rPr>
          <w:szCs w:val="18"/>
        </w:rPr>
        <w:t xml:space="preserve"> </w:t>
      </w:r>
      <w:r w:rsidRPr="0C34660A">
        <w:t>release estimates for domestic coal combustion are shown in</w:t>
      </w:r>
      <w:r w:rsidR="3F1360EA">
        <w:rPr>
          <w:szCs w:val="18"/>
        </w:rPr>
        <w:t xml:space="preserve"> </w:t>
      </w:r>
      <w:r w:rsidR="008F640E" w:rsidRPr="00794D97">
        <w:rPr>
          <w:szCs w:val="18"/>
        </w:rPr>
        <w:fldChar w:fldCharType="begin"/>
      </w:r>
      <w:r w:rsidR="008F640E" w:rsidRPr="00794D97">
        <w:rPr>
          <w:szCs w:val="18"/>
        </w:rPr>
        <w:instrText xml:space="preserve"> REF _Ref382050312 \h </w:instrText>
      </w:r>
      <w:r w:rsidR="00794D97">
        <w:rPr>
          <w:szCs w:val="18"/>
        </w:rPr>
        <w:instrText xml:space="preserve"> \* MERGEFORMAT </w:instrText>
      </w:r>
      <w:r w:rsidR="008F640E" w:rsidRPr="00794D97">
        <w:rPr>
          <w:szCs w:val="18"/>
        </w:rPr>
      </w:r>
      <w:r w:rsidR="008F640E" w:rsidRPr="00794D97">
        <w:rPr>
          <w:szCs w:val="18"/>
        </w:rPr>
        <w:fldChar w:fldCharType="separate"/>
      </w:r>
      <w:r w:rsidR="00141D7F" w:rsidRPr="00141D7F">
        <w:t xml:space="preserve">Table </w:t>
      </w:r>
      <w:r w:rsidR="00141D7F" w:rsidRPr="00141D7F">
        <w:rPr>
          <w:noProof/>
        </w:rPr>
        <w:t>5</w:t>
      </w:r>
      <w:r w:rsidR="00141D7F" w:rsidRPr="00141D7F">
        <w:rPr>
          <w:noProof/>
        </w:rPr>
        <w:noBreakHyphen/>
        <w:t>9</w:t>
      </w:r>
      <w:r w:rsidR="008F640E" w:rsidRPr="00794D97">
        <w:rPr>
          <w:szCs w:val="18"/>
        </w:rPr>
        <w:fldChar w:fldCharType="end"/>
      </w:r>
      <w:r w:rsidRPr="0C34660A">
        <w:t xml:space="preserve">, along with the corresponding estimates made in the </w:t>
      </w:r>
      <w:r w:rsidR="06ECE737" w:rsidRPr="0C34660A">
        <w:t>2012</w:t>
      </w:r>
      <w:r w:rsidR="06ECE737" w:rsidRPr="00C20F3E">
        <w:rPr>
          <w:szCs w:val="18"/>
        </w:rPr>
        <w:t xml:space="preserve"> </w:t>
      </w:r>
      <w:r w:rsidR="2E47F48E" w:rsidRPr="0C34660A">
        <w:t xml:space="preserve">and 2016 </w:t>
      </w:r>
      <w:r w:rsidRPr="0C34660A">
        <w:t>Inventor</w:t>
      </w:r>
      <w:r w:rsidR="2E47F48E" w:rsidRPr="0C34660A">
        <w:t>ies</w:t>
      </w:r>
      <w:r w:rsidRPr="00C20F3E">
        <w:rPr>
          <w:szCs w:val="18"/>
        </w:rPr>
        <w:t xml:space="preserve">. </w:t>
      </w:r>
      <w:r w:rsidR="23E7DA18" w:rsidRPr="0C34660A">
        <w:t xml:space="preserve">There are no direct releases to water or in products. </w:t>
      </w:r>
      <w:r w:rsidR="00944F46">
        <w:t xml:space="preserve">Releases from ash are </w:t>
      </w:r>
      <w:r w:rsidR="23E7DA18" w:rsidRPr="0C34660A">
        <w:t xml:space="preserve">assigned to the residues Toolkit </w:t>
      </w:r>
      <w:bookmarkStart w:id="209" w:name="_Int_1daSNNvS"/>
      <w:r w:rsidR="23E7DA18" w:rsidRPr="0C34660A">
        <w:t>vector because</w:t>
      </w:r>
      <w:bookmarkEnd w:id="209"/>
      <w:r w:rsidR="23E7DA18" w:rsidRPr="0C34660A">
        <w:t xml:space="preserve"> the final place of disposal is not known with any certainty.</w:t>
      </w:r>
    </w:p>
    <w:p w14:paraId="3D0A918C" w14:textId="088C085E" w:rsidR="00C20F3E" w:rsidRPr="00F928C4" w:rsidRDefault="008F640E" w:rsidP="00101AA8">
      <w:pPr>
        <w:pStyle w:val="Caption"/>
        <w:jc w:val="left"/>
        <w:rPr>
          <w:rFonts w:cs="Arial"/>
          <w:szCs w:val="18"/>
        </w:rPr>
      </w:pPr>
      <w:bookmarkStart w:id="210" w:name="_Ref382050312"/>
      <w:r w:rsidRPr="00F928C4">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9</w:t>
      </w:r>
      <w:r w:rsidR="00C17BA5">
        <w:rPr>
          <w:rFonts w:cs="Arial"/>
        </w:rPr>
        <w:fldChar w:fldCharType="end"/>
      </w:r>
      <w:bookmarkEnd w:id="210"/>
      <w:r w:rsidR="00C20F3E" w:rsidRPr="00F928C4">
        <w:rPr>
          <w:rFonts w:cs="Arial"/>
          <w:szCs w:val="18"/>
        </w:rPr>
        <w:t xml:space="preserve">: </w:t>
      </w:r>
      <w:r w:rsidR="000D77FC">
        <w:rPr>
          <w:rFonts w:cs="Arial"/>
          <w:szCs w:val="18"/>
        </w:rPr>
        <w:t>Dioxin</w:t>
      </w:r>
      <w:r w:rsidR="00C20F3E" w:rsidRPr="00F928C4">
        <w:rPr>
          <w:rFonts w:cs="Arial"/>
          <w:szCs w:val="18"/>
        </w:rPr>
        <w:t xml:space="preserve"> releases from </w:t>
      </w:r>
      <w:r w:rsidR="008C34E6" w:rsidRPr="00F928C4">
        <w:rPr>
          <w:rFonts w:cs="Arial"/>
          <w:szCs w:val="18"/>
        </w:rPr>
        <w:t>domestic</w:t>
      </w:r>
      <w:r w:rsidR="005B6CA9" w:rsidRPr="00F928C4">
        <w:rPr>
          <w:rFonts w:cs="Arial"/>
          <w:szCs w:val="18"/>
        </w:rPr>
        <w:t xml:space="preserve"> coal combustion</w:t>
      </w:r>
    </w:p>
    <w:tbl>
      <w:tblPr>
        <w:tblStyle w:val="TableGrid"/>
        <w:tblW w:w="9287" w:type="dxa"/>
        <w:tblLayout w:type="fixed"/>
        <w:tblLook w:val="04A0" w:firstRow="1" w:lastRow="0" w:firstColumn="1" w:lastColumn="0" w:noHBand="0" w:noVBand="1"/>
      </w:tblPr>
      <w:tblGrid>
        <w:gridCol w:w="675"/>
        <w:gridCol w:w="1276"/>
        <w:gridCol w:w="1134"/>
        <w:gridCol w:w="1841"/>
        <w:gridCol w:w="1845"/>
        <w:gridCol w:w="1134"/>
        <w:gridCol w:w="1382"/>
      </w:tblGrid>
      <w:tr w:rsidR="00C20F3E" w:rsidRPr="002B015E" w14:paraId="2CD3988C" w14:textId="77777777" w:rsidTr="0C34660A">
        <w:tc>
          <w:tcPr>
            <w:tcW w:w="675" w:type="dxa"/>
            <w:vMerge w:val="restart"/>
            <w:vAlign w:val="center"/>
          </w:tcPr>
          <w:p w14:paraId="597E854B" w14:textId="77777777" w:rsidR="00C20F3E" w:rsidRPr="002B015E" w:rsidRDefault="00C20F3E" w:rsidP="00C20F3E">
            <w:pPr>
              <w:spacing w:line="300" w:lineRule="atLeast"/>
              <w:jc w:val="both"/>
              <w:rPr>
                <w:rFonts w:ascii="Arial" w:hAnsi="Arial" w:cs="Arial"/>
                <w:b/>
                <w:sz w:val="16"/>
                <w:szCs w:val="16"/>
              </w:rPr>
            </w:pPr>
            <w:r w:rsidRPr="002B015E">
              <w:rPr>
                <w:rFonts w:ascii="Arial" w:hAnsi="Arial" w:cs="Arial"/>
                <w:b/>
                <w:sz w:val="16"/>
                <w:szCs w:val="16"/>
              </w:rPr>
              <w:t>Year</w:t>
            </w:r>
          </w:p>
        </w:tc>
        <w:tc>
          <w:tcPr>
            <w:tcW w:w="2410" w:type="dxa"/>
            <w:gridSpan w:val="2"/>
            <w:vAlign w:val="center"/>
          </w:tcPr>
          <w:p w14:paraId="65CC7B7D" w14:textId="39BBFF26" w:rsidR="00C20F3E" w:rsidRPr="002B015E" w:rsidRDefault="00C20F3E" w:rsidP="006239C8">
            <w:pPr>
              <w:spacing w:line="300" w:lineRule="atLeast"/>
              <w:jc w:val="center"/>
              <w:rPr>
                <w:rFonts w:ascii="Arial" w:hAnsi="Arial" w:cs="Arial"/>
                <w:b/>
                <w:sz w:val="16"/>
                <w:szCs w:val="16"/>
              </w:rPr>
            </w:pPr>
            <w:r w:rsidRPr="002B015E">
              <w:rPr>
                <w:rFonts w:ascii="Arial" w:hAnsi="Arial" w:cs="Arial"/>
                <w:b/>
                <w:sz w:val="16"/>
                <w:szCs w:val="16"/>
              </w:rPr>
              <w:t>Activity Rate</w:t>
            </w:r>
            <w:r w:rsidR="006239C8" w:rsidRPr="002B015E">
              <w:rPr>
                <w:rFonts w:ascii="Arial" w:hAnsi="Arial" w:cs="Arial"/>
                <w:b/>
                <w:sz w:val="16"/>
                <w:szCs w:val="16"/>
              </w:rPr>
              <w:t>s</w:t>
            </w:r>
          </w:p>
        </w:tc>
        <w:tc>
          <w:tcPr>
            <w:tcW w:w="3686" w:type="dxa"/>
            <w:gridSpan w:val="2"/>
            <w:vAlign w:val="center"/>
          </w:tcPr>
          <w:p w14:paraId="70AA642A" w14:textId="1E0B7CB5" w:rsidR="00C20F3E" w:rsidRPr="002B015E" w:rsidRDefault="00C20F3E" w:rsidP="006239C8">
            <w:pPr>
              <w:spacing w:line="300" w:lineRule="atLeast"/>
              <w:jc w:val="center"/>
              <w:rPr>
                <w:rFonts w:ascii="Arial" w:hAnsi="Arial" w:cs="Arial"/>
                <w:b/>
                <w:sz w:val="16"/>
                <w:szCs w:val="16"/>
              </w:rPr>
            </w:pPr>
            <w:r w:rsidRPr="002B015E">
              <w:rPr>
                <w:rFonts w:ascii="Arial" w:hAnsi="Arial" w:cs="Arial"/>
                <w:b/>
                <w:sz w:val="16"/>
                <w:szCs w:val="16"/>
              </w:rPr>
              <w:t>Release factors</w:t>
            </w:r>
          </w:p>
        </w:tc>
        <w:tc>
          <w:tcPr>
            <w:tcW w:w="2516" w:type="dxa"/>
            <w:gridSpan w:val="2"/>
            <w:vAlign w:val="center"/>
          </w:tcPr>
          <w:p w14:paraId="53D1A5D4" w14:textId="27B28A6E" w:rsidR="00C20F3E" w:rsidRPr="002B015E" w:rsidRDefault="00C20F3E" w:rsidP="006239C8">
            <w:pPr>
              <w:spacing w:line="300" w:lineRule="atLeast"/>
              <w:jc w:val="center"/>
              <w:rPr>
                <w:rFonts w:ascii="Arial" w:hAnsi="Arial" w:cs="Arial"/>
                <w:b/>
                <w:sz w:val="16"/>
                <w:szCs w:val="16"/>
              </w:rPr>
            </w:pPr>
            <w:r w:rsidRPr="002B015E">
              <w:rPr>
                <w:rFonts w:ascii="Arial" w:hAnsi="Arial" w:cs="Arial"/>
                <w:b/>
                <w:sz w:val="16"/>
                <w:szCs w:val="16"/>
              </w:rPr>
              <w:t xml:space="preserve">Annual releases (g </w:t>
            </w:r>
            <w:r w:rsidR="0009594D">
              <w:rPr>
                <w:rFonts w:ascii="Arial" w:hAnsi="Arial" w:cs="Arial"/>
                <w:b/>
                <w:sz w:val="16"/>
                <w:szCs w:val="16"/>
              </w:rPr>
              <w:t>TEQ</w:t>
            </w:r>
            <w:r w:rsidRPr="002B015E">
              <w:rPr>
                <w:rFonts w:ascii="Arial" w:hAnsi="Arial" w:cs="Arial"/>
                <w:b/>
                <w:sz w:val="16"/>
                <w:szCs w:val="16"/>
              </w:rPr>
              <w:t>/yr)</w:t>
            </w:r>
          </w:p>
        </w:tc>
      </w:tr>
      <w:tr w:rsidR="006239C8" w:rsidRPr="002B015E" w14:paraId="5449EA86" w14:textId="77777777" w:rsidTr="0C34660A">
        <w:trPr>
          <w:trHeight w:val="561"/>
        </w:trPr>
        <w:tc>
          <w:tcPr>
            <w:tcW w:w="675" w:type="dxa"/>
            <w:vMerge/>
          </w:tcPr>
          <w:p w14:paraId="4C90073A" w14:textId="77777777" w:rsidR="006239C8" w:rsidRPr="002B015E" w:rsidRDefault="006239C8" w:rsidP="00C20F3E">
            <w:pPr>
              <w:spacing w:line="300" w:lineRule="atLeast"/>
              <w:jc w:val="both"/>
              <w:rPr>
                <w:rFonts w:ascii="Arial" w:hAnsi="Arial" w:cs="Arial"/>
                <w:sz w:val="16"/>
                <w:szCs w:val="16"/>
              </w:rPr>
            </w:pPr>
          </w:p>
        </w:tc>
        <w:tc>
          <w:tcPr>
            <w:tcW w:w="1276" w:type="dxa"/>
            <w:vAlign w:val="center"/>
          </w:tcPr>
          <w:p w14:paraId="2AA365BE" w14:textId="5BB57D07" w:rsidR="006239C8" w:rsidRPr="002B015E" w:rsidRDefault="006239C8" w:rsidP="006239C8">
            <w:pPr>
              <w:spacing w:line="300" w:lineRule="atLeast"/>
              <w:jc w:val="center"/>
              <w:rPr>
                <w:rFonts w:ascii="Arial" w:hAnsi="Arial" w:cs="Arial"/>
                <w:sz w:val="16"/>
                <w:szCs w:val="16"/>
              </w:rPr>
            </w:pPr>
            <w:r w:rsidRPr="002B015E">
              <w:rPr>
                <w:rFonts w:ascii="Arial" w:hAnsi="Arial" w:cs="Arial"/>
                <w:b/>
                <w:sz w:val="16"/>
                <w:szCs w:val="16"/>
              </w:rPr>
              <w:t>(TJ coal/year)</w:t>
            </w:r>
          </w:p>
        </w:tc>
        <w:tc>
          <w:tcPr>
            <w:tcW w:w="1134" w:type="dxa"/>
            <w:vAlign w:val="center"/>
          </w:tcPr>
          <w:p w14:paraId="4C722A24" w14:textId="357BA610" w:rsidR="006239C8" w:rsidRPr="002B015E" w:rsidRDefault="19AD384C" w:rsidP="0C34660A">
            <w:pPr>
              <w:spacing w:line="300" w:lineRule="atLeast"/>
              <w:jc w:val="center"/>
              <w:rPr>
                <w:rFonts w:ascii="Arial" w:hAnsi="Arial" w:cs="Arial"/>
                <w:b/>
                <w:bCs/>
                <w:sz w:val="16"/>
                <w:szCs w:val="16"/>
              </w:rPr>
            </w:pPr>
            <w:r w:rsidRPr="0C34660A">
              <w:rPr>
                <w:rFonts w:ascii="Arial" w:hAnsi="Arial" w:cs="Arial"/>
                <w:b/>
                <w:bCs/>
                <w:sz w:val="16"/>
                <w:szCs w:val="16"/>
              </w:rPr>
              <w:t>(</w:t>
            </w:r>
            <w:bookmarkStart w:id="211" w:name="_Int_p8UnhSM6"/>
            <w:r w:rsidRPr="0C34660A">
              <w:rPr>
                <w:rFonts w:ascii="Arial" w:hAnsi="Arial" w:cs="Arial"/>
                <w:b/>
                <w:bCs/>
                <w:sz w:val="16"/>
                <w:szCs w:val="16"/>
              </w:rPr>
              <w:t>tonnes</w:t>
            </w:r>
            <w:bookmarkEnd w:id="211"/>
            <w:r w:rsidRPr="0C34660A">
              <w:rPr>
                <w:rFonts w:ascii="Arial" w:hAnsi="Arial" w:cs="Arial"/>
                <w:b/>
                <w:bCs/>
                <w:sz w:val="16"/>
                <w:szCs w:val="16"/>
              </w:rPr>
              <w:t xml:space="preserve"> ash/year)</w:t>
            </w:r>
          </w:p>
        </w:tc>
        <w:tc>
          <w:tcPr>
            <w:tcW w:w="1841" w:type="dxa"/>
            <w:vAlign w:val="center"/>
          </w:tcPr>
          <w:p w14:paraId="52C77A66" w14:textId="07756DD7" w:rsidR="006239C8" w:rsidRPr="002B015E" w:rsidRDefault="006239C8" w:rsidP="006239C8">
            <w:pPr>
              <w:spacing w:line="300" w:lineRule="atLeast"/>
              <w:jc w:val="center"/>
              <w:rPr>
                <w:rFonts w:ascii="Arial" w:hAnsi="Arial" w:cs="Arial"/>
                <w:b/>
                <w:sz w:val="16"/>
                <w:szCs w:val="16"/>
              </w:rPr>
            </w:pPr>
            <w:r w:rsidRPr="002B015E">
              <w:rPr>
                <w:rFonts w:ascii="Arial" w:hAnsi="Arial" w:cs="Arial"/>
                <w:b/>
                <w:sz w:val="16"/>
                <w:szCs w:val="16"/>
              </w:rPr>
              <w:t>Air</w:t>
            </w:r>
            <w:r w:rsidRPr="002B015E">
              <w:rPr>
                <w:rFonts w:ascii="Arial" w:hAnsi="Arial" w:cs="Arial"/>
                <w:b/>
                <w:sz w:val="16"/>
                <w:szCs w:val="16"/>
              </w:rPr>
              <w:br/>
            </w:r>
            <w:r w:rsidRPr="002B015E">
              <w:rPr>
                <w:rFonts w:ascii="Arial" w:hAnsi="Arial" w:cs="Arial"/>
                <w:sz w:val="16"/>
                <w:szCs w:val="16"/>
              </w:rPr>
              <w:t>(</w:t>
            </w:r>
            <w:r w:rsidRPr="002B015E">
              <w:rPr>
                <w:rFonts w:ascii="Arial" w:hAnsi="Arial" w:cs="Arial"/>
                <w:b/>
                <w:sz w:val="16"/>
                <w:szCs w:val="16"/>
              </w:rPr>
              <w:t xml:space="preserve">µg </w:t>
            </w:r>
            <w:r w:rsidR="0009594D">
              <w:rPr>
                <w:rFonts w:ascii="Arial" w:hAnsi="Arial" w:cs="Arial"/>
                <w:b/>
                <w:sz w:val="16"/>
                <w:szCs w:val="16"/>
              </w:rPr>
              <w:t>TEQ</w:t>
            </w:r>
            <w:r w:rsidRPr="002B015E">
              <w:rPr>
                <w:rFonts w:ascii="Arial" w:hAnsi="Arial" w:cs="Arial"/>
                <w:b/>
                <w:sz w:val="16"/>
                <w:szCs w:val="16"/>
              </w:rPr>
              <w:t xml:space="preserve">/TJ </w:t>
            </w:r>
            <w:r w:rsidR="007A1C65" w:rsidRPr="002B015E">
              <w:rPr>
                <w:rFonts w:ascii="Arial" w:hAnsi="Arial" w:cs="Arial"/>
                <w:b/>
                <w:sz w:val="16"/>
                <w:szCs w:val="16"/>
              </w:rPr>
              <w:t>coal</w:t>
            </w:r>
            <w:r w:rsidRPr="002B015E">
              <w:rPr>
                <w:rFonts w:ascii="Arial" w:hAnsi="Arial" w:cs="Arial"/>
                <w:b/>
                <w:sz w:val="16"/>
                <w:szCs w:val="16"/>
              </w:rPr>
              <w:t>)</w:t>
            </w:r>
          </w:p>
        </w:tc>
        <w:tc>
          <w:tcPr>
            <w:tcW w:w="1845" w:type="dxa"/>
            <w:vAlign w:val="center"/>
          </w:tcPr>
          <w:p w14:paraId="49AF744B" w14:textId="31DA5E92" w:rsidR="006239C8" w:rsidRPr="002B015E" w:rsidRDefault="006239C8" w:rsidP="006239C8">
            <w:pPr>
              <w:spacing w:line="300" w:lineRule="atLeast"/>
              <w:jc w:val="center"/>
              <w:rPr>
                <w:rFonts w:ascii="Arial" w:hAnsi="Arial" w:cs="Arial"/>
                <w:b/>
                <w:sz w:val="16"/>
                <w:szCs w:val="16"/>
              </w:rPr>
            </w:pPr>
            <w:r w:rsidRPr="002B015E">
              <w:rPr>
                <w:rFonts w:ascii="Arial" w:hAnsi="Arial" w:cs="Arial"/>
                <w:b/>
                <w:sz w:val="16"/>
                <w:szCs w:val="16"/>
              </w:rPr>
              <w:t>Residues</w:t>
            </w:r>
            <w:r w:rsidRPr="002B015E">
              <w:rPr>
                <w:rFonts w:ascii="Arial" w:hAnsi="Arial" w:cs="Arial"/>
                <w:b/>
                <w:sz w:val="16"/>
                <w:szCs w:val="16"/>
              </w:rPr>
              <w:br/>
            </w:r>
            <w:r w:rsidRPr="002B015E">
              <w:rPr>
                <w:rFonts w:ascii="Arial" w:hAnsi="Arial" w:cs="Arial"/>
                <w:sz w:val="16"/>
                <w:szCs w:val="16"/>
              </w:rPr>
              <w:t>(</w:t>
            </w:r>
            <w:r w:rsidRPr="002B015E">
              <w:rPr>
                <w:rFonts w:ascii="Arial" w:hAnsi="Arial" w:cs="Arial"/>
                <w:b/>
                <w:sz w:val="16"/>
                <w:szCs w:val="16"/>
              </w:rPr>
              <w:t xml:space="preserve">µg </w:t>
            </w:r>
            <w:r w:rsidR="0009594D">
              <w:rPr>
                <w:rFonts w:ascii="Arial" w:hAnsi="Arial" w:cs="Arial"/>
                <w:b/>
                <w:sz w:val="16"/>
                <w:szCs w:val="16"/>
              </w:rPr>
              <w:t>TEQ</w:t>
            </w:r>
            <w:r w:rsidRPr="002B015E">
              <w:rPr>
                <w:rFonts w:ascii="Arial" w:hAnsi="Arial" w:cs="Arial"/>
                <w:b/>
                <w:sz w:val="16"/>
                <w:szCs w:val="16"/>
              </w:rPr>
              <w:t>/</w:t>
            </w:r>
            <w:r w:rsidR="007A1C65" w:rsidRPr="002B015E">
              <w:rPr>
                <w:rFonts w:ascii="Arial" w:hAnsi="Arial" w:cs="Arial"/>
                <w:b/>
                <w:sz w:val="16"/>
                <w:szCs w:val="16"/>
              </w:rPr>
              <w:t>tonne</w:t>
            </w:r>
            <w:r w:rsidRPr="002B015E">
              <w:rPr>
                <w:rFonts w:ascii="Arial" w:hAnsi="Arial" w:cs="Arial"/>
                <w:b/>
                <w:sz w:val="16"/>
                <w:szCs w:val="16"/>
              </w:rPr>
              <w:t xml:space="preserve"> ash)</w:t>
            </w:r>
          </w:p>
        </w:tc>
        <w:tc>
          <w:tcPr>
            <w:tcW w:w="1134" w:type="dxa"/>
            <w:vAlign w:val="center"/>
          </w:tcPr>
          <w:p w14:paraId="6B0D47E5" w14:textId="77777777" w:rsidR="006239C8" w:rsidRPr="002B015E" w:rsidRDefault="006239C8" w:rsidP="006239C8">
            <w:pPr>
              <w:spacing w:line="300" w:lineRule="atLeast"/>
              <w:jc w:val="center"/>
              <w:rPr>
                <w:rFonts w:ascii="Arial" w:hAnsi="Arial" w:cs="Arial"/>
                <w:b/>
                <w:sz w:val="16"/>
                <w:szCs w:val="16"/>
              </w:rPr>
            </w:pPr>
            <w:r w:rsidRPr="002B015E">
              <w:rPr>
                <w:rFonts w:ascii="Arial" w:hAnsi="Arial" w:cs="Arial"/>
                <w:b/>
                <w:sz w:val="16"/>
                <w:szCs w:val="16"/>
              </w:rPr>
              <w:t>Air</w:t>
            </w:r>
          </w:p>
        </w:tc>
        <w:tc>
          <w:tcPr>
            <w:tcW w:w="1382" w:type="dxa"/>
            <w:vAlign w:val="center"/>
          </w:tcPr>
          <w:p w14:paraId="778C168C" w14:textId="17B5BDCA" w:rsidR="006239C8" w:rsidRPr="002B015E" w:rsidRDefault="006239C8" w:rsidP="002B015E">
            <w:pPr>
              <w:spacing w:line="300" w:lineRule="atLeast"/>
              <w:jc w:val="center"/>
              <w:rPr>
                <w:rFonts w:ascii="Arial" w:hAnsi="Arial" w:cs="Arial"/>
                <w:b/>
                <w:sz w:val="16"/>
                <w:szCs w:val="16"/>
              </w:rPr>
            </w:pPr>
            <w:r w:rsidRPr="002B015E">
              <w:rPr>
                <w:rFonts w:ascii="Arial" w:hAnsi="Arial" w:cs="Arial"/>
                <w:b/>
                <w:sz w:val="16"/>
                <w:szCs w:val="16"/>
              </w:rPr>
              <w:t>Residues</w:t>
            </w:r>
          </w:p>
        </w:tc>
      </w:tr>
      <w:tr w:rsidR="009F4B70" w:rsidRPr="002B015E" w14:paraId="491140CA" w14:textId="77777777" w:rsidTr="0C34660A">
        <w:tc>
          <w:tcPr>
            <w:tcW w:w="675" w:type="dxa"/>
            <w:vMerge w:val="restart"/>
            <w:vAlign w:val="center"/>
          </w:tcPr>
          <w:p w14:paraId="32B705A6" w14:textId="5AB202B0" w:rsidR="009F4B70" w:rsidRPr="002B015E" w:rsidRDefault="00521E33" w:rsidP="00C20F3E">
            <w:pPr>
              <w:spacing w:line="300" w:lineRule="atLeast"/>
              <w:jc w:val="both"/>
              <w:rPr>
                <w:rFonts w:ascii="Arial" w:hAnsi="Arial" w:cs="Arial"/>
                <w:b/>
                <w:sz w:val="16"/>
                <w:szCs w:val="16"/>
              </w:rPr>
            </w:pPr>
            <w:r>
              <w:rPr>
                <w:rFonts w:ascii="Arial" w:hAnsi="Arial" w:cs="Arial"/>
                <w:b/>
                <w:sz w:val="16"/>
                <w:szCs w:val="16"/>
              </w:rPr>
              <w:t>2012</w:t>
            </w:r>
          </w:p>
        </w:tc>
        <w:tc>
          <w:tcPr>
            <w:tcW w:w="1276" w:type="dxa"/>
            <w:vAlign w:val="center"/>
          </w:tcPr>
          <w:p w14:paraId="68A8F27B" w14:textId="7A1E0E86" w:rsidR="009F4B70" w:rsidRPr="002B015E" w:rsidRDefault="00521E33" w:rsidP="005965A5">
            <w:pPr>
              <w:spacing w:line="300" w:lineRule="atLeast"/>
              <w:jc w:val="center"/>
              <w:rPr>
                <w:rFonts w:ascii="Arial" w:hAnsi="Arial" w:cs="Arial"/>
                <w:sz w:val="16"/>
                <w:szCs w:val="16"/>
              </w:rPr>
            </w:pPr>
            <w:r>
              <w:rPr>
                <w:rFonts w:ascii="Arial" w:hAnsi="Arial" w:cs="Arial"/>
                <w:sz w:val="16"/>
                <w:szCs w:val="16"/>
              </w:rPr>
              <w:t>440</w:t>
            </w:r>
          </w:p>
        </w:tc>
        <w:tc>
          <w:tcPr>
            <w:tcW w:w="1134" w:type="dxa"/>
            <w:vAlign w:val="center"/>
          </w:tcPr>
          <w:p w14:paraId="32608B85" w14:textId="22393203" w:rsidR="009F4B70" w:rsidRPr="002B015E" w:rsidRDefault="009F4B70" w:rsidP="006239C8">
            <w:pPr>
              <w:spacing w:line="300" w:lineRule="atLeast"/>
              <w:jc w:val="center"/>
              <w:rPr>
                <w:rFonts w:ascii="Arial" w:hAnsi="Arial" w:cs="Arial"/>
                <w:sz w:val="16"/>
                <w:szCs w:val="16"/>
              </w:rPr>
            </w:pPr>
          </w:p>
        </w:tc>
        <w:tc>
          <w:tcPr>
            <w:tcW w:w="1841" w:type="dxa"/>
            <w:vAlign w:val="center"/>
          </w:tcPr>
          <w:p w14:paraId="3CD53B78" w14:textId="60FD8A29" w:rsidR="009F4B70" w:rsidRPr="002B015E" w:rsidRDefault="00521E33" w:rsidP="006239C8">
            <w:pPr>
              <w:spacing w:line="300" w:lineRule="atLeast"/>
              <w:jc w:val="center"/>
              <w:rPr>
                <w:rFonts w:ascii="Arial" w:hAnsi="Arial" w:cs="Arial"/>
                <w:sz w:val="16"/>
                <w:szCs w:val="16"/>
              </w:rPr>
            </w:pPr>
            <w:r>
              <w:rPr>
                <w:rFonts w:ascii="Arial" w:hAnsi="Arial" w:cs="Arial"/>
                <w:sz w:val="16"/>
                <w:szCs w:val="16"/>
              </w:rPr>
              <w:t>100</w:t>
            </w:r>
          </w:p>
        </w:tc>
        <w:tc>
          <w:tcPr>
            <w:tcW w:w="1845" w:type="dxa"/>
            <w:vAlign w:val="center"/>
          </w:tcPr>
          <w:p w14:paraId="5B572F60" w14:textId="69A3C56D" w:rsidR="009F4B70" w:rsidRPr="002B015E" w:rsidRDefault="009F4B70" w:rsidP="006239C8">
            <w:pPr>
              <w:spacing w:line="300" w:lineRule="atLeast"/>
              <w:jc w:val="center"/>
              <w:rPr>
                <w:rFonts w:ascii="Arial" w:hAnsi="Arial" w:cs="Arial"/>
                <w:sz w:val="16"/>
                <w:szCs w:val="16"/>
              </w:rPr>
            </w:pPr>
          </w:p>
        </w:tc>
        <w:tc>
          <w:tcPr>
            <w:tcW w:w="1134" w:type="dxa"/>
            <w:vAlign w:val="center"/>
          </w:tcPr>
          <w:p w14:paraId="3AC16C56" w14:textId="53C5DFDC" w:rsidR="009F4B70" w:rsidRPr="002B015E" w:rsidRDefault="005D47F5" w:rsidP="006239C8">
            <w:pPr>
              <w:spacing w:line="300" w:lineRule="atLeast"/>
              <w:jc w:val="center"/>
              <w:rPr>
                <w:rFonts w:ascii="Arial" w:hAnsi="Arial" w:cs="Arial"/>
                <w:sz w:val="16"/>
                <w:szCs w:val="16"/>
              </w:rPr>
            </w:pPr>
            <w:r>
              <w:rPr>
                <w:rFonts w:ascii="Arial" w:hAnsi="Arial" w:cs="Arial"/>
                <w:sz w:val="16"/>
                <w:szCs w:val="16"/>
              </w:rPr>
              <w:t>0.044</w:t>
            </w:r>
          </w:p>
        </w:tc>
        <w:tc>
          <w:tcPr>
            <w:tcW w:w="1382" w:type="dxa"/>
            <w:vAlign w:val="center"/>
          </w:tcPr>
          <w:p w14:paraId="2965FFC0" w14:textId="3C00C555" w:rsidR="009F4B70" w:rsidRPr="002B015E" w:rsidRDefault="009F4B70" w:rsidP="006239C8">
            <w:pPr>
              <w:spacing w:line="300" w:lineRule="atLeast"/>
              <w:jc w:val="center"/>
              <w:rPr>
                <w:rFonts w:ascii="Arial" w:hAnsi="Arial" w:cs="Arial"/>
                <w:sz w:val="16"/>
                <w:szCs w:val="16"/>
              </w:rPr>
            </w:pPr>
          </w:p>
        </w:tc>
      </w:tr>
      <w:tr w:rsidR="009F4B70" w:rsidRPr="002B015E" w14:paraId="177B1EC5" w14:textId="77777777" w:rsidTr="0C34660A">
        <w:tc>
          <w:tcPr>
            <w:tcW w:w="675" w:type="dxa"/>
            <w:vMerge/>
            <w:vAlign w:val="center"/>
          </w:tcPr>
          <w:p w14:paraId="64C85F08" w14:textId="77777777" w:rsidR="009F4B70" w:rsidRPr="002B015E" w:rsidRDefault="009F4B70" w:rsidP="00C20F3E">
            <w:pPr>
              <w:spacing w:line="300" w:lineRule="atLeast"/>
              <w:jc w:val="both"/>
              <w:rPr>
                <w:rFonts w:ascii="Arial" w:hAnsi="Arial" w:cs="Arial"/>
                <w:b/>
                <w:sz w:val="16"/>
                <w:szCs w:val="16"/>
              </w:rPr>
            </w:pPr>
          </w:p>
        </w:tc>
        <w:tc>
          <w:tcPr>
            <w:tcW w:w="1276" w:type="dxa"/>
            <w:vAlign w:val="center"/>
          </w:tcPr>
          <w:p w14:paraId="75F295E3" w14:textId="4164FFB1" w:rsidR="009F4B70" w:rsidRPr="002B015E" w:rsidRDefault="009F4B70" w:rsidP="005965A5">
            <w:pPr>
              <w:spacing w:line="300" w:lineRule="atLeast"/>
              <w:jc w:val="center"/>
              <w:rPr>
                <w:rFonts w:ascii="Arial" w:hAnsi="Arial" w:cs="Arial"/>
                <w:sz w:val="16"/>
                <w:szCs w:val="16"/>
              </w:rPr>
            </w:pPr>
          </w:p>
        </w:tc>
        <w:tc>
          <w:tcPr>
            <w:tcW w:w="1134" w:type="dxa"/>
            <w:vAlign w:val="center"/>
          </w:tcPr>
          <w:p w14:paraId="766D1973" w14:textId="6E201CCB" w:rsidR="009F4B70" w:rsidRPr="002B015E" w:rsidRDefault="00521E33" w:rsidP="006239C8">
            <w:pPr>
              <w:spacing w:line="300" w:lineRule="atLeast"/>
              <w:jc w:val="center"/>
              <w:rPr>
                <w:rFonts w:ascii="Arial" w:hAnsi="Arial" w:cs="Arial"/>
                <w:sz w:val="16"/>
                <w:szCs w:val="16"/>
              </w:rPr>
            </w:pPr>
            <w:r>
              <w:rPr>
                <w:rFonts w:ascii="Arial" w:hAnsi="Arial" w:cs="Arial"/>
                <w:sz w:val="16"/>
                <w:szCs w:val="16"/>
              </w:rPr>
              <w:t>557</w:t>
            </w:r>
          </w:p>
        </w:tc>
        <w:tc>
          <w:tcPr>
            <w:tcW w:w="1841" w:type="dxa"/>
            <w:vAlign w:val="center"/>
          </w:tcPr>
          <w:p w14:paraId="527657DF" w14:textId="534A469A" w:rsidR="009F4B70" w:rsidRPr="002B015E" w:rsidRDefault="009F4B70" w:rsidP="006239C8">
            <w:pPr>
              <w:spacing w:line="300" w:lineRule="atLeast"/>
              <w:jc w:val="center"/>
              <w:rPr>
                <w:rFonts w:ascii="Arial" w:hAnsi="Arial" w:cs="Arial"/>
                <w:sz w:val="16"/>
                <w:szCs w:val="16"/>
              </w:rPr>
            </w:pPr>
          </w:p>
        </w:tc>
        <w:tc>
          <w:tcPr>
            <w:tcW w:w="1845" w:type="dxa"/>
            <w:vAlign w:val="center"/>
          </w:tcPr>
          <w:p w14:paraId="2115F309" w14:textId="79AA2ED1" w:rsidR="009F4B70" w:rsidRPr="002B015E" w:rsidRDefault="00521E33" w:rsidP="006239C8">
            <w:pPr>
              <w:spacing w:line="300" w:lineRule="atLeast"/>
              <w:jc w:val="center"/>
              <w:rPr>
                <w:rFonts w:ascii="Arial" w:hAnsi="Arial" w:cs="Arial"/>
                <w:sz w:val="16"/>
                <w:szCs w:val="16"/>
              </w:rPr>
            </w:pPr>
            <w:r>
              <w:rPr>
                <w:rFonts w:ascii="Arial" w:hAnsi="Arial" w:cs="Arial"/>
                <w:sz w:val="16"/>
                <w:szCs w:val="16"/>
              </w:rPr>
              <w:t>0.41</w:t>
            </w:r>
          </w:p>
        </w:tc>
        <w:tc>
          <w:tcPr>
            <w:tcW w:w="1134" w:type="dxa"/>
            <w:vAlign w:val="center"/>
          </w:tcPr>
          <w:p w14:paraId="62195EC2" w14:textId="0B06E781" w:rsidR="009F4B70" w:rsidRPr="002B015E" w:rsidRDefault="009F4B70" w:rsidP="006239C8">
            <w:pPr>
              <w:spacing w:line="300" w:lineRule="atLeast"/>
              <w:jc w:val="center"/>
              <w:rPr>
                <w:rFonts w:ascii="Arial" w:hAnsi="Arial" w:cs="Arial"/>
                <w:sz w:val="16"/>
                <w:szCs w:val="16"/>
              </w:rPr>
            </w:pPr>
          </w:p>
        </w:tc>
        <w:tc>
          <w:tcPr>
            <w:tcW w:w="1382" w:type="dxa"/>
            <w:vAlign w:val="center"/>
          </w:tcPr>
          <w:p w14:paraId="0255250D" w14:textId="6929D655" w:rsidR="009F4B70" w:rsidRPr="002B015E" w:rsidRDefault="005D47F5" w:rsidP="00922F24">
            <w:pPr>
              <w:spacing w:line="300" w:lineRule="atLeast"/>
              <w:jc w:val="center"/>
              <w:rPr>
                <w:rFonts w:ascii="Arial" w:hAnsi="Arial" w:cs="Arial"/>
                <w:sz w:val="16"/>
                <w:szCs w:val="16"/>
              </w:rPr>
            </w:pPr>
            <w:r>
              <w:rPr>
                <w:rFonts w:ascii="Arial" w:hAnsi="Arial" w:cs="Arial"/>
                <w:sz w:val="16"/>
                <w:szCs w:val="16"/>
              </w:rPr>
              <w:t>0.00023</w:t>
            </w:r>
          </w:p>
        </w:tc>
      </w:tr>
      <w:tr w:rsidR="005D47F5" w:rsidRPr="002B015E" w14:paraId="1CEF06B7" w14:textId="77777777" w:rsidTr="0C34660A">
        <w:tc>
          <w:tcPr>
            <w:tcW w:w="675" w:type="dxa"/>
            <w:vMerge w:val="restart"/>
            <w:vAlign w:val="center"/>
          </w:tcPr>
          <w:p w14:paraId="35EF6FA2" w14:textId="73CA0287" w:rsidR="005D47F5" w:rsidRPr="002B015E" w:rsidRDefault="005D47F5" w:rsidP="00C20F3E">
            <w:pPr>
              <w:spacing w:line="300" w:lineRule="atLeast"/>
              <w:jc w:val="both"/>
              <w:rPr>
                <w:rFonts w:ascii="Arial" w:hAnsi="Arial" w:cs="Arial"/>
                <w:b/>
                <w:sz w:val="16"/>
                <w:szCs w:val="16"/>
              </w:rPr>
            </w:pPr>
            <w:r>
              <w:rPr>
                <w:rFonts w:ascii="Arial" w:hAnsi="Arial" w:cs="Arial"/>
                <w:b/>
                <w:sz w:val="16"/>
                <w:szCs w:val="16"/>
              </w:rPr>
              <w:t>2016</w:t>
            </w:r>
          </w:p>
        </w:tc>
        <w:tc>
          <w:tcPr>
            <w:tcW w:w="1276" w:type="dxa"/>
            <w:vAlign w:val="center"/>
          </w:tcPr>
          <w:p w14:paraId="1C34D0C0" w14:textId="71480047" w:rsidR="005D47F5" w:rsidRPr="002B015E" w:rsidRDefault="005D47F5">
            <w:pPr>
              <w:spacing w:line="300" w:lineRule="atLeast"/>
              <w:jc w:val="center"/>
              <w:rPr>
                <w:rFonts w:ascii="Arial" w:hAnsi="Arial" w:cs="Arial"/>
                <w:sz w:val="16"/>
                <w:szCs w:val="16"/>
              </w:rPr>
            </w:pPr>
            <w:r>
              <w:rPr>
                <w:rFonts w:ascii="Arial" w:hAnsi="Arial" w:cs="Arial"/>
                <w:sz w:val="16"/>
                <w:szCs w:val="16"/>
              </w:rPr>
              <w:t>343</w:t>
            </w:r>
          </w:p>
        </w:tc>
        <w:tc>
          <w:tcPr>
            <w:tcW w:w="1134" w:type="dxa"/>
            <w:vAlign w:val="center"/>
          </w:tcPr>
          <w:p w14:paraId="3D9A630F" w14:textId="0BD43E39" w:rsidR="005D47F5" w:rsidRPr="002B015E" w:rsidRDefault="005D47F5" w:rsidP="006239C8">
            <w:pPr>
              <w:spacing w:line="300" w:lineRule="atLeast"/>
              <w:jc w:val="center"/>
              <w:rPr>
                <w:rFonts w:ascii="Arial" w:hAnsi="Arial" w:cs="Arial"/>
                <w:sz w:val="16"/>
                <w:szCs w:val="16"/>
              </w:rPr>
            </w:pPr>
            <w:r>
              <w:rPr>
                <w:rFonts w:ascii="Arial" w:hAnsi="Arial" w:cs="Arial"/>
                <w:sz w:val="16"/>
                <w:szCs w:val="16"/>
              </w:rPr>
              <w:t>-</w:t>
            </w:r>
          </w:p>
        </w:tc>
        <w:tc>
          <w:tcPr>
            <w:tcW w:w="1841" w:type="dxa"/>
            <w:vAlign w:val="center"/>
          </w:tcPr>
          <w:p w14:paraId="66D6FBAE" w14:textId="547BA6FD" w:rsidR="005D47F5" w:rsidRPr="002B015E" w:rsidRDefault="005D47F5" w:rsidP="006239C8">
            <w:pPr>
              <w:spacing w:line="300" w:lineRule="atLeast"/>
              <w:jc w:val="center"/>
              <w:rPr>
                <w:rFonts w:ascii="Arial" w:hAnsi="Arial" w:cs="Arial"/>
                <w:sz w:val="16"/>
                <w:szCs w:val="16"/>
              </w:rPr>
            </w:pPr>
            <w:r w:rsidRPr="002B015E">
              <w:rPr>
                <w:rFonts w:ascii="Arial" w:hAnsi="Arial" w:cs="Arial"/>
                <w:sz w:val="16"/>
                <w:szCs w:val="16"/>
              </w:rPr>
              <w:t>100</w:t>
            </w:r>
          </w:p>
        </w:tc>
        <w:tc>
          <w:tcPr>
            <w:tcW w:w="1845" w:type="dxa"/>
            <w:vAlign w:val="center"/>
          </w:tcPr>
          <w:p w14:paraId="60823C1E" w14:textId="00DBE5A5" w:rsidR="005D47F5" w:rsidRPr="002B015E" w:rsidRDefault="005D47F5" w:rsidP="006239C8">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7F49390A" w14:textId="1525006E" w:rsidR="005D47F5" w:rsidRPr="002B015E" w:rsidRDefault="005D47F5" w:rsidP="00B36FE0">
            <w:pPr>
              <w:spacing w:line="300" w:lineRule="atLeast"/>
              <w:jc w:val="center"/>
              <w:rPr>
                <w:rFonts w:ascii="Arial" w:hAnsi="Arial" w:cs="Arial"/>
                <w:sz w:val="16"/>
                <w:szCs w:val="16"/>
              </w:rPr>
            </w:pPr>
            <w:r w:rsidRPr="002B015E">
              <w:rPr>
                <w:rFonts w:ascii="Arial" w:hAnsi="Arial" w:cs="Arial"/>
                <w:sz w:val="16"/>
                <w:szCs w:val="16"/>
              </w:rPr>
              <w:t>0.03</w:t>
            </w:r>
            <w:r>
              <w:rPr>
                <w:rFonts w:ascii="Arial" w:hAnsi="Arial" w:cs="Arial"/>
                <w:sz w:val="16"/>
                <w:szCs w:val="16"/>
              </w:rPr>
              <w:t>4</w:t>
            </w:r>
          </w:p>
        </w:tc>
        <w:tc>
          <w:tcPr>
            <w:tcW w:w="1382" w:type="dxa"/>
            <w:vAlign w:val="center"/>
          </w:tcPr>
          <w:p w14:paraId="371E3549" w14:textId="655AD3AC" w:rsidR="005D47F5" w:rsidRPr="002B015E" w:rsidRDefault="005D47F5" w:rsidP="004002D7">
            <w:pPr>
              <w:spacing w:line="300" w:lineRule="atLeast"/>
              <w:jc w:val="center"/>
              <w:rPr>
                <w:rFonts w:ascii="Arial" w:hAnsi="Arial" w:cs="Arial"/>
                <w:sz w:val="16"/>
                <w:szCs w:val="16"/>
              </w:rPr>
            </w:pPr>
            <w:r>
              <w:rPr>
                <w:rFonts w:ascii="Arial" w:hAnsi="Arial" w:cs="Arial"/>
                <w:sz w:val="16"/>
                <w:szCs w:val="16"/>
              </w:rPr>
              <w:t>-</w:t>
            </w:r>
          </w:p>
        </w:tc>
      </w:tr>
      <w:tr w:rsidR="005D47F5" w:rsidRPr="002B015E" w14:paraId="2A01C8FB" w14:textId="77777777" w:rsidTr="0C34660A">
        <w:tc>
          <w:tcPr>
            <w:tcW w:w="675" w:type="dxa"/>
            <w:vMerge/>
            <w:vAlign w:val="center"/>
          </w:tcPr>
          <w:p w14:paraId="024B7C80" w14:textId="77777777" w:rsidR="005D47F5" w:rsidRPr="002B015E" w:rsidRDefault="005D47F5" w:rsidP="00C20F3E">
            <w:pPr>
              <w:spacing w:line="300" w:lineRule="atLeast"/>
              <w:jc w:val="both"/>
              <w:rPr>
                <w:rFonts w:ascii="Arial" w:hAnsi="Arial" w:cs="Arial"/>
                <w:b/>
                <w:sz w:val="16"/>
                <w:szCs w:val="16"/>
              </w:rPr>
            </w:pPr>
          </w:p>
        </w:tc>
        <w:tc>
          <w:tcPr>
            <w:tcW w:w="1276" w:type="dxa"/>
            <w:vAlign w:val="center"/>
          </w:tcPr>
          <w:p w14:paraId="24F3FC10" w14:textId="454DF1ED" w:rsidR="005D47F5" w:rsidRPr="002B015E" w:rsidRDefault="005D47F5">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3F19C92E" w14:textId="6BA4A265" w:rsidR="005D47F5" w:rsidRPr="002B015E" w:rsidRDefault="005D47F5" w:rsidP="006239C8">
            <w:pPr>
              <w:spacing w:line="300" w:lineRule="atLeast"/>
              <w:jc w:val="center"/>
              <w:rPr>
                <w:rFonts w:ascii="Arial" w:hAnsi="Arial" w:cs="Arial"/>
                <w:sz w:val="16"/>
                <w:szCs w:val="16"/>
              </w:rPr>
            </w:pPr>
            <w:r>
              <w:rPr>
                <w:rFonts w:ascii="Arial" w:hAnsi="Arial" w:cs="Arial"/>
                <w:sz w:val="16"/>
                <w:szCs w:val="16"/>
              </w:rPr>
              <w:t>434</w:t>
            </w:r>
          </w:p>
        </w:tc>
        <w:tc>
          <w:tcPr>
            <w:tcW w:w="1841" w:type="dxa"/>
            <w:vAlign w:val="center"/>
          </w:tcPr>
          <w:p w14:paraId="5B47D29C" w14:textId="0CAA4D76" w:rsidR="005D47F5" w:rsidRPr="002B015E" w:rsidRDefault="005D47F5" w:rsidP="006239C8">
            <w:pPr>
              <w:spacing w:line="300" w:lineRule="atLeast"/>
              <w:jc w:val="center"/>
              <w:rPr>
                <w:rFonts w:ascii="Arial" w:hAnsi="Arial" w:cs="Arial"/>
                <w:sz w:val="16"/>
                <w:szCs w:val="16"/>
              </w:rPr>
            </w:pPr>
            <w:r>
              <w:rPr>
                <w:rFonts w:ascii="Arial" w:hAnsi="Arial" w:cs="Arial"/>
                <w:sz w:val="16"/>
                <w:szCs w:val="16"/>
              </w:rPr>
              <w:t>-</w:t>
            </w:r>
          </w:p>
        </w:tc>
        <w:tc>
          <w:tcPr>
            <w:tcW w:w="1845" w:type="dxa"/>
            <w:vAlign w:val="center"/>
          </w:tcPr>
          <w:p w14:paraId="6D678FE6" w14:textId="1A3E8E1D" w:rsidR="005D47F5" w:rsidRPr="002B015E" w:rsidRDefault="005D47F5" w:rsidP="006239C8">
            <w:pPr>
              <w:spacing w:line="300" w:lineRule="atLeast"/>
              <w:jc w:val="center"/>
              <w:rPr>
                <w:rFonts w:ascii="Arial" w:hAnsi="Arial" w:cs="Arial"/>
                <w:sz w:val="16"/>
                <w:szCs w:val="16"/>
              </w:rPr>
            </w:pPr>
            <w:r w:rsidRPr="002B015E">
              <w:rPr>
                <w:rFonts w:ascii="Arial" w:hAnsi="Arial" w:cs="Arial"/>
                <w:sz w:val="16"/>
                <w:szCs w:val="16"/>
              </w:rPr>
              <w:t>0.41</w:t>
            </w:r>
          </w:p>
        </w:tc>
        <w:tc>
          <w:tcPr>
            <w:tcW w:w="1134" w:type="dxa"/>
            <w:vAlign w:val="center"/>
          </w:tcPr>
          <w:p w14:paraId="3908539B" w14:textId="35C04A54" w:rsidR="005D47F5" w:rsidRPr="002B015E" w:rsidRDefault="005D47F5" w:rsidP="006239C8">
            <w:pPr>
              <w:spacing w:line="300" w:lineRule="atLeast"/>
              <w:jc w:val="center"/>
              <w:rPr>
                <w:rFonts w:ascii="Arial" w:hAnsi="Arial" w:cs="Arial"/>
                <w:sz w:val="16"/>
                <w:szCs w:val="16"/>
              </w:rPr>
            </w:pPr>
            <w:r>
              <w:rPr>
                <w:rFonts w:ascii="Arial" w:hAnsi="Arial" w:cs="Arial"/>
                <w:sz w:val="16"/>
                <w:szCs w:val="16"/>
              </w:rPr>
              <w:t>-</w:t>
            </w:r>
          </w:p>
        </w:tc>
        <w:tc>
          <w:tcPr>
            <w:tcW w:w="1382" w:type="dxa"/>
            <w:vAlign w:val="center"/>
          </w:tcPr>
          <w:p w14:paraId="0F7C2E1D" w14:textId="1AAB3DB3" w:rsidR="005D47F5" w:rsidRPr="002B015E" w:rsidRDefault="005D47F5" w:rsidP="004002D7">
            <w:pPr>
              <w:spacing w:line="300" w:lineRule="atLeast"/>
              <w:jc w:val="center"/>
              <w:rPr>
                <w:rFonts w:ascii="Arial" w:hAnsi="Arial" w:cs="Arial"/>
                <w:sz w:val="16"/>
                <w:szCs w:val="16"/>
              </w:rPr>
            </w:pPr>
            <w:r w:rsidRPr="002B015E">
              <w:rPr>
                <w:rFonts w:ascii="Arial" w:hAnsi="Arial" w:cs="Arial"/>
                <w:sz w:val="16"/>
                <w:szCs w:val="16"/>
              </w:rPr>
              <w:t>0.000</w:t>
            </w:r>
            <w:r>
              <w:rPr>
                <w:rFonts w:ascii="Arial" w:hAnsi="Arial" w:cs="Arial"/>
                <w:sz w:val="16"/>
                <w:szCs w:val="16"/>
              </w:rPr>
              <w:t>18</w:t>
            </w:r>
          </w:p>
        </w:tc>
      </w:tr>
      <w:tr w:rsidR="00DE3297" w:rsidRPr="002B015E" w14:paraId="7586FB10" w14:textId="77777777" w:rsidTr="0C34660A">
        <w:tc>
          <w:tcPr>
            <w:tcW w:w="675" w:type="dxa"/>
            <w:vMerge w:val="restart"/>
            <w:vAlign w:val="center"/>
          </w:tcPr>
          <w:p w14:paraId="0EF3B7FE" w14:textId="7842AA2B" w:rsidR="00DE3297" w:rsidRPr="002B015E" w:rsidRDefault="00DE3297" w:rsidP="00C20F3E">
            <w:pPr>
              <w:spacing w:line="300" w:lineRule="atLeast"/>
              <w:jc w:val="both"/>
              <w:rPr>
                <w:rFonts w:ascii="Arial" w:hAnsi="Arial" w:cs="Arial"/>
                <w:b/>
                <w:sz w:val="16"/>
                <w:szCs w:val="16"/>
              </w:rPr>
            </w:pPr>
            <w:r>
              <w:rPr>
                <w:rFonts w:ascii="Arial" w:hAnsi="Arial" w:cs="Arial"/>
                <w:b/>
                <w:sz w:val="16"/>
                <w:szCs w:val="16"/>
              </w:rPr>
              <w:t>2020</w:t>
            </w:r>
          </w:p>
        </w:tc>
        <w:tc>
          <w:tcPr>
            <w:tcW w:w="1276" w:type="dxa"/>
            <w:vAlign w:val="center"/>
          </w:tcPr>
          <w:p w14:paraId="36E64784" w14:textId="7662021C" w:rsidR="00DE3297" w:rsidRDefault="00733F49">
            <w:pPr>
              <w:spacing w:line="300" w:lineRule="atLeast"/>
              <w:jc w:val="center"/>
              <w:rPr>
                <w:rFonts w:ascii="Arial" w:hAnsi="Arial" w:cs="Arial"/>
                <w:sz w:val="16"/>
                <w:szCs w:val="16"/>
              </w:rPr>
            </w:pPr>
            <w:r>
              <w:rPr>
                <w:rFonts w:ascii="Arial" w:hAnsi="Arial" w:cs="Arial"/>
                <w:sz w:val="16"/>
                <w:szCs w:val="16"/>
              </w:rPr>
              <w:t>267</w:t>
            </w:r>
          </w:p>
        </w:tc>
        <w:tc>
          <w:tcPr>
            <w:tcW w:w="1134" w:type="dxa"/>
            <w:vAlign w:val="center"/>
          </w:tcPr>
          <w:p w14:paraId="3B526E4B" w14:textId="77777777" w:rsidR="00DE3297" w:rsidRDefault="00DE3297" w:rsidP="006239C8">
            <w:pPr>
              <w:spacing w:line="300" w:lineRule="atLeast"/>
              <w:jc w:val="center"/>
              <w:rPr>
                <w:rFonts w:ascii="Arial" w:hAnsi="Arial" w:cs="Arial"/>
                <w:sz w:val="16"/>
                <w:szCs w:val="16"/>
              </w:rPr>
            </w:pPr>
          </w:p>
        </w:tc>
        <w:tc>
          <w:tcPr>
            <w:tcW w:w="1841" w:type="dxa"/>
            <w:vAlign w:val="center"/>
          </w:tcPr>
          <w:p w14:paraId="645DF6D4" w14:textId="6FD95203" w:rsidR="00DE3297" w:rsidRDefault="00733F49" w:rsidP="006239C8">
            <w:pPr>
              <w:spacing w:line="300" w:lineRule="atLeast"/>
              <w:jc w:val="center"/>
              <w:rPr>
                <w:rFonts w:ascii="Arial" w:hAnsi="Arial" w:cs="Arial"/>
                <w:sz w:val="16"/>
                <w:szCs w:val="16"/>
              </w:rPr>
            </w:pPr>
            <w:r>
              <w:rPr>
                <w:rFonts w:ascii="Arial" w:hAnsi="Arial" w:cs="Arial"/>
                <w:sz w:val="16"/>
                <w:szCs w:val="16"/>
              </w:rPr>
              <w:t>100</w:t>
            </w:r>
          </w:p>
        </w:tc>
        <w:tc>
          <w:tcPr>
            <w:tcW w:w="1845" w:type="dxa"/>
            <w:vAlign w:val="center"/>
          </w:tcPr>
          <w:p w14:paraId="03D31D14" w14:textId="77777777" w:rsidR="00DE3297" w:rsidRPr="002B015E" w:rsidRDefault="00DE3297" w:rsidP="006239C8">
            <w:pPr>
              <w:spacing w:line="300" w:lineRule="atLeast"/>
              <w:jc w:val="center"/>
              <w:rPr>
                <w:rFonts w:ascii="Arial" w:hAnsi="Arial" w:cs="Arial"/>
                <w:sz w:val="16"/>
                <w:szCs w:val="16"/>
              </w:rPr>
            </w:pPr>
          </w:p>
        </w:tc>
        <w:tc>
          <w:tcPr>
            <w:tcW w:w="1134" w:type="dxa"/>
            <w:vAlign w:val="center"/>
          </w:tcPr>
          <w:p w14:paraId="550F379F" w14:textId="6D460108" w:rsidR="00DE3297" w:rsidRDefault="00733F49" w:rsidP="006239C8">
            <w:pPr>
              <w:spacing w:line="300" w:lineRule="atLeast"/>
              <w:jc w:val="center"/>
              <w:rPr>
                <w:rFonts w:ascii="Arial" w:hAnsi="Arial" w:cs="Arial"/>
                <w:sz w:val="16"/>
                <w:szCs w:val="16"/>
              </w:rPr>
            </w:pPr>
            <w:r>
              <w:rPr>
                <w:rFonts w:ascii="Arial" w:hAnsi="Arial" w:cs="Arial"/>
                <w:sz w:val="16"/>
                <w:szCs w:val="16"/>
              </w:rPr>
              <w:t>0.027</w:t>
            </w:r>
          </w:p>
        </w:tc>
        <w:tc>
          <w:tcPr>
            <w:tcW w:w="1382" w:type="dxa"/>
            <w:vAlign w:val="center"/>
          </w:tcPr>
          <w:p w14:paraId="43D5A0CF" w14:textId="77777777" w:rsidR="00DE3297" w:rsidRPr="002B015E" w:rsidRDefault="00DE3297" w:rsidP="004002D7">
            <w:pPr>
              <w:spacing w:line="300" w:lineRule="atLeast"/>
              <w:jc w:val="center"/>
              <w:rPr>
                <w:rFonts w:ascii="Arial" w:hAnsi="Arial" w:cs="Arial"/>
                <w:sz w:val="16"/>
                <w:szCs w:val="16"/>
              </w:rPr>
            </w:pPr>
          </w:p>
        </w:tc>
      </w:tr>
      <w:tr w:rsidR="00DE3297" w:rsidRPr="002B015E" w14:paraId="602CC767" w14:textId="77777777" w:rsidTr="0C34660A">
        <w:tc>
          <w:tcPr>
            <w:tcW w:w="675" w:type="dxa"/>
            <w:vMerge/>
            <w:vAlign w:val="center"/>
          </w:tcPr>
          <w:p w14:paraId="6AC9B6EF" w14:textId="77777777" w:rsidR="00DE3297" w:rsidRPr="002B015E" w:rsidRDefault="00DE3297" w:rsidP="00C20F3E">
            <w:pPr>
              <w:spacing w:line="300" w:lineRule="atLeast"/>
              <w:jc w:val="both"/>
              <w:rPr>
                <w:rFonts w:ascii="Arial" w:hAnsi="Arial" w:cs="Arial"/>
                <w:b/>
                <w:sz w:val="16"/>
                <w:szCs w:val="16"/>
              </w:rPr>
            </w:pPr>
          </w:p>
        </w:tc>
        <w:tc>
          <w:tcPr>
            <w:tcW w:w="1276" w:type="dxa"/>
            <w:vAlign w:val="center"/>
          </w:tcPr>
          <w:p w14:paraId="577BE97B" w14:textId="77777777" w:rsidR="00DE3297" w:rsidRDefault="00DE3297">
            <w:pPr>
              <w:spacing w:line="300" w:lineRule="atLeast"/>
              <w:jc w:val="center"/>
              <w:rPr>
                <w:rFonts w:ascii="Arial" w:hAnsi="Arial" w:cs="Arial"/>
                <w:sz w:val="16"/>
                <w:szCs w:val="16"/>
              </w:rPr>
            </w:pPr>
          </w:p>
        </w:tc>
        <w:tc>
          <w:tcPr>
            <w:tcW w:w="1134" w:type="dxa"/>
            <w:vAlign w:val="center"/>
          </w:tcPr>
          <w:p w14:paraId="47B8FADC" w14:textId="6F5561F5" w:rsidR="00DE3297" w:rsidRDefault="00733F49" w:rsidP="006239C8">
            <w:pPr>
              <w:spacing w:line="300" w:lineRule="atLeast"/>
              <w:jc w:val="center"/>
              <w:rPr>
                <w:rFonts w:ascii="Arial" w:hAnsi="Arial" w:cs="Arial"/>
                <w:sz w:val="16"/>
                <w:szCs w:val="16"/>
              </w:rPr>
            </w:pPr>
            <w:r>
              <w:rPr>
                <w:rFonts w:ascii="Arial" w:hAnsi="Arial" w:cs="Arial"/>
                <w:sz w:val="16"/>
                <w:szCs w:val="16"/>
              </w:rPr>
              <w:t>338</w:t>
            </w:r>
          </w:p>
        </w:tc>
        <w:tc>
          <w:tcPr>
            <w:tcW w:w="1841" w:type="dxa"/>
            <w:vAlign w:val="center"/>
          </w:tcPr>
          <w:p w14:paraId="1E7CA855" w14:textId="77777777" w:rsidR="00DE3297" w:rsidRDefault="00DE3297" w:rsidP="006239C8">
            <w:pPr>
              <w:spacing w:line="300" w:lineRule="atLeast"/>
              <w:jc w:val="center"/>
              <w:rPr>
                <w:rFonts w:ascii="Arial" w:hAnsi="Arial" w:cs="Arial"/>
                <w:sz w:val="16"/>
                <w:szCs w:val="16"/>
              </w:rPr>
            </w:pPr>
          </w:p>
        </w:tc>
        <w:tc>
          <w:tcPr>
            <w:tcW w:w="1845" w:type="dxa"/>
            <w:vAlign w:val="center"/>
          </w:tcPr>
          <w:p w14:paraId="2F5299A0" w14:textId="54D9E5FC" w:rsidR="00DE3297" w:rsidRPr="002B015E" w:rsidRDefault="00733F49" w:rsidP="006239C8">
            <w:pPr>
              <w:spacing w:line="300" w:lineRule="atLeast"/>
              <w:jc w:val="center"/>
              <w:rPr>
                <w:rFonts w:ascii="Arial" w:hAnsi="Arial" w:cs="Arial"/>
                <w:sz w:val="16"/>
                <w:szCs w:val="16"/>
              </w:rPr>
            </w:pPr>
            <w:r>
              <w:rPr>
                <w:rFonts w:ascii="Arial" w:hAnsi="Arial" w:cs="Arial"/>
                <w:sz w:val="16"/>
                <w:szCs w:val="16"/>
              </w:rPr>
              <w:t>0.41</w:t>
            </w:r>
          </w:p>
        </w:tc>
        <w:tc>
          <w:tcPr>
            <w:tcW w:w="1134" w:type="dxa"/>
            <w:vAlign w:val="center"/>
          </w:tcPr>
          <w:p w14:paraId="0EDC5350" w14:textId="77777777" w:rsidR="00DE3297" w:rsidRDefault="00DE3297" w:rsidP="006239C8">
            <w:pPr>
              <w:spacing w:line="300" w:lineRule="atLeast"/>
              <w:jc w:val="center"/>
              <w:rPr>
                <w:rFonts w:ascii="Arial" w:hAnsi="Arial" w:cs="Arial"/>
                <w:sz w:val="16"/>
                <w:szCs w:val="16"/>
              </w:rPr>
            </w:pPr>
          </w:p>
        </w:tc>
        <w:tc>
          <w:tcPr>
            <w:tcW w:w="1382" w:type="dxa"/>
            <w:vAlign w:val="center"/>
          </w:tcPr>
          <w:p w14:paraId="3574E2C7" w14:textId="2F37BF8F" w:rsidR="00DE3297" w:rsidRPr="002B015E" w:rsidRDefault="00733F49" w:rsidP="004002D7">
            <w:pPr>
              <w:spacing w:line="300" w:lineRule="atLeast"/>
              <w:jc w:val="center"/>
              <w:rPr>
                <w:rFonts w:ascii="Arial" w:hAnsi="Arial" w:cs="Arial"/>
                <w:sz w:val="16"/>
                <w:szCs w:val="16"/>
              </w:rPr>
            </w:pPr>
            <w:r>
              <w:rPr>
                <w:rFonts w:ascii="Arial" w:hAnsi="Arial" w:cs="Arial"/>
                <w:sz w:val="16"/>
                <w:szCs w:val="16"/>
              </w:rPr>
              <w:t>0.00014</w:t>
            </w:r>
          </w:p>
        </w:tc>
      </w:tr>
    </w:tbl>
    <w:p w14:paraId="18E1621D" w14:textId="2135A31D" w:rsidR="00C20F3E" w:rsidRPr="0035585D" w:rsidRDefault="00C20F3E" w:rsidP="00AB20E6">
      <w:pPr>
        <w:spacing w:before="240" w:line="300" w:lineRule="atLeast"/>
        <w:jc w:val="both"/>
        <w:rPr>
          <w:rFonts w:ascii="Arial" w:hAnsi="Arial" w:cs="Arial"/>
          <w:b/>
          <w:szCs w:val="18"/>
        </w:rPr>
      </w:pPr>
      <w:r w:rsidRPr="0035585D">
        <w:rPr>
          <w:rFonts w:ascii="Arial" w:hAnsi="Arial" w:cs="Arial"/>
          <w:b/>
          <w:szCs w:val="18"/>
        </w:rPr>
        <w:t xml:space="preserve">Certainty assessment for </w:t>
      </w:r>
      <w:r w:rsidR="00DE3297">
        <w:rPr>
          <w:rFonts w:ascii="Arial" w:hAnsi="Arial" w:cs="Arial"/>
          <w:b/>
          <w:szCs w:val="18"/>
        </w:rPr>
        <w:t>2020</w:t>
      </w:r>
    </w:p>
    <w:p w14:paraId="197DBEE4" w14:textId="5E0AE8AA" w:rsidR="00C20F3E" w:rsidRPr="00C20F3E" w:rsidRDefault="2AAC5124" w:rsidP="00517E33">
      <w:pPr>
        <w:spacing w:after="0" w:line="300" w:lineRule="atLeast"/>
        <w:ind w:left="1560" w:hanging="1560"/>
        <w:jc w:val="both"/>
      </w:pPr>
      <w:r>
        <w:t xml:space="preserve">Activity data: </w:t>
      </w:r>
      <w:r w:rsidR="00C20F3E">
        <w:tab/>
      </w:r>
      <w:r>
        <w:t xml:space="preserve">High </w:t>
      </w:r>
      <w:r w:rsidR="6DD59655">
        <w:t xml:space="preserve">for coal, medium for ash </w:t>
      </w:r>
      <w:r>
        <w:t>(because</w:t>
      </w:r>
      <w:r w:rsidR="6DD59655">
        <w:t xml:space="preserve"> the coal quantities are</w:t>
      </w:r>
      <w:r>
        <w:t xml:space="preserve"> based on </w:t>
      </w:r>
      <w:r w:rsidR="6DD59655">
        <w:t>national</w:t>
      </w:r>
      <w:r>
        <w:t xml:space="preserve"> fuel data,</w:t>
      </w:r>
      <w:r w:rsidR="6DD59655">
        <w:t xml:space="preserve"> but the ash quantities are derived using an assumed average ash content</w:t>
      </w:r>
      <w:r>
        <w:t>)</w:t>
      </w:r>
    </w:p>
    <w:p w14:paraId="0810E7D4" w14:textId="548BD54E" w:rsidR="00C20F3E" w:rsidRPr="00C20F3E" w:rsidRDefault="00C20F3E" w:rsidP="00517E33">
      <w:pPr>
        <w:spacing w:after="0" w:line="300" w:lineRule="atLeast"/>
        <w:ind w:left="1560" w:hanging="1560"/>
        <w:jc w:val="both"/>
        <w:rPr>
          <w:szCs w:val="18"/>
        </w:rPr>
      </w:pPr>
      <w:r w:rsidRPr="00C20F3E">
        <w:rPr>
          <w:szCs w:val="18"/>
        </w:rPr>
        <w:t>Emission factor</w:t>
      </w:r>
      <w:r w:rsidR="009209E1">
        <w:rPr>
          <w:szCs w:val="18"/>
        </w:rPr>
        <w:t>s</w:t>
      </w:r>
      <w:r w:rsidRPr="00C20F3E">
        <w:rPr>
          <w:szCs w:val="18"/>
        </w:rPr>
        <w:t xml:space="preserve">: </w:t>
      </w:r>
      <w:r w:rsidRPr="00C20F3E">
        <w:rPr>
          <w:szCs w:val="18"/>
        </w:rPr>
        <w:tab/>
        <w:t xml:space="preserve">Low (because </w:t>
      </w:r>
      <w:r w:rsidR="00AB20E6">
        <w:rPr>
          <w:szCs w:val="18"/>
        </w:rPr>
        <w:t xml:space="preserve">the air release </w:t>
      </w:r>
      <w:r w:rsidRPr="00C20F3E">
        <w:rPr>
          <w:szCs w:val="18"/>
        </w:rPr>
        <w:t>is based on the Toolkit default factor</w:t>
      </w:r>
      <w:r w:rsidR="00AB20E6">
        <w:rPr>
          <w:szCs w:val="18"/>
        </w:rPr>
        <w:t>, and the ash release factor i</w:t>
      </w:r>
      <w:r w:rsidRPr="00C20F3E">
        <w:rPr>
          <w:szCs w:val="18"/>
        </w:rPr>
        <w:t>s</w:t>
      </w:r>
      <w:r w:rsidR="00AB20E6">
        <w:rPr>
          <w:szCs w:val="18"/>
        </w:rPr>
        <w:t xml:space="preserve"> taken from a now relatively dated UK publication</w:t>
      </w:r>
      <w:r w:rsidRPr="00C20F3E">
        <w:rPr>
          <w:szCs w:val="18"/>
        </w:rPr>
        <w:t>)</w:t>
      </w:r>
    </w:p>
    <w:p w14:paraId="3A419EB9" w14:textId="77777777" w:rsidR="00287582" w:rsidRPr="00446982" w:rsidRDefault="00287582" w:rsidP="00287582">
      <w:pPr>
        <w:pStyle w:val="Heading3"/>
      </w:pPr>
      <w:bookmarkStart w:id="212" w:name="_Toc112768100"/>
      <w:r w:rsidRPr="005E7459">
        <w:t>Oil</w:t>
      </w:r>
      <w:bookmarkEnd w:id="212"/>
    </w:p>
    <w:p w14:paraId="5FAD5C7E" w14:textId="05A12540" w:rsidR="005E35D7" w:rsidRPr="00C20F3E" w:rsidRDefault="00922F24" w:rsidP="005E35D7">
      <w:pPr>
        <w:spacing w:line="300" w:lineRule="atLeast"/>
        <w:jc w:val="both"/>
        <w:rPr>
          <w:szCs w:val="18"/>
        </w:rPr>
      </w:pPr>
      <w:r>
        <w:rPr>
          <w:szCs w:val="18"/>
          <w:lang w:val="en-US"/>
        </w:rPr>
        <w:t xml:space="preserve">A total of </w:t>
      </w:r>
      <w:r w:rsidR="00570B10">
        <w:rPr>
          <w:szCs w:val="18"/>
          <w:lang w:val="en-US"/>
        </w:rPr>
        <w:t>103</w:t>
      </w:r>
      <w:r>
        <w:rPr>
          <w:szCs w:val="18"/>
          <w:lang w:val="en-US"/>
        </w:rPr>
        <w:t xml:space="preserve"> TJ was used for diesel fueled space heating in </w:t>
      </w:r>
      <w:r w:rsidR="0066574E">
        <w:rPr>
          <w:szCs w:val="18"/>
          <w:lang w:val="en-US"/>
        </w:rPr>
        <w:t>2020</w:t>
      </w:r>
      <w:r>
        <w:rPr>
          <w:szCs w:val="18"/>
          <w:lang w:val="en-US"/>
        </w:rPr>
        <w:t xml:space="preserve"> </w:t>
      </w:r>
      <w:r w:rsidR="00570B10" w:rsidRPr="00F1175E">
        <w:rPr>
          <w:noProof/>
          <w:szCs w:val="18"/>
        </w:rPr>
        <w:t>(Energy Efficiency and Conservation Authority, 20</w:t>
      </w:r>
      <w:r w:rsidR="00570B10">
        <w:rPr>
          <w:noProof/>
          <w:szCs w:val="18"/>
        </w:rPr>
        <w:t>22</w:t>
      </w:r>
      <w:r w:rsidR="00570B10" w:rsidRPr="00F1175E">
        <w:rPr>
          <w:noProof/>
          <w:szCs w:val="18"/>
        </w:rPr>
        <w:t>)</w:t>
      </w:r>
      <w:r w:rsidR="005D47F5">
        <w:rPr>
          <w:szCs w:val="18"/>
          <w:lang w:val="en-US"/>
        </w:rPr>
        <w:t xml:space="preserve">. </w:t>
      </w:r>
      <w:r w:rsidR="005E35D7" w:rsidRPr="00C20F3E">
        <w:rPr>
          <w:szCs w:val="18"/>
        </w:rPr>
        <w:t xml:space="preserve">The </w:t>
      </w:r>
      <w:r w:rsidR="0066574E">
        <w:rPr>
          <w:szCs w:val="18"/>
        </w:rPr>
        <w:t>2020</w:t>
      </w:r>
      <w:r>
        <w:rPr>
          <w:szCs w:val="18"/>
        </w:rPr>
        <w:t xml:space="preserve"> </w:t>
      </w:r>
      <w:r w:rsidR="005E35D7" w:rsidRPr="00C20F3E">
        <w:rPr>
          <w:szCs w:val="18"/>
        </w:rPr>
        <w:t xml:space="preserve">release estimates for </w:t>
      </w:r>
      <w:r w:rsidR="005E35D7">
        <w:rPr>
          <w:szCs w:val="18"/>
        </w:rPr>
        <w:t>domestic oil combustion</w:t>
      </w:r>
      <w:r w:rsidR="005E35D7" w:rsidRPr="00C20F3E">
        <w:rPr>
          <w:szCs w:val="18"/>
        </w:rPr>
        <w:t xml:space="preserve"> are shown in</w:t>
      </w:r>
      <w:r w:rsidR="005E35D7">
        <w:rPr>
          <w:szCs w:val="18"/>
        </w:rPr>
        <w:t xml:space="preserve"> Table 5-11</w:t>
      </w:r>
      <w:r w:rsidR="005E35D7" w:rsidRPr="00C20F3E">
        <w:rPr>
          <w:szCs w:val="18"/>
        </w:rPr>
        <w:t xml:space="preserve">, along with the </w:t>
      </w:r>
      <w:r w:rsidR="005E35D7" w:rsidRPr="00C20F3E">
        <w:rPr>
          <w:szCs w:val="18"/>
        </w:rPr>
        <w:lastRenderedPageBreak/>
        <w:t>corresponding estimates made in the 20</w:t>
      </w:r>
      <w:r>
        <w:rPr>
          <w:szCs w:val="18"/>
        </w:rPr>
        <w:t>12</w:t>
      </w:r>
      <w:r w:rsidR="005E35D7" w:rsidRPr="00C20F3E">
        <w:rPr>
          <w:szCs w:val="18"/>
        </w:rPr>
        <w:t xml:space="preserve"> </w:t>
      </w:r>
      <w:r w:rsidR="00570B10">
        <w:rPr>
          <w:szCs w:val="18"/>
        </w:rPr>
        <w:t xml:space="preserve">and 2016 </w:t>
      </w:r>
      <w:r w:rsidR="005E35D7" w:rsidRPr="00C20F3E">
        <w:rPr>
          <w:szCs w:val="18"/>
        </w:rPr>
        <w:t>Invento</w:t>
      </w:r>
      <w:r w:rsidR="00570B10">
        <w:rPr>
          <w:szCs w:val="18"/>
        </w:rPr>
        <w:t>ries</w:t>
      </w:r>
      <w:r w:rsidR="005E35D7" w:rsidRPr="00C20F3E">
        <w:rPr>
          <w:szCs w:val="18"/>
        </w:rPr>
        <w:t>. The</w:t>
      </w:r>
      <w:r w:rsidR="005E35D7">
        <w:rPr>
          <w:szCs w:val="18"/>
        </w:rPr>
        <w:t xml:space="preserve"> Toolkit factor shown is the same as that used </w:t>
      </w:r>
      <w:r w:rsidR="002800F8">
        <w:rPr>
          <w:szCs w:val="18"/>
        </w:rPr>
        <w:t xml:space="preserve">previously </w:t>
      </w:r>
      <w:r w:rsidR="005E35D7">
        <w:rPr>
          <w:szCs w:val="18"/>
        </w:rPr>
        <w:t>and the</w:t>
      </w:r>
      <w:r w:rsidR="005E35D7" w:rsidRPr="00C20F3E">
        <w:rPr>
          <w:szCs w:val="18"/>
        </w:rPr>
        <w:t xml:space="preserve">re are no releases to </w:t>
      </w:r>
      <w:r w:rsidR="005E35D7">
        <w:rPr>
          <w:szCs w:val="18"/>
        </w:rPr>
        <w:t xml:space="preserve">land, </w:t>
      </w:r>
      <w:r w:rsidR="005E35D7" w:rsidRPr="00C20F3E">
        <w:rPr>
          <w:szCs w:val="18"/>
        </w:rPr>
        <w:t>water</w:t>
      </w:r>
      <w:r w:rsidR="005E35D7">
        <w:rPr>
          <w:szCs w:val="18"/>
        </w:rPr>
        <w:t>,</w:t>
      </w:r>
      <w:r w:rsidR="005E35D7" w:rsidRPr="00C20F3E">
        <w:rPr>
          <w:szCs w:val="18"/>
        </w:rPr>
        <w:t xml:space="preserve"> or in products</w:t>
      </w:r>
      <w:r w:rsidR="005E35D7">
        <w:rPr>
          <w:szCs w:val="18"/>
        </w:rPr>
        <w:t xml:space="preserve"> or residues</w:t>
      </w:r>
      <w:r w:rsidR="005E35D7" w:rsidRPr="00C20F3E">
        <w:rPr>
          <w:szCs w:val="18"/>
        </w:rPr>
        <w:t>.</w:t>
      </w:r>
    </w:p>
    <w:p w14:paraId="43049C8D" w14:textId="14D6AA97" w:rsidR="005E35D7" w:rsidRPr="005965A5" w:rsidRDefault="005E35D7" w:rsidP="005E35D7">
      <w:pPr>
        <w:pStyle w:val="Caption"/>
        <w:jc w:val="left"/>
        <w:rPr>
          <w:rFonts w:cs="Arial"/>
          <w:szCs w:val="18"/>
        </w:rPr>
      </w:pPr>
      <w:bookmarkStart w:id="213" w:name="_Ref382204434"/>
      <w:bookmarkStart w:id="214" w:name="_Ref382129837"/>
      <w:r w:rsidRPr="005965A5">
        <w:rPr>
          <w:rFonts w:cs="Arial"/>
        </w:rPr>
        <w:t xml:space="preserve">Table </w:t>
      </w:r>
      <w:r>
        <w:rPr>
          <w:rFonts w:cs="Arial"/>
        </w:rPr>
        <w:fldChar w:fldCharType="begin"/>
      </w:r>
      <w:r>
        <w:rPr>
          <w:rFonts w:cs="Arial"/>
        </w:rPr>
        <w:instrText xml:space="preserve"> STYLEREF 1 \s </w:instrText>
      </w:r>
      <w:r>
        <w:rPr>
          <w:rFonts w:cs="Arial"/>
        </w:rPr>
        <w:fldChar w:fldCharType="separate"/>
      </w:r>
      <w:r w:rsidR="00141D7F">
        <w:rPr>
          <w:rFonts w:cs="Arial"/>
          <w:noProof/>
        </w:rPr>
        <w:t>5</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sidR="00141D7F">
        <w:rPr>
          <w:rFonts w:cs="Arial"/>
          <w:noProof/>
        </w:rPr>
        <w:t>10</w:t>
      </w:r>
      <w:r>
        <w:rPr>
          <w:rFonts w:cs="Arial"/>
        </w:rPr>
        <w:fldChar w:fldCharType="end"/>
      </w:r>
      <w:bookmarkEnd w:id="213"/>
      <w:bookmarkEnd w:id="214"/>
      <w:r w:rsidRPr="005965A5">
        <w:rPr>
          <w:rFonts w:cs="Arial"/>
          <w:szCs w:val="18"/>
        </w:rPr>
        <w:t xml:space="preserve">: </w:t>
      </w:r>
      <w:r>
        <w:rPr>
          <w:rFonts w:cs="Arial"/>
          <w:szCs w:val="18"/>
        </w:rPr>
        <w:t>Dioxin</w:t>
      </w:r>
      <w:r w:rsidRPr="005965A5">
        <w:rPr>
          <w:rFonts w:cs="Arial"/>
          <w:szCs w:val="18"/>
        </w:rPr>
        <w:t xml:space="preserve"> releases from domestic </w:t>
      </w:r>
      <w:r>
        <w:rPr>
          <w:rFonts w:cs="Arial"/>
          <w:szCs w:val="18"/>
        </w:rPr>
        <w:t>oil</w:t>
      </w:r>
      <w:r w:rsidRPr="005965A5">
        <w:rPr>
          <w:rFonts w:cs="Arial"/>
          <w:szCs w:val="18"/>
        </w:rPr>
        <w:t xml:space="preserve"> combustion</w:t>
      </w:r>
    </w:p>
    <w:tbl>
      <w:tblPr>
        <w:tblStyle w:val="TableGrid"/>
        <w:tblW w:w="0" w:type="auto"/>
        <w:tblLook w:val="04A0" w:firstRow="1" w:lastRow="0" w:firstColumn="1" w:lastColumn="0" w:noHBand="0" w:noVBand="1"/>
      </w:tblPr>
      <w:tblGrid>
        <w:gridCol w:w="871"/>
        <w:gridCol w:w="2592"/>
        <w:gridCol w:w="2861"/>
        <w:gridCol w:w="2737"/>
      </w:tblGrid>
      <w:tr w:rsidR="005E35D7" w:rsidRPr="00C20F3E" w14:paraId="61811393" w14:textId="77777777" w:rsidTr="00944F46">
        <w:tc>
          <w:tcPr>
            <w:tcW w:w="871" w:type="dxa"/>
            <w:vMerge w:val="restart"/>
            <w:vAlign w:val="center"/>
          </w:tcPr>
          <w:p w14:paraId="22F6B440" w14:textId="77777777" w:rsidR="005E35D7" w:rsidRPr="002B015E" w:rsidRDefault="005E35D7" w:rsidP="00887620">
            <w:pPr>
              <w:spacing w:line="300" w:lineRule="atLeast"/>
              <w:jc w:val="both"/>
              <w:rPr>
                <w:rFonts w:ascii="Arial" w:hAnsi="Arial" w:cs="Arial"/>
                <w:b/>
                <w:sz w:val="16"/>
                <w:szCs w:val="16"/>
              </w:rPr>
            </w:pPr>
            <w:r w:rsidRPr="002B015E">
              <w:rPr>
                <w:rFonts w:ascii="Arial" w:hAnsi="Arial" w:cs="Arial"/>
                <w:b/>
                <w:sz w:val="16"/>
                <w:szCs w:val="16"/>
              </w:rPr>
              <w:t>Year</w:t>
            </w:r>
          </w:p>
        </w:tc>
        <w:tc>
          <w:tcPr>
            <w:tcW w:w="2592" w:type="dxa"/>
            <w:vMerge w:val="restart"/>
            <w:vAlign w:val="center"/>
          </w:tcPr>
          <w:p w14:paraId="6D6DCBB8" w14:textId="77777777" w:rsidR="005E35D7" w:rsidRPr="002B015E" w:rsidRDefault="005E35D7" w:rsidP="00887620">
            <w:pPr>
              <w:spacing w:line="300" w:lineRule="atLeast"/>
              <w:jc w:val="center"/>
              <w:rPr>
                <w:rFonts w:ascii="Arial" w:hAnsi="Arial" w:cs="Arial"/>
                <w:b/>
                <w:sz w:val="16"/>
                <w:szCs w:val="16"/>
              </w:rPr>
            </w:pPr>
            <w:r w:rsidRPr="002B015E">
              <w:rPr>
                <w:rFonts w:ascii="Arial" w:hAnsi="Arial" w:cs="Arial"/>
                <w:b/>
                <w:sz w:val="16"/>
                <w:szCs w:val="16"/>
              </w:rPr>
              <w:t xml:space="preserve">Activity Rate </w:t>
            </w:r>
            <w:r w:rsidRPr="002B015E">
              <w:rPr>
                <w:rFonts w:ascii="Arial" w:hAnsi="Arial" w:cs="Arial"/>
                <w:b/>
                <w:sz w:val="16"/>
                <w:szCs w:val="16"/>
              </w:rPr>
              <w:br/>
              <w:t>(TJ of oil/year)</w:t>
            </w:r>
          </w:p>
        </w:tc>
        <w:tc>
          <w:tcPr>
            <w:tcW w:w="2861" w:type="dxa"/>
            <w:vAlign w:val="center"/>
          </w:tcPr>
          <w:p w14:paraId="282D5532" w14:textId="77777777" w:rsidR="005E35D7" w:rsidRPr="002B015E" w:rsidRDefault="005E35D7" w:rsidP="00887620">
            <w:pPr>
              <w:spacing w:line="300" w:lineRule="atLeast"/>
              <w:jc w:val="center"/>
              <w:rPr>
                <w:rFonts w:ascii="Arial" w:hAnsi="Arial" w:cs="Arial"/>
                <w:b/>
                <w:sz w:val="16"/>
                <w:szCs w:val="16"/>
              </w:rPr>
            </w:pPr>
            <w:r w:rsidRPr="002B015E">
              <w:rPr>
                <w:rFonts w:ascii="Arial" w:hAnsi="Arial" w:cs="Arial"/>
                <w:b/>
                <w:sz w:val="16"/>
                <w:szCs w:val="16"/>
              </w:rPr>
              <w:t>Release factors</w:t>
            </w:r>
            <w:r w:rsidRPr="002B015E">
              <w:rPr>
                <w:rFonts w:ascii="Arial" w:hAnsi="Arial" w:cs="Arial"/>
                <w:sz w:val="16"/>
                <w:szCs w:val="16"/>
              </w:rPr>
              <w:t xml:space="preserve"> </w:t>
            </w:r>
            <w:r w:rsidRPr="002B015E">
              <w:rPr>
                <w:rFonts w:ascii="Arial" w:hAnsi="Arial" w:cs="Arial"/>
                <w:sz w:val="16"/>
                <w:szCs w:val="16"/>
              </w:rPr>
              <w:br/>
              <w:t>(</w:t>
            </w:r>
            <w:r w:rsidRPr="002B015E">
              <w:rPr>
                <w:rFonts w:ascii="Arial" w:hAnsi="Arial" w:cs="Arial"/>
                <w:b/>
                <w:sz w:val="16"/>
                <w:szCs w:val="16"/>
              </w:rPr>
              <w:t xml:space="preserve">µg </w:t>
            </w:r>
            <w:r>
              <w:rPr>
                <w:rFonts w:ascii="Arial" w:hAnsi="Arial" w:cs="Arial"/>
                <w:b/>
                <w:sz w:val="16"/>
                <w:szCs w:val="16"/>
              </w:rPr>
              <w:t>TEQ</w:t>
            </w:r>
            <w:r w:rsidRPr="002B015E">
              <w:rPr>
                <w:rFonts w:ascii="Arial" w:hAnsi="Arial" w:cs="Arial"/>
                <w:b/>
                <w:sz w:val="16"/>
                <w:szCs w:val="16"/>
              </w:rPr>
              <w:t>/TJ of oil)</w:t>
            </w:r>
          </w:p>
        </w:tc>
        <w:tc>
          <w:tcPr>
            <w:tcW w:w="2737" w:type="dxa"/>
            <w:vAlign w:val="center"/>
          </w:tcPr>
          <w:p w14:paraId="6E2A22AC" w14:textId="77777777" w:rsidR="005E35D7" w:rsidRPr="002B015E" w:rsidRDefault="005E35D7" w:rsidP="00887620">
            <w:pPr>
              <w:spacing w:line="300" w:lineRule="atLeast"/>
              <w:jc w:val="both"/>
              <w:rPr>
                <w:rFonts w:ascii="Arial" w:hAnsi="Arial" w:cs="Arial"/>
                <w:b/>
                <w:sz w:val="16"/>
                <w:szCs w:val="16"/>
              </w:rPr>
            </w:pPr>
            <w:r w:rsidRPr="002B015E">
              <w:rPr>
                <w:rFonts w:ascii="Arial" w:hAnsi="Arial" w:cs="Arial"/>
                <w:b/>
                <w:sz w:val="16"/>
                <w:szCs w:val="16"/>
              </w:rPr>
              <w:t xml:space="preserve">Annual releases (g </w:t>
            </w:r>
            <w:r>
              <w:rPr>
                <w:rFonts w:ascii="Arial" w:hAnsi="Arial" w:cs="Arial"/>
                <w:b/>
                <w:sz w:val="16"/>
                <w:szCs w:val="16"/>
              </w:rPr>
              <w:t>TEQ</w:t>
            </w:r>
            <w:r w:rsidRPr="002B015E">
              <w:rPr>
                <w:rFonts w:ascii="Arial" w:hAnsi="Arial" w:cs="Arial"/>
                <w:b/>
                <w:sz w:val="16"/>
                <w:szCs w:val="16"/>
              </w:rPr>
              <w:t>/yr)</w:t>
            </w:r>
          </w:p>
        </w:tc>
      </w:tr>
      <w:tr w:rsidR="005E35D7" w:rsidRPr="00C20F3E" w14:paraId="5FA0BB50" w14:textId="77777777" w:rsidTr="00E95BD6">
        <w:tc>
          <w:tcPr>
            <w:tcW w:w="871" w:type="dxa"/>
            <w:vMerge/>
          </w:tcPr>
          <w:p w14:paraId="2FD8C83E" w14:textId="77777777" w:rsidR="005E35D7" w:rsidRPr="002B015E" w:rsidRDefault="005E35D7" w:rsidP="00887620">
            <w:pPr>
              <w:spacing w:line="300" w:lineRule="atLeast"/>
              <w:jc w:val="both"/>
              <w:rPr>
                <w:rFonts w:ascii="Arial" w:hAnsi="Arial" w:cs="Arial"/>
                <w:sz w:val="16"/>
                <w:szCs w:val="16"/>
              </w:rPr>
            </w:pPr>
          </w:p>
        </w:tc>
        <w:tc>
          <w:tcPr>
            <w:tcW w:w="2592" w:type="dxa"/>
            <w:vMerge/>
            <w:vAlign w:val="center"/>
          </w:tcPr>
          <w:p w14:paraId="2A86C432" w14:textId="77777777" w:rsidR="005E35D7" w:rsidRPr="002B015E" w:rsidRDefault="005E35D7" w:rsidP="00887620">
            <w:pPr>
              <w:spacing w:line="300" w:lineRule="atLeast"/>
              <w:jc w:val="both"/>
              <w:rPr>
                <w:rFonts w:ascii="Arial" w:hAnsi="Arial" w:cs="Arial"/>
                <w:sz w:val="16"/>
                <w:szCs w:val="16"/>
              </w:rPr>
            </w:pPr>
          </w:p>
        </w:tc>
        <w:tc>
          <w:tcPr>
            <w:tcW w:w="2861" w:type="dxa"/>
            <w:vAlign w:val="center"/>
          </w:tcPr>
          <w:p w14:paraId="0F218B8F" w14:textId="77777777" w:rsidR="005E35D7" w:rsidRPr="002B015E" w:rsidRDefault="005E35D7" w:rsidP="00887620">
            <w:pPr>
              <w:spacing w:line="300" w:lineRule="atLeast"/>
              <w:jc w:val="center"/>
              <w:rPr>
                <w:rFonts w:ascii="Arial" w:hAnsi="Arial" w:cs="Arial"/>
                <w:b/>
                <w:sz w:val="16"/>
                <w:szCs w:val="16"/>
              </w:rPr>
            </w:pPr>
            <w:r w:rsidRPr="002B015E">
              <w:rPr>
                <w:rFonts w:ascii="Arial" w:hAnsi="Arial" w:cs="Arial"/>
                <w:b/>
                <w:sz w:val="16"/>
                <w:szCs w:val="16"/>
              </w:rPr>
              <w:t>Air</w:t>
            </w:r>
          </w:p>
        </w:tc>
        <w:tc>
          <w:tcPr>
            <w:tcW w:w="2737" w:type="dxa"/>
            <w:vAlign w:val="center"/>
          </w:tcPr>
          <w:p w14:paraId="14F394D0" w14:textId="77777777" w:rsidR="005E35D7" w:rsidRPr="002B015E" w:rsidRDefault="005E35D7" w:rsidP="00887620">
            <w:pPr>
              <w:spacing w:line="300" w:lineRule="atLeast"/>
              <w:jc w:val="center"/>
              <w:rPr>
                <w:rFonts w:ascii="Arial" w:hAnsi="Arial" w:cs="Arial"/>
                <w:b/>
                <w:sz w:val="16"/>
                <w:szCs w:val="16"/>
              </w:rPr>
            </w:pPr>
            <w:r w:rsidRPr="002B015E">
              <w:rPr>
                <w:rFonts w:ascii="Arial" w:hAnsi="Arial" w:cs="Arial"/>
                <w:b/>
                <w:sz w:val="16"/>
                <w:szCs w:val="16"/>
              </w:rPr>
              <w:t>Air</w:t>
            </w:r>
          </w:p>
        </w:tc>
      </w:tr>
      <w:tr w:rsidR="005E35D7" w:rsidRPr="00C20F3E" w14:paraId="5906EAF3" w14:textId="77777777" w:rsidTr="00E95BD6">
        <w:tc>
          <w:tcPr>
            <w:tcW w:w="871" w:type="dxa"/>
            <w:vAlign w:val="center"/>
          </w:tcPr>
          <w:p w14:paraId="343EDE67" w14:textId="47BF7E2A" w:rsidR="005E35D7" w:rsidRPr="002B015E" w:rsidRDefault="00B36FE0" w:rsidP="00855463">
            <w:pPr>
              <w:spacing w:line="300" w:lineRule="atLeast"/>
              <w:jc w:val="both"/>
              <w:rPr>
                <w:rFonts w:ascii="Arial" w:hAnsi="Arial" w:cs="Arial"/>
                <w:b/>
                <w:sz w:val="16"/>
                <w:szCs w:val="16"/>
              </w:rPr>
            </w:pPr>
            <w:r>
              <w:rPr>
                <w:rFonts w:ascii="Arial" w:hAnsi="Arial" w:cs="Arial"/>
                <w:b/>
                <w:sz w:val="16"/>
                <w:szCs w:val="16"/>
              </w:rPr>
              <w:t>2012</w:t>
            </w:r>
          </w:p>
        </w:tc>
        <w:tc>
          <w:tcPr>
            <w:tcW w:w="2592" w:type="dxa"/>
            <w:vAlign w:val="center"/>
          </w:tcPr>
          <w:p w14:paraId="6AE6F64C" w14:textId="7B232117" w:rsidR="005E35D7" w:rsidRPr="002B015E" w:rsidRDefault="00B36FE0" w:rsidP="00887620">
            <w:pPr>
              <w:spacing w:line="300" w:lineRule="atLeast"/>
              <w:jc w:val="center"/>
              <w:rPr>
                <w:rFonts w:ascii="Arial" w:hAnsi="Arial" w:cs="Arial"/>
                <w:sz w:val="16"/>
                <w:szCs w:val="16"/>
              </w:rPr>
            </w:pPr>
            <w:r>
              <w:rPr>
                <w:rFonts w:ascii="Arial" w:hAnsi="Arial" w:cs="Arial"/>
                <w:sz w:val="16"/>
                <w:szCs w:val="16"/>
              </w:rPr>
              <w:t>290</w:t>
            </w:r>
          </w:p>
        </w:tc>
        <w:tc>
          <w:tcPr>
            <w:tcW w:w="2861" w:type="dxa"/>
            <w:vAlign w:val="center"/>
          </w:tcPr>
          <w:p w14:paraId="3983BC7E" w14:textId="0DB966A5" w:rsidR="005E35D7" w:rsidRPr="002B015E" w:rsidRDefault="00B36FE0" w:rsidP="00887620">
            <w:pPr>
              <w:spacing w:line="300" w:lineRule="atLeast"/>
              <w:jc w:val="center"/>
              <w:rPr>
                <w:rFonts w:ascii="Arial" w:hAnsi="Arial" w:cs="Arial"/>
                <w:sz w:val="16"/>
                <w:szCs w:val="16"/>
              </w:rPr>
            </w:pPr>
            <w:r>
              <w:rPr>
                <w:rFonts w:ascii="Arial" w:hAnsi="Arial" w:cs="Arial"/>
                <w:sz w:val="16"/>
                <w:szCs w:val="16"/>
              </w:rPr>
              <w:t>10</w:t>
            </w:r>
          </w:p>
        </w:tc>
        <w:tc>
          <w:tcPr>
            <w:tcW w:w="2737" w:type="dxa"/>
            <w:vAlign w:val="center"/>
          </w:tcPr>
          <w:p w14:paraId="0DE3036B" w14:textId="1CA38203" w:rsidR="005E35D7" w:rsidRPr="002B015E" w:rsidRDefault="00B36FE0" w:rsidP="00855463">
            <w:pPr>
              <w:spacing w:line="300" w:lineRule="atLeast"/>
              <w:jc w:val="center"/>
              <w:rPr>
                <w:rFonts w:ascii="Arial" w:hAnsi="Arial" w:cs="Arial"/>
                <w:sz w:val="16"/>
                <w:szCs w:val="16"/>
              </w:rPr>
            </w:pPr>
            <w:r>
              <w:rPr>
                <w:rFonts w:ascii="Arial" w:hAnsi="Arial" w:cs="Arial"/>
                <w:sz w:val="16"/>
                <w:szCs w:val="16"/>
              </w:rPr>
              <w:t>0.0029</w:t>
            </w:r>
          </w:p>
        </w:tc>
      </w:tr>
      <w:tr w:rsidR="00B36FE0" w:rsidRPr="00C20F3E" w14:paraId="3313FA47" w14:textId="77777777" w:rsidTr="00E95BD6">
        <w:tc>
          <w:tcPr>
            <w:tcW w:w="871" w:type="dxa"/>
            <w:vAlign w:val="center"/>
          </w:tcPr>
          <w:p w14:paraId="14FB6C98" w14:textId="3A992D4F" w:rsidR="00B36FE0" w:rsidRPr="002B015E" w:rsidRDefault="00B36FE0" w:rsidP="00887620">
            <w:pPr>
              <w:spacing w:line="300" w:lineRule="atLeast"/>
              <w:jc w:val="both"/>
              <w:rPr>
                <w:rFonts w:ascii="Arial" w:hAnsi="Arial" w:cs="Arial"/>
                <w:b/>
                <w:sz w:val="16"/>
                <w:szCs w:val="16"/>
              </w:rPr>
            </w:pPr>
            <w:r w:rsidRPr="002B015E">
              <w:rPr>
                <w:rFonts w:ascii="Arial" w:hAnsi="Arial" w:cs="Arial"/>
                <w:b/>
                <w:sz w:val="16"/>
                <w:szCs w:val="16"/>
              </w:rPr>
              <w:t>20</w:t>
            </w:r>
            <w:r>
              <w:rPr>
                <w:rFonts w:ascii="Arial" w:hAnsi="Arial" w:cs="Arial"/>
                <w:b/>
                <w:sz w:val="16"/>
                <w:szCs w:val="16"/>
              </w:rPr>
              <w:t>16</w:t>
            </w:r>
          </w:p>
        </w:tc>
        <w:tc>
          <w:tcPr>
            <w:tcW w:w="2592" w:type="dxa"/>
            <w:vAlign w:val="center"/>
          </w:tcPr>
          <w:p w14:paraId="0C81C17D" w14:textId="464420FF" w:rsidR="00B36FE0" w:rsidRPr="002B015E" w:rsidRDefault="00B36FE0" w:rsidP="00887620">
            <w:pPr>
              <w:spacing w:line="300" w:lineRule="atLeast"/>
              <w:jc w:val="center"/>
              <w:rPr>
                <w:rFonts w:ascii="Arial" w:hAnsi="Arial" w:cs="Arial"/>
                <w:sz w:val="16"/>
                <w:szCs w:val="16"/>
              </w:rPr>
            </w:pPr>
            <w:r>
              <w:rPr>
                <w:rFonts w:ascii="Arial" w:hAnsi="Arial" w:cs="Arial"/>
                <w:sz w:val="16"/>
                <w:szCs w:val="16"/>
              </w:rPr>
              <w:t>120</w:t>
            </w:r>
          </w:p>
        </w:tc>
        <w:tc>
          <w:tcPr>
            <w:tcW w:w="2861" w:type="dxa"/>
            <w:vAlign w:val="center"/>
          </w:tcPr>
          <w:p w14:paraId="68E889B6" w14:textId="6A7EEF17" w:rsidR="00B36FE0" w:rsidRPr="002B015E" w:rsidRDefault="00B36FE0" w:rsidP="00887620">
            <w:pPr>
              <w:spacing w:line="300" w:lineRule="atLeast"/>
              <w:jc w:val="center"/>
              <w:rPr>
                <w:rFonts w:ascii="Arial" w:hAnsi="Arial" w:cs="Arial"/>
                <w:sz w:val="16"/>
                <w:szCs w:val="16"/>
              </w:rPr>
            </w:pPr>
            <w:r w:rsidRPr="002B015E">
              <w:rPr>
                <w:rFonts w:ascii="Arial" w:hAnsi="Arial" w:cs="Arial"/>
                <w:sz w:val="16"/>
                <w:szCs w:val="16"/>
              </w:rPr>
              <w:t>10</w:t>
            </w:r>
          </w:p>
        </w:tc>
        <w:tc>
          <w:tcPr>
            <w:tcW w:w="2737" w:type="dxa"/>
            <w:vAlign w:val="center"/>
          </w:tcPr>
          <w:p w14:paraId="3BF7F8E3" w14:textId="0419282A" w:rsidR="00B36FE0" w:rsidRPr="002B015E" w:rsidRDefault="00B36FE0" w:rsidP="00887620">
            <w:pPr>
              <w:spacing w:line="300" w:lineRule="atLeast"/>
              <w:jc w:val="center"/>
              <w:rPr>
                <w:rFonts w:ascii="Arial" w:hAnsi="Arial" w:cs="Arial"/>
                <w:sz w:val="16"/>
                <w:szCs w:val="16"/>
              </w:rPr>
            </w:pPr>
            <w:r w:rsidRPr="002B015E">
              <w:rPr>
                <w:rFonts w:ascii="Arial" w:hAnsi="Arial" w:cs="Arial"/>
                <w:sz w:val="16"/>
                <w:szCs w:val="16"/>
              </w:rPr>
              <w:t>0.00</w:t>
            </w:r>
            <w:r>
              <w:rPr>
                <w:rFonts w:ascii="Arial" w:hAnsi="Arial" w:cs="Arial"/>
                <w:sz w:val="16"/>
                <w:szCs w:val="16"/>
              </w:rPr>
              <w:t>12</w:t>
            </w:r>
          </w:p>
        </w:tc>
      </w:tr>
      <w:tr w:rsidR="002800F8" w:rsidRPr="00C20F3E" w14:paraId="343B373C" w14:textId="77777777" w:rsidTr="00E95BD6">
        <w:tc>
          <w:tcPr>
            <w:tcW w:w="871" w:type="dxa"/>
            <w:vAlign w:val="center"/>
          </w:tcPr>
          <w:p w14:paraId="60F97384" w14:textId="1EEB030D" w:rsidR="002800F8" w:rsidRPr="002B015E" w:rsidRDefault="002800F8" w:rsidP="00887620">
            <w:pPr>
              <w:spacing w:line="300" w:lineRule="atLeast"/>
              <w:jc w:val="both"/>
              <w:rPr>
                <w:rFonts w:ascii="Arial" w:hAnsi="Arial" w:cs="Arial"/>
                <w:b/>
                <w:sz w:val="16"/>
                <w:szCs w:val="16"/>
              </w:rPr>
            </w:pPr>
            <w:r>
              <w:rPr>
                <w:rFonts w:ascii="Arial" w:hAnsi="Arial" w:cs="Arial"/>
                <w:b/>
                <w:sz w:val="16"/>
                <w:szCs w:val="16"/>
              </w:rPr>
              <w:t>2020</w:t>
            </w:r>
          </w:p>
        </w:tc>
        <w:tc>
          <w:tcPr>
            <w:tcW w:w="2592" w:type="dxa"/>
            <w:vAlign w:val="center"/>
          </w:tcPr>
          <w:p w14:paraId="5CD18929" w14:textId="55EFC634" w:rsidR="002800F8" w:rsidRDefault="002800F8" w:rsidP="00887620">
            <w:pPr>
              <w:spacing w:line="300" w:lineRule="atLeast"/>
              <w:jc w:val="center"/>
              <w:rPr>
                <w:rFonts w:ascii="Arial" w:hAnsi="Arial" w:cs="Arial"/>
                <w:sz w:val="16"/>
                <w:szCs w:val="16"/>
              </w:rPr>
            </w:pPr>
            <w:r>
              <w:rPr>
                <w:rFonts w:ascii="Arial" w:hAnsi="Arial" w:cs="Arial"/>
                <w:sz w:val="16"/>
                <w:szCs w:val="16"/>
              </w:rPr>
              <w:t>103</w:t>
            </w:r>
          </w:p>
        </w:tc>
        <w:tc>
          <w:tcPr>
            <w:tcW w:w="2861" w:type="dxa"/>
            <w:vAlign w:val="center"/>
          </w:tcPr>
          <w:p w14:paraId="6D87CD8C" w14:textId="556F7428" w:rsidR="002800F8" w:rsidRPr="002B015E" w:rsidRDefault="002800F8" w:rsidP="00887620">
            <w:pPr>
              <w:spacing w:line="300" w:lineRule="atLeast"/>
              <w:jc w:val="center"/>
              <w:rPr>
                <w:rFonts w:ascii="Arial" w:hAnsi="Arial" w:cs="Arial"/>
                <w:sz w:val="16"/>
                <w:szCs w:val="16"/>
              </w:rPr>
            </w:pPr>
            <w:r>
              <w:rPr>
                <w:rFonts w:ascii="Arial" w:hAnsi="Arial" w:cs="Arial"/>
                <w:sz w:val="16"/>
                <w:szCs w:val="16"/>
              </w:rPr>
              <w:t>10</w:t>
            </w:r>
          </w:p>
        </w:tc>
        <w:tc>
          <w:tcPr>
            <w:tcW w:w="2737" w:type="dxa"/>
            <w:vAlign w:val="center"/>
          </w:tcPr>
          <w:p w14:paraId="0DE56408" w14:textId="50CCB177" w:rsidR="002800F8" w:rsidRPr="002B015E" w:rsidRDefault="002800F8" w:rsidP="00887620">
            <w:pPr>
              <w:spacing w:line="300" w:lineRule="atLeast"/>
              <w:jc w:val="center"/>
              <w:rPr>
                <w:rFonts w:ascii="Arial" w:hAnsi="Arial" w:cs="Arial"/>
                <w:sz w:val="16"/>
                <w:szCs w:val="16"/>
              </w:rPr>
            </w:pPr>
            <w:r>
              <w:rPr>
                <w:rFonts w:ascii="Arial" w:hAnsi="Arial" w:cs="Arial"/>
                <w:sz w:val="16"/>
                <w:szCs w:val="16"/>
              </w:rPr>
              <w:t>0.0010</w:t>
            </w:r>
          </w:p>
        </w:tc>
      </w:tr>
    </w:tbl>
    <w:p w14:paraId="052D5E92" w14:textId="39032292" w:rsidR="005D47F5" w:rsidRPr="005965A5" w:rsidRDefault="00995343" w:rsidP="005D47F5">
      <w:pPr>
        <w:spacing w:before="240" w:line="300" w:lineRule="atLeast"/>
        <w:jc w:val="both"/>
        <w:rPr>
          <w:rFonts w:ascii="Arial" w:hAnsi="Arial" w:cs="Arial"/>
          <w:b/>
          <w:szCs w:val="18"/>
        </w:rPr>
      </w:pPr>
      <w:r>
        <w:rPr>
          <w:rFonts w:ascii="Arial" w:hAnsi="Arial" w:cs="Arial"/>
          <w:b/>
          <w:szCs w:val="18"/>
        </w:rPr>
        <w:t xml:space="preserve">Certainty assessment for </w:t>
      </w:r>
      <w:r w:rsidR="002800F8">
        <w:rPr>
          <w:rFonts w:ascii="Arial" w:hAnsi="Arial" w:cs="Arial"/>
          <w:b/>
          <w:szCs w:val="18"/>
        </w:rPr>
        <w:t>2020</w:t>
      </w:r>
    </w:p>
    <w:p w14:paraId="3891B5CC" w14:textId="77777777" w:rsidR="005D47F5" w:rsidRPr="00C20F3E" w:rsidRDefault="005D47F5" w:rsidP="00517E33">
      <w:pPr>
        <w:spacing w:after="0" w:line="300" w:lineRule="atLeast"/>
        <w:jc w:val="both"/>
        <w:rPr>
          <w:szCs w:val="18"/>
        </w:rPr>
      </w:pPr>
      <w:r w:rsidRPr="00C20F3E">
        <w:rPr>
          <w:szCs w:val="18"/>
        </w:rPr>
        <w:t xml:space="preserve">Activity data: </w:t>
      </w:r>
      <w:r w:rsidRPr="00C20F3E">
        <w:rPr>
          <w:szCs w:val="18"/>
        </w:rPr>
        <w:tab/>
        <w:t xml:space="preserve">High (because it is based on </w:t>
      </w:r>
      <w:r>
        <w:rPr>
          <w:szCs w:val="18"/>
        </w:rPr>
        <w:t>national</w:t>
      </w:r>
      <w:r w:rsidRPr="00C20F3E">
        <w:rPr>
          <w:szCs w:val="18"/>
        </w:rPr>
        <w:t xml:space="preserve"> fuel consumption data)</w:t>
      </w:r>
    </w:p>
    <w:p w14:paraId="48F813C6" w14:textId="77777777" w:rsidR="005D47F5" w:rsidRPr="00C20F3E" w:rsidRDefault="005D47F5" w:rsidP="00517E33">
      <w:pPr>
        <w:spacing w:after="0" w:line="300" w:lineRule="atLeast"/>
        <w:jc w:val="both"/>
        <w:rPr>
          <w:szCs w:val="18"/>
        </w:rPr>
      </w:pPr>
      <w:r w:rsidRPr="00C20F3E">
        <w:rPr>
          <w:szCs w:val="18"/>
        </w:rPr>
        <w:t xml:space="preserve">Emission factor: </w:t>
      </w:r>
      <w:r w:rsidRPr="00C20F3E">
        <w:rPr>
          <w:szCs w:val="18"/>
        </w:rPr>
        <w:tab/>
        <w:t>Low (because it is based on the Toolkit default factors)</w:t>
      </w:r>
    </w:p>
    <w:p w14:paraId="0C4DFB20" w14:textId="77777777" w:rsidR="00287582" w:rsidRPr="00A311F7" w:rsidRDefault="00287582" w:rsidP="00287582">
      <w:pPr>
        <w:pStyle w:val="Heading3"/>
      </w:pPr>
      <w:bookmarkStart w:id="215" w:name="_Toc112768101"/>
      <w:r>
        <w:t>Gas</w:t>
      </w:r>
      <w:bookmarkEnd w:id="215"/>
    </w:p>
    <w:p w14:paraId="2C84B01A" w14:textId="77777777" w:rsidR="002800F8" w:rsidRDefault="40BDF820" w:rsidP="001C67DA">
      <w:pPr>
        <w:spacing w:line="300" w:lineRule="atLeast"/>
        <w:jc w:val="both"/>
      </w:pPr>
      <w:r>
        <w:t xml:space="preserve">The domestic use of gas in New Zealand includes both natural gas and LPG. Natural gas is used </w:t>
      </w:r>
      <w:bookmarkStart w:id="216" w:name="_Int_c3huTX79"/>
      <w:r>
        <w:t>mainly in</w:t>
      </w:r>
      <w:bookmarkEnd w:id="216"/>
      <w:r>
        <w:t xml:space="preserve"> fixed installations for heating, cooking and water heating, while LPG is more commonly used in portable equipment such as barbeques and patio heaters. </w:t>
      </w:r>
    </w:p>
    <w:p w14:paraId="26A7B932" w14:textId="53ABFB9A" w:rsidR="00287582" w:rsidRDefault="40BDF820" w:rsidP="0C34660A">
      <w:pPr>
        <w:spacing w:line="300" w:lineRule="atLeast"/>
        <w:jc w:val="both"/>
        <w:rPr>
          <w:lang w:val="en"/>
        </w:rPr>
      </w:pPr>
      <w:r>
        <w:t xml:space="preserve">The total residential usage of natural gas in </w:t>
      </w:r>
      <w:r w:rsidR="627B6373">
        <w:t>2020</w:t>
      </w:r>
      <w:r>
        <w:t xml:space="preserve"> was reported to be </w:t>
      </w:r>
      <w:r w:rsidR="2E43E146">
        <w:t xml:space="preserve">7198 </w:t>
      </w:r>
      <w:r w:rsidR="3D8990AF">
        <w:t>TJ</w:t>
      </w:r>
      <w:bookmarkStart w:id="217" w:name="_Int_DMZPZPkJ"/>
      <w:r w:rsidR="2E43E146">
        <w:t xml:space="preserve">. </w:t>
      </w:r>
      <w:bookmarkEnd w:id="217"/>
      <w:r w:rsidR="2E43E146">
        <w:t xml:space="preserve">Gas water heating totalled 5007 TJ, space heating 2124 TJ and cooking appliances 67 TJ. The total for LPG use was 3626 TJ comprising 2313 TJ for water heating, 1263 TJ for space heating and 50 TJ for cooking appliances. </w:t>
      </w:r>
      <w:r w:rsidR="2E43E146" w:rsidRPr="0C34660A">
        <w:rPr>
          <w:noProof/>
        </w:rPr>
        <w:t>(Energy Efficiency and Conservation Authority, 2022)</w:t>
      </w:r>
      <w:r w:rsidR="330BEEB7">
        <w:t>. This gives a combined total for natural gas and LPG use of 10,824 TJ.</w:t>
      </w:r>
    </w:p>
    <w:p w14:paraId="4FA26DCF" w14:textId="6763CA65" w:rsidR="00E83267" w:rsidRPr="00C20F3E" w:rsidRDefault="00E83267" w:rsidP="00E83267">
      <w:pPr>
        <w:spacing w:line="300" w:lineRule="atLeast"/>
        <w:jc w:val="both"/>
        <w:rPr>
          <w:szCs w:val="18"/>
        </w:rPr>
      </w:pPr>
      <w:r w:rsidRPr="00C20F3E">
        <w:rPr>
          <w:szCs w:val="18"/>
        </w:rPr>
        <w:t xml:space="preserve">The </w:t>
      </w:r>
      <w:r w:rsidR="00FF5FDE">
        <w:rPr>
          <w:szCs w:val="18"/>
        </w:rPr>
        <w:t>2020</w:t>
      </w:r>
      <w:r w:rsidRPr="00C20F3E">
        <w:rPr>
          <w:szCs w:val="18"/>
        </w:rPr>
        <w:t xml:space="preserve"> release estimates for </w:t>
      </w:r>
      <w:r>
        <w:rPr>
          <w:szCs w:val="18"/>
        </w:rPr>
        <w:t>domestic gas combustion</w:t>
      </w:r>
      <w:r w:rsidRPr="00C20F3E">
        <w:rPr>
          <w:szCs w:val="18"/>
        </w:rPr>
        <w:t xml:space="preserve"> are shown in</w:t>
      </w:r>
      <w:r>
        <w:rPr>
          <w:szCs w:val="18"/>
        </w:rPr>
        <w:t xml:space="preserve"> </w:t>
      </w:r>
      <w:r w:rsidR="004E09F7" w:rsidRPr="00873512">
        <w:rPr>
          <w:szCs w:val="18"/>
        </w:rPr>
        <w:fldChar w:fldCharType="begin"/>
      </w:r>
      <w:r w:rsidR="004E09F7" w:rsidRPr="00873512">
        <w:rPr>
          <w:szCs w:val="18"/>
        </w:rPr>
        <w:instrText xml:space="preserve"> REF _Ref382130572 \h  \* MERGEFORMAT </w:instrText>
      </w:r>
      <w:r w:rsidR="004E09F7" w:rsidRPr="00873512">
        <w:rPr>
          <w:szCs w:val="18"/>
        </w:rPr>
      </w:r>
      <w:r w:rsidR="004E09F7" w:rsidRPr="00873512">
        <w:rPr>
          <w:szCs w:val="18"/>
        </w:rPr>
        <w:fldChar w:fldCharType="separate"/>
      </w:r>
      <w:r w:rsidR="00141D7F" w:rsidRPr="00141D7F">
        <w:t xml:space="preserve">Table </w:t>
      </w:r>
      <w:r w:rsidR="00141D7F" w:rsidRPr="00141D7F">
        <w:rPr>
          <w:noProof/>
        </w:rPr>
        <w:t>5</w:t>
      </w:r>
      <w:r w:rsidR="00141D7F" w:rsidRPr="00141D7F">
        <w:rPr>
          <w:noProof/>
        </w:rPr>
        <w:noBreakHyphen/>
        <w:t>11</w:t>
      </w:r>
      <w:r w:rsidR="004E09F7" w:rsidRPr="00873512">
        <w:rPr>
          <w:szCs w:val="18"/>
        </w:rPr>
        <w:fldChar w:fldCharType="end"/>
      </w:r>
      <w:r w:rsidRPr="00C20F3E">
        <w:rPr>
          <w:szCs w:val="18"/>
        </w:rPr>
        <w:t>, along with the corresponding estimates made in the 20</w:t>
      </w:r>
      <w:r w:rsidR="00855463">
        <w:rPr>
          <w:szCs w:val="18"/>
        </w:rPr>
        <w:t xml:space="preserve">12 </w:t>
      </w:r>
      <w:r w:rsidR="00FF5FDE">
        <w:rPr>
          <w:szCs w:val="18"/>
        </w:rPr>
        <w:t>and 2016 Inventories.</w:t>
      </w:r>
      <w:r w:rsidRPr="00C20F3E">
        <w:rPr>
          <w:szCs w:val="18"/>
        </w:rPr>
        <w:t xml:space="preserve"> The</w:t>
      </w:r>
      <w:r>
        <w:rPr>
          <w:szCs w:val="18"/>
        </w:rPr>
        <w:t xml:space="preserve"> Toolkit factor </w:t>
      </w:r>
      <w:r w:rsidR="00FF5FDE">
        <w:rPr>
          <w:szCs w:val="18"/>
        </w:rPr>
        <w:t xml:space="preserve">remains </w:t>
      </w:r>
      <w:r>
        <w:rPr>
          <w:szCs w:val="18"/>
        </w:rPr>
        <w:t>and the</w:t>
      </w:r>
      <w:r w:rsidRPr="00C20F3E">
        <w:rPr>
          <w:szCs w:val="18"/>
        </w:rPr>
        <w:t xml:space="preserve">re are no releases to </w:t>
      </w:r>
      <w:r>
        <w:rPr>
          <w:szCs w:val="18"/>
        </w:rPr>
        <w:t xml:space="preserve">land, </w:t>
      </w:r>
      <w:r w:rsidRPr="00C20F3E">
        <w:rPr>
          <w:szCs w:val="18"/>
        </w:rPr>
        <w:t>water</w:t>
      </w:r>
      <w:r>
        <w:rPr>
          <w:szCs w:val="18"/>
        </w:rPr>
        <w:t>,</w:t>
      </w:r>
      <w:r w:rsidRPr="00C20F3E">
        <w:rPr>
          <w:szCs w:val="18"/>
        </w:rPr>
        <w:t xml:space="preserve"> or in products</w:t>
      </w:r>
      <w:r>
        <w:rPr>
          <w:szCs w:val="18"/>
        </w:rPr>
        <w:t xml:space="preserve"> or residues</w:t>
      </w:r>
      <w:r w:rsidRPr="00C20F3E">
        <w:rPr>
          <w:szCs w:val="18"/>
        </w:rPr>
        <w:t>.</w:t>
      </w:r>
    </w:p>
    <w:p w14:paraId="255B877A" w14:textId="75897B74" w:rsidR="00E83267" w:rsidRPr="005965A5" w:rsidRDefault="004E09F7" w:rsidP="00101AA8">
      <w:pPr>
        <w:pStyle w:val="Caption"/>
        <w:jc w:val="left"/>
        <w:rPr>
          <w:rFonts w:cs="Arial"/>
          <w:szCs w:val="18"/>
        </w:rPr>
      </w:pPr>
      <w:bookmarkStart w:id="218" w:name="_Ref382130572"/>
      <w:r w:rsidRPr="004E09F7">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11</w:t>
      </w:r>
      <w:r w:rsidR="00C17BA5">
        <w:rPr>
          <w:rFonts w:cs="Arial"/>
        </w:rPr>
        <w:fldChar w:fldCharType="end"/>
      </w:r>
      <w:bookmarkEnd w:id="218"/>
      <w:r w:rsidR="00E83267" w:rsidRPr="005965A5">
        <w:rPr>
          <w:rFonts w:cs="Arial"/>
          <w:szCs w:val="18"/>
        </w:rPr>
        <w:t xml:space="preserve">: </w:t>
      </w:r>
      <w:r w:rsidR="00287693">
        <w:rPr>
          <w:rFonts w:cs="Arial"/>
          <w:szCs w:val="18"/>
        </w:rPr>
        <w:t>Dioxin</w:t>
      </w:r>
      <w:r w:rsidR="00E83267" w:rsidRPr="005965A5">
        <w:rPr>
          <w:rFonts w:cs="Arial"/>
          <w:szCs w:val="18"/>
        </w:rPr>
        <w:t xml:space="preserve"> releases from domestic </w:t>
      </w:r>
      <w:r w:rsidR="00E83267">
        <w:rPr>
          <w:rFonts w:cs="Arial"/>
          <w:szCs w:val="18"/>
        </w:rPr>
        <w:t>gas</w:t>
      </w:r>
      <w:r w:rsidR="00E83267" w:rsidRPr="005965A5">
        <w:rPr>
          <w:rFonts w:cs="Arial"/>
          <w:szCs w:val="18"/>
        </w:rPr>
        <w:t xml:space="preserve"> combustion</w:t>
      </w:r>
    </w:p>
    <w:tbl>
      <w:tblPr>
        <w:tblStyle w:val="TableGrid"/>
        <w:tblW w:w="0" w:type="auto"/>
        <w:tblLook w:val="04A0" w:firstRow="1" w:lastRow="0" w:firstColumn="1" w:lastColumn="0" w:noHBand="0" w:noVBand="1"/>
      </w:tblPr>
      <w:tblGrid>
        <w:gridCol w:w="870"/>
        <w:gridCol w:w="2596"/>
        <w:gridCol w:w="2859"/>
        <w:gridCol w:w="2736"/>
      </w:tblGrid>
      <w:tr w:rsidR="00E83267" w:rsidRPr="00C20F3E" w14:paraId="024744FE" w14:textId="77777777" w:rsidTr="00944F46">
        <w:tc>
          <w:tcPr>
            <w:tcW w:w="870" w:type="dxa"/>
            <w:vMerge w:val="restart"/>
            <w:vAlign w:val="center"/>
          </w:tcPr>
          <w:p w14:paraId="43690EAA" w14:textId="77777777" w:rsidR="00E83267" w:rsidRPr="002B015E" w:rsidRDefault="00E83267" w:rsidP="004F68E2">
            <w:pPr>
              <w:spacing w:line="300" w:lineRule="atLeast"/>
              <w:jc w:val="both"/>
              <w:rPr>
                <w:rFonts w:ascii="Arial" w:hAnsi="Arial" w:cs="Arial"/>
                <w:b/>
                <w:sz w:val="16"/>
                <w:szCs w:val="16"/>
              </w:rPr>
            </w:pPr>
            <w:r w:rsidRPr="002B015E">
              <w:rPr>
                <w:rFonts w:ascii="Arial" w:hAnsi="Arial" w:cs="Arial"/>
                <w:b/>
                <w:sz w:val="16"/>
                <w:szCs w:val="16"/>
              </w:rPr>
              <w:t>Year</w:t>
            </w:r>
          </w:p>
        </w:tc>
        <w:tc>
          <w:tcPr>
            <w:tcW w:w="2596" w:type="dxa"/>
            <w:vMerge w:val="restart"/>
            <w:vAlign w:val="center"/>
          </w:tcPr>
          <w:p w14:paraId="30646434" w14:textId="21311CCA" w:rsidR="00E83267" w:rsidRPr="002B015E" w:rsidRDefault="00E83267" w:rsidP="00E83267">
            <w:pPr>
              <w:spacing w:line="300" w:lineRule="atLeast"/>
              <w:jc w:val="center"/>
              <w:rPr>
                <w:rFonts w:ascii="Arial" w:hAnsi="Arial" w:cs="Arial"/>
                <w:b/>
                <w:sz w:val="16"/>
                <w:szCs w:val="16"/>
              </w:rPr>
            </w:pPr>
            <w:r w:rsidRPr="002B015E">
              <w:rPr>
                <w:rFonts w:ascii="Arial" w:hAnsi="Arial" w:cs="Arial"/>
                <w:b/>
                <w:sz w:val="16"/>
                <w:szCs w:val="16"/>
              </w:rPr>
              <w:t xml:space="preserve">Activity Rate </w:t>
            </w:r>
            <w:r w:rsidRPr="002B015E">
              <w:rPr>
                <w:rFonts w:ascii="Arial" w:hAnsi="Arial" w:cs="Arial"/>
                <w:b/>
                <w:sz w:val="16"/>
                <w:szCs w:val="16"/>
              </w:rPr>
              <w:br/>
              <w:t>(TJ of gas/year)</w:t>
            </w:r>
          </w:p>
        </w:tc>
        <w:tc>
          <w:tcPr>
            <w:tcW w:w="2859" w:type="dxa"/>
            <w:vAlign w:val="center"/>
          </w:tcPr>
          <w:p w14:paraId="1664ED91" w14:textId="43CBDFC0" w:rsidR="00E83267" w:rsidRPr="002B015E" w:rsidRDefault="00E83267" w:rsidP="00E83267">
            <w:pPr>
              <w:spacing w:line="300" w:lineRule="atLeast"/>
              <w:jc w:val="center"/>
              <w:rPr>
                <w:rFonts w:ascii="Arial" w:hAnsi="Arial" w:cs="Arial"/>
                <w:b/>
                <w:sz w:val="16"/>
                <w:szCs w:val="16"/>
              </w:rPr>
            </w:pPr>
            <w:r w:rsidRPr="002B015E">
              <w:rPr>
                <w:rFonts w:ascii="Arial" w:hAnsi="Arial" w:cs="Arial"/>
                <w:b/>
                <w:sz w:val="16"/>
                <w:szCs w:val="16"/>
              </w:rPr>
              <w:t>Release factors</w:t>
            </w:r>
            <w:r w:rsidRPr="002B015E">
              <w:rPr>
                <w:rFonts w:ascii="Arial" w:hAnsi="Arial" w:cs="Arial"/>
                <w:sz w:val="16"/>
                <w:szCs w:val="16"/>
              </w:rPr>
              <w:t xml:space="preserve"> </w:t>
            </w:r>
            <w:r w:rsidRPr="002B015E">
              <w:rPr>
                <w:rFonts w:ascii="Arial" w:hAnsi="Arial" w:cs="Arial"/>
                <w:sz w:val="16"/>
                <w:szCs w:val="16"/>
              </w:rPr>
              <w:br/>
              <w:t>(</w:t>
            </w:r>
            <w:r w:rsidRPr="002B015E">
              <w:rPr>
                <w:rFonts w:ascii="Arial" w:hAnsi="Arial" w:cs="Arial"/>
                <w:b/>
                <w:sz w:val="16"/>
                <w:szCs w:val="16"/>
              </w:rPr>
              <w:t xml:space="preserve">µg </w:t>
            </w:r>
            <w:r w:rsidR="0009594D">
              <w:rPr>
                <w:rFonts w:ascii="Arial" w:hAnsi="Arial" w:cs="Arial"/>
                <w:b/>
                <w:sz w:val="16"/>
                <w:szCs w:val="16"/>
              </w:rPr>
              <w:t>TEQ</w:t>
            </w:r>
            <w:r w:rsidRPr="002B015E">
              <w:rPr>
                <w:rFonts w:ascii="Arial" w:hAnsi="Arial" w:cs="Arial"/>
                <w:b/>
                <w:sz w:val="16"/>
                <w:szCs w:val="16"/>
              </w:rPr>
              <w:t>/TJ of gas)</w:t>
            </w:r>
          </w:p>
        </w:tc>
        <w:tc>
          <w:tcPr>
            <w:tcW w:w="2736" w:type="dxa"/>
            <w:vAlign w:val="center"/>
          </w:tcPr>
          <w:p w14:paraId="38FAA2E0" w14:textId="7F53AE0D" w:rsidR="00E83267" w:rsidRPr="002B015E" w:rsidRDefault="00E83267" w:rsidP="004F68E2">
            <w:pPr>
              <w:spacing w:line="300" w:lineRule="atLeast"/>
              <w:jc w:val="both"/>
              <w:rPr>
                <w:rFonts w:ascii="Arial" w:hAnsi="Arial" w:cs="Arial"/>
                <w:b/>
                <w:sz w:val="16"/>
                <w:szCs w:val="16"/>
              </w:rPr>
            </w:pPr>
            <w:r w:rsidRPr="002B015E">
              <w:rPr>
                <w:rFonts w:ascii="Arial" w:hAnsi="Arial" w:cs="Arial"/>
                <w:b/>
                <w:sz w:val="16"/>
                <w:szCs w:val="16"/>
              </w:rPr>
              <w:t xml:space="preserve">Annual releases (g </w:t>
            </w:r>
            <w:r w:rsidR="0009594D">
              <w:rPr>
                <w:rFonts w:ascii="Arial" w:hAnsi="Arial" w:cs="Arial"/>
                <w:b/>
                <w:sz w:val="16"/>
                <w:szCs w:val="16"/>
              </w:rPr>
              <w:t>TEQ</w:t>
            </w:r>
            <w:r w:rsidRPr="002B015E">
              <w:rPr>
                <w:rFonts w:ascii="Arial" w:hAnsi="Arial" w:cs="Arial"/>
                <w:b/>
                <w:sz w:val="16"/>
                <w:szCs w:val="16"/>
              </w:rPr>
              <w:t>/yr)</w:t>
            </w:r>
          </w:p>
        </w:tc>
      </w:tr>
      <w:tr w:rsidR="00E83267" w:rsidRPr="00C20F3E" w14:paraId="30E6B00B" w14:textId="77777777" w:rsidTr="00E95BD6">
        <w:tc>
          <w:tcPr>
            <w:tcW w:w="870" w:type="dxa"/>
            <w:vMerge/>
          </w:tcPr>
          <w:p w14:paraId="032E810B" w14:textId="77777777" w:rsidR="00E83267" w:rsidRPr="002B015E" w:rsidRDefault="00E83267" w:rsidP="004F68E2">
            <w:pPr>
              <w:spacing w:line="300" w:lineRule="atLeast"/>
              <w:jc w:val="both"/>
              <w:rPr>
                <w:rFonts w:ascii="Arial" w:hAnsi="Arial" w:cs="Arial"/>
                <w:sz w:val="16"/>
                <w:szCs w:val="16"/>
              </w:rPr>
            </w:pPr>
          </w:p>
        </w:tc>
        <w:tc>
          <w:tcPr>
            <w:tcW w:w="2596" w:type="dxa"/>
            <w:vMerge/>
            <w:vAlign w:val="center"/>
          </w:tcPr>
          <w:p w14:paraId="2A194264" w14:textId="77777777" w:rsidR="00E83267" w:rsidRPr="002B015E" w:rsidRDefault="00E83267" w:rsidP="004F68E2">
            <w:pPr>
              <w:spacing w:line="300" w:lineRule="atLeast"/>
              <w:jc w:val="both"/>
              <w:rPr>
                <w:rFonts w:ascii="Arial" w:hAnsi="Arial" w:cs="Arial"/>
                <w:sz w:val="16"/>
                <w:szCs w:val="16"/>
              </w:rPr>
            </w:pPr>
          </w:p>
        </w:tc>
        <w:tc>
          <w:tcPr>
            <w:tcW w:w="2859" w:type="dxa"/>
            <w:vAlign w:val="center"/>
          </w:tcPr>
          <w:p w14:paraId="2614B411" w14:textId="77777777" w:rsidR="00E83267" w:rsidRPr="002B015E" w:rsidRDefault="00E83267" w:rsidP="004F68E2">
            <w:pPr>
              <w:spacing w:line="300" w:lineRule="atLeast"/>
              <w:jc w:val="center"/>
              <w:rPr>
                <w:rFonts w:ascii="Arial" w:hAnsi="Arial" w:cs="Arial"/>
                <w:b/>
                <w:sz w:val="16"/>
                <w:szCs w:val="16"/>
              </w:rPr>
            </w:pPr>
            <w:r w:rsidRPr="002B015E">
              <w:rPr>
                <w:rFonts w:ascii="Arial" w:hAnsi="Arial" w:cs="Arial"/>
                <w:b/>
                <w:sz w:val="16"/>
                <w:szCs w:val="16"/>
              </w:rPr>
              <w:t>Air</w:t>
            </w:r>
          </w:p>
        </w:tc>
        <w:tc>
          <w:tcPr>
            <w:tcW w:w="2736" w:type="dxa"/>
            <w:vAlign w:val="center"/>
          </w:tcPr>
          <w:p w14:paraId="034CB5CA" w14:textId="77777777" w:rsidR="00E83267" w:rsidRPr="002B015E" w:rsidRDefault="00E83267" w:rsidP="004F68E2">
            <w:pPr>
              <w:spacing w:line="300" w:lineRule="atLeast"/>
              <w:jc w:val="center"/>
              <w:rPr>
                <w:rFonts w:ascii="Arial" w:hAnsi="Arial" w:cs="Arial"/>
                <w:b/>
                <w:sz w:val="16"/>
                <w:szCs w:val="16"/>
              </w:rPr>
            </w:pPr>
            <w:r w:rsidRPr="002B015E">
              <w:rPr>
                <w:rFonts w:ascii="Arial" w:hAnsi="Arial" w:cs="Arial"/>
                <w:b/>
                <w:sz w:val="16"/>
                <w:szCs w:val="16"/>
              </w:rPr>
              <w:t>Air</w:t>
            </w:r>
          </w:p>
        </w:tc>
      </w:tr>
      <w:tr w:rsidR="00E83267" w:rsidRPr="00C20F3E" w14:paraId="2B2B872F" w14:textId="77777777" w:rsidTr="00E95BD6">
        <w:tc>
          <w:tcPr>
            <w:tcW w:w="870" w:type="dxa"/>
            <w:vAlign w:val="center"/>
          </w:tcPr>
          <w:p w14:paraId="1CFC6F8A" w14:textId="49224B8B" w:rsidR="00E83267" w:rsidRPr="002B015E" w:rsidRDefault="005D47F5" w:rsidP="004F68E2">
            <w:pPr>
              <w:spacing w:line="300" w:lineRule="atLeast"/>
              <w:jc w:val="both"/>
              <w:rPr>
                <w:rFonts w:ascii="Arial" w:hAnsi="Arial" w:cs="Arial"/>
                <w:b/>
                <w:sz w:val="16"/>
                <w:szCs w:val="16"/>
              </w:rPr>
            </w:pPr>
            <w:r>
              <w:rPr>
                <w:rFonts w:ascii="Arial" w:hAnsi="Arial" w:cs="Arial"/>
                <w:b/>
                <w:sz w:val="16"/>
                <w:szCs w:val="16"/>
              </w:rPr>
              <w:t>2012</w:t>
            </w:r>
          </w:p>
        </w:tc>
        <w:tc>
          <w:tcPr>
            <w:tcW w:w="2596" w:type="dxa"/>
            <w:vAlign w:val="center"/>
          </w:tcPr>
          <w:p w14:paraId="1B4FCDF0" w14:textId="43B8E5D8" w:rsidR="00E83267" w:rsidRPr="002B015E" w:rsidRDefault="005D47F5" w:rsidP="004F68E2">
            <w:pPr>
              <w:spacing w:line="300" w:lineRule="atLeast"/>
              <w:jc w:val="center"/>
              <w:rPr>
                <w:rFonts w:ascii="Arial" w:hAnsi="Arial" w:cs="Arial"/>
                <w:sz w:val="16"/>
                <w:szCs w:val="16"/>
              </w:rPr>
            </w:pPr>
            <w:r>
              <w:rPr>
                <w:rFonts w:ascii="Arial" w:hAnsi="Arial" w:cs="Arial"/>
                <w:sz w:val="16"/>
                <w:szCs w:val="16"/>
              </w:rPr>
              <w:t>9020</w:t>
            </w:r>
          </w:p>
        </w:tc>
        <w:tc>
          <w:tcPr>
            <w:tcW w:w="2859" w:type="dxa"/>
            <w:vAlign w:val="center"/>
          </w:tcPr>
          <w:p w14:paraId="5F9C2AA1" w14:textId="27565AD9" w:rsidR="00E83267" w:rsidRPr="002B015E" w:rsidRDefault="005D47F5" w:rsidP="004F68E2">
            <w:pPr>
              <w:spacing w:line="300" w:lineRule="atLeast"/>
              <w:jc w:val="center"/>
              <w:rPr>
                <w:rFonts w:ascii="Arial" w:hAnsi="Arial" w:cs="Arial"/>
                <w:sz w:val="16"/>
                <w:szCs w:val="16"/>
              </w:rPr>
            </w:pPr>
            <w:r>
              <w:rPr>
                <w:rFonts w:ascii="Arial" w:hAnsi="Arial" w:cs="Arial"/>
                <w:sz w:val="16"/>
                <w:szCs w:val="16"/>
              </w:rPr>
              <w:t>1.5</w:t>
            </w:r>
          </w:p>
        </w:tc>
        <w:tc>
          <w:tcPr>
            <w:tcW w:w="2736" w:type="dxa"/>
            <w:vAlign w:val="center"/>
          </w:tcPr>
          <w:p w14:paraId="051C5668" w14:textId="36E80655" w:rsidR="00E83267" w:rsidRPr="002B015E" w:rsidRDefault="005D47F5" w:rsidP="004F68E2">
            <w:pPr>
              <w:spacing w:line="300" w:lineRule="atLeast"/>
              <w:jc w:val="center"/>
              <w:rPr>
                <w:rFonts w:ascii="Arial" w:hAnsi="Arial" w:cs="Arial"/>
                <w:sz w:val="16"/>
                <w:szCs w:val="16"/>
              </w:rPr>
            </w:pPr>
            <w:r>
              <w:rPr>
                <w:rFonts w:ascii="Arial" w:hAnsi="Arial" w:cs="Arial"/>
                <w:sz w:val="16"/>
                <w:szCs w:val="16"/>
              </w:rPr>
              <w:t>0.0135</w:t>
            </w:r>
          </w:p>
        </w:tc>
      </w:tr>
      <w:tr w:rsidR="005D47F5" w:rsidRPr="00C20F3E" w14:paraId="34726233" w14:textId="77777777" w:rsidTr="00E95BD6">
        <w:tc>
          <w:tcPr>
            <w:tcW w:w="870" w:type="dxa"/>
            <w:vAlign w:val="center"/>
          </w:tcPr>
          <w:p w14:paraId="3FEDE0C7" w14:textId="798123ED" w:rsidR="005D47F5" w:rsidRPr="002B015E" w:rsidRDefault="005D47F5" w:rsidP="004F68E2">
            <w:pPr>
              <w:spacing w:line="300" w:lineRule="atLeast"/>
              <w:jc w:val="both"/>
              <w:rPr>
                <w:rFonts w:ascii="Arial" w:hAnsi="Arial" w:cs="Arial"/>
                <w:b/>
                <w:sz w:val="16"/>
                <w:szCs w:val="16"/>
              </w:rPr>
            </w:pPr>
            <w:r>
              <w:rPr>
                <w:rFonts w:ascii="Arial" w:hAnsi="Arial" w:cs="Arial"/>
                <w:b/>
                <w:sz w:val="16"/>
                <w:szCs w:val="16"/>
              </w:rPr>
              <w:t>2016</w:t>
            </w:r>
          </w:p>
        </w:tc>
        <w:tc>
          <w:tcPr>
            <w:tcW w:w="2596" w:type="dxa"/>
            <w:vAlign w:val="center"/>
          </w:tcPr>
          <w:p w14:paraId="23D50FCE" w14:textId="0A2CC37B" w:rsidR="005D47F5" w:rsidRPr="002B015E" w:rsidRDefault="005D47F5" w:rsidP="004F68E2">
            <w:pPr>
              <w:spacing w:line="300" w:lineRule="atLeast"/>
              <w:jc w:val="center"/>
              <w:rPr>
                <w:rFonts w:ascii="Arial" w:hAnsi="Arial" w:cs="Arial"/>
                <w:sz w:val="16"/>
                <w:szCs w:val="16"/>
              </w:rPr>
            </w:pPr>
            <w:r>
              <w:rPr>
                <w:rFonts w:ascii="Arial" w:hAnsi="Arial" w:cs="Arial"/>
                <w:sz w:val="16"/>
                <w:szCs w:val="16"/>
              </w:rPr>
              <w:t>9581</w:t>
            </w:r>
          </w:p>
        </w:tc>
        <w:tc>
          <w:tcPr>
            <w:tcW w:w="2859" w:type="dxa"/>
            <w:vAlign w:val="center"/>
          </w:tcPr>
          <w:p w14:paraId="3FCC1FB0" w14:textId="1B6D815A" w:rsidR="005D47F5" w:rsidRPr="002B015E" w:rsidRDefault="005D47F5" w:rsidP="00873512">
            <w:pPr>
              <w:spacing w:line="300" w:lineRule="atLeast"/>
              <w:jc w:val="center"/>
              <w:rPr>
                <w:rFonts w:ascii="Arial" w:hAnsi="Arial" w:cs="Arial"/>
                <w:sz w:val="16"/>
                <w:szCs w:val="16"/>
              </w:rPr>
            </w:pPr>
            <w:r w:rsidRPr="002B015E">
              <w:rPr>
                <w:rFonts w:ascii="Arial" w:hAnsi="Arial" w:cs="Arial"/>
                <w:sz w:val="16"/>
                <w:szCs w:val="16"/>
              </w:rPr>
              <w:t>1.5</w:t>
            </w:r>
          </w:p>
        </w:tc>
        <w:tc>
          <w:tcPr>
            <w:tcW w:w="2736" w:type="dxa"/>
            <w:vAlign w:val="center"/>
          </w:tcPr>
          <w:p w14:paraId="14E87237" w14:textId="79D3C149" w:rsidR="005D47F5" w:rsidRPr="002B015E" w:rsidRDefault="005D47F5" w:rsidP="00873512">
            <w:pPr>
              <w:spacing w:line="300" w:lineRule="atLeast"/>
              <w:jc w:val="center"/>
              <w:rPr>
                <w:rFonts w:ascii="Arial" w:hAnsi="Arial" w:cs="Arial"/>
                <w:sz w:val="16"/>
                <w:szCs w:val="16"/>
              </w:rPr>
            </w:pPr>
            <w:r>
              <w:rPr>
                <w:rFonts w:ascii="Arial" w:hAnsi="Arial" w:cs="Arial"/>
                <w:sz w:val="16"/>
                <w:szCs w:val="16"/>
              </w:rPr>
              <w:t>0.0144</w:t>
            </w:r>
          </w:p>
        </w:tc>
      </w:tr>
      <w:tr w:rsidR="00FF5FDE" w:rsidRPr="00C20F3E" w14:paraId="3AF48A1C" w14:textId="77777777" w:rsidTr="00E95BD6">
        <w:tc>
          <w:tcPr>
            <w:tcW w:w="870" w:type="dxa"/>
            <w:vAlign w:val="center"/>
          </w:tcPr>
          <w:p w14:paraId="112DD033" w14:textId="7BB67BBD" w:rsidR="00FF5FDE" w:rsidRDefault="00FF5FDE" w:rsidP="004F68E2">
            <w:pPr>
              <w:spacing w:line="300" w:lineRule="atLeast"/>
              <w:jc w:val="both"/>
              <w:rPr>
                <w:rFonts w:ascii="Arial" w:hAnsi="Arial" w:cs="Arial"/>
                <w:b/>
                <w:sz w:val="16"/>
                <w:szCs w:val="16"/>
              </w:rPr>
            </w:pPr>
            <w:r>
              <w:rPr>
                <w:rFonts w:ascii="Arial" w:hAnsi="Arial" w:cs="Arial"/>
                <w:b/>
                <w:sz w:val="16"/>
                <w:szCs w:val="16"/>
              </w:rPr>
              <w:t>2020</w:t>
            </w:r>
          </w:p>
        </w:tc>
        <w:tc>
          <w:tcPr>
            <w:tcW w:w="2596" w:type="dxa"/>
            <w:vAlign w:val="center"/>
          </w:tcPr>
          <w:p w14:paraId="2598F33F" w14:textId="1DE1CF88" w:rsidR="00FF5FDE" w:rsidRDefault="00FF5FDE" w:rsidP="004F68E2">
            <w:pPr>
              <w:spacing w:line="300" w:lineRule="atLeast"/>
              <w:jc w:val="center"/>
              <w:rPr>
                <w:rFonts w:ascii="Arial" w:hAnsi="Arial" w:cs="Arial"/>
                <w:sz w:val="16"/>
                <w:szCs w:val="16"/>
              </w:rPr>
            </w:pPr>
            <w:r>
              <w:rPr>
                <w:rFonts w:ascii="Arial" w:hAnsi="Arial" w:cs="Arial"/>
                <w:sz w:val="16"/>
                <w:szCs w:val="16"/>
              </w:rPr>
              <w:t>10,824</w:t>
            </w:r>
          </w:p>
        </w:tc>
        <w:tc>
          <w:tcPr>
            <w:tcW w:w="2859" w:type="dxa"/>
            <w:vAlign w:val="center"/>
          </w:tcPr>
          <w:p w14:paraId="77B86CA2" w14:textId="3DD52CFC" w:rsidR="00FF5FDE" w:rsidRPr="002B015E" w:rsidRDefault="00FF5FDE" w:rsidP="00873512">
            <w:pPr>
              <w:spacing w:line="300" w:lineRule="atLeast"/>
              <w:jc w:val="center"/>
              <w:rPr>
                <w:rFonts w:ascii="Arial" w:hAnsi="Arial" w:cs="Arial"/>
                <w:sz w:val="16"/>
                <w:szCs w:val="16"/>
              </w:rPr>
            </w:pPr>
            <w:r>
              <w:rPr>
                <w:rFonts w:ascii="Arial" w:hAnsi="Arial" w:cs="Arial"/>
                <w:sz w:val="16"/>
                <w:szCs w:val="16"/>
              </w:rPr>
              <w:t>1.5</w:t>
            </w:r>
          </w:p>
        </w:tc>
        <w:tc>
          <w:tcPr>
            <w:tcW w:w="2736" w:type="dxa"/>
            <w:vAlign w:val="center"/>
          </w:tcPr>
          <w:p w14:paraId="792C7E41" w14:textId="349CC2C8" w:rsidR="00FF5FDE" w:rsidRDefault="00FF5FDE" w:rsidP="00873512">
            <w:pPr>
              <w:spacing w:line="300" w:lineRule="atLeast"/>
              <w:jc w:val="center"/>
              <w:rPr>
                <w:rFonts w:ascii="Arial" w:hAnsi="Arial" w:cs="Arial"/>
                <w:sz w:val="16"/>
                <w:szCs w:val="16"/>
              </w:rPr>
            </w:pPr>
            <w:r>
              <w:rPr>
                <w:rFonts w:ascii="Arial" w:hAnsi="Arial" w:cs="Arial"/>
                <w:sz w:val="16"/>
                <w:szCs w:val="16"/>
              </w:rPr>
              <w:t>0.0162</w:t>
            </w:r>
          </w:p>
        </w:tc>
      </w:tr>
    </w:tbl>
    <w:p w14:paraId="232E1D8A" w14:textId="28AE1C97" w:rsidR="00E83267" w:rsidRPr="005965A5" w:rsidRDefault="00E83267" w:rsidP="00E83267">
      <w:pPr>
        <w:spacing w:before="240" w:line="300" w:lineRule="atLeast"/>
        <w:jc w:val="both"/>
        <w:rPr>
          <w:rFonts w:ascii="Arial" w:hAnsi="Arial" w:cs="Arial"/>
          <w:b/>
          <w:szCs w:val="18"/>
        </w:rPr>
      </w:pPr>
      <w:r w:rsidRPr="005965A5">
        <w:rPr>
          <w:rFonts w:ascii="Arial" w:hAnsi="Arial" w:cs="Arial"/>
          <w:b/>
          <w:szCs w:val="18"/>
        </w:rPr>
        <w:t xml:space="preserve">Certainty assessment for </w:t>
      </w:r>
      <w:r w:rsidR="00FF5FDE">
        <w:rPr>
          <w:rFonts w:ascii="Arial" w:hAnsi="Arial" w:cs="Arial"/>
          <w:b/>
          <w:szCs w:val="18"/>
        </w:rPr>
        <w:t>2020</w:t>
      </w:r>
    </w:p>
    <w:p w14:paraId="3B2FF6E6" w14:textId="77777777" w:rsidR="00E83267" w:rsidRPr="00C20F3E" w:rsidRDefault="00E83267" w:rsidP="00054FAA">
      <w:pPr>
        <w:spacing w:after="0" w:line="300" w:lineRule="atLeast"/>
        <w:jc w:val="both"/>
        <w:rPr>
          <w:szCs w:val="18"/>
        </w:rPr>
      </w:pPr>
      <w:r w:rsidRPr="00C20F3E">
        <w:rPr>
          <w:szCs w:val="18"/>
        </w:rPr>
        <w:t xml:space="preserve">Activity data: </w:t>
      </w:r>
      <w:r w:rsidRPr="00C20F3E">
        <w:rPr>
          <w:szCs w:val="18"/>
        </w:rPr>
        <w:tab/>
        <w:t xml:space="preserve">High (because it is based on </w:t>
      </w:r>
      <w:r>
        <w:rPr>
          <w:szCs w:val="18"/>
        </w:rPr>
        <w:t>national</w:t>
      </w:r>
      <w:r w:rsidRPr="00C20F3E">
        <w:rPr>
          <w:szCs w:val="18"/>
        </w:rPr>
        <w:t xml:space="preserve"> fuel consumption data)</w:t>
      </w:r>
    </w:p>
    <w:p w14:paraId="3A1F9F23" w14:textId="77777777" w:rsidR="00E83267" w:rsidRPr="00C20F3E" w:rsidRDefault="00E83267" w:rsidP="00054FAA">
      <w:pPr>
        <w:spacing w:after="0" w:line="300" w:lineRule="atLeast"/>
        <w:jc w:val="both"/>
        <w:rPr>
          <w:szCs w:val="18"/>
        </w:rPr>
      </w:pPr>
      <w:r w:rsidRPr="00C20F3E">
        <w:rPr>
          <w:szCs w:val="18"/>
        </w:rPr>
        <w:t xml:space="preserve">Emission factor: </w:t>
      </w:r>
      <w:r w:rsidRPr="00C20F3E">
        <w:rPr>
          <w:szCs w:val="18"/>
        </w:rPr>
        <w:tab/>
        <w:t>Low (because it is based on the Toolkit default factors)</w:t>
      </w:r>
    </w:p>
    <w:p w14:paraId="2692C56E" w14:textId="77777777" w:rsidR="005F6D6C" w:rsidRDefault="00865C28" w:rsidP="00261F78">
      <w:pPr>
        <w:pStyle w:val="Heading2"/>
        <w:rPr>
          <w:rFonts w:eastAsia="Calibri"/>
        </w:rPr>
      </w:pPr>
      <w:bookmarkStart w:id="219" w:name="_Toc358573511"/>
      <w:bookmarkStart w:id="220" w:name="_Toc112768102"/>
      <w:r w:rsidRPr="00B8695D">
        <w:rPr>
          <w:rFonts w:eastAsia="Calibri"/>
        </w:rPr>
        <w:lastRenderedPageBreak/>
        <w:t xml:space="preserve">Summary </w:t>
      </w:r>
      <w:r>
        <w:rPr>
          <w:rFonts w:eastAsia="Calibri"/>
        </w:rPr>
        <w:t xml:space="preserve">for this </w:t>
      </w:r>
      <w:r w:rsidRPr="00B8695D">
        <w:rPr>
          <w:rFonts w:eastAsia="Calibri"/>
        </w:rPr>
        <w:t>catego</w:t>
      </w:r>
      <w:r w:rsidR="00B8695D" w:rsidRPr="00B8695D">
        <w:rPr>
          <w:rFonts w:eastAsia="Calibri"/>
        </w:rPr>
        <w:t>ry</w:t>
      </w:r>
      <w:bookmarkEnd w:id="219"/>
      <w:bookmarkEnd w:id="220"/>
      <w:r w:rsidR="00B8695D" w:rsidRPr="00B8695D">
        <w:rPr>
          <w:rFonts w:eastAsia="Calibri"/>
        </w:rPr>
        <w:t xml:space="preserve"> </w:t>
      </w:r>
    </w:p>
    <w:p w14:paraId="67ACDB4C" w14:textId="64731ECB" w:rsidR="007D30EE" w:rsidRDefault="00A053D8" w:rsidP="007D30EE">
      <w:pPr>
        <w:spacing w:line="300" w:lineRule="atLeast"/>
        <w:jc w:val="both"/>
        <w:rPr>
          <w:rFonts w:eastAsia="Calibri"/>
          <w:szCs w:val="22"/>
        </w:rPr>
      </w:pPr>
      <w:r>
        <w:rPr>
          <w:rFonts w:eastAsia="Calibri"/>
          <w:szCs w:val="22"/>
        </w:rPr>
        <w:t xml:space="preserve">The </w:t>
      </w:r>
      <w:r w:rsidR="009773BA">
        <w:rPr>
          <w:rFonts w:eastAsia="Calibri"/>
          <w:szCs w:val="22"/>
        </w:rPr>
        <w:t>2020</w:t>
      </w:r>
      <w:r w:rsidR="007D30EE">
        <w:rPr>
          <w:rFonts w:eastAsia="Calibri"/>
          <w:szCs w:val="22"/>
        </w:rPr>
        <w:t xml:space="preserve"> release estimates for </w:t>
      </w:r>
      <w:r w:rsidR="003944FA">
        <w:rPr>
          <w:rFonts w:eastAsia="Calibri"/>
          <w:szCs w:val="22"/>
        </w:rPr>
        <w:t xml:space="preserve">heat and power generation </w:t>
      </w:r>
      <w:r w:rsidR="007D30EE">
        <w:rPr>
          <w:rFonts w:eastAsia="Calibri"/>
          <w:szCs w:val="22"/>
        </w:rPr>
        <w:t xml:space="preserve">are summarised in </w:t>
      </w:r>
      <w:r w:rsidR="00146BA4" w:rsidRPr="00146BA4">
        <w:rPr>
          <w:rFonts w:eastAsia="Calibri"/>
          <w:szCs w:val="22"/>
        </w:rPr>
        <w:fldChar w:fldCharType="begin"/>
      </w:r>
      <w:r w:rsidR="00146BA4" w:rsidRPr="00146BA4">
        <w:rPr>
          <w:rFonts w:eastAsia="Calibri"/>
          <w:szCs w:val="22"/>
        </w:rPr>
        <w:instrText xml:space="preserve"> REF _Ref359746191 \h  \* MERGEFORMAT </w:instrText>
      </w:r>
      <w:r w:rsidR="00146BA4" w:rsidRPr="00146BA4">
        <w:rPr>
          <w:rFonts w:eastAsia="Calibri"/>
          <w:szCs w:val="22"/>
        </w:rPr>
      </w:r>
      <w:r w:rsidR="00146BA4" w:rsidRPr="00146BA4">
        <w:rPr>
          <w:rFonts w:eastAsia="Calibri"/>
          <w:szCs w:val="22"/>
        </w:rPr>
        <w:fldChar w:fldCharType="separate"/>
      </w:r>
      <w:r w:rsidR="00141D7F" w:rsidRPr="00141D7F">
        <w:t xml:space="preserve">Table </w:t>
      </w:r>
      <w:r w:rsidR="00141D7F" w:rsidRPr="00141D7F">
        <w:rPr>
          <w:noProof/>
        </w:rPr>
        <w:t>5</w:t>
      </w:r>
      <w:r w:rsidR="00141D7F" w:rsidRPr="00141D7F">
        <w:rPr>
          <w:noProof/>
        </w:rPr>
        <w:noBreakHyphen/>
        <w:t>12</w:t>
      </w:r>
      <w:r w:rsidR="00146BA4" w:rsidRPr="00146BA4">
        <w:rPr>
          <w:rFonts w:eastAsia="Calibri"/>
          <w:szCs w:val="22"/>
        </w:rPr>
        <w:fldChar w:fldCharType="end"/>
      </w:r>
      <w:r w:rsidR="008C0596" w:rsidRPr="008C0596">
        <w:rPr>
          <w:rFonts w:eastAsia="Calibri"/>
          <w:szCs w:val="22"/>
        </w:rPr>
        <w:t xml:space="preserve">, along with the </w:t>
      </w:r>
      <w:r>
        <w:rPr>
          <w:rFonts w:eastAsia="Calibri"/>
          <w:szCs w:val="22"/>
        </w:rPr>
        <w:t>totals for 2012</w:t>
      </w:r>
      <w:r w:rsidR="00054FAA">
        <w:rPr>
          <w:rFonts w:eastAsia="Calibri"/>
          <w:szCs w:val="22"/>
        </w:rPr>
        <w:t xml:space="preserve"> and 20</w:t>
      </w:r>
      <w:r w:rsidR="00FF5FDE">
        <w:rPr>
          <w:rFonts w:eastAsia="Calibri"/>
          <w:szCs w:val="22"/>
        </w:rPr>
        <w:t>16</w:t>
      </w:r>
      <w:r w:rsidR="00146BA4">
        <w:rPr>
          <w:rFonts w:eastAsia="Calibri"/>
          <w:szCs w:val="22"/>
        </w:rPr>
        <w:t>.</w:t>
      </w:r>
    </w:p>
    <w:p w14:paraId="6D65DBFE" w14:textId="0500FCF4" w:rsidR="007D30EE" w:rsidRPr="007901FE" w:rsidRDefault="00146BA4" w:rsidP="00101AA8">
      <w:pPr>
        <w:pStyle w:val="Caption"/>
        <w:jc w:val="left"/>
        <w:rPr>
          <w:rFonts w:cs="Arial"/>
          <w:szCs w:val="18"/>
        </w:rPr>
      </w:pPr>
      <w:bookmarkStart w:id="221" w:name="_Ref359746191"/>
      <w:r w:rsidRPr="00146BA4">
        <w:rPr>
          <w:rFonts w:cs="Arial"/>
        </w:rPr>
        <w:t xml:space="preserve">Table </w:t>
      </w:r>
      <w:r w:rsidR="00C17BA5">
        <w:rPr>
          <w:rFonts w:cs="Arial"/>
        </w:rPr>
        <w:fldChar w:fldCharType="begin"/>
      </w:r>
      <w:r w:rsidR="00C17BA5">
        <w:rPr>
          <w:rFonts w:cs="Arial"/>
        </w:rPr>
        <w:instrText xml:space="preserve"> STYLEREF 1 \s </w:instrText>
      </w:r>
      <w:r w:rsidR="00C17BA5">
        <w:rPr>
          <w:rFonts w:cs="Arial"/>
        </w:rPr>
        <w:fldChar w:fldCharType="separate"/>
      </w:r>
      <w:r w:rsidR="00141D7F">
        <w:rPr>
          <w:rFonts w:cs="Arial"/>
          <w:noProof/>
        </w:rPr>
        <w:t>5</w:t>
      </w:r>
      <w:r w:rsidR="00C17BA5">
        <w:rPr>
          <w:rFonts w:cs="Arial"/>
        </w:rPr>
        <w:fldChar w:fldCharType="end"/>
      </w:r>
      <w:r w:rsidR="00C17BA5">
        <w:rPr>
          <w:rFonts w:cs="Arial"/>
        </w:rPr>
        <w:noBreakHyphen/>
      </w:r>
      <w:r w:rsidR="00C17BA5">
        <w:rPr>
          <w:rFonts w:cs="Arial"/>
        </w:rPr>
        <w:fldChar w:fldCharType="begin"/>
      </w:r>
      <w:r w:rsidR="00C17BA5">
        <w:rPr>
          <w:rFonts w:cs="Arial"/>
        </w:rPr>
        <w:instrText xml:space="preserve"> SEQ Table \* ARABIC \s 1 </w:instrText>
      </w:r>
      <w:r w:rsidR="00C17BA5">
        <w:rPr>
          <w:rFonts w:cs="Arial"/>
        </w:rPr>
        <w:fldChar w:fldCharType="separate"/>
      </w:r>
      <w:r w:rsidR="00141D7F">
        <w:rPr>
          <w:rFonts w:cs="Arial"/>
          <w:noProof/>
        </w:rPr>
        <w:t>12</w:t>
      </w:r>
      <w:r w:rsidR="00C17BA5">
        <w:rPr>
          <w:rFonts w:cs="Arial"/>
        </w:rPr>
        <w:fldChar w:fldCharType="end"/>
      </w:r>
      <w:bookmarkEnd w:id="221"/>
      <w:r w:rsidR="007D30EE" w:rsidRPr="00984033">
        <w:rPr>
          <w:rFonts w:cs="Arial"/>
        </w:rPr>
        <w:t>:</w:t>
      </w:r>
      <w:r w:rsidR="007D30EE" w:rsidRPr="007901FE">
        <w:rPr>
          <w:rFonts w:cs="Arial"/>
        </w:rPr>
        <w:t xml:space="preserve"> Summary of </w:t>
      </w:r>
      <w:r w:rsidR="001B692B" w:rsidRPr="001B692B">
        <w:rPr>
          <w:rFonts w:cs="Arial"/>
        </w:rPr>
        <w:t xml:space="preserve">the release estimates </w:t>
      </w:r>
      <w:r w:rsidR="007D30EE">
        <w:rPr>
          <w:rFonts w:cs="Arial"/>
        </w:rPr>
        <w:t xml:space="preserve">for </w:t>
      </w:r>
      <w:r w:rsidR="008857F9">
        <w:rPr>
          <w:rFonts w:cs="Arial"/>
        </w:rPr>
        <w:t>heat and power generation</w:t>
      </w:r>
    </w:p>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7D30EE" w:rsidRPr="007901FE" w14:paraId="0B2B48F2" w14:textId="77777777" w:rsidTr="0C34660A">
        <w:tc>
          <w:tcPr>
            <w:tcW w:w="3119" w:type="dxa"/>
            <w:vMerge w:val="restart"/>
            <w:vAlign w:val="center"/>
          </w:tcPr>
          <w:p w14:paraId="77B59EA6" w14:textId="77777777" w:rsidR="007D30EE" w:rsidRPr="004E3E02" w:rsidRDefault="007D30EE" w:rsidP="000F32F9">
            <w:pPr>
              <w:spacing w:before="120"/>
              <w:rPr>
                <w:rFonts w:ascii="Arial" w:hAnsi="Arial" w:cs="Arial"/>
                <w:b/>
                <w:sz w:val="16"/>
                <w:szCs w:val="16"/>
              </w:rPr>
            </w:pPr>
            <w:r w:rsidRPr="004E3E02">
              <w:rPr>
                <w:rFonts w:ascii="Arial" w:hAnsi="Arial" w:cs="Arial"/>
                <w:b/>
                <w:sz w:val="16"/>
                <w:szCs w:val="16"/>
              </w:rPr>
              <w:t>Category</w:t>
            </w:r>
          </w:p>
        </w:tc>
        <w:tc>
          <w:tcPr>
            <w:tcW w:w="6095" w:type="dxa"/>
            <w:gridSpan w:val="5"/>
            <w:vAlign w:val="center"/>
          </w:tcPr>
          <w:p w14:paraId="0D943E6B" w14:textId="5C7F3DBA" w:rsidR="007D30EE" w:rsidRPr="004E3E02" w:rsidRDefault="009773BA" w:rsidP="00287693">
            <w:pPr>
              <w:spacing w:before="120"/>
              <w:jc w:val="center"/>
              <w:rPr>
                <w:rFonts w:ascii="Arial" w:hAnsi="Arial" w:cs="Arial"/>
                <w:b/>
                <w:sz w:val="16"/>
                <w:szCs w:val="16"/>
              </w:rPr>
            </w:pPr>
            <w:r>
              <w:rPr>
                <w:rFonts w:ascii="Arial" w:hAnsi="Arial" w:cs="Arial"/>
                <w:b/>
                <w:sz w:val="16"/>
                <w:szCs w:val="16"/>
              </w:rPr>
              <w:t xml:space="preserve">2020 </w:t>
            </w:r>
            <w:r w:rsidR="00287693">
              <w:rPr>
                <w:rFonts w:ascii="Arial" w:hAnsi="Arial" w:cs="Arial"/>
                <w:b/>
                <w:sz w:val="16"/>
                <w:szCs w:val="16"/>
              </w:rPr>
              <w:t>dioxin</w:t>
            </w:r>
            <w:r w:rsidR="007D30EE">
              <w:rPr>
                <w:rFonts w:ascii="Arial" w:hAnsi="Arial" w:cs="Arial"/>
                <w:b/>
                <w:sz w:val="16"/>
                <w:szCs w:val="16"/>
              </w:rPr>
              <w:t xml:space="preserve"> releases (</w:t>
            </w:r>
            <w:r w:rsidR="007D30EE" w:rsidRPr="004E3E02">
              <w:rPr>
                <w:rFonts w:ascii="Arial" w:hAnsi="Arial" w:cs="Arial"/>
                <w:b/>
                <w:sz w:val="16"/>
                <w:szCs w:val="16"/>
              </w:rPr>
              <w:t>g</w:t>
            </w:r>
            <w:r w:rsidR="007D30EE">
              <w:rPr>
                <w:rFonts w:ascii="Arial" w:hAnsi="Arial" w:cs="Arial"/>
                <w:b/>
                <w:sz w:val="16"/>
                <w:szCs w:val="16"/>
              </w:rPr>
              <w:t xml:space="preserve"> </w:t>
            </w:r>
            <w:r w:rsidR="0009594D">
              <w:rPr>
                <w:rFonts w:ascii="Arial" w:hAnsi="Arial" w:cs="Arial"/>
                <w:b/>
                <w:sz w:val="16"/>
                <w:szCs w:val="16"/>
              </w:rPr>
              <w:t>TEQ</w:t>
            </w:r>
            <w:r w:rsidR="007D30EE" w:rsidRPr="004E3E02">
              <w:rPr>
                <w:rFonts w:ascii="Arial" w:hAnsi="Arial" w:cs="Arial"/>
                <w:b/>
                <w:sz w:val="16"/>
                <w:szCs w:val="16"/>
              </w:rPr>
              <w:t>/yr</w:t>
            </w:r>
            <w:r w:rsidR="007D30EE">
              <w:rPr>
                <w:rFonts w:ascii="Arial" w:hAnsi="Arial" w:cs="Arial"/>
                <w:b/>
                <w:sz w:val="16"/>
                <w:szCs w:val="16"/>
              </w:rPr>
              <w:t>)</w:t>
            </w:r>
          </w:p>
        </w:tc>
      </w:tr>
      <w:tr w:rsidR="007D30EE" w:rsidRPr="007901FE" w14:paraId="58D986F0" w14:textId="77777777" w:rsidTr="0C34660A">
        <w:tc>
          <w:tcPr>
            <w:tcW w:w="3119" w:type="dxa"/>
            <w:vMerge/>
            <w:vAlign w:val="center"/>
          </w:tcPr>
          <w:p w14:paraId="169A16A0" w14:textId="77777777" w:rsidR="007D30EE" w:rsidRPr="004E3E02" w:rsidRDefault="007D30EE" w:rsidP="000F32F9">
            <w:pPr>
              <w:spacing w:before="120"/>
              <w:rPr>
                <w:rFonts w:ascii="Arial" w:hAnsi="Arial" w:cs="Arial"/>
                <w:b/>
                <w:sz w:val="16"/>
                <w:szCs w:val="16"/>
              </w:rPr>
            </w:pPr>
          </w:p>
        </w:tc>
        <w:tc>
          <w:tcPr>
            <w:tcW w:w="1219" w:type="dxa"/>
            <w:vAlign w:val="center"/>
          </w:tcPr>
          <w:p w14:paraId="3062C022" w14:textId="77777777" w:rsidR="007D30EE" w:rsidRPr="004E3E02" w:rsidRDefault="007D30EE" w:rsidP="000F32F9">
            <w:pPr>
              <w:spacing w:before="120"/>
              <w:jc w:val="center"/>
              <w:rPr>
                <w:rFonts w:ascii="Arial" w:hAnsi="Arial" w:cs="Arial"/>
                <w:b/>
                <w:sz w:val="16"/>
                <w:szCs w:val="16"/>
              </w:rPr>
            </w:pPr>
            <w:r w:rsidRPr="004E3E02">
              <w:rPr>
                <w:rFonts w:ascii="Arial" w:hAnsi="Arial" w:cs="Arial"/>
                <w:b/>
                <w:sz w:val="16"/>
                <w:szCs w:val="16"/>
              </w:rPr>
              <w:t>Air</w:t>
            </w:r>
          </w:p>
        </w:tc>
        <w:tc>
          <w:tcPr>
            <w:tcW w:w="1219" w:type="dxa"/>
            <w:vAlign w:val="center"/>
          </w:tcPr>
          <w:p w14:paraId="5771A12E" w14:textId="77777777" w:rsidR="007D30EE" w:rsidRPr="004E3E02" w:rsidRDefault="007D30EE" w:rsidP="000F32F9">
            <w:pPr>
              <w:spacing w:before="120"/>
              <w:jc w:val="center"/>
              <w:rPr>
                <w:rFonts w:ascii="Arial" w:hAnsi="Arial" w:cs="Arial"/>
                <w:b/>
                <w:sz w:val="16"/>
                <w:szCs w:val="16"/>
              </w:rPr>
            </w:pPr>
            <w:r w:rsidRPr="004E3E02">
              <w:rPr>
                <w:rFonts w:ascii="Arial" w:hAnsi="Arial" w:cs="Arial"/>
                <w:b/>
                <w:sz w:val="16"/>
                <w:szCs w:val="16"/>
              </w:rPr>
              <w:t>Water</w:t>
            </w:r>
          </w:p>
        </w:tc>
        <w:tc>
          <w:tcPr>
            <w:tcW w:w="1219" w:type="dxa"/>
            <w:vAlign w:val="center"/>
          </w:tcPr>
          <w:p w14:paraId="3D4150D5" w14:textId="77777777" w:rsidR="007D30EE" w:rsidRPr="004E3E02" w:rsidRDefault="007D30EE" w:rsidP="000F32F9">
            <w:pPr>
              <w:spacing w:before="120"/>
              <w:jc w:val="center"/>
              <w:rPr>
                <w:rFonts w:ascii="Arial" w:hAnsi="Arial" w:cs="Arial"/>
                <w:b/>
                <w:sz w:val="16"/>
                <w:szCs w:val="16"/>
              </w:rPr>
            </w:pPr>
            <w:r w:rsidRPr="004E3E02">
              <w:rPr>
                <w:rFonts w:ascii="Arial" w:hAnsi="Arial" w:cs="Arial"/>
                <w:b/>
                <w:sz w:val="16"/>
                <w:szCs w:val="16"/>
              </w:rPr>
              <w:t>Land</w:t>
            </w:r>
          </w:p>
        </w:tc>
        <w:tc>
          <w:tcPr>
            <w:tcW w:w="1219" w:type="dxa"/>
            <w:vAlign w:val="center"/>
          </w:tcPr>
          <w:p w14:paraId="0DC6BD2B" w14:textId="77777777" w:rsidR="007D30EE" w:rsidRPr="004E3E02" w:rsidRDefault="007D30EE" w:rsidP="000F32F9">
            <w:pPr>
              <w:spacing w:before="120"/>
              <w:jc w:val="center"/>
              <w:rPr>
                <w:rFonts w:ascii="Arial" w:hAnsi="Arial" w:cs="Arial"/>
                <w:b/>
                <w:sz w:val="16"/>
                <w:szCs w:val="16"/>
              </w:rPr>
            </w:pPr>
            <w:r w:rsidRPr="004E3E02">
              <w:rPr>
                <w:rFonts w:ascii="Arial" w:hAnsi="Arial" w:cs="Arial"/>
                <w:b/>
                <w:sz w:val="16"/>
                <w:szCs w:val="16"/>
              </w:rPr>
              <w:t>Product</w:t>
            </w:r>
          </w:p>
        </w:tc>
        <w:tc>
          <w:tcPr>
            <w:tcW w:w="1219" w:type="dxa"/>
            <w:vAlign w:val="center"/>
          </w:tcPr>
          <w:p w14:paraId="1C53E088" w14:textId="77777777" w:rsidR="007D30EE" w:rsidRPr="004E3E02" w:rsidRDefault="007D30EE" w:rsidP="000F32F9">
            <w:pPr>
              <w:spacing w:before="120"/>
              <w:jc w:val="center"/>
              <w:rPr>
                <w:rFonts w:ascii="Arial" w:hAnsi="Arial" w:cs="Arial"/>
                <w:b/>
                <w:sz w:val="16"/>
                <w:szCs w:val="16"/>
              </w:rPr>
            </w:pPr>
            <w:r>
              <w:rPr>
                <w:rFonts w:ascii="Arial" w:hAnsi="Arial" w:cs="Arial"/>
                <w:b/>
                <w:sz w:val="16"/>
                <w:szCs w:val="16"/>
              </w:rPr>
              <w:t>Residue</w:t>
            </w:r>
          </w:p>
        </w:tc>
      </w:tr>
      <w:tr w:rsidR="007D30EE" w:rsidRPr="007901FE" w14:paraId="0B9A4C6B" w14:textId="77777777" w:rsidTr="0C34660A">
        <w:tc>
          <w:tcPr>
            <w:tcW w:w="3119" w:type="dxa"/>
            <w:vAlign w:val="center"/>
          </w:tcPr>
          <w:p w14:paraId="2C1A949B" w14:textId="1198F1C9" w:rsidR="007D30EE" w:rsidRPr="004901F2" w:rsidRDefault="003944FA" w:rsidP="000F32F9">
            <w:pPr>
              <w:spacing w:before="120"/>
              <w:rPr>
                <w:rFonts w:ascii="Arial" w:hAnsi="Arial" w:cs="Arial"/>
                <w:sz w:val="16"/>
                <w:szCs w:val="16"/>
              </w:rPr>
            </w:pPr>
            <w:r>
              <w:rPr>
                <w:rFonts w:ascii="Arial" w:hAnsi="Arial" w:cs="Arial"/>
                <w:sz w:val="16"/>
                <w:szCs w:val="16"/>
              </w:rPr>
              <w:t xml:space="preserve">Coal-fired </w:t>
            </w:r>
            <w:r w:rsidR="00340508">
              <w:rPr>
                <w:rFonts w:ascii="Arial" w:hAnsi="Arial" w:cs="Arial"/>
                <w:sz w:val="16"/>
                <w:szCs w:val="16"/>
              </w:rPr>
              <w:t xml:space="preserve">power plants: </w:t>
            </w:r>
            <w:r>
              <w:rPr>
                <w:rFonts w:ascii="Arial" w:hAnsi="Arial" w:cs="Arial"/>
                <w:sz w:val="16"/>
                <w:szCs w:val="16"/>
              </w:rPr>
              <w:t>electricity generation</w:t>
            </w:r>
          </w:p>
        </w:tc>
        <w:tc>
          <w:tcPr>
            <w:tcW w:w="1219" w:type="dxa"/>
            <w:vAlign w:val="center"/>
          </w:tcPr>
          <w:p w14:paraId="12C3DBF9" w14:textId="468819FE" w:rsidR="007D30EE" w:rsidRPr="0015287D" w:rsidRDefault="00D16B88" w:rsidP="00601FEE">
            <w:pPr>
              <w:spacing w:before="120"/>
              <w:jc w:val="center"/>
              <w:rPr>
                <w:rFonts w:ascii="Arial" w:hAnsi="Arial" w:cs="Arial"/>
                <w:sz w:val="16"/>
                <w:szCs w:val="16"/>
              </w:rPr>
            </w:pPr>
            <w:r>
              <w:rPr>
                <w:rFonts w:ascii="Arial" w:hAnsi="Arial" w:cs="Arial"/>
                <w:sz w:val="16"/>
                <w:szCs w:val="16"/>
              </w:rPr>
              <w:t>0.195</w:t>
            </w:r>
          </w:p>
        </w:tc>
        <w:tc>
          <w:tcPr>
            <w:tcW w:w="1219" w:type="dxa"/>
            <w:vAlign w:val="center"/>
          </w:tcPr>
          <w:p w14:paraId="7EDA94E1" w14:textId="77777777" w:rsidR="007D30EE" w:rsidRPr="0015287D" w:rsidRDefault="003944FA" w:rsidP="000F32F9">
            <w:pPr>
              <w:spacing w:before="120"/>
              <w:jc w:val="center"/>
              <w:rPr>
                <w:rFonts w:ascii="Arial" w:hAnsi="Arial" w:cs="Arial"/>
                <w:sz w:val="16"/>
                <w:szCs w:val="16"/>
              </w:rPr>
            </w:pPr>
            <w:r w:rsidRPr="0015287D">
              <w:rPr>
                <w:rFonts w:ascii="Arial" w:hAnsi="Arial" w:cs="Arial"/>
                <w:sz w:val="16"/>
                <w:szCs w:val="16"/>
              </w:rPr>
              <w:t>-</w:t>
            </w:r>
          </w:p>
        </w:tc>
        <w:tc>
          <w:tcPr>
            <w:tcW w:w="1219" w:type="dxa"/>
            <w:vAlign w:val="center"/>
          </w:tcPr>
          <w:p w14:paraId="228E6923" w14:textId="635B2EBD" w:rsidR="007D30EE" w:rsidRPr="0015287D" w:rsidRDefault="00D16B88" w:rsidP="00601FEE">
            <w:pPr>
              <w:spacing w:before="120"/>
              <w:jc w:val="center"/>
              <w:rPr>
                <w:rFonts w:ascii="Arial" w:hAnsi="Arial" w:cs="Arial"/>
                <w:sz w:val="16"/>
                <w:szCs w:val="16"/>
              </w:rPr>
            </w:pPr>
            <w:r>
              <w:rPr>
                <w:rFonts w:ascii="Arial" w:hAnsi="Arial" w:cs="Arial"/>
                <w:sz w:val="16"/>
                <w:szCs w:val="16"/>
              </w:rPr>
              <w:t>0.273</w:t>
            </w:r>
          </w:p>
        </w:tc>
        <w:tc>
          <w:tcPr>
            <w:tcW w:w="1219" w:type="dxa"/>
            <w:vAlign w:val="center"/>
          </w:tcPr>
          <w:p w14:paraId="4C641EAF" w14:textId="77777777" w:rsidR="007D30EE" w:rsidRPr="0015287D" w:rsidRDefault="003944FA" w:rsidP="000F32F9">
            <w:pPr>
              <w:spacing w:before="120"/>
              <w:jc w:val="center"/>
              <w:rPr>
                <w:rFonts w:ascii="Arial" w:hAnsi="Arial" w:cs="Arial"/>
                <w:sz w:val="16"/>
                <w:szCs w:val="16"/>
              </w:rPr>
            </w:pPr>
            <w:r w:rsidRPr="0015287D">
              <w:rPr>
                <w:rFonts w:ascii="Arial" w:hAnsi="Arial" w:cs="Arial"/>
                <w:sz w:val="16"/>
                <w:szCs w:val="16"/>
              </w:rPr>
              <w:t>-</w:t>
            </w:r>
          </w:p>
        </w:tc>
        <w:tc>
          <w:tcPr>
            <w:tcW w:w="1219" w:type="dxa"/>
            <w:vAlign w:val="center"/>
          </w:tcPr>
          <w:p w14:paraId="37F9F78A" w14:textId="77777777" w:rsidR="007D30EE" w:rsidRPr="0015287D" w:rsidRDefault="003944FA" w:rsidP="000F32F9">
            <w:pPr>
              <w:spacing w:before="120"/>
              <w:jc w:val="center"/>
              <w:rPr>
                <w:rFonts w:ascii="Arial" w:hAnsi="Arial" w:cs="Arial"/>
                <w:sz w:val="16"/>
                <w:szCs w:val="16"/>
              </w:rPr>
            </w:pPr>
            <w:r w:rsidRPr="0015287D">
              <w:rPr>
                <w:rFonts w:ascii="Arial" w:hAnsi="Arial" w:cs="Arial"/>
                <w:sz w:val="16"/>
                <w:szCs w:val="16"/>
              </w:rPr>
              <w:t>-</w:t>
            </w:r>
          </w:p>
        </w:tc>
      </w:tr>
      <w:tr w:rsidR="007D30EE" w:rsidRPr="007901FE" w14:paraId="3E123F8C" w14:textId="77777777" w:rsidTr="0C34660A">
        <w:tc>
          <w:tcPr>
            <w:tcW w:w="3119" w:type="dxa"/>
            <w:vAlign w:val="center"/>
          </w:tcPr>
          <w:p w14:paraId="39724BD6" w14:textId="480AF8E7" w:rsidR="007D30EE" w:rsidRPr="004901F2" w:rsidRDefault="00340508" w:rsidP="000F32F9">
            <w:pPr>
              <w:spacing w:before="120"/>
              <w:rPr>
                <w:rFonts w:ascii="Arial" w:hAnsi="Arial" w:cs="Arial"/>
                <w:sz w:val="16"/>
                <w:szCs w:val="16"/>
              </w:rPr>
            </w:pPr>
            <w:r>
              <w:rPr>
                <w:rFonts w:ascii="Arial" w:hAnsi="Arial" w:cs="Arial"/>
                <w:sz w:val="16"/>
                <w:szCs w:val="16"/>
              </w:rPr>
              <w:t xml:space="preserve">Coal-fired power plants: </w:t>
            </w:r>
            <w:r w:rsidR="00877794">
              <w:rPr>
                <w:rFonts w:ascii="Arial" w:hAnsi="Arial" w:cs="Arial"/>
                <w:sz w:val="16"/>
                <w:szCs w:val="16"/>
              </w:rPr>
              <w:t>Industrial</w:t>
            </w:r>
            <w:r>
              <w:rPr>
                <w:rFonts w:ascii="Arial" w:hAnsi="Arial" w:cs="Arial"/>
                <w:sz w:val="16"/>
                <w:szCs w:val="16"/>
              </w:rPr>
              <w:t xml:space="preserve"> and </w:t>
            </w:r>
            <w:r w:rsidR="00877794">
              <w:rPr>
                <w:rFonts w:ascii="Arial" w:hAnsi="Arial" w:cs="Arial"/>
                <w:sz w:val="16"/>
                <w:szCs w:val="16"/>
              </w:rPr>
              <w:t>commercial</w:t>
            </w:r>
          </w:p>
        </w:tc>
        <w:tc>
          <w:tcPr>
            <w:tcW w:w="1219" w:type="dxa"/>
            <w:vAlign w:val="center"/>
          </w:tcPr>
          <w:p w14:paraId="70D41599" w14:textId="3C1CEDD0" w:rsidR="007D30EE" w:rsidRPr="0015287D" w:rsidRDefault="00D16B88" w:rsidP="000F32F9">
            <w:pPr>
              <w:spacing w:before="120"/>
              <w:jc w:val="center"/>
              <w:rPr>
                <w:rFonts w:ascii="Arial" w:hAnsi="Arial" w:cs="Arial"/>
                <w:sz w:val="16"/>
                <w:szCs w:val="16"/>
              </w:rPr>
            </w:pPr>
            <w:r>
              <w:rPr>
                <w:rFonts w:ascii="Arial" w:hAnsi="Arial" w:cs="Arial"/>
                <w:sz w:val="16"/>
                <w:szCs w:val="16"/>
              </w:rPr>
              <w:t>1.053</w:t>
            </w:r>
          </w:p>
        </w:tc>
        <w:tc>
          <w:tcPr>
            <w:tcW w:w="1219" w:type="dxa"/>
            <w:vAlign w:val="center"/>
          </w:tcPr>
          <w:p w14:paraId="134D8C04" w14:textId="77777777" w:rsidR="007D30EE" w:rsidRPr="0015287D" w:rsidRDefault="00877794" w:rsidP="000F32F9">
            <w:pPr>
              <w:spacing w:before="120"/>
              <w:jc w:val="center"/>
              <w:rPr>
                <w:rFonts w:ascii="Arial" w:hAnsi="Arial" w:cs="Arial"/>
                <w:sz w:val="16"/>
                <w:szCs w:val="16"/>
              </w:rPr>
            </w:pPr>
            <w:r w:rsidRPr="0015287D">
              <w:rPr>
                <w:rFonts w:ascii="Arial" w:hAnsi="Arial" w:cs="Arial"/>
                <w:sz w:val="16"/>
                <w:szCs w:val="16"/>
              </w:rPr>
              <w:t>-</w:t>
            </w:r>
          </w:p>
        </w:tc>
        <w:tc>
          <w:tcPr>
            <w:tcW w:w="1219" w:type="dxa"/>
            <w:vAlign w:val="center"/>
          </w:tcPr>
          <w:p w14:paraId="21012BA1" w14:textId="77777777" w:rsidR="007D30EE" w:rsidRPr="0015287D" w:rsidRDefault="00877794" w:rsidP="000F32F9">
            <w:pPr>
              <w:spacing w:before="120"/>
              <w:jc w:val="center"/>
              <w:rPr>
                <w:rFonts w:ascii="Arial" w:hAnsi="Arial" w:cs="Arial"/>
                <w:sz w:val="16"/>
                <w:szCs w:val="16"/>
              </w:rPr>
            </w:pPr>
            <w:r w:rsidRPr="0015287D">
              <w:rPr>
                <w:rFonts w:ascii="Arial" w:hAnsi="Arial" w:cs="Arial"/>
                <w:sz w:val="16"/>
                <w:szCs w:val="16"/>
              </w:rPr>
              <w:t>-</w:t>
            </w:r>
          </w:p>
        </w:tc>
        <w:tc>
          <w:tcPr>
            <w:tcW w:w="1219" w:type="dxa"/>
            <w:vAlign w:val="center"/>
          </w:tcPr>
          <w:p w14:paraId="44F37F7A" w14:textId="77777777" w:rsidR="007D30EE" w:rsidRPr="0015287D" w:rsidRDefault="00877794" w:rsidP="000F32F9">
            <w:pPr>
              <w:spacing w:before="120"/>
              <w:jc w:val="center"/>
              <w:rPr>
                <w:rFonts w:ascii="Arial" w:hAnsi="Arial" w:cs="Arial"/>
                <w:sz w:val="16"/>
                <w:szCs w:val="16"/>
              </w:rPr>
            </w:pPr>
            <w:r w:rsidRPr="0015287D">
              <w:rPr>
                <w:rFonts w:ascii="Arial" w:hAnsi="Arial" w:cs="Arial"/>
                <w:sz w:val="16"/>
                <w:szCs w:val="16"/>
              </w:rPr>
              <w:t>-</w:t>
            </w:r>
          </w:p>
        </w:tc>
        <w:tc>
          <w:tcPr>
            <w:tcW w:w="1219" w:type="dxa"/>
            <w:vAlign w:val="center"/>
          </w:tcPr>
          <w:p w14:paraId="4C6E49CE" w14:textId="0AE0D0DE" w:rsidR="007D30EE" w:rsidRPr="0015287D" w:rsidRDefault="00D16B88" w:rsidP="000F32F9">
            <w:pPr>
              <w:spacing w:before="120"/>
              <w:jc w:val="center"/>
              <w:rPr>
                <w:rFonts w:ascii="Arial" w:hAnsi="Arial" w:cs="Arial"/>
                <w:sz w:val="16"/>
                <w:szCs w:val="16"/>
              </w:rPr>
            </w:pPr>
            <w:r>
              <w:rPr>
                <w:rFonts w:ascii="Arial" w:hAnsi="Arial" w:cs="Arial"/>
                <w:sz w:val="16"/>
                <w:szCs w:val="16"/>
              </w:rPr>
              <w:t>0.279</w:t>
            </w:r>
          </w:p>
        </w:tc>
      </w:tr>
      <w:tr w:rsidR="00146BA4" w:rsidRPr="007901FE" w14:paraId="727F82AC" w14:textId="77777777" w:rsidTr="0C34660A">
        <w:tc>
          <w:tcPr>
            <w:tcW w:w="3119" w:type="dxa"/>
            <w:vAlign w:val="center"/>
          </w:tcPr>
          <w:p w14:paraId="5D1CC449" w14:textId="77777777" w:rsidR="00146BA4" w:rsidRDefault="00877794" w:rsidP="00877794">
            <w:pPr>
              <w:spacing w:before="120"/>
              <w:rPr>
                <w:rFonts w:ascii="Arial" w:hAnsi="Arial" w:cs="Arial"/>
                <w:sz w:val="16"/>
                <w:szCs w:val="16"/>
              </w:rPr>
            </w:pPr>
            <w:r>
              <w:rPr>
                <w:rFonts w:ascii="Arial" w:hAnsi="Arial" w:cs="Arial"/>
                <w:sz w:val="16"/>
                <w:szCs w:val="16"/>
              </w:rPr>
              <w:t>Heavy fuel oil-fired power plants</w:t>
            </w:r>
          </w:p>
        </w:tc>
        <w:tc>
          <w:tcPr>
            <w:tcW w:w="1219" w:type="dxa"/>
            <w:vAlign w:val="center"/>
          </w:tcPr>
          <w:p w14:paraId="33A309F9" w14:textId="2E79E395" w:rsidR="00146BA4" w:rsidRPr="0023135D" w:rsidRDefault="00D16B88" w:rsidP="000F32F9">
            <w:pPr>
              <w:spacing w:before="120"/>
              <w:jc w:val="center"/>
              <w:rPr>
                <w:rFonts w:ascii="Arial" w:hAnsi="Arial" w:cs="Arial"/>
                <w:sz w:val="16"/>
                <w:szCs w:val="16"/>
                <w:highlight w:val="yellow"/>
              </w:rPr>
            </w:pPr>
            <w:r>
              <w:rPr>
                <w:rFonts w:ascii="Arial" w:hAnsi="Arial" w:cs="Arial"/>
                <w:sz w:val="16"/>
                <w:szCs w:val="16"/>
              </w:rPr>
              <w:t>0.0016</w:t>
            </w:r>
          </w:p>
        </w:tc>
        <w:tc>
          <w:tcPr>
            <w:tcW w:w="1219" w:type="dxa"/>
            <w:vAlign w:val="center"/>
          </w:tcPr>
          <w:p w14:paraId="10C26D0D"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0DDE4C2A"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241CA2D4"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799F6200"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r>
      <w:tr w:rsidR="00146BA4" w:rsidRPr="007901FE" w14:paraId="3F3EDFE2" w14:textId="77777777" w:rsidTr="0C34660A">
        <w:tc>
          <w:tcPr>
            <w:tcW w:w="3119" w:type="dxa"/>
            <w:vAlign w:val="center"/>
          </w:tcPr>
          <w:p w14:paraId="20C4F73F" w14:textId="664FD61E" w:rsidR="00146BA4" w:rsidRDefault="0039364E" w:rsidP="0039364E">
            <w:pPr>
              <w:spacing w:before="120"/>
              <w:rPr>
                <w:rFonts w:ascii="Arial" w:hAnsi="Arial" w:cs="Arial"/>
                <w:sz w:val="16"/>
                <w:szCs w:val="16"/>
              </w:rPr>
            </w:pPr>
            <w:r>
              <w:rPr>
                <w:rFonts w:ascii="Arial" w:hAnsi="Arial" w:cs="Arial"/>
                <w:sz w:val="16"/>
                <w:szCs w:val="16"/>
              </w:rPr>
              <w:t>Fuel oil</w:t>
            </w:r>
            <w:r w:rsidR="00340508">
              <w:rPr>
                <w:rFonts w:ascii="Arial" w:hAnsi="Arial" w:cs="Arial"/>
                <w:sz w:val="16"/>
                <w:szCs w:val="16"/>
              </w:rPr>
              <w:t xml:space="preserve"> and </w:t>
            </w:r>
            <w:r>
              <w:rPr>
                <w:rFonts w:ascii="Arial" w:hAnsi="Arial" w:cs="Arial"/>
                <w:sz w:val="16"/>
                <w:szCs w:val="16"/>
              </w:rPr>
              <w:t xml:space="preserve">gas-fired </w:t>
            </w:r>
            <w:r w:rsidR="00340508">
              <w:rPr>
                <w:rFonts w:ascii="Arial" w:hAnsi="Arial" w:cs="Arial"/>
                <w:sz w:val="16"/>
                <w:szCs w:val="16"/>
              </w:rPr>
              <w:t xml:space="preserve">power plants: </w:t>
            </w:r>
            <w:r>
              <w:rPr>
                <w:rFonts w:ascii="Arial" w:hAnsi="Arial" w:cs="Arial"/>
                <w:sz w:val="16"/>
                <w:szCs w:val="16"/>
              </w:rPr>
              <w:t>electricity generation</w:t>
            </w:r>
          </w:p>
        </w:tc>
        <w:tc>
          <w:tcPr>
            <w:tcW w:w="1219" w:type="dxa"/>
            <w:vAlign w:val="center"/>
          </w:tcPr>
          <w:p w14:paraId="3F4E01FB" w14:textId="17D1985B" w:rsidR="00146BA4" w:rsidRPr="00B36FE0" w:rsidRDefault="00D16B88" w:rsidP="000F32F9">
            <w:pPr>
              <w:spacing w:before="120"/>
              <w:jc w:val="center"/>
              <w:rPr>
                <w:rFonts w:ascii="Arial" w:hAnsi="Arial" w:cs="Arial"/>
                <w:sz w:val="16"/>
                <w:szCs w:val="16"/>
              </w:rPr>
            </w:pPr>
            <w:r>
              <w:rPr>
                <w:rFonts w:ascii="Arial" w:hAnsi="Arial" w:cs="Arial"/>
                <w:sz w:val="16"/>
                <w:szCs w:val="16"/>
              </w:rPr>
              <w:t>0.021</w:t>
            </w:r>
          </w:p>
        </w:tc>
        <w:tc>
          <w:tcPr>
            <w:tcW w:w="1219" w:type="dxa"/>
            <w:vAlign w:val="center"/>
          </w:tcPr>
          <w:p w14:paraId="2EAEC8B6"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0256AF62"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5292FE18"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6C2AC119"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r>
      <w:tr w:rsidR="00146BA4" w:rsidRPr="007901FE" w14:paraId="5397F302" w14:textId="77777777" w:rsidTr="0C34660A">
        <w:tc>
          <w:tcPr>
            <w:tcW w:w="3119" w:type="dxa"/>
            <w:vAlign w:val="center"/>
          </w:tcPr>
          <w:p w14:paraId="6A1FA80E" w14:textId="62A7F118" w:rsidR="00146BA4" w:rsidRDefault="0039364E" w:rsidP="000F32F9">
            <w:pPr>
              <w:spacing w:before="120"/>
              <w:rPr>
                <w:rFonts w:ascii="Arial" w:hAnsi="Arial" w:cs="Arial"/>
                <w:sz w:val="16"/>
                <w:szCs w:val="16"/>
              </w:rPr>
            </w:pPr>
            <w:r>
              <w:rPr>
                <w:rFonts w:ascii="Arial" w:hAnsi="Arial" w:cs="Arial"/>
                <w:sz w:val="16"/>
                <w:szCs w:val="16"/>
              </w:rPr>
              <w:t>Fuel oil and gas-fired power plants</w:t>
            </w:r>
            <w:r w:rsidR="00340508">
              <w:rPr>
                <w:rFonts w:ascii="Arial" w:hAnsi="Arial" w:cs="Arial"/>
                <w:sz w:val="16"/>
                <w:szCs w:val="16"/>
              </w:rPr>
              <w:t>: industrial and commercial</w:t>
            </w:r>
          </w:p>
        </w:tc>
        <w:tc>
          <w:tcPr>
            <w:tcW w:w="1219" w:type="dxa"/>
            <w:vAlign w:val="center"/>
          </w:tcPr>
          <w:p w14:paraId="5B7F21D0" w14:textId="56959DE3" w:rsidR="00146BA4" w:rsidRPr="00B36FE0" w:rsidRDefault="00D16B88" w:rsidP="000F32F9">
            <w:pPr>
              <w:spacing w:before="120"/>
              <w:jc w:val="center"/>
              <w:rPr>
                <w:rFonts w:ascii="Arial" w:hAnsi="Arial" w:cs="Arial"/>
                <w:sz w:val="16"/>
                <w:szCs w:val="16"/>
              </w:rPr>
            </w:pPr>
            <w:r>
              <w:rPr>
                <w:rFonts w:ascii="Arial" w:hAnsi="Arial" w:cs="Arial"/>
                <w:sz w:val="16"/>
                <w:szCs w:val="16"/>
              </w:rPr>
              <w:t>0.038</w:t>
            </w:r>
          </w:p>
        </w:tc>
        <w:tc>
          <w:tcPr>
            <w:tcW w:w="1219" w:type="dxa"/>
            <w:vAlign w:val="center"/>
          </w:tcPr>
          <w:p w14:paraId="374104A6"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545C3736"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70BEE376"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662925B1" w14:textId="77777777" w:rsidR="00146BA4"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r>
      <w:tr w:rsidR="007D30EE" w:rsidRPr="007901FE" w14:paraId="5AE22C7E" w14:textId="77777777" w:rsidTr="0C34660A">
        <w:tc>
          <w:tcPr>
            <w:tcW w:w="3119" w:type="dxa"/>
            <w:vAlign w:val="center"/>
          </w:tcPr>
          <w:p w14:paraId="0752694C" w14:textId="67FB814B" w:rsidR="007D30EE" w:rsidRPr="004901F2" w:rsidRDefault="007D30EE" w:rsidP="0039364E">
            <w:pPr>
              <w:spacing w:before="120"/>
              <w:rPr>
                <w:rFonts w:ascii="Arial" w:hAnsi="Arial" w:cs="Arial"/>
                <w:sz w:val="16"/>
                <w:szCs w:val="16"/>
              </w:rPr>
            </w:pPr>
            <w:r>
              <w:rPr>
                <w:rFonts w:ascii="Arial" w:hAnsi="Arial" w:cs="Arial"/>
                <w:sz w:val="16"/>
                <w:szCs w:val="16"/>
              </w:rPr>
              <w:t xml:space="preserve">Biomass </w:t>
            </w:r>
            <w:r w:rsidR="0039364E">
              <w:rPr>
                <w:rFonts w:ascii="Arial" w:hAnsi="Arial" w:cs="Arial"/>
                <w:sz w:val="16"/>
                <w:szCs w:val="16"/>
              </w:rPr>
              <w:t>power plants</w:t>
            </w:r>
          </w:p>
        </w:tc>
        <w:tc>
          <w:tcPr>
            <w:tcW w:w="1219" w:type="dxa"/>
            <w:vAlign w:val="center"/>
          </w:tcPr>
          <w:p w14:paraId="7F9E4CB7" w14:textId="4AE24645" w:rsidR="007D30EE" w:rsidRPr="00B36FE0" w:rsidRDefault="00D16B88" w:rsidP="000F32F9">
            <w:pPr>
              <w:spacing w:before="120"/>
              <w:jc w:val="center"/>
              <w:rPr>
                <w:rFonts w:ascii="Arial" w:hAnsi="Arial" w:cs="Arial"/>
                <w:sz w:val="16"/>
                <w:szCs w:val="16"/>
              </w:rPr>
            </w:pPr>
            <w:r>
              <w:rPr>
                <w:rFonts w:ascii="Arial" w:hAnsi="Arial" w:cs="Arial"/>
                <w:sz w:val="16"/>
                <w:szCs w:val="16"/>
              </w:rPr>
              <w:t>1.584</w:t>
            </w:r>
          </w:p>
        </w:tc>
        <w:tc>
          <w:tcPr>
            <w:tcW w:w="1219" w:type="dxa"/>
            <w:vAlign w:val="center"/>
          </w:tcPr>
          <w:p w14:paraId="76F20CF3" w14:textId="77777777" w:rsidR="007D30EE"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3EE7CBE0" w14:textId="77777777" w:rsidR="007D30EE"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5D85251E" w14:textId="77777777" w:rsidR="007D30EE" w:rsidRPr="00B36FE0" w:rsidRDefault="0039364E"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57EDDA72" w14:textId="5DB13907" w:rsidR="007D30EE" w:rsidRPr="00B36FE0" w:rsidRDefault="00914D77" w:rsidP="000F32F9">
            <w:pPr>
              <w:spacing w:before="120"/>
              <w:jc w:val="center"/>
              <w:rPr>
                <w:rFonts w:ascii="Arial" w:hAnsi="Arial" w:cs="Arial"/>
                <w:sz w:val="16"/>
                <w:szCs w:val="16"/>
              </w:rPr>
            </w:pPr>
            <w:r>
              <w:rPr>
                <w:rFonts w:ascii="Arial" w:hAnsi="Arial" w:cs="Arial"/>
                <w:sz w:val="16"/>
                <w:szCs w:val="16"/>
              </w:rPr>
              <w:t>0.475</w:t>
            </w:r>
          </w:p>
        </w:tc>
      </w:tr>
      <w:tr w:rsidR="003731DC" w:rsidRPr="007901FE" w14:paraId="1B6F4935" w14:textId="77777777" w:rsidTr="0C34660A">
        <w:tc>
          <w:tcPr>
            <w:tcW w:w="3119" w:type="dxa"/>
            <w:vAlign w:val="center"/>
          </w:tcPr>
          <w:p w14:paraId="31D1B8E3" w14:textId="77777777" w:rsidR="003731DC" w:rsidRDefault="00A70C79" w:rsidP="0039364E">
            <w:pPr>
              <w:spacing w:before="120"/>
              <w:rPr>
                <w:rFonts w:ascii="Arial" w:hAnsi="Arial" w:cs="Arial"/>
                <w:sz w:val="16"/>
                <w:szCs w:val="16"/>
              </w:rPr>
            </w:pPr>
            <w:r>
              <w:rPr>
                <w:rFonts w:ascii="Arial" w:hAnsi="Arial" w:cs="Arial"/>
                <w:sz w:val="16"/>
                <w:szCs w:val="16"/>
              </w:rPr>
              <w:t>Landfill gas/biogas c</w:t>
            </w:r>
            <w:r w:rsidR="003731DC">
              <w:rPr>
                <w:rFonts w:ascii="Arial" w:hAnsi="Arial" w:cs="Arial"/>
                <w:sz w:val="16"/>
                <w:szCs w:val="16"/>
              </w:rPr>
              <w:t>ombustion</w:t>
            </w:r>
          </w:p>
        </w:tc>
        <w:tc>
          <w:tcPr>
            <w:tcW w:w="1219" w:type="dxa"/>
            <w:vAlign w:val="center"/>
          </w:tcPr>
          <w:p w14:paraId="55AEB182" w14:textId="2BB137D3" w:rsidR="003731DC" w:rsidRPr="00B36FE0" w:rsidRDefault="00914D77" w:rsidP="000F32F9">
            <w:pPr>
              <w:spacing w:before="120"/>
              <w:jc w:val="center"/>
              <w:rPr>
                <w:rFonts w:ascii="Arial" w:hAnsi="Arial" w:cs="Arial"/>
                <w:sz w:val="16"/>
                <w:szCs w:val="16"/>
              </w:rPr>
            </w:pPr>
            <w:r>
              <w:rPr>
                <w:rFonts w:ascii="Arial" w:hAnsi="Arial" w:cs="Arial"/>
                <w:sz w:val="16"/>
                <w:szCs w:val="16"/>
              </w:rPr>
              <w:t>0.030</w:t>
            </w:r>
          </w:p>
        </w:tc>
        <w:tc>
          <w:tcPr>
            <w:tcW w:w="1219" w:type="dxa"/>
            <w:vAlign w:val="center"/>
          </w:tcPr>
          <w:p w14:paraId="29DCA849" w14:textId="77777777" w:rsidR="003731DC" w:rsidRPr="00B36FE0" w:rsidRDefault="008E1509"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1130CD1E" w14:textId="77777777" w:rsidR="003731DC" w:rsidRPr="00B36FE0" w:rsidRDefault="008E1509"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1839AE26" w14:textId="77777777" w:rsidR="003731DC" w:rsidRPr="00B36FE0" w:rsidRDefault="008E1509"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77DAAEC2" w14:textId="77777777" w:rsidR="003731DC" w:rsidRPr="00B36FE0" w:rsidRDefault="008E1509" w:rsidP="000F32F9">
            <w:pPr>
              <w:spacing w:before="120"/>
              <w:jc w:val="center"/>
              <w:rPr>
                <w:rFonts w:ascii="Arial" w:hAnsi="Arial" w:cs="Arial"/>
                <w:sz w:val="16"/>
                <w:szCs w:val="16"/>
              </w:rPr>
            </w:pPr>
            <w:r w:rsidRPr="00B36FE0">
              <w:rPr>
                <w:rFonts w:ascii="Arial" w:hAnsi="Arial" w:cs="Arial"/>
                <w:sz w:val="16"/>
                <w:szCs w:val="16"/>
              </w:rPr>
              <w:t>-</w:t>
            </w:r>
          </w:p>
        </w:tc>
      </w:tr>
      <w:tr w:rsidR="00A70C79" w:rsidRPr="007901FE" w14:paraId="2A161074" w14:textId="77777777" w:rsidTr="0C34660A">
        <w:tc>
          <w:tcPr>
            <w:tcW w:w="3119" w:type="dxa"/>
            <w:vAlign w:val="center"/>
          </w:tcPr>
          <w:p w14:paraId="17582C21" w14:textId="0D7965EE" w:rsidR="00A70C79" w:rsidRDefault="6513C37B" w:rsidP="0039364E">
            <w:pPr>
              <w:spacing w:before="120"/>
              <w:rPr>
                <w:rFonts w:ascii="Arial" w:hAnsi="Arial" w:cs="Arial"/>
                <w:sz w:val="16"/>
                <w:szCs w:val="16"/>
              </w:rPr>
            </w:pPr>
            <w:r w:rsidRPr="0C34660A">
              <w:rPr>
                <w:rFonts w:ascii="Arial" w:hAnsi="Arial" w:cs="Arial"/>
                <w:sz w:val="16"/>
                <w:szCs w:val="16"/>
              </w:rPr>
              <w:t>Household heating &amp; cooking with biomass</w:t>
            </w:r>
          </w:p>
        </w:tc>
        <w:tc>
          <w:tcPr>
            <w:tcW w:w="1219" w:type="dxa"/>
            <w:vAlign w:val="center"/>
          </w:tcPr>
          <w:p w14:paraId="2CA1B878" w14:textId="48B76B66" w:rsidR="00A70C79" w:rsidRPr="00B36FE0" w:rsidRDefault="00914D77" w:rsidP="000F32F9">
            <w:pPr>
              <w:spacing w:before="120"/>
              <w:jc w:val="center"/>
              <w:rPr>
                <w:rFonts w:ascii="Arial" w:hAnsi="Arial" w:cs="Arial"/>
                <w:sz w:val="16"/>
                <w:szCs w:val="16"/>
              </w:rPr>
            </w:pPr>
            <w:r>
              <w:rPr>
                <w:rFonts w:ascii="Arial" w:hAnsi="Arial" w:cs="Arial"/>
                <w:sz w:val="16"/>
                <w:szCs w:val="16"/>
              </w:rPr>
              <w:t>0.754</w:t>
            </w:r>
          </w:p>
        </w:tc>
        <w:tc>
          <w:tcPr>
            <w:tcW w:w="1219" w:type="dxa"/>
            <w:vAlign w:val="center"/>
          </w:tcPr>
          <w:p w14:paraId="532E9C33" w14:textId="13D7252F" w:rsidR="00A70C79" w:rsidRPr="00B36FE0" w:rsidRDefault="00900872"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3E2B2ABE" w14:textId="3FBA2A15" w:rsidR="00A70C79" w:rsidRPr="00B36FE0" w:rsidRDefault="00900872"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1913892D" w14:textId="63ED2F55" w:rsidR="00A70C79" w:rsidRPr="00B36FE0" w:rsidRDefault="00900872"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1D824822" w14:textId="68A058FB" w:rsidR="00A70C79" w:rsidRPr="00B36FE0" w:rsidRDefault="00914D77" w:rsidP="000F32F9">
            <w:pPr>
              <w:spacing w:before="120"/>
              <w:jc w:val="center"/>
              <w:rPr>
                <w:rFonts w:ascii="Arial" w:hAnsi="Arial" w:cs="Arial"/>
                <w:sz w:val="16"/>
                <w:szCs w:val="16"/>
              </w:rPr>
            </w:pPr>
            <w:r>
              <w:rPr>
                <w:rFonts w:ascii="Arial" w:hAnsi="Arial" w:cs="Arial"/>
                <w:sz w:val="16"/>
                <w:szCs w:val="16"/>
              </w:rPr>
              <w:t>0.151</w:t>
            </w:r>
          </w:p>
        </w:tc>
      </w:tr>
      <w:tr w:rsidR="00AF5A45" w:rsidRPr="007901FE" w14:paraId="735FA26B" w14:textId="77777777" w:rsidTr="0C34660A">
        <w:tc>
          <w:tcPr>
            <w:tcW w:w="3119" w:type="dxa"/>
          </w:tcPr>
          <w:p w14:paraId="2B81EC49" w14:textId="4ACA4D11" w:rsidR="00AF5A45" w:rsidRDefault="00B36FE0" w:rsidP="00A70C79">
            <w:pPr>
              <w:spacing w:before="120"/>
              <w:rPr>
                <w:rFonts w:ascii="Arial" w:hAnsi="Arial" w:cs="Arial"/>
                <w:sz w:val="16"/>
                <w:szCs w:val="16"/>
              </w:rPr>
            </w:pPr>
            <w:r>
              <w:rPr>
                <w:rFonts w:ascii="Arial" w:hAnsi="Arial" w:cs="Arial"/>
                <w:sz w:val="16"/>
                <w:szCs w:val="16"/>
              </w:rPr>
              <w:t xml:space="preserve">Household heating &amp; cooking </w:t>
            </w:r>
            <w:r w:rsidR="00AF5A45" w:rsidRPr="0000676F">
              <w:rPr>
                <w:rFonts w:ascii="Arial" w:hAnsi="Arial" w:cs="Arial"/>
                <w:sz w:val="16"/>
                <w:szCs w:val="16"/>
              </w:rPr>
              <w:t xml:space="preserve">with </w:t>
            </w:r>
            <w:r w:rsidR="00AF5A45">
              <w:rPr>
                <w:rFonts w:ascii="Arial" w:hAnsi="Arial" w:cs="Arial"/>
                <w:sz w:val="16"/>
                <w:szCs w:val="16"/>
              </w:rPr>
              <w:t>coal</w:t>
            </w:r>
          </w:p>
        </w:tc>
        <w:tc>
          <w:tcPr>
            <w:tcW w:w="1219" w:type="dxa"/>
            <w:vAlign w:val="center"/>
          </w:tcPr>
          <w:p w14:paraId="32528490" w14:textId="4D632746" w:rsidR="00AF5A45" w:rsidRPr="00B36FE0" w:rsidRDefault="00914D77" w:rsidP="000F32F9">
            <w:pPr>
              <w:spacing w:before="120"/>
              <w:jc w:val="center"/>
              <w:rPr>
                <w:rFonts w:ascii="Arial" w:hAnsi="Arial" w:cs="Arial"/>
                <w:sz w:val="16"/>
                <w:szCs w:val="16"/>
              </w:rPr>
            </w:pPr>
            <w:r>
              <w:rPr>
                <w:rFonts w:ascii="Arial" w:hAnsi="Arial" w:cs="Arial"/>
                <w:sz w:val="16"/>
                <w:szCs w:val="16"/>
              </w:rPr>
              <w:t>0.027</w:t>
            </w:r>
          </w:p>
        </w:tc>
        <w:tc>
          <w:tcPr>
            <w:tcW w:w="1219" w:type="dxa"/>
            <w:vAlign w:val="center"/>
          </w:tcPr>
          <w:p w14:paraId="22B44C33" w14:textId="3E0B6EC1" w:rsidR="00AF5A45"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79DC09BB" w14:textId="57A4B62F" w:rsidR="00AF5A45"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096E3689" w14:textId="64EDFB45" w:rsidR="00AF5A45"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642ED2F3" w14:textId="01966F75" w:rsidR="00AF5A45" w:rsidRPr="00B36FE0" w:rsidRDefault="00914D77" w:rsidP="000F32F9">
            <w:pPr>
              <w:spacing w:before="120"/>
              <w:jc w:val="center"/>
              <w:rPr>
                <w:rFonts w:ascii="Arial" w:hAnsi="Arial" w:cs="Arial"/>
                <w:sz w:val="16"/>
                <w:szCs w:val="16"/>
              </w:rPr>
            </w:pPr>
            <w:r>
              <w:rPr>
                <w:rFonts w:ascii="Arial" w:hAnsi="Arial" w:cs="Arial"/>
                <w:sz w:val="16"/>
                <w:szCs w:val="16"/>
              </w:rPr>
              <w:t>0.00014</w:t>
            </w:r>
          </w:p>
        </w:tc>
      </w:tr>
      <w:tr w:rsidR="00A70C79" w:rsidRPr="007901FE" w14:paraId="68A068EF" w14:textId="77777777" w:rsidTr="0C34660A">
        <w:tc>
          <w:tcPr>
            <w:tcW w:w="3119" w:type="dxa"/>
          </w:tcPr>
          <w:p w14:paraId="36E6E386" w14:textId="65DCF492" w:rsidR="00A70C79" w:rsidRDefault="00B36FE0" w:rsidP="00A70C79">
            <w:pPr>
              <w:spacing w:before="120"/>
              <w:rPr>
                <w:rFonts w:ascii="Arial" w:hAnsi="Arial" w:cs="Arial"/>
                <w:sz w:val="16"/>
                <w:szCs w:val="16"/>
              </w:rPr>
            </w:pPr>
            <w:r>
              <w:rPr>
                <w:rFonts w:ascii="Arial" w:hAnsi="Arial" w:cs="Arial"/>
                <w:sz w:val="16"/>
                <w:szCs w:val="16"/>
              </w:rPr>
              <w:t xml:space="preserve">Household heating &amp; cooking </w:t>
            </w:r>
            <w:r w:rsidR="00A70C79" w:rsidRPr="0000676F">
              <w:rPr>
                <w:rFonts w:ascii="Arial" w:hAnsi="Arial" w:cs="Arial"/>
                <w:sz w:val="16"/>
                <w:szCs w:val="16"/>
              </w:rPr>
              <w:t xml:space="preserve">with </w:t>
            </w:r>
            <w:r w:rsidR="00A70C79">
              <w:rPr>
                <w:rFonts w:ascii="Arial" w:hAnsi="Arial" w:cs="Arial"/>
                <w:sz w:val="16"/>
                <w:szCs w:val="16"/>
              </w:rPr>
              <w:t>oil</w:t>
            </w:r>
          </w:p>
        </w:tc>
        <w:tc>
          <w:tcPr>
            <w:tcW w:w="1219" w:type="dxa"/>
            <w:vAlign w:val="center"/>
          </w:tcPr>
          <w:p w14:paraId="52B360DF" w14:textId="43448F0A" w:rsidR="00A70C79" w:rsidRPr="00B36FE0" w:rsidRDefault="00914D77" w:rsidP="000F32F9">
            <w:pPr>
              <w:spacing w:before="120"/>
              <w:jc w:val="center"/>
              <w:rPr>
                <w:rFonts w:ascii="Arial" w:hAnsi="Arial" w:cs="Arial"/>
                <w:sz w:val="16"/>
                <w:szCs w:val="16"/>
              </w:rPr>
            </w:pPr>
            <w:r>
              <w:rPr>
                <w:rFonts w:ascii="Arial" w:hAnsi="Arial" w:cs="Arial"/>
                <w:sz w:val="16"/>
                <w:szCs w:val="16"/>
              </w:rPr>
              <w:t>0.0010</w:t>
            </w:r>
          </w:p>
        </w:tc>
        <w:tc>
          <w:tcPr>
            <w:tcW w:w="1219" w:type="dxa"/>
            <w:vAlign w:val="center"/>
          </w:tcPr>
          <w:p w14:paraId="46983902" w14:textId="2425D72F" w:rsidR="00A70C79"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58CFCE14" w14:textId="5ABCE157" w:rsidR="00A70C79"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3721B2A1" w14:textId="1B1DBA72" w:rsidR="00A70C79"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c>
          <w:tcPr>
            <w:tcW w:w="1219" w:type="dxa"/>
            <w:vAlign w:val="center"/>
          </w:tcPr>
          <w:p w14:paraId="22CE8A67" w14:textId="5E867A35" w:rsidR="00A70C79" w:rsidRPr="00B36FE0" w:rsidRDefault="00AF5A45" w:rsidP="000F32F9">
            <w:pPr>
              <w:spacing w:before="120"/>
              <w:jc w:val="center"/>
              <w:rPr>
                <w:rFonts w:ascii="Arial" w:hAnsi="Arial" w:cs="Arial"/>
                <w:sz w:val="16"/>
                <w:szCs w:val="16"/>
              </w:rPr>
            </w:pPr>
            <w:r w:rsidRPr="00B36FE0">
              <w:rPr>
                <w:rFonts w:ascii="Arial" w:hAnsi="Arial" w:cs="Arial"/>
                <w:sz w:val="16"/>
                <w:szCs w:val="16"/>
              </w:rPr>
              <w:t>-</w:t>
            </w:r>
          </w:p>
        </w:tc>
      </w:tr>
      <w:tr w:rsidR="00A70C79" w:rsidRPr="007901FE" w14:paraId="198E2CF3" w14:textId="77777777" w:rsidTr="0C34660A">
        <w:tc>
          <w:tcPr>
            <w:tcW w:w="3119" w:type="dxa"/>
          </w:tcPr>
          <w:p w14:paraId="6CE678A8" w14:textId="5D6A3BA7" w:rsidR="00A70C79" w:rsidRDefault="00B36FE0" w:rsidP="00A70C79">
            <w:pPr>
              <w:spacing w:before="120"/>
              <w:rPr>
                <w:rFonts w:ascii="Arial" w:hAnsi="Arial" w:cs="Arial"/>
                <w:sz w:val="16"/>
                <w:szCs w:val="16"/>
              </w:rPr>
            </w:pPr>
            <w:r>
              <w:rPr>
                <w:rFonts w:ascii="Arial" w:hAnsi="Arial" w:cs="Arial"/>
                <w:sz w:val="16"/>
                <w:szCs w:val="16"/>
              </w:rPr>
              <w:t xml:space="preserve">Household heating &amp; cooking </w:t>
            </w:r>
            <w:r w:rsidR="00A70C79" w:rsidRPr="0000676F">
              <w:rPr>
                <w:rFonts w:ascii="Arial" w:hAnsi="Arial" w:cs="Arial"/>
                <w:sz w:val="16"/>
                <w:szCs w:val="16"/>
              </w:rPr>
              <w:t xml:space="preserve">with </w:t>
            </w:r>
            <w:r w:rsidR="00A70C79">
              <w:rPr>
                <w:rFonts w:ascii="Arial" w:hAnsi="Arial" w:cs="Arial"/>
                <w:sz w:val="16"/>
                <w:szCs w:val="16"/>
              </w:rPr>
              <w:t>gas</w:t>
            </w:r>
          </w:p>
        </w:tc>
        <w:tc>
          <w:tcPr>
            <w:tcW w:w="1219" w:type="dxa"/>
            <w:vAlign w:val="center"/>
          </w:tcPr>
          <w:p w14:paraId="60AFAB15" w14:textId="502C4CCA" w:rsidR="00A70C79" w:rsidRPr="0023135D" w:rsidRDefault="00914D77" w:rsidP="000F32F9">
            <w:pPr>
              <w:spacing w:before="120"/>
              <w:jc w:val="center"/>
              <w:rPr>
                <w:rFonts w:ascii="Arial" w:hAnsi="Arial" w:cs="Arial"/>
                <w:sz w:val="16"/>
                <w:szCs w:val="16"/>
                <w:highlight w:val="yellow"/>
              </w:rPr>
            </w:pPr>
            <w:r>
              <w:rPr>
                <w:rFonts w:ascii="Arial" w:hAnsi="Arial" w:cs="Arial"/>
                <w:sz w:val="16"/>
                <w:szCs w:val="16"/>
              </w:rPr>
              <w:t>0.0162</w:t>
            </w:r>
          </w:p>
        </w:tc>
        <w:tc>
          <w:tcPr>
            <w:tcW w:w="1219" w:type="dxa"/>
            <w:vAlign w:val="center"/>
          </w:tcPr>
          <w:p w14:paraId="4E432DC1" w14:textId="11812431" w:rsidR="00A70C79" w:rsidRPr="005D47F5" w:rsidRDefault="00AF5A45" w:rsidP="000F32F9">
            <w:pPr>
              <w:spacing w:before="120"/>
              <w:jc w:val="center"/>
              <w:rPr>
                <w:rFonts w:ascii="Arial" w:hAnsi="Arial" w:cs="Arial"/>
                <w:sz w:val="16"/>
                <w:szCs w:val="16"/>
              </w:rPr>
            </w:pPr>
            <w:r w:rsidRPr="005D47F5">
              <w:rPr>
                <w:rFonts w:ascii="Arial" w:hAnsi="Arial" w:cs="Arial"/>
                <w:sz w:val="16"/>
                <w:szCs w:val="16"/>
              </w:rPr>
              <w:t>-</w:t>
            </w:r>
          </w:p>
        </w:tc>
        <w:tc>
          <w:tcPr>
            <w:tcW w:w="1219" w:type="dxa"/>
            <w:vAlign w:val="center"/>
          </w:tcPr>
          <w:p w14:paraId="023F18E3" w14:textId="225616D0" w:rsidR="00A70C79" w:rsidRPr="005D47F5" w:rsidRDefault="00AF5A45" w:rsidP="000F32F9">
            <w:pPr>
              <w:spacing w:before="120"/>
              <w:jc w:val="center"/>
              <w:rPr>
                <w:rFonts w:ascii="Arial" w:hAnsi="Arial" w:cs="Arial"/>
                <w:sz w:val="16"/>
                <w:szCs w:val="16"/>
              </w:rPr>
            </w:pPr>
            <w:r w:rsidRPr="005D47F5">
              <w:rPr>
                <w:rFonts w:ascii="Arial" w:hAnsi="Arial" w:cs="Arial"/>
                <w:sz w:val="16"/>
                <w:szCs w:val="16"/>
              </w:rPr>
              <w:t>-</w:t>
            </w:r>
          </w:p>
        </w:tc>
        <w:tc>
          <w:tcPr>
            <w:tcW w:w="1219" w:type="dxa"/>
            <w:vAlign w:val="center"/>
          </w:tcPr>
          <w:p w14:paraId="49AA72CA" w14:textId="5BB5E714" w:rsidR="00A70C79" w:rsidRPr="005D47F5" w:rsidRDefault="00AF5A45" w:rsidP="000F32F9">
            <w:pPr>
              <w:spacing w:before="120"/>
              <w:jc w:val="center"/>
              <w:rPr>
                <w:rFonts w:ascii="Arial" w:hAnsi="Arial" w:cs="Arial"/>
                <w:sz w:val="16"/>
                <w:szCs w:val="16"/>
              </w:rPr>
            </w:pPr>
            <w:r w:rsidRPr="005D47F5">
              <w:rPr>
                <w:rFonts w:ascii="Arial" w:hAnsi="Arial" w:cs="Arial"/>
                <w:sz w:val="16"/>
                <w:szCs w:val="16"/>
              </w:rPr>
              <w:t>-</w:t>
            </w:r>
          </w:p>
        </w:tc>
        <w:tc>
          <w:tcPr>
            <w:tcW w:w="1219" w:type="dxa"/>
            <w:vAlign w:val="center"/>
          </w:tcPr>
          <w:p w14:paraId="2B027D50" w14:textId="680B3871" w:rsidR="00A70C79" w:rsidRPr="005D47F5" w:rsidRDefault="00AF5A45" w:rsidP="000F32F9">
            <w:pPr>
              <w:spacing w:before="120"/>
              <w:jc w:val="center"/>
              <w:rPr>
                <w:rFonts w:ascii="Arial" w:hAnsi="Arial" w:cs="Arial"/>
                <w:sz w:val="16"/>
                <w:szCs w:val="16"/>
              </w:rPr>
            </w:pPr>
            <w:r w:rsidRPr="005D47F5">
              <w:rPr>
                <w:rFonts w:ascii="Arial" w:hAnsi="Arial" w:cs="Arial"/>
                <w:sz w:val="16"/>
                <w:szCs w:val="16"/>
              </w:rPr>
              <w:t>-</w:t>
            </w:r>
          </w:p>
        </w:tc>
      </w:tr>
      <w:tr w:rsidR="007D30EE" w:rsidRPr="007901FE" w14:paraId="1C55CED0" w14:textId="77777777" w:rsidTr="0C34660A">
        <w:tc>
          <w:tcPr>
            <w:tcW w:w="3119" w:type="dxa"/>
            <w:vAlign w:val="center"/>
          </w:tcPr>
          <w:p w14:paraId="7E5F134E" w14:textId="5D939BDC" w:rsidR="007D30EE" w:rsidRPr="004E3E02" w:rsidRDefault="00FB5B1C" w:rsidP="00A55F50">
            <w:pPr>
              <w:spacing w:before="120"/>
              <w:rPr>
                <w:rFonts w:ascii="Arial" w:hAnsi="Arial" w:cs="Arial"/>
                <w:b/>
                <w:sz w:val="16"/>
                <w:szCs w:val="16"/>
              </w:rPr>
            </w:pPr>
            <w:r>
              <w:rPr>
                <w:rFonts w:ascii="Arial" w:hAnsi="Arial" w:cs="Arial"/>
                <w:b/>
                <w:sz w:val="16"/>
                <w:szCs w:val="16"/>
              </w:rPr>
              <w:t>20</w:t>
            </w:r>
            <w:r w:rsidR="00AB2C89">
              <w:rPr>
                <w:rFonts w:ascii="Arial" w:hAnsi="Arial" w:cs="Arial"/>
                <w:b/>
                <w:sz w:val="16"/>
                <w:szCs w:val="16"/>
              </w:rPr>
              <w:t>12</w:t>
            </w:r>
            <w:r>
              <w:rPr>
                <w:rFonts w:ascii="Arial" w:hAnsi="Arial" w:cs="Arial"/>
                <w:b/>
                <w:sz w:val="16"/>
                <w:szCs w:val="16"/>
              </w:rPr>
              <w:t xml:space="preserve"> totals</w:t>
            </w:r>
          </w:p>
        </w:tc>
        <w:tc>
          <w:tcPr>
            <w:tcW w:w="1219" w:type="dxa"/>
            <w:vAlign w:val="center"/>
          </w:tcPr>
          <w:p w14:paraId="20749DE9" w14:textId="407436FB" w:rsidR="007D30EE" w:rsidRPr="0015287D" w:rsidRDefault="00914D77" w:rsidP="00C512D3">
            <w:pPr>
              <w:spacing w:before="120"/>
              <w:jc w:val="center"/>
              <w:rPr>
                <w:rFonts w:ascii="Arial" w:hAnsi="Arial" w:cs="Arial"/>
                <w:b/>
                <w:sz w:val="16"/>
                <w:szCs w:val="16"/>
              </w:rPr>
            </w:pPr>
            <w:r>
              <w:rPr>
                <w:rFonts w:ascii="Arial" w:hAnsi="Arial" w:cs="Arial"/>
                <w:b/>
                <w:sz w:val="16"/>
                <w:szCs w:val="16"/>
              </w:rPr>
              <w:t>3.329</w:t>
            </w:r>
          </w:p>
        </w:tc>
        <w:tc>
          <w:tcPr>
            <w:tcW w:w="1219" w:type="dxa"/>
            <w:vAlign w:val="center"/>
          </w:tcPr>
          <w:p w14:paraId="34DAAFD0" w14:textId="63B40217" w:rsidR="007D30EE" w:rsidRPr="0015287D" w:rsidRDefault="00FB5B1C" w:rsidP="00A70C79">
            <w:pPr>
              <w:spacing w:before="120"/>
              <w:jc w:val="center"/>
              <w:rPr>
                <w:rFonts w:ascii="Arial" w:hAnsi="Arial" w:cs="Arial"/>
                <w:b/>
                <w:strike/>
                <w:sz w:val="16"/>
                <w:szCs w:val="16"/>
              </w:rPr>
            </w:pPr>
            <w:r>
              <w:rPr>
                <w:rFonts w:ascii="Arial" w:hAnsi="Arial" w:cs="Arial"/>
                <w:b/>
                <w:strike/>
                <w:sz w:val="16"/>
                <w:szCs w:val="16"/>
              </w:rPr>
              <w:t>-</w:t>
            </w:r>
          </w:p>
        </w:tc>
        <w:tc>
          <w:tcPr>
            <w:tcW w:w="1219" w:type="dxa"/>
            <w:vAlign w:val="center"/>
          </w:tcPr>
          <w:p w14:paraId="449792EF" w14:textId="154208E7" w:rsidR="007D30EE" w:rsidRPr="0015287D" w:rsidRDefault="00914D77" w:rsidP="00601FEE">
            <w:pPr>
              <w:spacing w:before="120"/>
              <w:jc w:val="center"/>
              <w:rPr>
                <w:rFonts w:ascii="Arial" w:hAnsi="Arial" w:cs="Arial"/>
                <w:b/>
                <w:sz w:val="16"/>
                <w:szCs w:val="16"/>
              </w:rPr>
            </w:pPr>
            <w:r>
              <w:rPr>
                <w:rFonts w:ascii="Arial" w:hAnsi="Arial" w:cs="Arial"/>
                <w:b/>
                <w:sz w:val="16"/>
                <w:szCs w:val="16"/>
              </w:rPr>
              <w:t>0.407</w:t>
            </w:r>
          </w:p>
        </w:tc>
        <w:tc>
          <w:tcPr>
            <w:tcW w:w="1219" w:type="dxa"/>
            <w:vAlign w:val="center"/>
          </w:tcPr>
          <w:p w14:paraId="05ECA289" w14:textId="0B2DCEC4" w:rsidR="007D30EE" w:rsidRPr="0015287D" w:rsidRDefault="00FB5B1C" w:rsidP="00A70C79">
            <w:pPr>
              <w:spacing w:before="120"/>
              <w:jc w:val="center"/>
              <w:rPr>
                <w:rFonts w:ascii="Arial" w:hAnsi="Arial" w:cs="Arial"/>
                <w:b/>
                <w:strike/>
                <w:sz w:val="16"/>
                <w:szCs w:val="16"/>
              </w:rPr>
            </w:pPr>
            <w:r>
              <w:rPr>
                <w:rFonts w:ascii="Arial" w:hAnsi="Arial" w:cs="Arial"/>
                <w:b/>
                <w:strike/>
                <w:sz w:val="16"/>
                <w:szCs w:val="16"/>
              </w:rPr>
              <w:t>-</w:t>
            </w:r>
          </w:p>
        </w:tc>
        <w:tc>
          <w:tcPr>
            <w:tcW w:w="1219" w:type="dxa"/>
            <w:vAlign w:val="center"/>
          </w:tcPr>
          <w:p w14:paraId="62240EBA" w14:textId="1553721E" w:rsidR="007D30EE" w:rsidRPr="0015287D" w:rsidRDefault="00914D77" w:rsidP="00847621">
            <w:pPr>
              <w:spacing w:before="120"/>
              <w:jc w:val="center"/>
              <w:rPr>
                <w:rFonts w:ascii="Arial" w:hAnsi="Arial" w:cs="Arial"/>
                <w:b/>
                <w:sz w:val="16"/>
                <w:szCs w:val="16"/>
              </w:rPr>
            </w:pPr>
            <w:r>
              <w:rPr>
                <w:rFonts w:ascii="Arial" w:hAnsi="Arial" w:cs="Arial"/>
                <w:b/>
                <w:sz w:val="16"/>
                <w:szCs w:val="16"/>
              </w:rPr>
              <w:t>0.745</w:t>
            </w:r>
          </w:p>
        </w:tc>
      </w:tr>
      <w:tr w:rsidR="0015287D" w:rsidRPr="007901FE" w14:paraId="1D8DA835" w14:textId="77777777" w:rsidTr="0C34660A">
        <w:tc>
          <w:tcPr>
            <w:tcW w:w="3119" w:type="dxa"/>
            <w:vAlign w:val="center"/>
          </w:tcPr>
          <w:p w14:paraId="7A60C164" w14:textId="3DC4D7D7" w:rsidR="0015287D" w:rsidRDefault="00AB2C89" w:rsidP="007B2D79">
            <w:pPr>
              <w:spacing w:before="120"/>
              <w:jc w:val="both"/>
              <w:rPr>
                <w:rFonts w:ascii="Arial" w:hAnsi="Arial" w:cs="Arial"/>
                <w:b/>
                <w:sz w:val="16"/>
                <w:szCs w:val="16"/>
              </w:rPr>
            </w:pPr>
            <w:r>
              <w:rPr>
                <w:rFonts w:ascii="Arial" w:hAnsi="Arial" w:cs="Arial"/>
                <w:b/>
                <w:sz w:val="16"/>
                <w:szCs w:val="16"/>
              </w:rPr>
              <w:t xml:space="preserve">2016 </w:t>
            </w:r>
            <w:r w:rsidR="0015287D">
              <w:rPr>
                <w:rFonts w:ascii="Arial" w:hAnsi="Arial" w:cs="Arial"/>
                <w:b/>
                <w:sz w:val="16"/>
                <w:szCs w:val="16"/>
              </w:rPr>
              <w:t>t</w:t>
            </w:r>
            <w:r w:rsidR="0015287D" w:rsidRPr="004E3E02">
              <w:rPr>
                <w:rFonts w:ascii="Arial" w:hAnsi="Arial" w:cs="Arial"/>
                <w:b/>
                <w:sz w:val="16"/>
                <w:szCs w:val="16"/>
              </w:rPr>
              <w:t>otals</w:t>
            </w:r>
          </w:p>
        </w:tc>
        <w:tc>
          <w:tcPr>
            <w:tcW w:w="1219" w:type="dxa"/>
            <w:vAlign w:val="center"/>
          </w:tcPr>
          <w:p w14:paraId="6CE81C73" w14:textId="613430D4" w:rsidR="0015287D" w:rsidRPr="0015287D" w:rsidRDefault="00914D77" w:rsidP="007B2D79">
            <w:pPr>
              <w:spacing w:before="120"/>
              <w:jc w:val="center"/>
              <w:rPr>
                <w:rFonts w:ascii="Arial" w:hAnsi="Arial" w:cs="Arial"/>
                <w:b/>
                <w:sz w:val="16"/>
                <w:szCs w:val="16"/>
              </w:rPr>
            </w:pPr>
            <w:r>
              <w:rPr>
                <w:rFonts w:ascii="Arial" w:hAnsi="Arial" w:cs="Arial"/>
                <w:b/>
                <w:sz w:val="16"/>
                <w:szCs w:val="16"/>
              </w:rPr>
              <w:t>3.241</w:t>
            </w:r>
          </w:p>
        </w:tc>
        <w:tc>
          <w:tcPr>
            <w:tcW w:w="1219" w:type="dxa"/>
            <w:vAlign w:val="center"/>
          </w:tcPr>
          <w:p w14:paraId="1F986330" w14:textId="164A8AF0" w:rsidR="0015287D" w:rsidRPr="0015287D" w:rsidRDefault="0015287D" w:rsidP="007B2D79">
            <w:pPr>
              <w:spacing w:before="120"/>
              <w:jc w:val="center"/>
              <w:rPr>
                <w:rFonts w:ascii="Arial" w:hAnsi="Arial" w:cs="Arial"/>
                <w:b/>
                <w:sz w:val="16"/>
                <w:szCs w:val="16"/>
              </w:rPr>
            </w:pPr>
            <w:r w:rsidRPr="0015287D">
              <w:rPr>
                <w:rFonts w:ascii="Arial" w:hAnsi="Arial" w:cs="Arial"/>
                <w:b/>
                <w:strike/>
                <w:sz w:val="16"/>
                <w:szCs w:val="16"/>
              </w:rPr>
              <w:t>-</w:t>
            </w:r>
          </w:p>
        </w:tc>
        <w:tc>
          <w:tcPr>
            <w:tcW w:w="1219" w:type="dxa"/>
            <w:vAlign w:val="center"/>
          </w:tcPr>
          <w:p w14:paraId="3421E235" w14:textId="01DF8BF9" w:rsidR="0015287D" w:rsidRPr="0015287D" w:rsidRDefault="00914D77" w:rsidP="007B2D79">
            <w:pPr>
              <w:spacing w:before="120"/>
              <w:jc w:val="center"/>
              <w:rPr>
                <w:rFonts w:ascii="Arial" w:hAnsi="Arial" w:cs="Arial"/>
                <w:b/>
                <w:sz w:val="16"/>
                <w:szCs w:val="16"/>
              </w:rPr>
            </w:pPr>
            <w:r>
              <w:rPr>
                <w:rFonts w:ascii="Arial" w:hAnsi="Arial" w:cs="Arial"/>
                <w:b/>
                <w:sz w:val="16"/>
                <w:szCs w:val="16"/>
              </w:rPr>
              <w:t>0.068</w:t>
            </w:r>
          </w:p>
        </w:tc>
        <w:tc>
          <w:tcPr>
            <w:tcW w:w="1219" w:type="dxa"/>
            <w:vAlign w:val="center"/>
          </w:tcPr>
          <w:p w14:paraId="12EFE6D2" w14:textId="672BE8F7" w:rsidR="0015287D" w:rsidRPr="0015287D" w:rsidRDefault="0015287D" w:rsidP="007B2D79">
            <w:pPr>
              <w:spacing w:before="120"/>
              <w:jc w:val="center"/>
              <w:rPr>
                <w:rFonts w:ascii="Arial" w:hAnsi="Arial" w:cs="Arial"/>
                <w:b/>
                <w:sz w:val="16"/>
                <w:szCs w:val="16"/>
              </w:rPr>
            </w:pPr>
            <w:r w:rsidRPr="0015287D">
              <w:rPr>
                <w:rFonts w:ascii="Arial" w:hAnsi="Arial" w:cs="Arial"/>
                <w:b/>
                <w:strike/>
                <w:sz w:val="16"/>
                <w:szCs w:val="16"/>
              </w:rPr>
              <w:t>-</w:t>
            </w:r>
          </w:p>
        </w:tc>
        <w:tc>
          <w:tcPr>
            <w:tcW w:w="1219" w:type="dxa"/>
            <w:vAlign w:val="center"/>
          </w:tcPr>
          <w:p w14:paraId="1876B86B" w14:textId="0B776EA6" w:rsidR="0015287D" w:rsidRPr="0015287D" w:rsidRDefault="00914D77" w:rsidP="007B2D79">
            <w:pPr>
              <w:spacing w:before="120"/>
              <w:jc w:val="center"/>
              <w:rPr>
                <w:rFonts w:ascii="Arial" w:hAnsi="Arial" w:cs="Arial"/>
                <w:b/>
                <w:sz w:val="16"/>
                <w:szCs w:val="16"/>
              </w:rPr>
            </w:pPr>
            <w:r>
              <w:rPr>
                <w:rFonts w:ascii="Arial" w:hAnsi="Arial" w:cs="Arial"/>
                <w:b/>
                <w:sz w:val="16"/>
                <w:szCs w:val="16"/>
              </w:rPr>
              <w:t>0.788</w:t>
            </w:r>
          </w:p>
        </w:tc>
      </w:tr>
      <w:tr w:rsidR="00FB5B1C" w:rsidRPr="007901FE" w14:paraId="5642CD93" w14:textId="77777777" w:rsidTr="0C34660A">
        <w:tc>
          <w:tcPr>
            <w:tcW w:w="3119" w:type="dxa"/>
            <w:vAlign w:val="center"/>
          </w:tcPr>
          <w:p w14:paraId="064F5ACE" w14:textId="7FDC9577" w:rsidR="00FB5B1C" w:rsidRDefault="00AB2C89" w:rsidP="007B2D79">
            <w:pPr>
              <w:spacing w:before="120"/>
              <w:jc w:val="both"/>
              <w:rPr>
                <w:rFonts w:ascii="Arial" w:hAnsi="Arial" w:cs="Arial"/>
                <w:b/>
                <w:sz w:val="16"/>
                <w:szCs w:val="16"/>
              </w:rPr>
            </w:pPr>
            <w:r>
              <w:rPr>
                <w:rFonts w:ascii="Arial" w:hAnsi="Arial" w:cs="Arial"/>
                <w:b/>
                <w:sz w:val="16"/>
                <w:szCs w:val="16"/>
              </w:rPr>
              <w:t xml:space="preserve">2020 </w:t>
            </w:r>
            <w:r w:rsidR="00FB5B1C">
              <w:rPr>
                <w:rFonts w:ascii="Arial" w:hAnsi="Arial" w:cs="Arial"/>
                <w:b/>
                <w:sz w:val="16"/>
                <w:szCs w:val="16"/>
              </w:rPr>
              <w:t>totals</w:t>
            </w:r>
          </w:p>
        </w:tc>
        <w:tc>
          <w:tcPr>
            <w:tcW w:w="1219" w:type="dxa"/>
            <w:vAlign w:val="center"/>
          </w:tcPr>
          <w:p w14:paraId="2D5B3B19" w14:textId="579B3FAE" w:rsidR="00FB5B1C" w:rsidRPr="0015287D" w:rsidRDefault="00914D77" w:rsidP="007B2D79">
            <w:pPr>
              <w:spacing w:before="120"/>
              <w:jc w:val="center"/>
              <w:rPr>
                <w:rFonts w:ascii="Arial" w:hAnsi="Arial" w:cs="Arial"/>
                <w:b/>
                <w:sz w:val="16"/>
                <w:szCs w:val="16"/>
              </w:rPr>
            </w:pPr>
            <w:r>
              <w:rPr>
                <w:rFonts w:ascii="Arial" w:hAnsi="Arial" w:cs="Arial"/>
                <w:b/>
                <w:sz w:val="16"/>
                <w:szCs w:val="16"/>
              </w:rPr>
              <w:t>3.721</w:t>
            </w:r>
          </w:p>
        </w:tc>
        <w:tc>
          <w:tcPr>
            <w:tcW w:w="1219" w:type="dxa"/>
            <w:vAlign w:val="center"/>
          </w:tcPr>
          <w:p w14:paraId="1FF6F2A5" w14:textId="77777777" w:rsidR="00FB5B1C" w:rsidRPr="0015287D" w:rsidRDefault="00FB5B1C" w:rsidP="007B2D79">
            <w:pPr>
              <w:spacing w:before="120"/>
              <w:jc w:val="center"/>
              <w:rPr>
                <w:rFonts w:ascii="Arial" w:hAnsi="Arial" w:cs="Arial"/>
                <w:b/>
                <w:strike/>
                <w:sz w:val="16"/>
                <w:szCs w:val="16"/>
              </w:rPr>
            </w:pPr>
          </w:p>
        </w:tc>
        <w:tc>
          <w:tcPr>
            <w:tcW w:w="1219" w:type="dxa"/>
            <w:vAlign w:val="center"/>
          </w:tcPr>
          <w:p w14:paraId="5FC75F22" w14:textId="2EA551FD" w:rsidR="00FB5B1C" w:rsidRPr="0015287D" w:rsidRDefault="00914D77" w:rsidP="007B2D79">
            <w:pPr>
              <w:spacing w:before="120"/>
              <w:jc w:val="center"/>
              <w:rPr>
                <w:rFonts w:ascii="Arial" w:hAnsi="Arial" w:cs="Arial"/>
                <w:b/>
                <w:sz w:val="16"/>
                <w:szCs w:val="16"/>
              </w:rPr>
            </w:pPr>
            <w:r>
              <w:rPr>
                <w:rFonts w:ascii="Arial" w:hAnsi="Arial" w:cs="Arial"/>
                <w:b/>
                <w:sz w:val="16"/>
                <w:szCs w:val="16"/>
              </w:rPr>
              <w:t>0.273</w:t>
            </w:r>
          </w:p>
        </w:tc>
        <w:tc>
          <w:tcPr>
            <w:tcW w:w="1219" w:type="dxa"/>
            <w:vAlign w:val="center"/>
          </w:tcPr>
          <w:p w14:paraId="7E998838" w14:textId="77777777" w:rsidR="00FB5B1C" w:rsidRPr="0015287D" w:rsidRDefault="00FB5B1C" w:rsidP="007B2D79">
            <w:pPr>
              <w:spacing w:before="120"/>
              <w:jc w:val="center"/>
              <w:rPr>
                <w:rFonts w:ascii="Arial" w:hAnsi="Arial" w:cs="Arial"/>
                <w:b/>
                <w:strike/>
                <w:sz w:val="16"/>
                <w:szCs w:val="16"/>
              </w:rPr>
            </w:pPr>
          </w:p>
        </w:tc>
        <w:tc>
          <w:tcPr>
            <w:tcW w:w="1219" w:type="dxa"/>
            <w:vAlign w:val="center"/>
          </w:tcPr>
          <w:p w14:paraId="630BC99F" w14:textId="17F33ED0" w:rsidR="00FB5B1C" w:rsidRPr="0015287D" w:rsidRDefault="00AF1200" w:rsidP="007B2D79">
            <w:pPr>
              <w:spacing w:before="120"/>
              <w:jc w:val="center"/>
              <w:rPr>
                <w:rFonts w:ascii="Arial" w:hAnsi="Arial" w:cs="Arial"/>
                <w:b/>
                <w:sz w:val="16"/>
                <w:szCs w:val="16"/>
              </w:rPr>
            </w:pPr>
            <w:r>
              <w:rPr>
                <w:rFonts w:ascii="Arial" w:hAnsi="Arial" w:cs="Arial"/>
                <w:b/>
                <w:sz w:val="16"/>
                <w:szCs w:val="16"/>
              </w:rPr>
              <w:t>0.905</w:t>
            </w:r>
          </w:p>
        </w:tc>
      </w:tr>
    </w:tbl>
    <w:p w14:paraId="22EBC1DA" w14:textId="77777777" w:rsidR="003007F7" w:rsidRPr="007901FE" w:rsidRDefault="003007F7" w:rsidP="003007F7">
      <w:pPr>
        <w:spacing w:line="300" w:lineRule="atLeast"/>
        <w:jc w:val="both"/>
        <w:rPr>
          <w:rFonts w:ascii="Arial" w:hAnsi="Arial" w:cs="Arial"/>
        </w:rPr>
      </w:pPr>
    </w:p>
    <w:p w14:paraId="49789C31" w14:textId="77777777" w:rsidR="00044E38" w:rsidRPr="003D73C3" w:rsidRDefault="00044E38" w:rsidP="00261F78">
      <w:pPr>
        <w:pStyle w:val="Heading1"/>
      </w:pPr>
      <w:r>
        <w:rPr>
          <w:rFonts w:ascii="Verdana" w:hAnsi="Verdana"/>
        </w:rPr>
        <w:br w:type="page"/>
      </w:r>
      <w:bookmarkStart w:id="222" w:name="_Toc112768103"/>
      <w:r w:rsidRPr="003D73C3">
        <w:lastRenderedPageBreak/>
        <w:t>Production of mineral products</w:t>
      </w:r>
      <w:bookmarkEnd w:id="222"/>
    </w:p>
    <w:p w14:paraId="330CCF08" w14:textId="57F4964E" w:rsidR="00044E38" w:rsidRPr="003D73C3" w:rsidRDefault="00044E38" w:rsidP="00044E38">
      <w:pPr>
        <w:spacing w:line="300" w:lineRule="atLeast"/>
        <w:jc w:val="both"/>
        <w:rPr>
          <w:szCs w:val="18"/>
        </w:rPr>
      </w:pPr>
      <w:r w:rsidRPr="003D73C3">
        <w:rPr>
          <w:szCs w:val="18"/>
        </w:rPr>
        <w:t xml:space="preserve">This category covers </w:t>
      </w:r>
      <w:r w:rsidR="00D01CD8" w:rsidRPr="003D73C3">
        <w:rPr>
          <w:szCs w:val="18"/>
        </w:rPr>
        <w:t>the</w:t>
      </w:r>
      <w:r w:rsidRPr="003D73C3">
        <w:rPr>
          <w:szCs w:val="18"/>
        </w:rPr>
        <w:t xml:space="preserve"> </w:t>
      </w:r>
      <w:r w:rsidR="00D01CD8" w:rsidRPr="003D73C3">
        <w:rPr>
          <w:szCs w:val="18"/>
        </w:rPr>
        <w:t xml:space="preserve">following dioxin sources </w:t>
      </w:r>
      <w:r w:rsidR="003D73C3" w:rsidRPr="003D73C3">
        <w:rPr>
          <w:noProof/>
          <w:szCs w:val="18"/>
        </w:rPr>
        <w:t>(United Nations Environment Programme, 2013)</w:t>
      </w:r>
      <w:r w:rsidR="00D01CD8" w:rsidRPr="003D73C3">
        <w:rPr>
          <w:szCs w:val="18"/>
        </w:rPr>
        <w:t>:</w:t>
      </w:r>
    </w:p>
    <w:p w14:paraId="0D6F2779"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a</w:t>
      </w:r>
      <w:r w:rsidR="003444E3" w:rsidRPr="003D73C3">
        <w:rPr>
          <w:szCs w:val="18"/>
        </w:rPr>
        <w:tab/>
        <w:t>Cement production</w:t>
      </w:r>
    </w:p>
    <w:p w14:paraId="7C49FDF5"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b</w:t>
      </w:r>
      <w:r w:rsidR="003444E3" w:rsidRPr="003D73C3">
        <w:rPr>
          <w:szCs w:val="18"/>
        </w:rPr>
        <w:tab/>
        <w:t>Lime production</w:t>
      </w:r>
    </w:p>
    <w:p w14:paraId="3DA09844"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c</w:t>
      </w:r>
      <w:r w:rsidR="003444E3" w:rsidRPr="003D73C3">
        <w:rPr>
          <w:szCs w:val="18"/>
        </w:rPr>
        <w:tab/>
        <w:t>Brick production</w:t>
      </w:r>
    </w:p>
    <w:p w14:paraId="54FE30B5"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d</w:t>
      </w:r>
      <w:r w:rsidR="003444E3" w:rsidRPr="003D73C3">
        <w:rPr>
          <w:szCs w:val="18"/>
        </w:rPr>
        <w:tab/>
        <w:t>Glass production</w:t>
      </w:r>
    </w:p>
    <w:p w14:paraId="369F7EF3"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e</w:t>
      </w:r>
      <w:r w:rsidR="003444E3" w:rsidRPr="003D73C3">
        <w:rPr>
          <w:szCs w:val="18"/>
        </w:rPr>
        <w:tab/>
        <w:t>Ceramics production</w:t>
      </w:r>
    </w:p>
    <w:p w14:paraId="1FD5F909"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f</w:t>
      </w:r>
      <w:r w:rsidR="003444E3" w:rsidRPr="003D73C3">
        <w:rPr>
          <w:szCs w:val="18"/>
        </w:rPr>
        <w:tab/>
        <w:t>Asphalt mixing</w:t>
      </w:r>
    </w:p>
    <w:p w14:paraId="6EBF900E" w14:textId="77777777" w:rsidR="003444E3" w:rsidRPr="003D73C3" w:rsidRDefault="00D01CD8" w:rsidP="003444E3">
      <w:pPr>
        <w:spacing w:line="300" w:lineRule="atLeast"/>
        <w:ind w:left="720"/>
        <w:jc w:val="both"/>
        <w:rPr>
          <w:szCs w:val="18"/>
        </w:rPr>
      </w:pPr>
      <w:r w:rsidRPr="003D73C3">
        <w:rPr>
          <w:szCs w:val="18"/>
        </w:rPr>
        <w:t>4</w:t>
      </w:r>
      <w:r w:rsidR="003444E3" w:rsidRPr="003D73C3">
        <w:rPr>
          <w:szCs w:val="18"/>
        </w:rPr>
        <w:t>g</w:t>
      </w:r>
      <w:r w:rsidR="003444E3" w:rsidRPr="003D73C3">
        <w:rPr>
          <w:szCs w:val="18"/>
        </w:rPr>
        <w:tab/>
        <w:t>Oil shale pyrolysis</w:t>
      </w:r>
    </w:p>
    <w:p w14:paraId="0226D66A" w14:textId="59DDFDC3" w:rsidR="00A84B6B" w:rsidRPr="003D73C3" w:rsidRDefault="5383A4F9" w:rsidP="00A84B6B">
      <w:pPr>
        <w:spacing w:line="300" w:lineRule="atLeast"/>
        <w:jc w:val="both"/>
      </w:pPr>
      <w:r>
        <w:t xml:space="preserve">The dioxin releases from the production of mineral products are all </w:t>
      </w:r>
      <w:bookmarkStart w:id="223" w:name="_Int_tvQcTkuf"/>
      <w:r>
        <w:t>basically combustion</w:t>
      </w:r>
      <w:bookmarkEnd w:id="223"/>
      <w:r>
        <w:t xml:space="preserve"> related.</w:t>
      </w:r>
      <w:r w:rsidR="650F7A23">
        <w:t xml:space="preserve"> However, the alkaline nature of many of the materials being processed may help to reduce dioxin formation, either by neutralising some of the active chlorine species or by surface absorption of the dioxins after they are formed.</w:t>
      </w:r>
    </w:p>
    <w:p w14:paraId="7C057007" w14:textId="77777777" w:rsidR="00044E38" w:rsidRPr="003D73C3" w:rsidRDefault="00976592" w:rsidP="00261F78">
      <w:pPr>
        <w:pStyle w:val="Heading2"/>
      </w:pPr>
      <w:bookmarkStart w:id="224" w:name="_Toc112768104"/>
      <w:r w:rsidRPr="003D73C3">
        <w:t>Cement production</w:t>
      </w:r>
      <w:bookmarkEnd w:id="224"/>
    </w:p>
    <w:p w14:paraId="3E59923D" w14:textId="067E9EBB" w:rsidR="005F5BAF" w:rsidRPr="003D73C3" w:rsidRDefault="00275574" w:rsidP="00E37486">
      <w:pPr>
        <w:tabs>
          <w:tab w:val="left" w:pos="2760"/>
        </w:tabs>
        <w:spacing w:before="120" w:line="300" w:lineRule="atLeast"/>
        <w:jc w:val="both"/>
        <w:rPr>
          <w:szCs w:val="18"/>
          <w:lang w:val="en-US"/>
        </w:rPr>
      </w:pPr>
      <w:r w:rsidRPr="003D73C3">
        <w:rPr>
          <w:szCs w:val="18"/>
        </w:rPr>
        <w:t xml:space="preserve">Following the closure of the Holcim cement plant at Cape Foulwind in 2016, currently New Zealand has only one cement manufacturer – Golden Bay Cement in Whangarei. </w:t>
      </w:r>
      <w:r w:rsidR="00F24C1B" w:rsidRPr="003D73C3">
        <w:rPr>
          <w:szCs w:val="18"/>
          <w:lang w:val="en-US"/>
        </w:rPr>
        <w:t xml:space="preserve">The </w:t>
      </w:r>
      <w:r w:rsidR="00AA6394" w:rsidRPr="003D73C3">
        <w:rPr>
          <w:szCs w:val="18"/>
          <w:lang w:val="en-US"/>
        </w:rPr>
        <w:t>Golden Bay</w:t>
      </w:r>
      <w:r w:rsidR="00F24C1B" w:rsidRPr="003D73C3">
        <w:rPr>
          <w:szCs w:val="18"/>
          <w:lang w:val="en-US"/>
        </w:rPr>
        <w:t xml:space="preserve"> plant uses a ‘dry’ process in which the raw materials are fed into the system in a dry state</w:t>
      </w:r>
      <w:r w:rsidR="0023135D" w:rsidRPr="003D73C3">
        <w:rPr>
          <w:szCs w:val="18"/>
          <w:lang w:val="en-US"/>
        </w:rPr>
        <w:t>. Coal is used as the primary fuel but is</w:t>
      </w:r>
      <w:r w:rsidR="0015287D" w:rsidRPr="003D73C3">
        <w:rPr>
          <w:szCs w:val="18"/>
          <w:lang w:val="en-US"/>
        </w:rPr>
        <w:t xml:space="preserve"> supplemented with wood waste</w:t>
      </w:r>
      <w:r w:rsidR="009773BA">
        <w:rPr>
          <w:szCs w:val="18"/>
          <w:lang w:val="en-US"/>
        </w:rPr>
        <w:t xml:space="preserve"> and more recently tyre</w:t>
      </w:r>
      <w:r w:rsidR="00B15F49">
        <w:rPr>
          <w:szCs w:val="18"/>
          <w:lang w:val="en-US"/>
        </w:rPr>
        <w:t>-</w:t>
      </w:r>
      <w:r w:rsidR="009773BA">
        <w:rPr>
          <w:szCs w:val="18"/>
          <w:lang w:val="en-US"/>
        </w:rPr>
        <w:t>derived fuel</w:t>
      </w:r>
      <w:r w:rsidR="0015287D" w:rsidRPr="003D73C3">
        <w:rPr>
          <w:szCs w:val="18"/>
          <w:lang w:val="en-US"/>
        </w:rPr>
        <w:t xml:space="preserve">. </w:t>
      </w:r>
      <w:r w:rsidR="0023135D" w:rsidRPr="003D73C3">
        <w:rPr>
          <w:szCs w:val="18"/>
          <w:lang w:val="en-US"/>
        </w:rPr>
        <w:t xml:space="preserve">The total cement production at the plant in </w:t>
      </w:r>
      <w:r>
        <w:rPr>
          <w:szCs w:val="18"/>
          <w:lang w:val="en-US"/>
        </w:rPr>
        <w:t>2020</w:t>
      </w:r>
      <w:r w:rsidR="0023135D" w:rsidRPr="003D73C3">
        <w:rPr>
          <w:szCs w:val="18"/>
          <w:lang w:val="en-US"/>
        </w:rPr>
        <w:t xml:space="preserve"> was </w:t>
      </w:r>
      <w:r>
        <w:rPr>
          <w:szCs w:val="18"/>
          <w:lang w:val="en-US"/>
        </w:rPr>
        <w:t>802,121</w:t>
      </w:r>
      <w:r w:rsidR="0015287D" w:rsidRPr="003D73C3">
        <w:rPr>
          <w:szCs w:val="18"/>
          <w:lang w:val="en-US"/>
        </w:rPr>
        <w:t xml:space="preserve"> tonnes (</w:t>
      </w:r>
      <w:r>
        <w:rPr>
          <w:szCs w:val="18"/>
          <w:lang w:val="en-US"/>
        </w:rPr>
        <w:t>C</w:t>
      </w:r>
      <w:r w:rsidR="0015287D" w:rsidRPr="003D73C3">
        <w:rPr>
          <w:szCs w:val="18"/>
          <w:lang w:val="en-US"/>
        </w:rPr>
        <w:t>.</w:t>
      </w:r>
      <w:r>
        <w:rPr>
          <w:szCs w:val="18"/>
          <w:lang w:val="en-US"/>
        </w:rPr>
        <w:t xml:space="preserve"> Ehlers</w:t>
      </w:r>
      <w:r w:rsidR="0015287D" w:rsidRPr="003D73C3">
        <w:rPr>
          <w:szCs w:val="18"/>
          <w:lang w:val="en-US"/>
        </w:rPr>
        <w:t>, Northland Regional Council</w:t>
      </w:r>
      <w:r w:rsidR="00930027" w:rsidRPr="003D73C3">
        <w:rPr>
          <w:szCs w:val="18"/>
          <w:lang w:val="en-US"/>
        </w:rPr>
        <w:t>,</w:t>
      </w:r>
      <w:r w:rsidR="0015287D" w:rsidRPr="003D73C3">
        <w:rPr>
          <w:szCs w:val="18"/>
          <w:lang w:val="en-US"/>
        </w:rPr>
        <w:t xml:space="preserve"> pers comm</w:t>
      </w:r>
      <w:r w:rsidR="0023135D" w:rsidRPr="003D73C3">
        <w:rPr>
          <w:szCs w:val="18"/>
          <w:lang w:val="en-US"/>
        </w:rPr>
        <w:t>,</w:t>
      </w:r>
      <w:r w:rsidR="003D73C3">
        <w:rPr>
          <w:szCs w:val="18"/>
          <w:lang w:val="en-US"/>
        </w:rPr>
        <w:t xml:space="preserve"> </w:t>
      </w:r>
      <w:r>
        <w:rPr>
          <w:szCs w:val="18"/>
          <w:lang w:val="en-US"/>
        </w:rPr>
        <w:t>2022</w:t>
      </w:r>
      <w:r w:rsidR="0023135D" w:rsidRPr="003D73C3">
        <w:rPr>
          <w:szCs w:val="18"/>
          <w:lang w:val="en-US"/>
        </w:rPr>
        <w:t>)</w:t>
      </w:r>
      <w:r w:rsidR="0015287D" w:rsidRPr="003D73C3">
        <w:rPr>
          <w:szCs w:val="18"/>
          <w:lang w:val="en-US"/>
        </w:rPr>
        <w:t>.</w:t>
      </w:r>
    </w:p>
    <w:p w14:paraId="0D4BF8B8" w14:textId="38E1D8E7" w:rsidR="00795E8E" w:rsidRPr="003D73C3" w:rsidRDefault="004C5C7F" w:rsidP="00F24C1B">
      <w:pPr>
        <w:tabs>
          <w:tab w:val="left" w:pos="2760"/>
        </w:tabs>
        <w:spacing w:before="120" w:line="300" w:lineRule="atLeast"/>
        <w:jc w:val="both"/>
        <w:rPr>
          <w:szCs w:val="18"/>
          <w:lang w:val="en-US"/>
        </w:rPr>
      </w:pPr>
      <w:r w:rsidRPr="003D73C3">
        <w:rPr>
          <w:szCs w:val="18"/>
          <w:lang w:val="en-US"/>
        </w:rPr>
        <w:t>T</w:t>
      </w:r>
      <w:r w:rsidR="002E18C1" w:rsidRPr="003D73C3">
        <w:rPr>
          <w:szCs w:val="18"/>
          <w:lang w:val="en-US"/>
        </w:rPr>
        <w:t>he default factor given in the UNEP Toolkit for dry process kilns</w:t>
      </w:r>
      <w:r w:rsidR="00F30026" w:rsidRPr="003D73C3">
        <w:rPr>
          <w:szCs w:val="18"/>
          <w:lang w:val="en-US"/>
        </w:rPr>
        <w:t xml:space="preserve"> is </w:t>
      </w:r>
      <w:r w:rsidR="002E18C1" w:rsidRPr="003D73C3">
        <w:rPr>
          <w:szCs w:val="18"/>
          <w:lang w:val="en-US"/>
        </w:rPr>
        <w:t xml:space="preserve">0.05 µg </w:t>
      </w:r>
      <w:r w:rsidR="0009594D" w:rsidRPr="003D73C3">
        <w:rPr>
          <w:szCs w:val="18"/>
          <w:lang w:val="en-US"/>
        </w:rPr>
        <w:t>TEQ</w:t>
      </w:r>
      <w:r w:rsidR="002E18C1" w:rsidRPr="003D73C3">
        <w:rPr>
          <w:szCs w:val="18"/>
          <w:lang w:val="en-US"/>
        </w:rPr>
        <w:t xml:space="preserve"> per tonne</w:t>
      </w:r>
      <w:r w:rsidR="00F24C1B" w:rsidRPr="003D73C3">
        <w:rPr>
          <w:szCs w:val="18"/>
          <w:lang w:val="en-US"/>
        </w:rPr>
        <w:t>.</w:t>
      </w:r>
      <w:r w:rsidR="002E18C1" w:rsidRPr="003D73C3">
        <w:rPr>
          <w:szCs w:val="18"/>
          <w:lang w:val="en-US"/>
        </w:rPr>
        <w:t xml:space="preserve"> </w:t>
      </w:r>
      <w:r w:rsidR="00F30026" w:rsidRPr="003D73C3">
        <w:rPr>
          <w:szCs w:val="18"/>
          <w:lang w:val="en-US"/>
        </w:rPr>
        <w:t xml:space="preserve">There are no releases of cement kiln dust (CKD) from the Golden Bay plant, although this did occur </w:t>
      </w:r>
      <w:r w:rsidR="0015287D" w:rsidRPr="003D73C3">
        <w:rPr>
          <w:szCs w:val="18"/>
          <w:lang w:val="en-US"/>
        </w:rPr>
        <w:t>in the now-closed Holcim plant.</w:t>
      </w:r>
    </w:p>
    <w:p w14:paraId="0052732F" w14:textId="12CB0ACD" w:rsidR="0083485D" w:rsidRPr="00AA4F49" w:rsidRDefault="0083485D" w:rsidP="0083485D">
      <w:pPr>
        <w:spacing w:line="300" w:lineRule="atLeast"/>
        <w:jc w:val="both"/>
        <w:rPr>
          <w:szCs w:val="18"/>
        </w:rPr>
      </w:pPr>
      <w:r w:rsidRPr="003D73C3">
        <w:rPr>
          <w:szCs w:val="18"/>
        </w:rPr>
        <w:t xml:space="preserve">The </w:t>
      </w:r>
      <w:r w:rsidR="00ED1C4F">
        <w:rPr>
          <w:szCs w:val="18"/>
        </w:rPr>
        <w:t>2020</w:t>
      </w:r>
      <w:r w:rsidRPr="003D73C3">
        <w:rPr>
          <w:szCs w:val="18"/>
        </w:rPr>
        <w:t xml:space="preserve"> release estimates for cement production are shown in</w:t>
      </w:r>
      <w:r w:rsidR="005B1C92" w:rsidRPr="003D73C3">
        <w:rPr>
          <w:szCs w:val="18"/>
        </w:rPr>
        <w:t xml:space="preserve"> Table 6-1</w:t>
      </w:r>
      <w:r w:rsidRPr="003D73C3">
        <w:rPr>
          <w:szCs w:val="18"/>
        </w:rPr>
        <w:t xml:space="preserve">, along with the corresponding estimates made in the </w:t>
      </w:r>
      <w:r w:rsidR="00F30026" w:rsidRPr="003D73C3">
        <w:rPr>
          <w:szCs w:val="18"/>
        </w:rPr>
        <w:t xml:space="preserve">2012 </w:t>
      </w:r>
      <w:r w:rsidR="00ED1C4F">
        <w:rPr>
          <w:szCs w:val="18"/>
        </w:rPr>
        <w:t xml:space="preserve">and 2016 </w:t>
      </w:r>
      <w:r w:rsidRPr="003D73C3">
        <w:rPr>
          <w:szCs w:val="18"/>
        </w:rPr>
        <w:t>Inventor</w:t>
      </w:r>
      <w:r w:rsidR="00ED1C4F">
        <w:rPr>
          <w:szCs w:val="18"/>
        </w:rPr>
        <w:t>ies</w:t>
      </w:r>
      <w:r w:rsidRPr="00AA4F49">
        <w:rPr>
          <w:szCs w:val="18"/>
        </w:rPr>
        <w:t xml:space="preserve">. </w:t>
      </w:r>
    </w:p>
    <w:p w14:paraId="76197A3C" w14:textId="018C22C0" w:rsidR="0083485D" w:rsidRPr="003D73C3" w:rsidRDefault="0083485D" w:rsidP="00101AA8">
      <w:pPr>
        <w:pStyle w:val="Caption"/>
        <w:jc w:val="left"/>
        <w:rPr>
          <w:rFonts w:cs="Arial"/>
          <w:szCs w:val="18"/>
        </w:rPr>
      </w:pPr>
      <w:bookmarkStart w:id="225" w:name="_Ref359752625"/>
      <w:r w:rsidRPr="00AA4F49">
        <w:rPr>
          <w:rFonts w:cs="Arial"/>
        </w:rPr>
        <w:t xml:space="preserve">Table </w:t>
      </w:r>
      <w:r w:rsidR="003D73C3">
        <w:rPr>
          <w:rFonts w:cs="Arial"/>
        </w:rPr>
        <w:t>6</w:t>
      </w:r>
      <w:r w:rsidR="00C17BA5" w:rsidRPr="003D73C3">
        <w:rPr>
          <w:rFonts w:cs="Arial"/>
        </w:rPr>
        <w:noBreakHyphen/>
      </w:r>
      <w:r w:rsidR="00C17BA5" w:rsidRPr="003D73C3">
        <w:rPr>
          <w:rFonts w:cs="Arial"/>
        </w:rPr>
        <w:fldChar w:fldCharType="begin"/>
      </w:r>
      <w:r w:rsidR="00C17BA5" w:rsidRPr="003D73C3">
        <w:rPr>
          <w:rFonts w:cs="Arial"/>
        </w:rPr>
        <w:instrText xml:space="preserve"> SEQ Table \* ARABIC \s 1 </w:instrText>
      </w:r>
      <w:r w:rsidR="00C17BA5" w:rsidRPr="003D73C3">
        <w:rPr>
          <w:rFonts w:cs="Arial"/>
        </w:rPr>
        <w:fldChar w:fldCharType="separate"/>
      </w:r>
      <w:r w:rsidR="00141D7F">
        <w:rPr>
          <w:rFonts w:cs="Arial"/>
          <w:noProof/>
        </w:rPr>
        <w:t>1</w:t>
      </w:r>
      <w:r w:rsidR="00C17BA5" w:rsidRPr="003D73C3">
        <w:rPr>
          <w:rFonts w:cs="Arial"/>
        </w:rPr>
        <w:fldChar w:fldCharType="end"/>
      </w:r>
      <w:bookmarkEnd w:id="225"/>
      <w:r w:rsidRPr="003D73C3">
        <w:rPr>
          <w:rFonts w:cs="Arial"/>
        </w:rPr>
        <w:t xml:space="preserve">: </w:t>
      </w:r>
      <w:r w:rsidR="00287693" w:rsidRPr="003D73C3">
        <w:rPr>
          <w:rFonts w:cs="Arial"/>
        </w:rPr>
        <w:t>Dioxin</w:t>
      </w:r>
      <w:r w:rsidRPr="003D73C3">
        <w:rPr>
          <w:rFonts w:cs="Arial"/>
        </w:rPr>
        <w:t xml:space="preserve"> releases from cement production</w:t>
      </w:r>
    </w:p>
    <w:tbl>
      <w:tblPr>
        <w:tblStyle w:val="TableGrid"/>
        <w:tblW w:w="0" w:type="auto"/>
        <w:tblLook w:val="04A0" w:firstRow="1" w:lastRow="0" w:firstColumn="1" w:lastColumn="0" w:noHBand="0" w:noVBand="1"/>
      </w:tblPr>
      <w:tblGrid>
        <w:gridCol w:w="667"/>
        <w:gridCol w:w="1108"/>
        <w:gridCol w:w="1179"/>
        <w:gridCol w:w="1172"/>
        <w:gridCol w:w="1360"/>
        <w:gridCol w:w="1231"/>
        <w:gridCol w:w="1234"/>
        <w:gridCol w:w="1110"/>
      </w:tblGrid>
      <w:tr w:rsidR="00206578" w:rsidRPr="00AF1200" w14:paraId="1519A9E9" w14:textId="77777777" w:rsidTr="00944F46">
        <w:tc>
          <w:tcPr>
            <w:tcW w:w="667" w:type="dxa"/>
            <w:vMerge w:val="restart"/>
            <w:vAlign w:val="center"/>
          </w:tcPr>
          <w:p w14:paraId="4A73376D" w14:textId="77777777" w:rsidR="00206578" w:rsidRPr="003D73C3" w:rsidRDefault="00206578" w:rsidP="00A95C93">
            <w:pPr>
              <w:spacing w:before="120"/>
              <w:jc w:val="center"/>
              <w:rPr>
                <w:rFonts w:ascii="Arial" w:hAnsi="Arial" w:cs="Arial"/>
                <w:b/>
                <w:sz w:val="16"/>
                <w:szCs w:val="18"/>
              </w:rPr>
            </w:pPr>
            <w:r w:rsidRPr="003D73C3">
              <w:rPr>
                <w:rFonts w:ascii="Arial" w:hAnsi="Arial" w:cs="Arial"/>
                <w:b/>
                <w:sz w:val="16"/>
                <w:szCs w:val="18"/>
              </w:rPr>
              <w:t>Year</w:t>
            </w:r>
          </w:p>
        </w:tc>
        <w:tc>
          <w:tcPr>
            <w:tcW w:w="1108" w:type="dxa"/>
            <w:vMerge w:val="restart"/>
            <w:vAlign w:val="center"/>
          </w:tcPr>
          <w:p w14:paraId="41221A8D" w14:textId="77777777" w:rsidR="00206578" w:rsidRPr="003D73C3" w:rsidRDefault="00206578" w:rsidP="0083485D">
            <w:pPr>
              <w:spacing w:before="120"/>
              <w:jc w:val="center"/>
              <w:rPr>
                <w:rFonts w:ascii="Arial" w:hAnsi="Arial" w:cs="Arial"/>
                <w:b/>
                <w:sz w:val="16"/>
                <w:szCs w:val="18"/>
              </w:rPr>
            </w:pPr>
            <w:r w:rsidRPr="003D73C3">
              <w:rPr>
                <w:rFonts w:ascii="Arial" w:hAnsi="Arial" w:cs="Arial"/>
                <w:b/>
                <w:sz w:val="16"/>
                <w:szCs w:val="18"/>
              </w:rPr>
              <w:t>Plant</w:t>
            </w:r>
          </w:p>
        </w:tc>
        <w:tc>
          <w:tcPr>
            <w:tcW w:w="2351" w:type="dxa"/>
            <w:gridSpan w:val="2"/>
            <w:vAlign w:val="center"/>
          </w:tcPr>
          <w:p w14:paraId="546177C7" w14:textId="77777777" w:rsidR="00206578" w:rsidRPr="003D73C3" w:rsidRDefault="00206578" w:rsidP="00BA275F">
            <w:pPr>
              <w:spacing w:before="120"/>
              <w:jc w:val="center"/>
              <w:rPr>
                <w:rFonts w:ascii="Arial" w:hAnsi="Arial" w:cs="Arial"/>
                <w:b/>
                <w:sz w:val="16"/>
                <w:szCs w:val="18"/>
              </w:rPr>
            </w:pPr>
            <w:r w:rsidRPr="003D73C3">
              <w:rPr>
                <w:rFonts w:ascii="Arial" w:hAnsi="Arial" w:cs="Arial"/>
                <w:b/>
                <w:sz w:val="16"/>
                <w:szCs w:val="18"/>
              </w:rPr>
              <w:t>Activity Rate</w:t>
            </w:r>
            <w:r w:rsidR="00BA275F" w:rsidRPr="003D73C3">
              <w:rPr>
                <w:rFonts w:ascii="Arial" w:hAnsi="Arial" w:cs="Arial"/>
                <w:b/>
                <w:sz w:val="16"/>
                <w:szCs w:val="18"/>
              </w:rPr>
              <w:t xml:space="preserve"> </w:t>
            </w:r>
            <w:r w:rsidR="00BA275F" w:rsidRPr="003D73C3">
              <w:rPr>
                <w:rFonts w:ascii="Arial" w:hAnsi="Arial" w:cs="Arial"/>
                <w:b/>
                <w:sz w:val="16"/>
                <w:szCs w:val="18"/>
              </w:rPr>
              <w:br/>
              <w:t>(tonnes</w:t>
            </w:r>
            <w:r w:rsidRPr="003D73C3">
              <w:rPr>
                <w:rFonts w:ascii="Arial" w:hAnsi="Arial" w:cs="Arial"/>
                <w:b/>
                <w:sz w:val="16"/>
                <w:szCs w:val="18"/>
              </w:rPr>
              <w:t>/year)</w:t>
            </w:r>
          </w:p>
        </w:tc>
        <w:tc>
          <w:tcPr>
            <w:tcW w:w="2591" w:type="dxa"/>
            <w:gridSpan w:val="2"/>
            <w:vAlign w:val="center"/>
          </w:tcPr>
          <w:p w14:paraId="3A3CDDFE" w14:textId="2FEEE2D3" w:rsidR="00206578" w:rsidRPr="003D73C3" w:rsidRDefault="00206578" w:rsidP="00172AAE">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 xml:space="preserve">µg </w:t>
            </w:r>
            <w:r w:rsidR="0009594D" w:rsidRPr="003D73C3">
              <w:rPr>
                <w:rFonts w:ascii="Arial" w:hAnsi="Arial" w:cs="Arial"/>
                <w:b/>
                <w:sz w:val="16"/>
                <w:szCs w:val="18"/>
              </w:rPr>
              <w:t>TEQ</w:t>
            </w:r>
            <w:r w:rsidRPr="003D73C3">
              <w:rPr>
                <w:rFonts w:ascii="Arial" w:hAnsi="Arial" w:cs="Arial"/>
                <w:b/>
                <w:sz w:val="16"/>
                <w:szCs w:val="18"/>
              </w:rPr>
              <w:t>/tonne of cement or CKD)</w:t>
            </w:r>
          </w:p>
        </w:tc>
        <w:tc>
          <w:tcPr>
            <w:tcW w:w="2344" w:type="dxa"/>
            <w:gridSpan w:val="2"/>
            <w:vAlign w:val="center"/>
          </w:tcPr>
          <w:p w14:paraId="4C1D24CD" w14:textId="7A80926A" w:rsidR="00206578" w:rsidRPr="003D73C3" w:rsidRDefault="00206578" w:rsidP="00A95C93">
            <w:pPr>
              <w:spacing w:before="120"/>
              <w:jc w:val="center"/>
              <w:rPr>
                <w:rFonts w:ascii="Arial" w:hAnsi="Arial" w:cs="Arial"/>
                <w:b/>
                <w:sz w:val="16"/>
                <w:szCs w:val="18"/>
              </w:rPr>
            </w:pPr>
            <w:r w:rsidRPr="003D73C3">
              <w:rPr>
                <w:rFonts w:ascii="Arial" w:hAnsi="Arial" w:cs="Arial"/>
                <w:b/>
                <w:sz w:val="16"/>
                <w:szCs w:val="18"/>
              </w:rPr>
              <w:t xml:space="preserve">Annual releases (g </w:t>
            </w:r>
            <w:r w:rsidR="0009594D" w:rsidRPr="003D73C3">
              <w:rPr>
                <w:rFonts w:ascii="Arial" w:hAnsi="Arial" w:cs="Arial"/>
                <w:b/>
                <w:sz w:val="16"/>
                <w:szCs w:val="18"/>
              </w:rPr>
              <w:t>TEQ</w:t>
            </w:r>
            <w:r w:rsidRPr="003D73C3">
              <w:rPr>
                <w:rFonts w:ascii="Arial" w:hAnsi="Arial" w:cs="Arial"/>
                <w:b/>
                <w:sz w:val="16"/>
                <w:szCs w:val="18"/>
              </w:rPr>
              <w:t>/yr)</w:t>
            </w:r>
          </w:p>
        </w:tc>
      </w:tr>
      <w:tr w:rsidR="00BA275F" w:rsidRPr="00AF1200" w14:paraId="210A608F" w14:textId="77777777" w:rsidTr="00E95BD6">
        <w:tc>
          <w:tcPr>
            <w:tcW w:w="667" w:type="dxa"/>
            <w:vMerge/>
          </w:tcPr>
          <w:p w14:paraId="14981688" w14:textId="77777777" w:rsidR="00BA275F" w:rsidRPr="00AF1200" w:rsidRDefault="00BA275F" w:rsidP="00A95C93">
            <w:pPr>
              <w:spacing w:before="120"/>
              <w:jc w:val="both"/>
              <w:rPr>
                <w:rFonts w:ascii="Arial" w:hAnsi="Arial" w:cs="Arial"/>
                <w:sz w:val="16"/>
                <w:szCs w:val="18"/>
                <w:highlight w:val="yellow"/>
              </w:rPr>
            </w:pPr>
          </w:p>
        </w:tc>
        <w:tc>
          <w:tcPr>
            <w:tcW w:w="1108" w:type="dxa"/>
            <w:vMerge/>
            <w:vAlign w:val="center"/>
          </w:tcPr>
          <w:p w14:paraId="29A50C71" w14:textId="77777777" w:rsidR="00BA275F" w:rsidRPr="00AF1200" w:rsidRDefault="00BA275F" w:rsidP="00A95C93">
            <w:pPr>
              <w:spacing w:before="120"/>
              <w:jc w:val="center"/>
              <w:rPr>
                <w:rFonts w:ascii="Arial" w:hAnsi="Arial" w:cs="Arial"/>
                <w:sz w:val="16"/>
                <w:szCs w:val="18"/>
                <w:highlight w:val="yellow"/>
              </w:rPr>
            </w:pPr>
          </w:p>
        </w:tc>
        <w:tc>
          <w:tcPr>
            <w:tcW w:w="1179" w:type="dxa"/>
            <w:vAlign w:val="center"/>
          </w:tcPr>
          <w:p w14:paraId="3BDB04E5" w14:textId="77777777" w:rsidR="00BA275F" w:rsidRPr="003D73C3" w:rsidRDefault="00BA275F" w:rsidP="00A95C93">
            <w:pPr>
              <w:spacing w:before="120"/>
              <w:jc w:val="center"/>
              <w:rPr>
                <w:rFonts w:ascii="Arial" w:hAnsi="Arial" w:cs="Arial"/>
                <w:b/>
                <w:sz w:val="16"/>
                <w:szCs w:val="18"/>
              </w:rPr>
            </w:pPr>
            <w:r w:rsidRPr="003D73C3">
              <w:rPr>
                <w:rFonts w:ascii="Arial" w:hAnsi="Arial" w:cs="Arial"/>
                <w:b/>
                <w:sz w:val="16"/>
                <w:szCs w:val="18"/>
              </w:rPr>
              <w:t>Cement</w:t>
            </w:r>
          </w:p>
        </w:tc>
        <w:tc>
          <w:tcPr>
            <w:tcW w:w="1172" w:type="dxa"/>
            <w:vAlign w:val="center"/>
          </w:tcPr>
          <w:p w14:paraId="5C57A7B9" w14:textId="77777777" w:rsidR="00BA275F" w:rsidRPr="003D73C3" w:rsidRDefault="00BA275F" w:rsidP="00A95C93">
            <w:pPr>
              <w:spacing w:before="120"/>
              <w:jc w:val="center"/>
              <w:rPr>
                <w:rFonts w:ascii="Arial" w:hAnsi="Arial" w:cs="Arial"/>
                <w:b/>
                <w:sz w:val="16"/>
                <w:szCs w:val="18"/>
              </w:rPr>
            </w:pPr>
            <w:r w:rsidRPr="003D73C3">
              <w:rPr>
                <w:rFonts w:ascii="Arial" w:hAnsi="Arial" w:cs="Arial"/>
                <w:b/>
                <w:sz w:val="16"/>
                <w:szCs w:val="18"/>
              </w:rPr>
              <w:t>CKD</w:t>
            </w:r>
          </w:p>
        </w:tc>
        <w:tc>
          <w:tcPr>
            <w:tcW w:w="1360" w:type="dxa"/>
            <w:vAlign w:val="center"/>
          </w:tcPr>
          <w:p w14:paraId="29CA3894" w14:textId="77777777" w:rsidR="00BA275F" w:rsidRPr="003D73C3" w:rsidRDefault="00BA275F" w:rsidP="00A95C93">
            <w:pPr>
              <w:spacing w:before="120"/>
              <w:jc w:val="center"/>
              <w:rPr>
                <w:rFonts w:ascii="Arial" w:hAnsi="Arial" w:cs="Arial"/>
                <w:b/>
                <w:sz w:val="16"/>
                <w:szCs w:val="18"/>
              </w:rPr>
            </w:pPr>
            <w:r w:rsidRPr="003D73C3">
              <w:rPr>
                <w:rFonts w:ascii="Arial" w:hAnsi="Arial" w:cs="Arial"/>
                <w:b/>
                <w:sz w:val="16"/>
                <w:szCs w:val="18"/>
              </w:rPr>
              <w:t>Air</w:t>
            </w:r>
          </w:p>
        </w:tc>
        <w:tc>
          <w:tcPr>
            <w:tcW w:w="1231" w:type="dxa"/>
            <w:vAlign w:val="center"/>
          </w:tcPr>
          <w:p w14:paraId="4DE94D79" w14:textId="77777777" w:rsidR="00BA275F" w:rsidRPr="003D73C3" w:rsidRDefault="00BA275F" w:rsidP="00172AAE">
            <w:pPr>
              <w:spacing w:before="120"/>
              <w:jc w:val="center"/>
              <w:rPr>
                <w:rFonts w:ascii="Arial" w:hAnsi="Arial" w:cs="Arial"/>
                <w:b/>
                <w:sz w:val="16"/>
                <w:szCs w:val="18"/>
              </w:rPr>
            </w:pPr>
            <w:r w:rsidRPr="003D73C3">
              <w:rPr>
                <w:rFonts w:ascii="Arial" w:hAnsi="Arial" w:cs="Arial"/>
                <w:b/>
                <w:sz w:val="16"/>
                <w:szCs w:val="18"/>
              </w:rPr>
              <w:t>Land</w:t>
            </w:r>
          </w:p>
        </w:tc>
        <w:tc>
          <w:tcPr>
            <w:tcW w:w="1234" w:type="dxa"/>
            <w:vAlign w:val="center"/>
          </w:tcPr>
          <w:p w14:paraId="0A4DEE48" w14:textId="77777777" w:rsidR="00BA275F" w:rsidRPr="003D73C3" w:rsidRDefault="00BA275F" w:rsidP="00A95C93">
            <w:pPr>
              <w:spacing w:before="120"/>
              <w:jc w:val="center"/>
              <w:rPr>
                <w:rFonts w:ascii="Arial" w:hAnsi="Arial" w:cs="Arial"/>
                <w:b/>
                <w:sz w:val="16"/>
                <w:szCs w:val="18"/>
              </w:rPr>
            </w:pPr>
            <w:r w:rsidRPr="003D73C3">
              <w:rPr>
                <w:rFonts w:ascii="Arial" w:hAnsi="Arial" w:cs="Arial"/>
                <w:b/>
                <w:sz w:val="16"/>
                <w:szCs w:val="18"/>
              </w:rPr>
              <w:t>Air</w:t>
            </w:r>
          </w:p>
        </w:tc>
        <w:tc>
          <w:tcPr>
            <w:tcW w:w="1110" w:type="dxa"/>
            <w:vAlign w:val="center"/>
          </w:tcPr>
          <w:p w14:paraId="6ABAF308" w14:textId="77777777" w:rsidR="00BA275F" w:rsidRPr="003D73C3" w:rsidRDefault="00BA275F" w:rsidP="00172AAE">
            <w:pPr>
              <w:spacing w:before="120"/>
              <w:jc w:val="center"/>
              <w:rPr>
                <w:rFonts w:ascii="Arial" w:hAnsi="Arial" w:cs="Arial"/>
                <w:b/>
                <w:sz w:val="16"/>
                <w:szCs w:val="18"/>
              </w:rPr>
            </w:pPr>
            <w:r w:rsidRPr="003D73C3">
              <w:rPr>
                <w:rFonts w:ascii="Arial" w:hAnsi="Arial" w:cs="Arial"/>
                <w:b/>
                <w:sz w:val="16"/>
                <w:szCs w:val="18"/>
              </w:rPr>
              <w:t>Land</w:t>
            </w:r>
          </w:p>
        </w:tc>
      </w:tr>
      <w:tr w:rsidR="00F30026" w:rsidRPr="00AF1200" w14:paraId="5875866F" w14:textId="77777777" w:rsidTr="00E95BD6">
        <w:tc>
          <w:tcPr>
            <w:tcW w:w="667" w:type="dxa"/>
            <w:vMerge w:val="restart"/>
            <w:vAlign w:val="center"/>
          </w:tcPr>
          <w:p w14:paraId="262721F2" w14:textId="0DF8B13B" w:rsidR="00F30026" w:rsidRPr="003D73C3" w:rsidRDefault="00F30026" w:rsidP="00A95C93">
            <w:pPr>
              <w:spacing w:before="120"/>
              <w:rPr>
                <w:rFonts w:ascii="Arial" w:hAnsi="Arial" w:cs="Arial"/>
                <w:b/>
                <w:sz w:val="16"/>
                <w:szCs w:val="18"/>
              </w:rPr>
            </w:pPr>
            <w:r w:rsidRPr="003D73C3">
              <w:rPr>
                <w:rFonts w:ascii="Arial" w:hAnsi="Arial" w:cs="Arial"/>
                <w:b/>
                <w:sz w:val="16"/>
                <w:szCs w:val="18"/>
              </w:rPr>
              <w:t>2012</w:t>
            </w:r>
          </w:p>
        </w:tc>
        <w:tc>
          <w:tcPr>
            <w:tcW w:w="1108" w:type="dxa"/>
            <w:vAlign w:val="center"/>
          </w:tcPr>
          <w:p w14:paraId="464E0C24" w14:textId="77777777" w:rsidR="00F30026" w:rsidRPr="003D73C3" w:rsidRDefault="00F30026" w:rsidP="00206578">
            <w:pPr>
              <w:spacing w:before="120"/>
              <w:rPr>
                <w:rFonts w:ascii="Arial" w:hAnsi="Arial" w:cs="Arial"/>
                <w:sz w:val="16"/>
                <w:szCs w:val="18"/>
              </w:rPr>
            </w:pPr>
            <w:r w:rsidRPr="003D73C3">
              <w:rPr>
                <w:rFonts w:ascii="Arial" w:hAnsi="Arial" w:cs="Arial"/>
                <w:sz w:val="16"/>
                <w:szCs w:val="18"/>
              </w:rPr>
              <w:t>Golden Bay</w:t>
            </w:r>
          </w:p>
        </w:tc>
        <w:tc>
          <w:tcPr>
            <w:tcW w:w="1179" w:type="dxa"/>
            <w:vAlign w:val="center"/>
          </w:tcPr>
          <w:p w14:paraId="3B34A901" w14:textId="2A91599E" w:rsidR="00F30026" w:rsidRPr="003D73C3" w:rsidRDefault="00F30026" w:rsidP="00BA275F">
            <w:pPr>
              <w:spacing w:before="120"/>
              <w:jc w:val="center"/>
              <w:rPr>
                <w:rFonts w:ascii="Arial" w:hAnsi="Arial" w:cs="Arial"/>
                <w:sz w:val="16"/>
                <w:szCs w:val="18"/>
              </w:rPr>
            </w:pPr>
            <w:r w:rsidRPr="003D73C3">
              <w:rPr>
                <w:rFonts w:ascii="Arial" w:hAnsi="Arial" w:cs="Arial"/>
                <w:sz w:val="16"/>
                <w:szCs w:val="18"/>
              </w:rPr>
              <w:t>690,000</w:t>
            </w:r>
          </w:p>
        </w:tc>
        <w:tc>
          <w:tcPr>
            <w:tcW w:w="1172" w:type="dxa"/>
            <w:vAlign w:val="center"/>
          </w:tcPr>
          <w:p w14:paraId="6E4462BA" w14:textId="77777777"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w:t>
            </w:r>
          </w:p>
        </w:tc>
        <w:tc>
          <w:tcPr>
            <w:tcW w:w="1360" w:type="dxa"/>
            <w:vAlign w:val="center"/>
          </w:tcPr>
          <w:p w14:paraId="508C71D4" w14:textId="77777777"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0.05</w:t>
            </w:r>
          </w:p>
        </w:tc>
        <w:tc>
          <w:tcPr>
            <w:tcW w:w="1231" w:type="dxa"/>
            <w:vAlign w:val="center"/>
          </w:tcPr>
          <w:p w14:paraId="36F7C063" w14:textId="77777777"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w:t>
            </w:r>
          </w:p>
        </w:tc>
        <w:tc>
          <w:tcPr>
            <w:tcW w:w="1234" w:type="dxa"/>
            <w:vAlign w:val="center"/>
          </w:tcPr>
          <w:p w14:paraId="599C5ECB" w14:textId="2F49B72E"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0.035</w:t>
            </w:r>
          </w:p>
        </w:tc>
        <w:tc>
          <w:tcPr>
            <w:tcW w:w="1110" w:type="dxa"/>
            <w:vAlign w:val="center"/>
          </w:tcPr>
          <w:p w14:paraId="5EED80DD" w14:textId="77777777"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w:t>
            </w:r>
          </w:p>
        </w:tc>
      </w:tr>
      <w:tr w:rsidR="00F30026" w:rsidRPr="00AF1200" w14:paraId="412D6AFA" w14:textId="77777777" w:rsidTr="00E95BD6">
        <w:trPr>
          <w:trHeight w:val="447"/>
        </w:trPr>
        <w:tc>
          <w:tcPr>
            <w:tcW w:w="667" w:type="dxa"/>
            <w:vMerge/>
            <w:vAlign w:val="center"/>
          </w:tcPr>
          <w:p w14:paraId="2FB33C99" w14:textId="77777777" w:rsidR="00F30026" w:rsidRPr="003D73C3" w:rsidRDefault="00F30026" w:rsidP="00A95C93">
            <w:pPr>
              <w:spacing w:before="120"/>
              <w:rPr>
                <w:rFonts w:ascii="Arial" w:hAnsi="Arial" w:cs="Arial"/>
                <w:b/>
                <w:sz w:val="16"/>
                <w:szCs w:val="18"/>
              </w:rPr>
            </w:pPr>
          </w:p>
        </w:tc>
        <w:tc>
          <w:tcPr>
            <w:tcW w:w="1108" w:type="dxa"/>
            <w:vMerge w:val="restart"/>
            <w:vAlign w:val="center"/>
          </w:tcPr>
          <w:p w14:paraId="0A287F1E" w14:textId="77777777" w:rsidR="00F30026" w:rsidRPr="003D73C3" w:rsidRDefault="00F30026" w:rsidP="00206578">
            <w:pPr>
              <w:spacing w:before="120"/>
              <w:rPr>
                <w:rFonts w:ascii="Arial" w:hAnsi="Arial" w:cs="Arial"/>
                <w:sz w:val="16"/>
                <w:szCs w:val="18"/>
              </w:rPr>
            </w:pPr>
            <w:r w:rsidRPr="003D73C3">
              <w:rPr>
                <w:rFonts w:ascii="Arial" w:hAnsi="Arial" w:cs="Arial"/>
                <w:sz w:val="16"/>
                <w:szCs w:val="18"/>
              </w:rPr>
              <w:t>Holcim</w:t>
            </w:r>
          </w:p>
        </w:tc>
        <w:tc>
          <w:tcPr>
            <w:tcW w:w="1179" w:type="dxa"/>
            <w:vAlign w:val="center"/>
          </w:tcPr>
          <w:p w14:paraId="4EA16AF4" w14:textId="024AA397" w:rsidR="00F30026" w:rsidRPr="003D73C3" w:rsidRDefault="00F30026" w:rsidP="00BA275F">
            <w:pPr>
              <w:spacing w:before="120"/>
              <w:jc w:val="center"/>
              <w:rPr>
                <w:rFonts w:ascii="Arial" w:hAnsi="Arial" w:cs="Arial"/>
                <w:sz w:val="16"/>
                <w:szCs w:val="18"/>
              </w:rPr>
            </w:pPr>
            <w:r w:rsidRPr="003D73C3">
              <w:rPr>
                <w:rFonts w:ascii="Arial" w:hAnsi="Arial" w:cs="Arial"/>
                <w:sz w:val="16"/>
                <w:szCs w:val="18"/>
              </w:rPr>
              <w:t>420,000</w:t>
            </w:r>
          </w:p>
        </w:tc>
        <w:tc>
          <w:tcPr>
            <w:tcW w:w="1172" w:type="dxa"/>
            <w:vAlign w:val="center"/>
          </w:tcPr>
          <w:p w14:paraId="2190F04E" w14:textId="13CF3EE1" w:rsidR="00F30026" w:rsidRPr="003D73C3" w:rsidRDefault="00F30026" w:rsidP="008F46D4">
            <w:pPr>
              <w:spacing w:before="120"/>
              <w:jc w:val="center"/>
              <w:rPr>
                <w:rFonts w:ascii="Arial" w:hAnsi="Arial" w:cs="Arial"/>
                <w:sz w:val="16"/>
                <w:szCs w:val="18"/>
              </w:rPr>
            </w:pPr>
            <w:r w:rsidRPr="003D73C3">
              <w:rPr>
                <w:rFonts w:ascii="Arial" w:hAnsi="Arial" w:cs="Arial"/>
                <w:sz w:val="16"/>
                <w:szCs w:val="18"/>
              </w:rPr>
              <w:t>-</w:t>
            </w:r>
          </w:p>
        </w:tc>
        <w:tc>
          <w:tcPr>
            <w:tcW w:w="1360" w:type="dxa"/>
            <w:vAlign w:val="center"/>
          </w:tcPr>
          <w:p w14:paraId="505F95C2" w14:textId="77777777"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0.02</w:t>
            </w:r>
          </w:p>
        </w:tc>
        <w:tc>
          <w:tcPr>
            <w:tcW w:w="1231" w:type="dxa"/>
            <w:vAlign w:val="center"/>
          </w:tcPr>
          <w:p w14:paraId="7E0120DE" w14:textId="10AC04EC"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w:t>
            </w:r>
          </w:p>
        </w:tc>
        <w:tc>
          <w:tcPr>
            <w:tcW w:w="1234" w:type="dxa"/>
            <w:vAlign w:val="center"/>
          </w:tcPr>
          <w:p w14:paraId="0C56EC59" w14:textId="75ABA5D3"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0.008</w:t>
            </w:r>
          </w:p>
        </w:tc>
        <w:tc>
          <w:tcPr>
            <w:tcW w:w="1110" w:type="dxa"/>
            <w:vAlign w:val="center"/>
          </w:tcPr>
          <w:p w14:paraId="7DB5C402" w14:textId="32459AA4" w:rsidR="00F30026" w:rsidRPr="003D73C3" w:rsidRDefault="00F30026" w:rsidP="00A95C93">
            <w:pPr>
              <w:spacing w:before="120"/>
              <w:jc w:val="center"/>
              <w:rPr>
                <w:rFonts w:ascii="Arial" w:hAnsi="Arial" w:cs="Arial"/>
                <w:sz w:val="16"/>
                <w:szCs w:val="18"/>
              </w:rPr>
            </w:pPr>
            <w:r w:rsidRPr="003D73C3">
              <w:rPr>
                <w:rFonts w:ascii="Arial" w:hAnsi="Arial" w:cs="Arial"/>
                <w:sz w:val="16"/>
                <w:szCs w:val="18"/>
              </w:rPr>
              <w:t>-</w:t>
            </w:r>
          </w:p>
        </w:tc>
      </w:tr>
      <w:tr w:rsidR="00C042F3" w:rsidRPr="00AF1200" w14:paraId="4AE5ECF2" w14:textId="77777777" w:rsidTr="00E95BD6">
        <w:trPr>
          <w:trHeight w:val="447"/>
        </w:trPr>
        <w:tc>
          <w:tcPr>
            <w:tcW w:w="667" w:type="dxa"/>
            <w:vMerge/>
            <w:vAlign w:val="center"/>
          </w:tcPr>
          <w:p w14:paraId="0369A9BB" w14:textId="77777777" w:rsidR="00C042F3" w:rsidRPr="003D73C3" w:rsidRDefault="00C042F3" w:rsidP="00A95C93">
            <w:pPr>
              <w:spacing w:before="120"/>
              <w:rPr>
                <w:rFonts w:ascii="Arial" w:hAnsi="Arial" w:cs="Arial"/>
                <w:b/>
                <w:sz w:val="16"/>
                <w:szCs w:val="18"/>
              </w:rPr>
            </w:pPr>
          </w:p>
        </w:tc>
        <w:tc>
          <w:tcPr>
            <w:tcW w:w="1108" w:type="dxa"/>
            <w:vMerge/>
            <w:vAlign w:val="center"/>
          </w:tcPr>
          <w:p w14:paraId="07A12E26" w14:textId="77777777" w:rsidR="00C042F3" w:rsidRPr="003D73C3" w:rsidRDefault="00C042F3" w:rsidP="00206578">
            <w:pPr>
              <w:spacing w:before="120"/>
              <w:rPr>
                <w:rFonts w:ascii="Arial" w:hAnsi="Arial" w:cs="Arial"/>
                <w:sz w:val="16"/>
                <w:szCs w:val="18"/>
              </w:rPr>
            </w:pPr>
          </w:p>
        </w:tc>
        <w:tc>
          <w:tcPr>
            <w:tcW w:w="1179" w:type="dxa"/>
            <w:vAlign w:val="center"/>
          </w:tcPr>
          <w:p w14:paraId="4D7418A8" w14:textId="334A554E" w:rsidR="00C042F3" w:rsidRPr="003D73C3" w:rsidRDefault="00C042F3" w:rsidP="00BA275F">
            <w:pPr>
              <w:spacing w:before="120"/>
              <w:jc w:val="center"/>
              <w:rPr>
                <w:rFonts w:ascii="Arial" w:hAnsi="Arial" w:cs="Arial"/>
                <w:sz w:val="16"/>
                <w:szCs w:val="18"/>
              </w:rPr>
            </w:pPr>
            <w:r w:rsidRPr="003D73C3">
              <w:rPr>
                <w:rFonts w:ascii="Arial" w:hAnsi="Arial" w:cs="Arial"/>
                <w:sz w:val="16"/>
                <w:szCs w:val="18"/>
              </w:rPr>
              <w:t>-</w:t>
            </w:r>
          </w:p>
        </w:tc>
        <w:tc>
          <w:tcPr>
            <w:tcW w:w="1172" w:type="dxa"/>
            <w:vAlign w:val="center"/>
          </w:tcPr>
          <w:p w14:paraId="79E2CF5A" w14:textId="26C9A4FA" w:rsidR="00C042F3" w:rsidRPr="003D73C3" w:rsidRDefault="00C042F3" w:rsidP="008F46D4">
            <w:pPr>
              <w:spacing w:before="120"/>
              <w:jc w:val="center"/>
              <w:rPr>
                <w:rFonts w:ascii="Arial" w:hAnsi="Arial" w:cs="Arial"/>
                <w:sz w:val="16"/>
                <w:szCs w:val="18"/>
              </w:rPr>
            </w:pPr>
            <w:r w:rsidRPr="003D73C3">
              <w:rPr>
                <w:rFonts w:ascii="Arial" w:hAnsi="Arial" w:cs="Arial"/>
                <w:sz w:val="16"/>
                <w:szCs w:val="18"/>
              </w:rPr>
              <w:t>20,000</w:t>
            </w:r>
          </w:p>
        </w:tc>
        <w:tc>
          <w:tcPr>
            <w:tcW w:w="1360" w:type="dxa"/>
            <w:vAlign w:val="center"/>
          </w:tcPr>
          <w:p w14:paraId="0D39A63C" w14:textId="5D1F6551"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w:t>
            </w:r>
          </w:p>
        </w:tc>
        <w:tc>
          <w:tcPr>
            <w:tcW w:w="1231" w:type="dxa"/>
            <w:vAlign w:val="center"/>
          </w:tcPr>
          <w:p w14:paraId="77AB0CE8" w14:textId="674A4E10"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6.7</w:t>
            </w:r>
          </w:p>
        </w:tc>
        <w:tc>
          <w:tcPr>
            <w:tcW w:w="1234" w:type="dxa"/>
            <w:vAlign w:val="center"/>
          </w:tcPr>
          <w:p w14:paraId="781B1A90" w14:textId="3888E003"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w:t>
            </w:r>
          </w:p>
        </w:tc>
        <w:tc>
          <w:tcPr>
            <w:tcW w:w="1110" w:type="dxa"/>
            <w:vAlign w:val="center"/>
          </w:tcPr>
          <w:p w14:paraId="42D6F0F0" w14:textId="688C6D57"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0.134</w:t>
            </w:r>
          </w:p>
        </w:tc>
      </w:tr>
      <w:tr w:rsidR="00C042F3" w:rsidRPr="00670520" w14:paraId="6A12AD63" w14:textId="77777777" w:rsidTr="00E95BD6">
        <w:tc>
          <w:tcPr>
            <w:tcW w:w="667" w:type="dxa"/>
            <w:vAlign w:val="center"/>
          </w:tcPr>
          <w:p w14:paraId="066DC22E" w14:textId="4D3986AC" w:rsidR="00C042F3" w:rsidRPr="003D73C3" w:rsidRDefault="00C042F3" w:rsidP="00F30026">
            <w:pPr>
              <w:spacing w:before="120"/>
              <w:rPr>
                <w:rFonts w:ascii="Arial" w:hAnsi="Arial" w:cs="Arial"/>
                <w:b/>
                <w:sz w:val="16"/>
                <w:szCs w:val="18"/>
              </w:rPr>
            </w:pPr>
            <w:r w:rsidRPr="003D73C3">
              <w:rPr>
                <w:rFonts w:ascii="Arial" w:hAnsi="Arial" w:cs="Arial"/>
                <w:b/>
                <w:sz w:val="16"/>
                <w:szCs w:val="18"/>
              </w:rPr>
              <w:t>201</w:t>
            </w:r>
            <w:r w:rsidR="00F30026" w:rsidRPr="003D73C3">
              <w:rPr>
                <w:rFonts w:ascii="Arial" w:hAnsi="Arial" w:cs="Arial"/>
                <w:b/>
                <w:sz w:val="16"/>
                <w:szCs w:val="18"/>
              </w:rPr>
              <w:t>6</w:t>
            </w:r>
          </w:p>
        </w:tc>
        <w:tc>
          <w:tcPr>
            <w:tcW w:w="1108" w:type="dxa"/>
            <w:vAlign w:val="center"/>
          </w:tcPr>
          <w:p w14:paraId="3BBF0B85" w14:textId="77777777" w:rsidR="00C042F3" w:rsidRPr="003D73C3" w:rsidRDefault="00C042F3" w:rsidP="00A95C93">
            <w:pPr>
              <w:spacing w:before="120"/>
              <w:rPr>
                <w:rFonts w:ascii="Arial" w:hAnsi="Arial" w:cs="Arial"/>
                <w:sz w:val="16"/>
                <w:szCs w:val="18"/>
              </w:rPr>
            </w:pPr>
            <w:r w:rsidRPr="003D73C3">
              <w:rPr>
                <w:rFonts w:ascii="Arial" w:hAnsi="Arial" w:cs="Arial"/>
                <w:sz w:val="16"/>
                <w:szCs w:val="18"/>
              </w:rPr>
              <w:t>Golden Bay</w:t>
            </w:r>
          </w:p>
        </w:tc>
        <w:tc>
          <w:tcPr>
            <w:tcW w:w="1179" w:type="dxa"/>
            <w:vAlign w:val="center"/>
          </w:tcPr>
          <w:p w14:paraId="2B29B89F" w14:textId="49F660EF" w:rsidR="00C042F3" w:rsidRPr="003D73C3" w:rsidRDefault="00F30026" w:rsidP="00BA275F">
            <w:pPr>
              <w:spacing w:before="120"/>
              <w:jc w:val="center"/>
              <w:rPr>
                <w:rFonts w:ascii="Arial" w:hAnsi="Arial" w:cs="Arial"/>
                <w:sz w:val="16"/>
                <w:szCs w:val="18"/>
              </w:rPr>
            </w:pPr>
            <w:r w:rsidRPr="003D73C3">
              <w:rPr>
                <w:rFonts w:ascii="Arial" w:hAnsi="Arial" w:cs="Arial"/>
                <w:sz w:val="16"/>
                <w:szCs w:val="18"/>
              </w:rPr>
              <w:t>887,025</w:t>
            </w:r>
          </w:p>
        </w:tc>
        <w:tc>
          <w:tcPr>
            <w:tcW w:w="1172" w:type="dxa"/>
            <w:vAlign w:val="center"/>
          </w:tcPr>
          <w:p w14:paraId="7A9C744A" w14:textId="77777777"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w:t>
            </w:r>
          </w:p>
        </w:tc>
        <w:tc>
          <w:tcPr>
            <w:tcW w:w="1360" w:type="dxa"/>
            <w:vAlign w:val="center"/>
          </w:tcPr>
          <w:p w14:paraId="5F26347D" w14:textId="77777777"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0.05</w:t>
            </w:r>
          </w:p>
        </w:tc>
        <w:tc>
          <w:tcPr>
            <w:tcW w:w="1231" w:type="dxa"/>
            <w:vAlign w:val="center"/>
          </w:tcPr>
          <w:p w14:paraId="57B8981E" w14:textId="77777777"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w:t>
            </w:r>
          </w:p>
        </w:tc>
        <w:tc>
          <w:tcPr>
            <w:tcW w:w="1234" w:type="dxa"/>
            <w:vAlign w:val="center"/>
          </w:tcPr>
          <w:p w14:paraId="5FB0A8A3" w14:textId="0BF189B1" w:rsidR="00C042F3" w:rsidRPr="003D73C3" w:rsidRDefault="00F30026" w:rsidP="00A95C93">
            <w:pPr>
              <w:spacing w:before="120"/>
              <w:jc w:val="center"/>
              <w:rPr>
                <w:rFonts w:ascii="Arial" w:hAnsi="Arial" w:cs="Arial"/>
                <w:sz w:val="16"/>
                <w:szCs w:val="18"/>
              </w:rPr>
            </w:pPr>
            <w:r w:rsidRPr="003D73C3">
              <w:rPr>
                <w:rFonts w:ascii="Arial" w:hAnsi="Arial" w:cs="Arial"/>
                <w:sz w:val="16"/>
                <w:szCs w:val="18"/>
              </w:rPr>
              <w:t>0.044</w:t>
            </w:r>
          </w:p>
        </w:tc>
        <w:tc>
          <w:tcPr>
            <w:tcW w:w="1110" w:type="dxa"/>
            <w:vAlign w:val="center"/>
          </w:tcPr>
          <w:p w14:paraId="17426B14" w14:textId="77777777" w:rsidR="00C042F3" w:rsidRPr="003D73C3" w:rsidRDefault="00C042F3" w:rsidP="00A95C93">
            <w:pPr>
              <w:spacing w:before="120"/>
              <w:jc w:val="center"/>
              <w:rPr>
                <w:rFonts w:ascii="Arial" w:hAnsi="Arial" w:cs="Arial"/>
                <w:sz w:val="16"/>
                <w:szCs w:val="18"/>
              </w:rPr>
            </w:pPr>
            <w:r w:rsidRPr="003D73C3">
              <w:rPr>
                <w:rFonts w:ascii="Arial" w:hAnsi="Arial" w:cs="Arial"/>
                <w:sz w:val="16"/>
                <w:szCs w:val="18"/>
              </w:rPr>
              <w:t>-</w:t>
            </w:r>
          </w:p>
        </w:tc>
      </w:tr>
      <w:tr w:rsidR="00ED1C4F" w:rsidRPr="00670520" w14:paraId="34A58B57" w14:textId="77777777" w:rsidTr="00E95BD6">
        <w:tc>
          <w:tcPr>
            <w:tcW w:w="667" w:type="dxa"/>
            <w:vAlign w:val="center"/>
          </w:tcPr>
          <w:p w14:paraId="5BFA0FAA" w14:textId="43098356" w:rsidR="00ED1C4F" w:rsidRPr="003D73C3" w:rsidRDefault="00ED1C4F" w:rsidP="00F30026">
            <w:pPr>
              <w:spacing w:before="120"/>
              <w:rPr>
                <w:rFonts w:ascii="Arial" w:hAnsi="Arial" w:cs="Arial"/>
                <w:b/>
                <w:sz w:val="16"/>
                <w:szCs w:val="18"/>
              </w:rPr>
            </w:pPr>
            <w:r w:rsidRPr="003D73C3">
              <w:rPr>
                <w:rFonts w:ascii="Arial" w:hAnsi="Arial" w:cs="Arial"/>
                <w:b/>
                <w:sz w:val="16"/>
                <w:szCs w:val="18"/>
              </w:rPr>
              <w:t>2020</w:t>
            </w:r>
          </w:p>
        </w:tc>
        <w:tc>
          <w:tcPr>
            <w:tcW w:w="1108" w:type="dxa"/>
            <w:vAlign w:val="center"/>
          </w:tcPr>
          <w:p w14:paraId="2337C83F" w14:textId="0B6EC545" w:rsidR="00ED1C4F" w:rsidRPr="003D73C3" w:rsidRDefault="00ED1C4F" w:rsidP="00A95C93">
            <w:pPr>
              <w:spacing w:before="120"/>
              <w:rPr>
                <w:rFonts w:ascii="Arial" w:hAnsi="Arial" w:cs="Arial"/>
                <w:sz w:val="16"/>
                <w:szCs w:val="18"/>
              </w:rPr>
            </w:pPr>
            <w:r w:rsidRPr="003D73C3">
              <w:rPr>
                <w:rFonts w:ascii="Arial" w:hAnsi="Arial" w:cs="Arial"/>
                <w:sz w:val="16"/>
                <w:szCs w:val="18"/>
              </w:rPr>
              <w:t>Golden Bay</w:t>
            </w:r>
          </w:p>
        </w:tc>
        <w:tc>
          <w:tcPr>
            <w:tcW w:w="1179" w:type="dxa"/>
            <w:vAlign w:val="center"/>
          </w:tcPr>
          <w:p w14:paraId="2E09EA69" w14:textId="41B768F8" w:rsidR="00ED1C4F" w:rsidRPr="003D73C3" w:rsidRDefault="00ED1C4F" w:rsidP="00BA275F">
            <w:pPr>
              <w:spacing w:before="120"/>
              <w:jc w:val="center"/>
              <w:rPr>
                <w:rFonts w:ascii="Arial" w:hAnsi="Arial" w:cs="Arial"/>
                <w:sz w:val="16"/>
                <w:szCs w:val="18"/>
              </w:rPr>
            </w:pPr>
            <w:r w:rsidRPr="003D73C3">
              <w:rPr>
                <w:rFonts w:ascii="Arial" w:hAnsi="Arial" w:cs="Arial"/>
                <w:sz w:val="16"/>
                <w:szCs w:val="18"/>
              </w:rPr>
              <w:t>802,121</w:t>
            </w:r>
          </w:p>
        </w:tc>
        <w:tc>
          <w:tcPr>
            <w:tcW w:w="1172" w:type="dxa"/>
            <w:vAlign w:val="center"/>
          </w:tcPr>
          <w:p w14:paraId="4D728999" w14:textId="77777777" w:rsidR="00ED1C4F" w:rsidRPr="003D73C3" w:rsidRDefault="00ED1C4F" w:rsidP="00A95C93">
            <w:pPr>
              <w:spacing w:before="120"/>
              <w:jc w:val="center"/>
              <w:rPr>
                <w:rFonts w:ascii="Arial" w:hAnsi="Arial" w:cs="Arial"/>
                <w:sz w:val="16"/>
                <w:szCs w:val="18"/>
              </w:rPr>
            </w:pPr>
          </w:p>
        </w:tc>
        <w:tc>
          <w:tcPr>
            <w:tcW w:w="1360" w:type="dxa"/>
            <w:vAlign w:val="center"/>
          </w:tcPr>
          <w:p w14:paraId="3E15890D" w14:textId="473B3C48" w:rsidR="00ED1C4F" w:rsidRPr="003D73C3" w:rsidRDefault="00670520" w:rsidP="00A95C93">
            <w:pPr>
              <w:spacing w:before="120"/>
              <w:jc w:val="center"/>
              <w:rPr>
                <w:rFonts w:ascii="Arial" w:hAnsi="Arial" w:cs="Arial"/>
                <w:sz w:val="16"/>
                <w:szCs w:val="18"/>
              </w:rPr>
            </w:pPr>
            <w:r w:rsidRPr="003D73C3">
              <w:rPr>
                <w:rFonts w:ascii="Arial" w:hAnsi="Arial" w:cs="Arial"/>
                <w:sz w:val="16"/>
                <w:szCs w:val="18"/>
              </w:rPr>
              <w:t>0.05</w:t>
            </w:r>
          </w:p>
        </w:tc>
        <w:tc>
          <w:tcPr>
            <w:tcW w:w="1231" w:type="dxa"/>
            <w:vAlign w:val="center"/>
          </w:tcPr>
          <w:p w14:paraId="5B3782B9" w14:textId="77777777" w:rsidR="00ED1C4F" w:rsidRPr="003D73C3" w:rsidRDefault="00ED1C4F" w:rsidP="00A95C93">
            <w:pPr>
              <w:spacing w:before="120"/>
              <w:jc w:val="center"/>
              <w:rPr>
                <w:rFonts w:ascii="Arial" w:hAnsi="Arial" w:cs="Arial"/>
                <w:sz w:val="16"/>
                <w:szCs w:val="18"/>
              </w:rPr>
            </w:pPr>
          </w:p>
        </w:tc>
        <w:tc>
          <w:tcPr>
            <w:tcW w:w="1234" w:type="dxa"/>
            <w:vAlign w:val="center"/>
          </w:tcPr>
          <w:p w14:paraId="7B9EEC96" w14:textId="3E96C81B" w:rsidR="00ED1C4F" w:rsidRPr="003D73C3" w:rsidRDefault="00670520" w:rsidP="00A95C93">
            <w:pPr>
              <w:spacing w:before="120"/>
              <w:jc w:val="center"/>
              <w:rPr>
                <w:rFonts w:ascii="Arial" w:hAnsi="Arial" w:cs="Arial"/>
                <w:sz w:val="16"/>
                <w:szCs w:val="18"/>
              </w:rPr>
            </w:pPr>
            <w:r w:rsidRPr="003D73C3">
              <w:rPr>
                <w:rFonts w:ascii="Arial" w:hAnsi="Arial" w:cs="Arial"/>
                <w:sz w:val="16"/>
                <w:szCs w:val="18"/>
              </w:rPr>
              <w:t>0.040</w:t>
            </w:r>
          </w:p>
        </w:tc>
        <w:tc>
          <w:tcPr>
            <w:tcW w:w="1110" w:type="dxa"/>
            <w:vAlign w:val="center"/>
          </w:tcPr>
          <w:p w14:paraId="1AE74096" w14:textId="77777777" w:rsidR="00ED1C4F" w:rsidRPr="003D73C3" w:rsidRDefault="00ED1C4F" w:rsidP="00A95C93">
            <w:pPr>
              <w:spacing w:before="120"/>
              <w:jc w:val="center"/>
              <w:rPr>
                <w:rFonts w:ascii="Arial" w:hAnsi="Arial" w:cs="Arial"/>
                <w:sz w:val="16"/>
                <w:szCs w:val="18"/>
              </w:rPr>
            </w:pPr>
          </w:p>
        </w:tc>
      </w:tr>
    </w:tbl>
    <w:p w14:paraId="5A6BB708" w14:textId="790A6992" w:rsidR="0083485D" w:rsidRPr="003D73C3" w:rsidRDefault="0083485D" w:rsidP="0083485D">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670520" w:rsidRPr="003D73C3">
        <w:rPr>
          <w:rFonts w:ascii="Arial" w:hAnsi="Arial" w:cs="Arial"/>
          <w:b/>
          <w:szCs w:val="18"/>
        </w:rPr>
        <w:t>2020</w:t>
      </w:r>
    </w:p>
    <w:p w14:paraId="715993E2" w14:textId="77777777" w:rsidR="0083485D" w:rsidRPr="003D73C3" w:rsidRDefault="0083485D" w:rsidP="0083485D">
      <w:pPr>
        <w:tabs>
          <w:tab w:val="left" w:pos="1701"/>
        </w:tabs>
        <w:spacing w:after="0" w:line="300" w:lineRule="atLeast"/>
        <w:jc w:val="both"/>
        <w:rPr>
          <w:szCs w:val="18"/>
        </w:rPr>
      </w:pPr>
      <w:r w:rsidRPr="003D73C3">
        <w:rPr>
          <w:szCs w:val="18"/>
        </w:rPr>
        <w:t xml:space="preserve">Activity data: </w:t>
      </w:r>
      <w:r w:rsidRPr="003D73C3">
        <w:rPr>
          <w:szCs w:val="18"/>
        </w:rPr>
        <w:tab/>
        <w:t xml:space="preserve">High (because it is based on actual </w:t>
      </w:r>
      <w:r w:rsidR="00E001B9" w:rsidRPr="003D73C3">
        <w:rPr>
          <w:szCs w:val="18"/>
        </w:rPr>
        <w:t>cement production</w:t>
      </w:r>
      <w:r w:rsidRPr="003D73C3">
        <w:rPr>
          <w:szCs w:val="18"/>
        </w:rPr>
        <w:t xml:space="preserve"> data)</w:t>
      </w:r>
    </w:p>
    <w:p w14:paraId="148B271C" w14:textId="04FF7D37" w:rsidR="0083485D" w:rsidRPr="003D73C3" w:rsidRDefault="0083485D" w:rsidP="0083485D">
      <w:pPr>
        <w:tabs>
          <w:tab w:val="left" w:pos="1701"/>
        </w:tabs>
        <w:spacing w:line="300" w:lineRule="atLeast"/>
        <w:ind w:left="1701" w:hanging="1701"/>
        <w:jc w:val="both"/>
        <w:rPr>
          <w:szCs w:val="18"/>
        </w:rPr>
      </w:pPr>
      <w:r w:rsidRPr="003D73C3">
        <w:rPr>
          <w:szCs w:val="18"/>
        </w:rPr>
        <w:t xml:space="preserve">Emission factor: </w:t>
      </w:r>
      <w:r w:rsidRPr="003D73C3">
        <w:rPr>
          <w:szCs w:val="18"/>
        </w:rPr>
        <w:tab/>
      </w:r>
      <w:r w:rsidR="00291D00" w:rsidRPr="003D73C3">
        <w:rPr>
          <w:szCs w:val="18"/>
        </w:rPr>
        <w:t xml:space="preserve">Low </w:t>
      </w:r>
      <w:r w:rsidRPr="003D73C3">
        <w:rPr>
          <w:szCs w:val="18"/>
        </w:rPr>
        <w:t xml:space="preserve">because </w:t>
      </w:r>
      <w:r w:rsidR="00291D00" w:rsidRPr="003D73C3">
        <w:rPr>
          <w:szCs w:val="18"/>
        </w:rPr>
        <w:t xml:space="preserve">it is </w:t>
      </w:r>
      <w:r w:rsidRPr="003D73C3">
        <w:rPr>
          <w:szCs w:val="18"/>
        </w:rPr>
        <w:t xml:space="preserve">based </w:t>
      </w:r>
      <w:r w:rsidR="005C55B8" w:rsidRPr="003D73C3">
        <w:rPr>
          <w:szCs w:val="18"/>
        </w:rPr>
        <w:t xml:space="preserve">on </w:t>
      </w:r>
      <w:r w:rsidRPr="003D73C3">
        <w:rPr>
          <w:szCs w:val="18"/>
        </w:rPr>
        <w:t>the Toolkit default factor</w:t>
      </w:r>
    </w:p>
    <w:p w14:paraId="21324469" w14:textId="77777777" w:rsidR="00044E38" w:rsidRPr="003D73C3" w:rsidRDefault="00976592" w:rsidP="00261F78">
      <w:pPr>
        <w:pStyle w:val="Heading2"/>
      </w:pPr>
      <w:bookmarkStart w:id="226" w:name="_Toc112768105"/>
      <w:r w:rsidRPr="003D73C3">
        <w:lastRenderedPageBreak/>
        <w:t>Lime production</w:t>
      </w:r>
      <w:bookmarkEnd w:id="226"/>
    </w:p>
    <w:p w14:paraId="73C82792" w14:textId="25D6B705" w:rsidR="00291D00" w:rsidRPr="003D73C3" w:rsidRDefault="1685A339" w:rsidP="0028533E">
      <w:pPr>
        <w:tabs>
          <w:tab w:val="left" w:pos="2760"/>
        </w:tabs>
        <w:spacing w:before="120" w:line="300" w:lineRule="atLeast"/>
        <w:jc w:val="both"/>
      </w:pPr>
      <w:r>
        <w:t xml:space="preserve">There are </w:t>
      </w:r>
      <w:r w:rsidR="5A7F4FC8">
        <w:t>5</w:t>
      </w:r>
      <w:r>
        <w:t xml:space="preserve"> lime kilns in New Zealand</w:t>
      </w:r>
      <w:r w:rsidR="38D86EAC">
        <w:t xml:space="preserve"> located at Te Kuiti, Otorohanga (2) and Te Kumi, all in the Waikato region and Dunback in Otago,</w:t>
      </w:r>
      <w:r>
        <w:t xml:space="preserve"> which produce burnt lime from limestone. </w:t>
      </w:r>
      <w:r w:rsidR="38D86EAC">
        <w:t>Two North Island Kraft pulp and paper mills also operate lime kilns</w:t>
      </w:r>
      <w:r w:rsidR="4B624CF6">
        <w:t xml:space="preserve"> </w:t>
      </w:r>
      <w:r w:rsidR="38D86EAC">
        <w:t xml:space="preserve">but </w:t>
      </w:r>
      <w:bookmarkStart w:id="227" w:name="_Int_ISIz5fia"/>
      <w:r w:rsidR="38D86EAC">
        <w:t>these process</w:t>
      </w:r>
      <w:bookmarkEnd w:id="227"/>
      <w:r w:rsidR="38D86EAC">
        <w:t xml:space="preserve"> the so-called “lime-mud” produced in the recovery process.</w:t>
      </w:r>
    </w:p>
    <w:p w14:paraId="4DBB81F9" w14:textId="08A60F07" w:rsidR="00402CF1" w:rsidRPr="00AF1200" w:rsidRDefault="00E91293" w:rsidP="0C34660A">
      <w:pPr>
        <w:tabs>
          <w:tab w:val="left" w:pos="2760"/>
        </w:tabs>
        <w:spacing w:before="120" w:line="300" w:lineRule="atLeast"/>
        <w:jc w:val="both"/>
        <w:rPr>
          <w:highlight w:val="yellow"/>
        </w:rPr>
      </w:pPr>
      <w:r>
        <w:t>Due to</w:t>
      </w:r>
      <w:r w:rsidR="62DDCDB4">
        <w:t xml:space="preserve"> economic confidentiality</w:t>
      </w:r>
      <w:r w:rsidR="0F2BEA0E">
        <w:t>,</w:t>
      </w:r>
      <w:r w:rsidR="62DDCDB4">
        <w:t xml:space="preserve"> data is no longer provided for the total burnt lime production in New Zealand in New Zealand’s greenhouse Gas Emission Inventory</w:t>
      </w:r>
      <w:r w:rsidR="0F2BEA0E">
        <w:t xml:space="preserve"> (Ministry for the Environment, 2022)</w:t>
      </w:r>
      <w:r w:rsidR="62DDCDB4">
        <w:t>. However, it is possible to derive a production figure from the carbon dioxide emission figures that burnt lime manufacturers must declare annually to New Zealand’s Emission Trading Scheme. This calculation takes the form: total carbon dioxide emissions (tonnes) = 0.748 x (tonnes calcium oxide produced)</w:t>
      </w:r>
      <w:bookmarkStart w:id="228" w:name="_Int_XS1ppFdt"/>
      <w:r w:rsidR="62DDCDB4">
        <w:t xml:space="preserve">. </w:t>
      </w:r>
      <w:bookmarkEnd w:id="228"/>
      <w:r w:rsidR="62DDCDB4">
        <w:t xml:space="preserve">Data given in the most recent New Zealand Greenhouse Gas Inventory report for </w:t>
      </w:r>
      <w:r w:rsidR="0F2BEA0E">
        <w:t xml:space="preserve">the </w:t>
      </w:r>
      <w:r w:rsidR="62DDCDB4">
        <w:t>2019</w:t>
      </w:r>
      <w:r w:rsidR="0F2BEA0E">
        <w:t xml:space="preserve"> calendar year</w:t>
      </w:r>
      <w:r w:rsidR="62DDCDB4">
        <w:t xml:space="preserve"> gives a greenhouse gas emission from lime production of 108,000 tonnes CO</w:t>
      </w:r>
      <w:r w:rsidR="62DDCDB4" w:rsidRPr="0C34660A">
        <w:rPr>
          <w:vertAlign w:val="subscript"/>
        </w:rPr>
        <w:t>2</w:t>
      </w:r>
      <w:r w:rsidR="62DDCDB4">
        <w:t>. (M</w:t>
      </w:r>
      <w:r w:rsidR="126BC1C7">
        <w:t>inistry for the Environment,</w:t>
      </w:r>
      <w:r w:rsidR="62DDCDB4">
        <w:t xml:space="preserve"> 2022). This allows an estimate of actual lime production of 144,385 tonnes in 2019.</w:t>
      </w:r>
    </w:p>
    <w:p w14:paraId="025F0700" w14:textId="566F3C9E" w:rsidR="00DA768C" w:rsidRPr="003D73C3" w:rsidRDefault="00DA768C" w:rsidP="00DA768C">
      <w:pPr>
        <w:tabs>
          <w:tab w:val="left" w:pos="2760"/>
        </w:tabs>
        <w:spacing w:before="120" w:line="300" w:lineRule="atLeast"/>
        <w:jc w:val="both"/>
        <w:rPr>
          <w:szCs w:val="18"/>
        </w:rPr>
      </w:pPr>
      <w:r w:rsidRPr="003D73C3">
        <w:rPr>
          <w:szCs w:val="18"/>
        </w:rPr>
        <w:t xml:space="preserve">The </w:t>
      </w:r>
      <w:r w:rsidR="001900C2" w:rsidRPr="003D73C3">
        <w:rPr>
          <w:szCs w:val="18"/>
        </w:rPr>
        <w:t>201</w:t>
      </w:r>
      <w:r w:rsidR="00576E0B">
        <w:rPr>
          <w:szCs w:val="18"/>
        </w:rPr>
        <w:t>2</w:t>
      </w:r>
      <w:r w:rsidR="001900C2" w:rsidRPr="003D73C3">
        <w:rPr>
          <w:szCs w:val="18"/>
        </w:rPr>
        <w:t xml:space="preserve"> </w:t>
      </w:r>
      <w:r w:rsidRPr="003D73C3">
        <w:rPr>
          <w:szCs w:val="18"/>
        </w:rPr>
        <w:t xml:space="preserve">Inventory estimates for releases to air were based on the default UNEP Toolkit factor of 0.07 </w:t>
      </w:r>
      <w:r w:rsidRPr="003D73C3">
        <w:rPr>
          <w:szCs w:val="18"/>
          <w:lang w:val="en-US"/>
        </w:rPr>
        <w:t xml:space="preserve">µg </w:t>
      </w:r>
      <w:r w:rsidR="0009594D" w:rsidRPr="003D73C3">
        <w:rPr>
          <w:szCs w:val="18"/>
          <w:lang w:val="en-US"/>
        </w:rPr>
        <w:t>TEQ</w:t>
      </w:r>
      <w:r w:rsidRPr="003D73C3">
        <w:rPr>
          <w:szCs w:val="18"/>
          <w:lang w:val="en-US"/>
        </w:rPr>
        <w:t xml:space="preserve"> per tonne of lime</w:t>
      </w:r>
      <w:r w:rsidR="0072683C" w:rsidRPr="003D73C3">
        <w:rPr>
          <w:szCs w:val="18"/>
          <w:lang w:val="en-US"/>
        </w:rPr>
        <w:t xml:space="preserve"> </w:t>
      </w:r>
      <w:r w:rsidR="00F940C1" w:rsidRPr="003D73C3">
        <w:rPr>
          <w:szCs w:val="18"/>
          <w:lang w:val="en-US"/>
        </w:rPr>
        <w:t>(1 µg TEQ/tonne = 1 x 10</w:t>
      </w:r>
      <w:r w:rsidR="00F940C1" w:rsidRPr="003D73C3">
        <w:rPr>
          <w:szCs w:val="18"/>
          <w:vertAlign w:val="superscript"/>
          <w:lang w:val="en-US"/>
        </w:rPr>
        <w:t>-6</w:t>
      </w:r>
      <w:r w:rsidR="00F940C1" w:rsidRPr="003D73C3">
        <w:rPr>
          <w:szCs w:val="18"/>
          <w:lang w:val="en-US"/>
        </w:rPr>
        <w:t xml:space="preserve"> g TEQ/tonne)</w:t>
      </w:r>
      <w:r w:rsidRPr="003D73C3">
        <w:rPr>
          <w:szCs w:val="18"/>
          <w:lang w:val="en-US"/>
        </w:rPr>
        <w:t xml:space="preserve">. For releases to land it was assumed </w:t>
      </w:r>
      <w:r w:rsidR="00831C98" w:rsidRPr="003D73C3">
        <w:rPr>
          <w:szCs w:val="18"/>
          <w:lang w:val="en-US"/>
        </w:rPr>
        <w:t>that there would</w:t>
      </w:r>
      <w:r w:rsidRPr="003D73C3">
        <w:rPr>
          <w:szCs w:val="18"/>
          <w:lang w:val="en-US"/>
        </w:rPr>
        <w:t xml:space="preserve"> be about </w:t>
      </w:r>
      <w:r w:rsidR="001900C2" w:rsidRPr="003D73C3">
        <w:rPr>
          <w:szCs w:val="18"/>
          <w:lang w:val="en-US"/>
        </w:rPr>
        <w:t>3</w:t>
      </w:r>
      <w:r w:rsidRPr="003D73C3">
        <w:rPr>
          <w:szCs w:val="18"/>
          <w:lang w:val="en-US"/>
        </w:rPr>
        <w:t xml:space="preserve">000 tonnes of dust collected from the air pollution control equipment on the kilns, with a dioxin content of 6.7 µg </w:t>
      </w:r>
      <w:r w:rsidR="0009594D" w:rsidRPr="003D73C3">
        <w:rPr>
          <w:szCs w:val="18"/>
          <w:lang w:val="en-US"/>
        </w:rPr>
        <w:t>TEQ</w:t>
      </w:r>
      <w:r w:rsidRPr="003D73C3">
        <w:rPr>
          <w:szCs w:val="18"/>
          <w:lang w:val="en-US"/>
        </w:rPr>
        <w:t xml:space="preserve"> per tonne, and</w:t>
      </w:r>
      <w:r w:rsidR="005F4347" w:rsidRPr="003D73C3">
        <w:rPr>
          <w:szCs w:val="18"/>
          <w:lang w:val="en-US"/>
        </w:rPr>
        <w:t xml:space="preserve"> </w:t>
      </w:r>
      <w:r w:rsidR="001900C2" w:rsidRPr="003D73C3">
        <w:rPr>
          <w:szCs w:val="18"/>
          <w:lang w:val="en-US"/>
        </w:rPr>
        <w:t>17</w:t>
      </w:r>
      <w:r w:rsidRPr="003D73C3">
        <w:rPr>
          <w:szCs w:val="18"/>
          <w:lang w:val="en-US"/>
        </w:rPr>
        <w:t xml:space="preserve">,000 tonnes of product (lime) applied to land, with a dioxin content of 1.24 µg </w:t>
      </w:r>
      <w:r w:rsidR="0009594D" w:rsidRPr="003D73C3">
        <w:rPr>
          <w:szCs w:val="18"/>
          <w:lang w:val="en-US"/>
        </w:rPr>
        <w:t>TEQ</w:t>
      </w:r>
      <w:r w:rsidRPr="003D73C3">
        <w:rPr>
          <w:szCs w:val="18"/>
          <w:lang w:val="en-US"/>
        </w:rPr>
        <w:t xml:space="preserve"> per tonne. </w:t>
      </w:r>
      <w:r w:rsidR="00F552EF" w:rsidRPr="003D73C3">
        <w:rPr>
          <w:szCs w:val="18"/>
          <w:lang w:val="en-US"/>
        </w:rPr>
        <w:t>T</w:t>
      </w:r>
      <w:r w:rsidRPr="003D73C3">
        <w:rPr>
          <w:szCs w:val="18"/>
          <w:lang w:val="en-US"/>
        </w:rPr>
        <w:t>he same factors and assumptions have been applied to the current estimates</w:t>
      </w:r>
      <w:r w:rsidR="00831C98" w:rsidRPr="003D73C3">
        <w:rPr>
          <w:szCs w:val="18"/>
          <w:lang w:val="en-US"/>
        </w:rPr>
        <w:t>, but the calculations have only been applied to the annual burnt lime production at the 5 lime</w:t>
      </w:r>
      <w:r w:rsidR="00C61310" w:rsidRPr="003D73C3">
        <w:rPr>
          <w:szCs w:val="18"/>
          <w:lang w:val="en-US"/>
        </w:rPr>
        <w:t>stone</w:t>
      </w:r>
      <w:r w:rsidR="00831C98" w:rsidRPr="003D73C3">
        <w:rPr>
          <w:szCs w:val="18"/>
          <w:lang w:val="en-US"/>
        </w:rPr>
        <w:t xml:space="preserve"> kilns (ie</w:t>
      </w:r>
      <w:r w:rsidR="00DD3A82">
        <w:rPr>
          <w:szCs w:val="18"/>
          <w:lang w:val="en-US"/>
        </w:rPr>
        <w:t>,</w:t>
      </w:r>
      <w:r w:rsidR="00831C98" w:rsidRPr="003D73C3">
        <w:rPr>
          <w:szCs w:val="18"/>
          <w:lang w:val="en-US"/>
        </w:rPr>
        <w:t xml:space="preserve"> excluding the pulp mill kilns)</w:t>
      </w:r>
      <w:r w:rsidRPr="003D73C3">
        <w:rPr>
          <w:szCs w:val="18"/>
          <w:lang w:val="en-US"/>
        </w:rPr>
        <w:t>.</w:t>
      </w:r>
      <w:r w:rsidR="001900C2" w:rsidRPr="003D73C3">
        <w:rPr>
          <w:szCs w:val="18"/>
          <w:lang w:val="en-US"/>
        </w:rPr>
        <w:t xml:space="preserve"> An additional factor of </w:t>
      </w:r>
      <w:r w:rsidR="00F552EF" w:rsidRPr="003D73C3">
        <w:rPr>
          <w:szCs w:val="18"/>
          <w:lang w:val="en-US"/>
        </w:rPr>
        <w:t>0.85</w:t>
      </w:r>
      <w:r w:rsidR="00D01A04">
        <w:rPr>
          <w:szCs w:val="18"/>
          <w:lang w:val="en-US"/>
        </w:rPr>
        <w:t xml:space="preserve"> </w:t>
      </w:r>
      <w:r w:rsidR="001900C2" w:rsidRPr="003D73C3">
        <w:rPr>
          <w:szCs w:val="18"/>
          <w:lang w:val="en-US"/>
        </w:rPr>
        <w:t xml:space="preserve">has been applied to these estimates to reflect </w:t>
      </w:r>
      <w:r w:rsidR="00F552EF" w:rsidRPr="003D73C3">
        <w:rPr>
          <w:szCs w:val="18"/>
          <w:lang w:val="en-US"/>
        </w:rPr>
        <w:t>decreased</w:t>
      </w:r>
      <w:r w:rsidR="001900C2" w:rsidRPr="003D73C3">
        <w:rPr>
          <w:szCs w:val="18"/>
          <w:lang w:val="en-US"/>
        </w:rPr>
        <w:t xml:space="preserve"> production from 170,000 to </w:t>
      </w:r>
      <w:r w:rsidR="00F552EF" w:rsidRPr="003D73C3">
        <w:rPr>
          <w:szCs w:val="18"/>
          <w:lang w:val="en-US"/>
        </w:rPr>
        <w:t>144,385</w:t>
      </w:r>
      <w:r w:rsidR="001900C2" w:rsidRPr="003D73C3">
        <w:rPr>
          <w:szCs w:val="18"/>
          <w:lang w:val="en-US"/>
        </w:rPr>
        <w:t xml:space="preserve"> tonnes.</w:t>
      </w:r>
    </w:p>
    <w:p w14:paraId="129C4153" w14:textId="6A1F231F" w:rsidR="00755F21" w:rsidRPr="003D73C3" w:rsidRDefault="27507816" w:rsidP="0028533E">
      <w:pPr>
        <w:tabs>
          <w:tab w:val="left" w:pos="2760"/>
        </w:tabs>
        <w:spacing w:before="120" w:line="300" w:lineRule="atLeast"/>
        <w:jc w:val="both"/>
      </w:pPr>
      <w:r>
        <w:t xml:space="preserve">The lime kilns used at the pulp and paper mills do produce some dioxin emissions to air. </w:t>
      </w:r>
      <w:r w:rsidR="18485E40">
        <w:t xml:space="preserve">These emissions were tested on the </w:t>
      </w:r>
      <w:r w:rsidR="0F2BEA0E">
        <w:t>two</w:t>
      </w:r>
      <w:r w:rsidR="18485E40">
        <w:t xml:space="preserve"> kilns at the Bay of Plenty mill in 2002 and showed dioxin concentrations of 23 and 14 pg </w:t>
      </w:r>
      <w:r w:rsidR="03DF4226">
        <w:t>TEQ</w:t>
      </w:r>
      <w:r w:rsidR="18485E40">
        <w:t>/Nm</w:t>
      </w:r>
      <w:r w:rsidR="18485E40" w:rsidRPr="0C34660A">
        <w:rPr>
          <w:vertAlign w:val="superscript"/>
        </w:rPr>
        <w:t>3</w:t>
      </w:r>
      <w:r w:rsidR="18485E40">
        <w:t xml:space="preserve"> </w:t>
      </w:r>
      <w:r w:rsidR="43FAD7C0">
        <w:t>(1 pg TEQ/Nm</w:t>
      </w:r>
      <w:r w:rsidR="43FAD7C0" w:rsidRPr="0C34660A">
        <w:rPr>
          <w:vertAlign w:val="superscript"/>
        </w:rPr>
        <w:t>3</w:t>
      </w:r>
      <w:r w:rsidR="43FAD7C0">
        <w:t xml:space="preserve"> = 1 x 10</w:t>
      </w:r>
      <w:r w:rsidR="43FAD7C0" w:rsidRPr="0C34660A">
        <w:rPr>
          <w:vertAlign w:val="superscript"/>
        </w:rPr>
        <w:t>-12</w:t>
      </w:r>
      <w:r w:rsidR="43FAD7C0">
        <w:t xml:space="preserve"> g TEQ/Nm</w:t>
      </w:r>
      <w:r w:rsidR="43FAD7C0" w:rsidRPr="0C34660A">
        <w:rPr>
          <w:vertAlign w:val="superscript"/>
        </w:rPr>
        <w:t>3</w:t>
      </w:r>
      <w:r w:rsidR="43FAD7C0">
        <w:t xml:space="preserve">) </w:t>
      </w:r>
      <w:r w:rsidR="0DD904CD" w:rsidRPr="0C34660A">
        <w:rPr>
          <w:noProof/>
        </w:rPr>
        <w:t>(Beca Amec, 2006)</w:t>
      </w:r>
      <w:r w:rsidR="270C2FA2">
        <w:t>.</w:t>
      </w:r>
      <w:r w:rsidR="53BED4F4">
        <w:t xml:space="preserve"> </w:t>
      </w:r>
      <w:bookmarkStart w:id="229" w:name="_Int_11y6jj6z"/>
      <w:proofErr w:type="gramStart"/>
      <w:r w:rsidR="53BED4F4">
        <w:t>On the basis of</w:t>
      </w:r>
      <w:bookmarkEnd w:id="229"/>
      <w:proofErr w:type="gramEnd"/>
      <w:r w:rsidR="53BED4F4">
        <w:t xml:space="preserve"> the gas flow data provided in a more recent report </w:t>
      </w:r>
      <w:r w:rsidR="0DD904CD" w:rsidRPr="0C34660A">
        <w:rPr>
          <w:noProof/>
        </w:rPr>
        <w:t>(Beca Amec, 2009)</w:t>
      </w:r>
      <w:r w:rsidR="53BED4F4">
        <w:t xml:space="preserve">, </w:t>
      </w:r>
      <w:r w:rsidR="73C057FF">
        <w:t xml:space="preserve">and assuming the same release rate for the Waikato mill, </w:t>
      </w:r>
      <w:r w:rsidR="53BED4F4">
        <w:t>th</w:t>
      </w:r>
      <w:r w:rsidR="73C057FF">
        <w:t>e</w:t>
      </w:r>
      <w:r w:rsidR="53BED4F4">
        <w:t xml:space="preserve"> total annual dioxin release </w:t>
      </w:r>
      <w:r w:rsidR="73C057FF">
        <w:t>is estimated at</w:t>
      </w:r>
      <w:r w:rsidR="53BED4F4">
        <w:t xml:space="preserve"> 0.00</w:t>
      </w:r>
      <w:r w:rsidR="4334321B">
        <w:t>0</w:t>
      </w:r>
      <w:r w:rsidR="73C057FF">
        <w:t>6</w:t>
      </w:r>
      <w:r w:rsidR="53BED4F4">
        <w:t xml:space="preserve"> g</w:t>
      </w:r>
      <w:r w:rsidR="73C057FF">
        <w:t xml:space="preserve"> </w:t>
      </w:r>
      <w:r w:rsidR="03DF4226">
        <w:t>TEQ</w:t>
      </w:r>
      <w:r w:rsidR="73C057FF">
        <w:t xml:space="preserve"> per year. There would be no releases to land or water from these kilns.</w:t>
      </w:r>
    </w:p>
    <w:p w14:paraId="0F82DB15" w14:textId="4BE3AB81" w:rsidR="005F4347" w:rsidRPr="003D73C3" w:rsidRDefault="54C5F12D" w:rsidP="003C0207">
      <w:pPr>
        <w:spacing w:line="300" w:lineRule="atLeast"/>
        <w:jc w:val="both"/>
      </w:pPr>
      <w:r w:rsidRPr="0C34660A">
        <w:t xml:space="preserve">The release estimates </w:t>
      </w:r>
      <w:r w:rsidR="73C057FF" w:rsidRPr="0C34660A">
        <w:t>for</w:t>
      </w:r>
      <w:r w:rsidR="0F2BEA0E" w:rsidRPr="0C34660A">
        <w:t xml:space="preserve"> lime production </w:t>
      </w:r>
      <w:r w:rsidR="4B624CF6" w:rsidRPr="0C34660A">
        <w:t>for 2012</w:t>
      </w:r>
      <w:r w:rsidR="66899FB1" w:rsidRPr="003D73C3">
        <w:rPr>
          <w:szCs w:val="18"/>
        </w:rPr>
        <w:t xml:space="preserve">, </w:t>
      </w:r>
      <w:r w:rsidR="4B624CF6" w:rsidRPr="0C34660A">
        <w:t>2016</w:t>
      </w:r>
      <w:r w:rsidR="66899FB1" w:rsidRPr="0C34660A">
        <w:t xml:space="preserve"> and 2020</w:t>
      </w:r>
      <w:r w:rsidR="4B624CF6" w:rsidRPr="003D73C3">
        <w:rPr>
          <w:szCs w:val="18"/>
        </w:rPr>
        <w:t xml:space="preserve"> </w:t>
      </w:r>
      <w:r w:rsidRPr="0C34660A">
        <w:t xml:space="preserve">are shown in </w:t>
      </w:r>
      <w:r w:rsidR="003C0207" w:rsidRPr="003D73C3">
        <w:rPr>
          <w:szCs w:val="18"/>
        </w:rPr>
        <w:fldChar w:fldCharType="begin"/>
      </w:r>
      <w:r w:rsidR="003C0207" w:rsidRPr="003D73C3">
        <w:rPr>
          <w:szCs w:val="18"/>
        </w:rPr>
        <w:instrText xml:space="preserve"> REF _Ref359758130 \h  \* MERGEFORMAT </w:instrText>
      </w:r>
      <w:r w:rsidR="003C0207" w:rsidRPr="003D73C3">
        <w:rPr>
          <w:szCs w:val="18"/>
        </w:rPr>
      </w:r>
      <w:r w:rsidR="003C0207" w:rsidRPr="003D73C3">
        <w:rPr>
          <w:szCs w:val="18"/>
        </w:rPr>
        <w:fldChar w:fldCharType="separate"/>
      </w:r>
      <w:r w:rsidR="00141D7F" w:rsidRPr="00141D7F">
        <w:t xml:space="preserve">Table </w:t>
      </w:r>
      <w:r w:rsidR="00141D7F" w:rsidRPr="00141D7F">
        <w:rPr>
          <w:noProof/>
        </w:rPr>
        <w:t>6</w:t>
      </w:r>
      <w:r w:rsidR="00141D7F" w:rsidRPr="00141D7F">
        <w:rPr>
          <w:noProof/>
        </w:rPr>
        <w:noBreakHyphen/>
        <w:t>2</w:t>
      </w:r>
      <w:r w:rsidR="003C0207" w:rsidRPr="003D73C3">
        <w:rPr>
          <w:szCs w:val="18"/>
        </w:rPr>
        <w:fldChar w:fldCharType="end"/>
      </w:r>
      <w:r w:rsidR="73C057FF" w:rsidRPr="003D73C3">
        <w:rPr>
          <w:szCs w:val="18"/>
        </w:rPr>
        <w:t>.</w:t>
      </w:r>
      <w:r w:rsidR="5BE934D2" w:rsidRPr="003D73C3">
        <w:rPr>
          <w:szCs w:val="18"/>
        </w:rPr>
        <w:t xml:space="preserve"> </w:t>
      </w:r>
    </w:p>
    <w:p w14:paraId="27881FE5" w14:textId="77777777" w:rsidR="005F4347" w:rsidRDefault="005F4347">
      <w:pPr>
        <w:spacing w:after="0"/>
        <w:rPr>
          <w:szCs w:val="18"/>
          <w:highlight w:val="yellow"/>
        </w:rPr>
      </w:pPr>
      <w:r>
        <w:rPr>
          <w:szCs w:val="18"/>
          <w:highlight w:val="yellow"/>
        </w:rPr>
        <w:br w:type="page"/>
      </w:r>
    </w:p>
    <w:p w14:paraId="4E5D9570" w14:textId="77777777" w:rsidR="003C0207" w:rsidRPr="00AF1200" w:rsidRDefault="003C0207" w:rsidP="003C0207">
      <w:pPr>
        <w:spacing w:line="300" w:lineRule="atLeast"/>
        <w:jc w:val="both"/>
        <w:rPr>
          <w:szCs w:val="18"/>
          <w:highlight w:val="yellow"/>
        </w:rPr>
      </w:pPr>
    </w:p>
    <w:p w14:paraId="2A1B7B83" w14:textId="3BDF5A5D" w:rsidR="003C0207" w:rsidRPr="003D73C3" w:rsidRDefault="003C0207" w:rsidP="00101AA8">
      <w:pPr>
        <w:pStyle w:val="Caption"/>
        <w:jc w:val="left"/>
        <w:rPr>
          <w:rFonts w:cs="Arial"/>
          <w:szCs w:val="18"/>
        </w:rPr>
      </w:pPr>
      <w:bookmarkStart w:id="230" w:name="_Ref359758130"/>
      <w:r w:rsidRPr="003D73C3">
        <w:rPr>
          <w:rFonts w:cs="Arial"/>
        </w:rPr>
        <w:t xml:space="preserve">Table </w:t>
      </w:r>
      <w:r w:rsidR="00C17BA5" w:rsidRPr="003D73C3">
        <w:rPr>
          <w:rFonts w:cs="Arial"/>
        </w:rPr>
        <w:fldChar w:fldCharType="begin"/>
      </w:r>
      <w:r w:rsidR="00C17BA5" w:rsidRPr="003D73C3">
        <w:rPr>
          <w:rFonts w:cs="Arial"/>
        </w:rPr>
        <w:instrText xml:space="preserve"> STYLEREF 1 \s </w:instrText>
      </w:r>
      <w:r w:rsidR="00C17BA5" w:rsidRPr="003D73C3">
        <w:rPr>
          <w:rFonts w:cs="Arial"/>
        </w:rPr>
        <w:fldChar w:fldCharType="separate"/>
      </w:r>
      <w:r w:rsidR="00141D7F">
        <w:rPr>
          <w:rFonts w:cs="Arial"/>
          <w:noProof/>
        </w:rPr>
        <w:t>6</w:t>
      </w:r>
      <w:r w:rsidR="00C17BA5" w:rsidRPr="003D73C3">
        <w:rPr>
          <w:rFonts w:cs="Arial"/>
        </w:rPr>
        <w:fldChar w:fldCharType="end"/>
      </w:r>
      <w:r w:rsidR="00C17BA5" w:rsidRPr="003D73C3">
        <w:rPr>
          <w:rFonts w:cs="Arial"/>
        </w:rPr>
        <w:noBreakHyphen/>
      </w:r>
      <w:r w:rsidR="00C17BA5" w:rsidRPr="003D73C3">
        <w:rPr>
          <w:rFonts w:cs="Arial"/>
        </w:rPr>
        <w:fldChar w:fldCharType="begin"/>
      </w:r>
      <w:r w:rsidR="00C17BA5" w:rsidRPr="003D73C3">
        <w:rPr>
          <w:rFonts w:cs="Arial"/>
        </w:rPr>
        <w:instrText xml:space="preserve"> SEQ Table \* ARABIC \s 1 </w:instrText>
      </w:r>
      <w:r w:rsidR="00C17BA5" w:rsidRPr="003D73C3">
        <w:rPr>
          <w:rFonts w:cs="Arial"/>
        </w:rPr>
        <w:fldChar w:fldCharType="separate"/>
      </w:r>
      <w:r w:rsidR="00141D7F">
        <w:rPr>
          <w:rFonts w:cs="Arial"/>
          <w:noProof/>
        </w:rPr>
        <w:t>2</w:t>
      </w:r>
      <w:r w:rsidR="00C17BA5" w:rsidRPr="003D73C3">
        <w:rPr>
          <w:rFonts w:cs="Arial"/>
        </w:rPr>
        <w:fldChar w:fldCharType="end"/>
      </w:r>
      <w:bookmarkEnd w:id="230"/>
      <w:r w:rsidRPr="003D73C3">
        <w:rPr>
          <w:rFonts w:cs="Arial"/>
        </w:rPr>
        <w:t xml:space="preserve">: </w:t>
      </w:r>
      <w:r w:rsidR="00287693" w:rsidRPr="003D73C3">
        <w:rPr>
          <w:rFonts w:cs="Arial"/>
        </w:rPr>
        <w:t>Dioxin</w:t>
      </w:r>
      <w:r w:rsidRPr="003D73C3">
        <w:rPr>
          <w:rFonts w:cs="Arial"/>
        </w:rPr>
        <w:t xml:space="preserve"> releases from lime production</w:t>
      </w:r>
    </w:p>
    <w:tbl>
      <w:tblPr>
        <w:tblStyle w:val="TableGrid"/>
        <w:tblW w:w="0" w:type="auto"/>
        <w:tblLook w:val="04A0" w:firstRow="1" w:lastRow="0" w:firstColumn="1" w:lastColumn="0" w:noHBand="0" w:noVBand="1"/>
      </w:tblPr>
      <w:tblGrid>
        <w:gridCol w:w="670"/>
        <w:gridCol w:w="1923"/>
        <w:gridCol w:w="1512"/>
        <w:gridCol w:w="1428"/>
        <w:gridCol w:w="1434"/>
        <w:gridCol w:w="1024"/>
        <w:gridCol w:w="1070"/>
      </w:tblGrid>
      <w:tr w:rsidR="007A48A9" w:rsidRPr="00F552EF" w14:paraId="55FEDAEB" w14:textId="77777777" w:rsidTr="00944F46">
        <w:tc>
          <w:tcPr>
            <w:tcW w:w="670" w:type="dxa"/>
            <w:vMerge w:val="restart"/>
            <w:vAlign w:val="center"/>
          </w:tcPr>
          <w:p w14:paraId="7B5E23FB" w14:textId="77777777"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Year</w:t>
            </w:r>
          </w:p>
        </w:tc>
        <w:tc>
          <w:tcPr>
            <w:tcW w:w="3435" w:type="dxa"/>
            <w:gridSpan w:val="2"/>
            <w:vMerge w:val="restart"/>
            <w:vAlign w:val="center"/>
          </w:tcPr>
          <w:p w14:paraId="65975AC1" w14:textId="77777777" w:rsidR="007A48A9" w:rsidRPr="003D73C3" w:rsidRDefault="007A48A9" w:rsidP="007A48A9">
            <w:pPr>
              <w:spacing w:before="120"/>
              <w:jc w:val="center"/>
              <w:rPr>
                <w:rFonts w:ascii="Arial" w:hAnsi="Arial" w:cs="Arial"/>
                <w:b/>
                <w:sz w:val="16"/>
                <w:szCs w:val="18"/>
              </w:rPr>
            </w:pPr>
            <w:r w:rsidRPr="003D73C3">
              <w:rPr>
                <w:rFonts w:ascii="Arial" w:hAnsi="Arial" w:cs="Arial"/>
                <w:b/>
                <w:sz w:val="16"/>
                <w:szCs w:val="18"/>
              </w:rPr>
              <w:t>Activity Rate (tonnes of lime/year)</w:t>
            </w:r>
          </w:p>
        </w:tc>
        <w:tc>
          <w:tcPr>
            <w:tcW w:w="2862" w:type="dxa"/>
            <w:gridSpan w:val="2"/>
            <w:vAlign w:val="center"/>
          </w:tcPr>
          <w:p w14:paraId="7A8180A4" w14:textId="7E07A9CC" w:rsidR="007A48A9" w:rsidRPr="003D73C3" w:rsidRDefault="007A48A9" w:rsidP="00831C9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 xml:space="preserve">µg </w:t>
            </w:r>
            <w:r w:rsidR="0009594D" w:rsidRPr="003D73C3">
              <w:rPr>
                <w:rFonts w:ascii="Arial" w:hAnsi="Arial" w:cs="Arial"/>
                <w:b/>
                <w:sz w:val="16"/>
                <w:szCs w:val="18"/>
              </w:rPr>
              <w:t>TEQ</w:t>
            </w:r>
            <w:r w:rsidRPr="003D73C3">
              <w:rPr>
                <w:rFonts w:ascii="Arial" w:hAnsi="Arial" w:cs="Arial"/>
                <w:b/>
                <w:sz w:val="16"/>
                <w:szCs w:val="18"/>
              </w:rPr>
              <w:t>/tonne of lime)</w:t>
            </w:r>
          </w:p>
        </w:tc>
        <w:tc>
          <w:tcPr>
            <w:tcW w:w="2094" w:type="dxa"/>
            <w:gridSpan w:val="2"/>
            <w:vAlign w:val="center"/>
          </w:tcPr>
          <w:p w14:paraId="55310E4F" w14:textId="0709EFE6"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 xml:space="preserve">Annual releases (g </w:t>
            </w:r>
            <w:r w:rsidR="0009594D" w:rsidRPr="003D73C3">
              <w:rPr>
                <w:rFonts w:ascii="Arial" w:hAnsi="Arial" w:cs="Arial"/>
                <w:b/>
                <w:sz w:val="16"/>
                <w:szCs w:val="18"/>
              </w:rPr>
              <w:t>TEQ</w:t>
            </w:r>
            <w:r w:rsidRPr="003D73C3">
              <w:rPr>
                <w:rFonts w:ascii="Arial" w:hAnsi="Arial" w:cs="Arial"/>
                <w:b/>
                <w:sz w:val="16"/>
                <w:szCs w:val="18"/>
              </w:rPr>
              <w:t>/yr)</w:t>
            </w:r>
          </w:p>
        </w:tc>
      </w:tr>
      <w:tr w:rsidR="007A48A9" w:rsidRPr="00F552EF" w14:paraId="26C2C7E3" w14:textId="77777777" w:rsidTr="00944F46">
        <w:tc>
          <w:tcPr>
            <w:tcW w:w="670" w:type="dxa"/>
            <w:vMerge/>
          </w:tcPr>
          <w:p w14:paraId="2D214AA1" w14:textId="77777777" w:rsidR="007A48A9" w:rsidRPr="003D73C3" w:rsidRDefault="007A48A9" w:rsidP="00A95C93">
            <w:pPr>
              <w:spacing w:before="120"/>
              <w:jc w:val="both"/>
              <w:rPr>
                <w:rFonts w:ascii="Arial" w:hAnsi="Arial" w:cs="Arial"/>
                <w:sz w:val="16"/>
                <w:szCs w:val="18"/>
              </w:rPr>
            </w:pPr>
          </w:p>
        </w:tc>
        <w:tc>
          <w:tcPr>
            <w:tcW w:w="3435" w:type="dxa"/>
            <w:gridSpan w:val="2"/>
            <w:vMerge/>
            <w:vAlign w:val="center"/>
          </w:tcPr>
          <w:p w14:paraId="7138D37C" w14:textId="77777777" w:rsidR="007A48A9" w:rsidRPr="003D73C3" w:rsidRDefault="007A48A9" w:rsidP="00A95C93">
            <w:pPr>
              <w:spacing w:before="120"/>
              <w:jc w:val="center"/>
              <w:rPr>
                <w:rFonts w:ascii="Arial" w:hAnsi="Arial" w:cs="Arial"/>
                <w:sz w:val="16"/>
                <w:szCs w:val="18"/>
              </w:rPr>
            </w:pPr>
          </w:p>
        </w:tc>
        <w:tc>
          <w:tcPr>
            <w:tcW w:w="1428" w:type="dxa"/>
            <w:vAlign w:val="center"/>
          </w:tcPr>
          <w:p w14:paraId="2C162373" w14:textId="77777777"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Air</w:t>
            </w:r>
          </w:p>
        </w:tc>
        <w:tc>
          <w:tcPr>
            <w:tcW w:w="1434" w:type="dxa"/>
            <w:vAlign w:val="center"/>
          </w:tcPr>
          <w:p w14:paraId="685ABFBA" w14:textId="77777777"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Land</w:t>
            </w:r>
          </w:p>
        </w:tc>
        <w:tc>
          <w:tcPr>
            <w:tcW w:w="1024" w:type="dxa"/>
            <w:vAlign w:val="center"/>
          </w:tcPr>
          <w:p w14:paraId="7C7A3150" w14:textId="77777777"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Air</w:t>
            </w:r>
          </w:p>
        </w:tc>
        <w:tc>
          <w:tcPr>
            <w:tcW w:w="1070" w:type="dxa"/>
            <w:vAlign w:val="center"/>
          </w:tcPr>
          <w:p w14:paraId="76C2B5BB" w14:textId="77777777" w:rsidR="007A48A9" w:rsidRPr="003D73C3" w:rsidRDefault="007A48A9" w:rsidP="00A95C93">
            <w:pPr>
              <w:spacing w:before="120"/>
              <w:jc w:val="center"/>
              <w:rPr>
                <w:rFonts w:ascii="Arial" w:hAnsi="Arial" w:cs="Arial"/>
                <w:b/>
                <w:sz w:val="16"/>
                <w:szCs w:val="18"/>
              </w:rPr>
            </w:pPr>
            <w:r w:rsidRPr="003D73C3">
              <w:rPr>
                <w:rFonts w:ascii="Arial" w:hAnsi="Arial" w:cs="Arial"/>
                <w:b/>
                <w:sz w:val="16"/>
                <w:szCs w:val="18"/>
              </w:rPr>
              <w:t>Land</w:t>
            </w:r>
          </w:p>
        </w:tc>
      </w:tr>
      <w:tr w:rsidR="00F02582" w:rsidRPr="00F552EF" w14:paraId="5D6B3056" w14:textId="77777777" w:rsidTr="00944F46">
        <w:tc>
          <w:tcPr>
            <w:tcW w:w="670" w:type="dxa"/>
            <w:vMerge w:val="restart"/>
            <w:vAlign w:val="center"/>
          </w:tcPr>
          <w:p w14:paraId="197B1A2C" w14:textId="3D3718B1" w:rsidR="00F02582" w:rsidRPr="003D73C3" w:rsidRDefault="00F02582" w:rsidP="00831C98">
            <w:pPr>
              <w:spacing w:before="120"/>
              <w:rPr>
                <w:rFonts w:ascii="Arial" w:hAnsi="Arial" w:cs="Arial"/>
                <w:b/>
                <w:sz w:val="16"/>
                <w:szCs w:val="18"/>
              </w:rPr>
            </w:pPr>
            <w:r w:rsidRPr="003D73C3">
              <w:rPr>
                <w:rFonts w:ascii="Arial" w:hAnsi="Arial" w:cs="Arial"/>
                <w:b/>
                <w:sz w:val="16"/>
                <w:szCs w:val="18"/>
              </w:rPr>
              <w:t>2012</w:t>
            </w:r>
          </w:p>
        </w:tc>
        <w:tc>
          <w:tcPr>
            <w:tcW w:w="1923" w:type="dxa"/>
            <w:vAlign w:val="center"/>
          </w:tcPr>
          <w:p w14:paraId="22A7C122" w14:textId="05BB184B" w:rsidR="00F02582" w:rsidRPr="003D73C3" w:rsidRDefault="00F02582" w:rsidP="00BE4DFC">
            <w:pPr>
              <w:spacing w:before="120"/>
              <w:rPr>
                <w:rFonts w:ascii="Arial" w:hAnsi="Arial" w:cs="Arial"/>
                <w:sz w:val="16"/>
                <w:szCs w:val="18"/>
              </w:rPr>
            </w:pPr>
            <w:r w:rsidRPr="003D73C3">
              <w:rPr>
                <w:rFonts w:ascii="Arial" w:hAnsi="Arial" w:cs="Arial"/>
                <w:sz w:val="16"/>
                <w:szCs w:val="18"/>
              </w:rPr>
              <w:t>Lime production</w:t>
            </w:r>
          </w:p>
        </w:tc>
        <w:tc>
          <w:tcPr>
            <w:tcW w:w="1512" w:type="dxa"/>
            <w:vAlign w:val="center"/>
          </w:tcPr>
          <w:p w14:paraId="18A90334" w14:textId="759FAE7D"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170,000</w:t>
            </w:r>
          </w:p>
        </w:tc>
        <w:tc>
          <w:tcPr>
            <w:tcW w:w="1428" w:type="dxa"/>
            <w:vAlign w:val="center"/>
          </w:tcPr>
          <w:p w14:paraId="26ECB12B" w14:textId="09F5E8ED"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0.07</w:t>
            </w:r>
          </w:p>
        </w:tc>
        <w:tc>
          <w:tcPr>
            <w:tcW w:w="1434" w:type="dxa"/>
            <w:vAlign w:val="center"/>
          </w:tcPr>
          <w:p w14:paraId="615578D7" w14:textId="39F574C9"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024" w:type="dxa"/>
            <w:vAlign w:val="center"/>
          </w:tcPr>
          <w:p w14:paraId="2709AF1E" w14:textId="188E0EB3"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0.0119</w:t>
            </w:r>
          </w:p>
        </w:tc>
        <w:tc>
          <w:tcPr>
            <w:tcW w:w="1070" w:type="dxa"/>
            <w:vAlign w:val="center"/>
          </w:tcPr>
          <w:p w14:paraId="398FD1AA" w14:textId="1CD6AE0A"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r>
      <w:tr w:rsidR="00F02582" w:rsidRPr="00F552EF" w14:paraId="0271B286" w14:textId="77777777" w:rsidTr="00944F46">
        <w:tc>
          <w:tcPr>
            <w:tcW w:w="670" w:type="dxa"/>
            <w:vMerge/>
            <w:vAlign w:val="center"/>
          </w:tcPr>
          <w:p w14:paraId="742A3B51" w14:textId="77777777" w:rsidR="00F02582" w:rsidRPr="003D73C3" w:rsidRDefault="00F02582" w:rsidP="00A95C93">
            <w:pPr>
              <w:spacing w:before="120"/>
              <w:rPr>
                <w:rFonts w:ascii="Arial" w:hAnsi="Arial" w:cs="Arial"/>
                <w:b/>
                <w:sz w:val="16"/>
                <w:szCs w:val="18"/>
              </w:rPr>
            </w:pPr>
          </w:p>
        </w:tc>
        <w:tc>
          <w:tcPr>
            <w:tcW w:w="1923" w:type="dxa"/>
            <w:vAlign w:val="center"/>
          </w:tcPr>
          <w:p w14:paraId="133277BB" w14:textId="72DF7445" w:rsidR="00F02582" w:rsidRPr="003D73C3" w:rsidRDefault="00F02582" w:rsidP="00BE4DFC">
            <w:pPr>
              <w:spacing w:before="120"/>
              <w:rPr>
                <w:rFonts w:ascii="Arial" w:hAnsi="Arial" w:cs="Arial"/>
                <w:sz w:val="16"/>
                <w:szCs w:val="18"/>
              </w:rPr>
            </w:pPr>
            <w:r w:rsidRPr="003D73C3">
              <w:rPr>
                <w:rFonts w:ascii="Arial" w:hAnsi="Arial" w:cs="Arial"/>
                <w:sz w:val="16"/>
                <w:szCs w:val="18"/>
              </w:rPr>
              <w:t>Lime application to land</w:t>
            </w:r>
          </w:p>
        </w:tc>
        <w:tc>
          <w:tcPr>
            <w:tcW w:w="1512" w:type="dxa"/>
            <w:vAlign w:val="center"/>
          </w:tcPr>
          <w:p w14:paraId="12280A97" w14:textId="017C7594"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17,000</w:t>
            </w:r>
          </w:p>
        </w:tc>
        <w:tc>
          <w:tcPr>
            <w:tcW w:w="1428" w:type="dxa"/>
            <w:vAlign w:val="center"/>
          </w:tcPr>
          <w:p w14:paraId="252B0B8A" w14:textId="1EB761A5"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7F6667F3" w14:textId="7C29B73A"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1.24</w:t>
            </w:r>
          </w:p>
        </w:tc>
        <w:tc>
          <w:tcPr>
            <w:tcW w:w="1024" w:type="dxa"/>
            <w:vAlign w:val="center"/>
          </w:tcPr>
          <w:p w14:paraId="16AEC5AC" w14:textId="676731ED"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070" w:type="dxa"/>
            <w:vAlign w:val="center"/>
          </w:tcPr>
          <w:p w14:paraId="49E21CA5" w14:textId="7CF3514C"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0.022</w:t>
            </w:r>
          </w:p>
        </w:tc>
      </w:tr>
      <w:tr w:rsidR="00F02582" w:rsidRPr="00F552EF" w14:paraId="3A25DDA8" w14:textId="77777777" w:rsidTr="00944F46">
        <w:tc>
          <w:tcPr>
            <w:tcW w:w="670" w:type="dxa"/>
            <w:vMerge/>
            <w:vAlign w:val="center"/>
          </w:tcPr>
          <w:p w14:paraId="5EDA6438" w14:textId="77777777" w:rsidR="00F02582" w:rsidRPr="003D73C3" w:rsidRDefault="00F02582" w:rsidP="00A95C93">
            <w:pPr>
              <w:spacing w:before="120"/>
              <w:rPr>
                <w:rFonts w:ascii="Arial" w:hAnsi="Arial" w:cs="Arial"/>
                <w:b/>
                <w:sz w:val="16"/>
                <w:szCs w:val="18"/>
              </w:rPr>
            </w:pPr>
          </w:p>
        </w:tc>
        <w:tc>
          <w:tcPr>
            <w:tcW w:w="1923" w:type="dxa"/>
            <w:vAlign w:val="center"/>
          </w:tcPr>
          <w:p w14:paraId="7B439242" w14:textId="1D82C8A6" w:rsidR="00F02582" w:rsidRPr="003D73C3" w:rsidRDefault="00F02582" w:rsidP="00BE4DFC">
            <w:pPr>
              <w:spacing w:before="120"/>
              <w:rPr>
                <w:rFonts w:ascii="Arial" w:hAnsi="Arial" w:cs="Arial"/>
                <w:sz w:val="16"/>
                <w:szCs w:val="18"/>
              </w:rPr>
            </w:pPr>
            <w:r w:rsidRPr="003D73C3">
              <w:rPr>
                <w:rFonts w:ascii="Arial" w:hAnsi="Arial" w:cs="Arial"/>
                <w:sz w:val="16"/>
                <w:szCs w:val="18"/>
              </w:rPr>
              <w:t>APC equipment dust</w:t>
            </w:r>
          </w:p>
        </w:tc>
        <w:tc>
          <w:tcPr>
            <w:tcW w:w="1512" w:type="dxa"/>
            <w:vAlign w:val="center"/>
          </w:tcPr>
          <w:p w14:paraId="6A4EDD9E" w14:textId="3D583B55"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3,000</w:t>
            </w:r>
          </w:p>
        </w:tc>
        <w:tc>
          <w:tcPr>
            <w:tcW w:w="1428" w:type="dxa"/>
            <w:vAlign w:val="center"/>
          </w:tcPr>
          <w:p w14:paraId="6E98E91C" w14:textId="7CE8FA1A"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7B33DAE4" w14:textId="10CFA990"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6.7</w:t>
            </w:r>
          </w:p>
        </w:tc>
        <w:tc>
          <w:tcPr>
            <w:tcW w:w="1024" w:type="dxa"/>
            <w:vAlign w:val="center"/>
          </w:tcPr>
          <w:p w14:paraId="0F61699F" w14:textId="09A8C55E"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070" w:type="dxa"/>
            <w:vAlign w:val="center"/>
          </w:tcPr>
          <w:p w14:paraId="271DB7EE" w14:textId="2AA868A3" w:rsidR="00F02582" w:rsidRPr="003D73C3" w:rsidRDefault="00F02582" w:rsidP="00BE4DFC">
            <w:pPr>
              <w:spacing w:before="120"/>
              <w:jc w:val="center"/>
              <w:rPr>
                <w:rFonts w:ascii="Arial" w:hAnsi="Arial" w:cs="Arial"/>
                <w:sz w:val="16"/>
                <w:szCs w:val="18"/>
              </w:rPr>
            </w:pPr>
            <w:r w:rsidRPr="003D73C3">
              <w:rPr>
                <w:rFonts w:ascii="Arial" w:hAnsi="Arial" w:cs="Arial"/>
                <w:sz w:val="16"/>
                <w:szCs w:val="18"/>
              </w:rPr>
              <w:t>0.020</w:t>
            </w:r>
          </w:p>
        </w:tc>
      </w:tr>
      <w:tr w:rsidR="00F02582" w:rsidRPr="00F552EF" w14:paraId="2E63A174" w14:textId="77777777" w:rsidTr="00944F46">
        <w:tc>
          <w:tcPr>
            <w:tcW w:w="670" w:type="dxa"/>
            <w:vAlign w:val="center"/>
          </w:tcPr>
          <w:p w14:paraId="20FCB058" w14:textId="77777777" w:rsidR="00F02582" w:rsidRPr="003D73C3" w:rsidRDefault="00F02582" w:rsidP="00A95C93">
            <w:pPr>
              <w:spacing w:before="120"/>
              <w:rPr>
                <w:rFonts w:ascii="Arial" w:hAnsi="Arial" w:cs="Arial"/>
                <w:b/>
                <w:sz w:val="16"/>
                <w:szCs w:val="18"/>
              </w:rPr>
            </w:pPr>
          </w:p>
        </w:tc>
        <w:tc>
          <w:tcPr>
            <w:tcW w:w="1923" w:type="dxa"/>
            <w:vAlign w:val="center"/>
          </w:tcPr>
          <w:p w14:paraId="1905DCAA" w14:textId="19C3059E" w:rsidR="00F02582" w:rsidRPr="003D73C3" w:rsidRDefault="00F02582" w:rsidP="00BE4DFC">
            <w:pPr>
              <w:spacing w:before="120"/>
              <w:rPr>
                <w:rFonts w:ascii="Arial" w:hAnsi="Arial" w:cs="Arial"/>
                <w:sz w:val="16"/>
                <w:szCs w:val="18"/>
              </w:rPr>
            </w:pPr>
            <w:r w:rsidRPr="003D73C3">
              <w:rPr>
                <w:rFonts w:ascii="Arial" w:hAnsi="Arial" w:cs="Arial"/>
                <w:sz w:val="16"/>
                <w:szCs w:val="18"/>
              </w:rPr>
              <w:t>Pulp mill lime kilns</w:t>
            </w:r>
          </w:p>
        </w:tc>
        <w:tc>
          <w:tcPr>
            <w:tcW w:w="1512" w:type="dxa"/>
            <w:vAlign w:val="center"/>
          </w:tcPr>
          <w:p w14:paraId="10EF1E2F" w14:textId="69BB2E0D" w:rsidR="00F02582" w:rsidRPr="003D73C3" w:rsidDel="00C61310"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428" w:type="dxa"/>
            <w:vAlign w:val="center"/>
          </w:tcPr>
          <w:p w14:paraId="40659BEF" w14:textId="4CE296A4"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151BF5C5" w14:textId="2BB9FD54"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w:t>
            </w:r>
          </w:p>
        </w:tc>
        <w:tc>
          <w:tcPr>
            <w:tcW w:w="1024" w:type="dxa"/>
            <w:vAlign w:val="center"/>
          </w:tcPr>
          <w:p w14:paraId="6CB04727" w14:textId="19383AA3"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0.0006</w:t>
            </w:r>
          </w:p>
        </w:tc>
        <w:tc>
          <w:tcPr>
            <w:tcW w:w="1070" w:type="dxa"/>
            <w:vAlign w:val="center"/>
          </w:tcPr>
          <w:p w14:paraId="41A69309" w14:textId="1D2E3EC2" w:rsidR="00F02582" w:rsidRPr="003D73C3" w:rsidRDefault="00F02582" w:rsidP="00BE4DFC">
            <w:pPr>
              <w:spacing w:before="120"/>
              <w:jc w:val="center"/>
              <w:rPr>
                <w:rFonts w:ascii="Arial" w:hAnsi="Arial" w:cs="Arial"/>
                <w:sz w:val="16"/>
                <w:szCs w:val="18"/>
              </w:rPr>
            </w:pPr>
            <w:r w:rsidRPr="003D73C3">
              <w:rPr>
                <w:rFonts w:ascii="Arial" w:hAnsi="Arial" w:cs="Arial"/>
                <w:sz w:val="16"/>
                <w:szCs w:val="18"/>
              </w:rPr>
              <w:t>-</w:t>
            </w:r>
          </w:p>
        </w:tc>
      </w:tr>
      <w:tr w:rsidR="00F02582" w:rsidRPr="00F552EF" w14:paraId="692F409F" w14:textId="77777777" w:rsidTr="00944F46">
        <w:tc>
          <w:tcPr>
            <w:tcW w:w="670" w:type="dxa"/>
            <w:vAlign w:val="center"/>
          </w:tcPr>
          <w:p w14:paraId="59B558B6" w14:textId="122A4D27" w:rsidR="00F02582" w:rsidRPr="003D73C3" w:rsidRDefault="00F02582" w:rsidP="00FA3544">
            <w:pPr>
              <w:spacing w:before="120"/>
              <w:rPr>
                <w:rFonts w:ascii="Arial" w:hAnsi="Arial" w:cs="Arial"/>
                <w:b/>
                <w:sz w:val="16"/>
                <w:szCs w:val="18"/>
              </w:rPr>
            </w:pPr>
            <w:r w:rsidRPr="003D73C3">
              <w:rPr>
                <w:rFonts w:ascii="Arial" w:hAnsi="Arial" w:cs="Arial"/>
                <w:b/>
                <w:sz w:val="16"/>
                <w:szCs w:val="18"/>
              </w:rPr>
              <w:t>Total</w:t>
            </w:r>
          </w:p>
        </w:tc>
        <w:tc>
          <w:tcPr>
            <w:tcW w:w="1923" w:type="dxa"/>
            <w:vAlign w:val="center"/>
          </w:tcPr>
          <w:p w14:paraId="1D19206D" w14:textId="77777777" w:rsidR="00F02582" w:rsidRPr="003D73C3" w:rsidRDefault="00F02582" w:rsidP="00FA3544">
            <w:pPr>
              <w:spacing w:before="120"/>
              <w:rPr>
                <w:rFonts w:ascii="Arial" w:hAnsi="Arial" w:cs="Arial"/>
                <w:b/>
                <w:sz w:val="16"/>
                <w:szCs w:val="18"/>
              </w:rPr>
            </w:pPr>
          </w:p>
        </w:tc>
        <w:tc>
          <w:tcPr>
            <w:tcW w:w="1512" w:type="dxa"/>
            <w:vAlign w:val="center"/>
          </w:tcPr>
          <w:p w14:paraId="67FDB50F" w14:textId="77777777" w:rsidR="00F02582" w:rsidRPr="003D73C3" w:rsidRDefault="00F02582" w:rsidP="00FA3544">
            <w:pPr>
              <w:spacing w:before="120"/>
              <w:jc w:val="center"/>
              <w:rPr>
                <w:rFonts w:ascii="Arial" w:hAnsi="Arial" w:cs="Arial"/>
                <w:b/>
                <w:sz w:val="16"/>
                <w:szCs w:val="18"/>
              </w:rPr>
            </w:pPr>
          </w:p>
        </w:tc>
        <w:tc>
          <w:tcPr>
            <w:tcW w:w="1428" w:type="dxa"/>
            <w:vAlign w:val="center"/>
          </w:tcPr>
          <w:p w14:paraId="0B17FAE3" w14:textId="77777777" w:rsidR="00F02582" w:rsidRPr="003D73C3" w:rsidRDefault="00F02582" w:rsidP="00FA3544">
            <w:pPr>
              <w:spacing w:before="120"/>
              <w:jc w:val="center"/>
              <w:rPr>
                <w:rFonts w:ascii="Arial" w:hAnsi="Arial" w:cs="Arial"/>
                <w:b/>
                <w:sz w:val="16"/>
                <w:szCs w:val="18"/>
              </w:rPr>
            </w:pPr>
          </w:p>
        </w:tc>
        <w:tc>
          <w:tcPr>
            <w:tcW w:w="1434" w:type="dxa"/>
            <w:vAlign w:val="center"/>
          </w:tcPr>
          <w:p w14:paraId="3200824D" w14:textId="77777777" w:rsidR="00F02582" w:rsidRPr="003D73C3" w:rsidRDefault="00F02582" w:rsidP="00FA3544">
            <w:pPr>
              <w:spacing w:before="120"/>
              <w:jc w:val="center"/>
              <w:rPr>
                <w:rFonts w:ascii="Arial" w:hAnsi="Arial" w:cs="Arial"/>
                <w:b/>
                <w:sz w:val="16"/>
                <w:szCs w:val="18"/>
              </w:rPr>
            </w:pPr>
          </w:p>
        </w:tc>
        <w:tc>
          <w:tcPr>
            <w:tcW w:w="1024" w:type="dxa"/>
            <w:vAlign w:val="center"/>
          </w:tcPr>
          <w:p w14:paraId="5893816A" w14:textId="7BDE9F3D" w:rsidR="00F02582" w:rsidRPr="003D73C3" w:rsidRDefault="00F02582" w:rsidP="00FA3544">
            <w:pPr>
              <w:spacing w:before="120"/>
              <w:jc w:val="center"/>
              <w:rPr>
                <w:rFonts w:ascii="Arial" w:hAnsi="Arial" w:cs="Arial"/>
                <w:b/>
                <w:sz w:val="16"/>
                <w:szCs w:val="18"/>
              </w:rPr>
            </w:pPr>
            <w:r w:rsidRPr="003D73C3">
              <w:rPr>
                <w:rFonts w:ascii="Arial" w:hAnsi="Arial" w:cs="Arial"/>
                <w:b/>
                <w:sz w:val="16"/>
                <w:szCs w:val="18"/>
              </w:rPr>
              <w:t>0.0125</w:t>
            </w:r>
          </w:p>
        </w:tc>
        <w:tc>
          <w:tcPr>
            <w:tcW w:w="1070" w:type="dxa"/>
            <w:vAlign w:val="center"/>
          </w:tcPr>
          <w:p w14:paraId="2DD89740" w14:textId="268FF1B4" w:rsidR="00F02582" w:rsidRPr="003D73C3" w:rsidRDefault="00F02582" w:rsidP="00FA3544">
            <w:pPr>
              <w:spacing w:before="120"/>
              <w:jc w:val="center"/>
              <w:rPr>
                <w:rFonts w:ascii="Arial" w:hAnsi="Arial" w:cs="Arial"/>
                <w:b/>
                <w:sz w:val="16"/>
                <w:szCs w:val="18"/>
              </w:rPr>
            </w:pPr>
            <w:r w:rsidRPr="003D73C3">
              <w:rPr>
                <w:rFonts w:ascii="Arial" w:hAnsi="Arial" w:cs="Arial"/>
                <w:b/>
                <w:sz w:val="16"/>
                <w:szCs w:val="18"/>
              </w:rPr>
              <w:t>0.042</w:t>
            </w:r>
          </w:p>
        </w:tc>
      </w:tr>
      <w:tr w:rsidR="00F02582" w:rsidRPr="00F552EF" w14:paraId="2A76AFD3" w14:textId="77777777" w:rsidTr="00944F46">
        <w:tc>
          <w:tcPr>
            <w:tcW w:w="670" w:type="dxa"/>
            <w:vMerge w:val="restart"/>
            <w:vAlign w:val="center"/>
          </w:tcPr>
          <w:p w14:paraId="5F748888" w14:textId="77777777" w:rsidR="00F02582" w:rsidRPr="003D73C3" w:rsidRDefault="00F02582" w:rsidP="00FA3544">
            <w:pPr>
              <w:spacing w:before="120"/>
              <w:rPr>
                <w:rFonts w:ascii="Arial" w:hAnsi="Arial" w:cs="Arial"/>
                <w:b/>
                <w:sz w:val="16"/>
                <w:szCs w:val="18"/>
              </w:rPr>
            </w:pPr>
            <w:r w:rsidRPr="003D73C3">
              <w:rPr>
                <w:rFonts w:ascii="Arial" w:hAnsi="Arial" w:cs="Arial"/>
                <w:b/>
                <w:sz w:val="16"/>
                <w:szCs w:val="18"/>
              </w:rPr>
              <w:t xml:space="preserve">2016 </w:t>
            </w:r>
          </w:p>
          <w:p w14:paraId="54CF13D0" w14:textId="3CA6A0D3" w:rsidR="00F02582" w:rsidRPr="003D73C3" w:rsidRDefault="00F02582" w:rsidP="00FA3544">
            <w:pPr>
              <w:spacing w:before="120"/>
              <w:rPr>
                <w:rFonts w:ascii="Arial" w:hAnsi="Arial" w:cs="Arial"/>
                <w:b/>
                <w:sz w:val="16"/>
                <w:szCs w:val="18"/>
              </w:rPr>
            </w:pPr>
          </w:p>
        </w:tc>
        <w:tc>
          <w:tcPr>
            <w:tcW w:w="1923" w:type="dxa"/>
            <w:vAlign w:val="center"/>
          </w:tcPr>
          <w:p w14:paraId="2737FCAA" w14:textId="42621164" w:rsidR="00F02582" w:rsidRPr="003D73C3" w:rsidRDefault="00F02582" w:rsidP="00FA3544">
            <w:pPr>
              <w:spacing w:before="120"/>
              <w:rPr>
                <w:rFonts w:ascii="Arial" w:hAnsi="Arial" w:cs="Arial"/>
                <w:sz w:val="16"/>
                <w:szCs w:val="18"/>
              </w:rPr>
            </w:pPr>
            <w:r w:rsidRPr="003D73C3">
              <w:rPr>
                <w:rFonts w:ascii="Arial" w:hAnsi="Arial" w:cs="Arial"/>
                <w:sz w:val="16"/>
                <w:szCs w:val="18"/>
              </w:rPr>
              <w:t>Lime production</w:t>
            </w:r>
          </w:p>
        </w:tc>
        <w:tc>
          <w:tcPr>
            <w:tcW w:w="1512" w:type="dxa"/>
            <w:vAlign w:val="center"/>
          </w:tcPr>
          <w:p w14:paraId="29E4C107" w14:textId="47420F01"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238,480</w:t>
            </w:r>
          </w:p>
        </w:tc>
        <w:tc>
          <w:tcPr>
            <w:tcW w:w="1428" w:type="dxa"/>
            <w:vAlign w:val="center"/>
          </w:tcPr>
          <w:p w14:paraId="47CDF705" w14:textId="4C4685DC"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0.07</w:t>
            </w:r>
          </w:p>
        </w:tc>
        <w:tc>
          <w:tcPr>
            <w:tcW w:w="1434" w:type="dxa"/>
            <w:vAlign w:val="center"/>
          </w:tcPr>
          <w:p w14:paraId="438A4D9D" w14:textId="488A235C"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c>
          <w:tcPr>
            <w:tcW w:w="1024" w:type="dxa"/>
            <w:vAlign w:val="center"/>
          </w:tcPr>
          <w:p w14:paraId="2BD04EDC" w14:textId="767B6379"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0.0167</w:t>
            </w:r>
          </w:p>
        </w:tc>
        <w:tc>
          <w:tcPr>
            <w:tcW w:w="1070" w:type="dxa"/>
            <w:vAlign w:val="center"/>
          </w:tcPr>
          <w:p w14:paraId="716E2B0E" w14:textId="76A41E1A"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r>
      <w:tr w:rsidR="00F02582" w:rsidRPr="00F552EF" w14:paraId="2B0B111F" w14:textId="77777777" w:rsidTr="00944F46">
        <w:tc>
          <w:tcPr>
            <w:tcW w:w="670" w:type="dxa"/>
            <w:vMerge/>
            <w:vAlign w:val="center"/>
          </w:tcPr>
          <w:p w14:paraId="2643EF52" w14:textId="77777777" w:rsidR="00F02582" w:rsidRPr="003D73C3" w:rsidRDefault="00F02582" w:rsidP="00FA3544">
            <w:pPr>
              <w:spacing w:before="120"/>
              <w:rPr>
                <w:rFonts w:ascii="Arial" w:hAnsi="Arial" w:cs="Arial"/>
                <w:b/>
                <w:sz w:val="16"/>
                <w:szCs w:val="18"/>
              </w:rPr>
            </w:pPr>
          </w:p>
        </w:tc>
        <w:tc>
          <w:tcPr>
            <w:tcW w:w="1923" w:type="dxa"/>
            <w:vAlign w:val="center"/>
          </w:tcPr>
          <w:p w14:paraId="1740E313" w14:textId="1123C31C" w:rsidR="00F02582" w:rsidRPr="003D73C3" w:rsidRDefault="00F02582" w:rsidP="00FA3544">
            <w:pPr>
              <w:spacing w:before="120"/>
              <w:rPr>
                <w:rFonts w:ascii="Arial" w:hAnsi="Arial" w:cs="Arial"/>
                <w:sz w:val="16"/>
                <w:szCs w:val="18"/>
              </w:rPr>
            </w:pPr>
            <w:r w:rsidRPr="003D73C3">
              <w:rPr>
                <w:rFonts w:ascii="Arial" w:hAnsi="Arial" w:cs="Arial"/>
                <w:sz w:val="16"/>
                <w:szCs w:val="18"/>
              </w:rPr>
              <w:t>Lime application to land</w:t>
            </w:r>
          </w:p>
        </w:tc>
        <w:tc>
          <w:tcPr>
            <w:tcW w:w="1512" w:type="dxa"/>
            <w:vAlign w:val="center"/>
          </w:tcPr>
          <w:p w14:paraId="2F5411EA" w14:textId="2400BFCC"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23,800</w:t>
            </w:r>
          </w:p>
        </w:tc>
        <w:tc>
          <w:tcPr>
            <w:tcW w:w="1428" w:type="dxa"/>
            <w:vAlign w:val="center"/>
          </w:tcPr>
          <w:p w14:paraId="474018D2" w14:textId="4BCAB88B"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01050FD4" w14:textId="3B16989E"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1.24</w:t>
            </w:r>
          </w:p>
        </w:tc>
        <w:tc>
          <w:tcPr>
            <w:tcW w:w="1024" w:type="dxa"/>
            <w:vAlign w:val="center"/>
          </w:tcPr>
          <w:p w14:paraId="3A3CDBD5" w14:textId="6CE9C35B"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c>
          <w:tcPr>
            <w:tcW w:w="1070" w:type="dxa"/>
            <w:vAlign w:val="center"/>
          </w:tcPr>
          <w:p w14:paraId="4BCA4D7A" w14:textId="5EF871B8"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0.0295</w:t>
            </w:r>
          </w:p>
        </w:tc>
      </w:tr>
      <w:tr w:rsidR="00F02582" w:rsidRPr="00F552EF" w14:paraId="09DE7882" w14:textId="77777777" w:rsidTr="00944F46">
        <w:tc>
          <w:tcPr>
            <w:tcW w:w="670" w:type="dxa"/>
            <w:vMerge/>
            <w:vAlign w:val="center"/>
          </w:tcPr>
          <w:p w14:paraId="629C96E5" w14:textId="77777777" w:rsidR="00F02582" w:rsidRPr="003D73C3" w:rsidRDefault="00F02582" w:rsidP="00FA3544">
            <w:pPr>
              <w:spacing w:before="120"/>
              <w:rPr>
                <w:rFonts w:ascii="Arial" w:hAnsi="Arial" w:cs="Arial"/>
                <w:b/>
                <w:sz w:val="16"/>
                <w:szCs w:val="18"/>
              </w:rPr>
            </w:pPr>
          </w:p>
        </w:tc>
        <w:tc>
          <w:tcPr>
            <w:tcW w:w="1923" w:type="dxa"/>
            <w:vAlign w:val="center"/>
          </w:tcPr>
          <w:p w14:paraId="2C55B7B8" w14:textId="7C2F7CD4" w:rsidR="00F02582" w:rsidRPr="003D73C3" w:rsidRDefault="00F02582" w:rsidP="00FA3544">
            <w:pPr>
              <w:spacing w:before="120"/>
              <w:rPr>
                <w:rFonts w:ascii="Arial" w:hAnsi="Arial" w:cs="Arial"/>
                <w:sz w:val="16"/>
                <w:szCs w:val="18"/>
              </w:rPr>
            </w:pPr>
            <w:r w:rsidRPr="003D73C3">
              <w:rPr>
                <w:rFonts w:ascii="Arial" w:hAnsi="Arial" w:cs="Arial"/>
                <w:sz w:val="16"/>
                <w:szCs w:val="18"/>
              </w:rPr>
              <w:t>APC equipment dust</w:t>
            </w:r>
          </w:p>
        </w:tc>
        <w:tc>
          <w:tcPr>
            <w:tcW w:w="1512" w:type="dxa"/>
            <w:vAlign w:val="center"/>
          </w:tcPr>
          <w:p w14:paraId="6F75D03A" w14:textId="44D4BAD0"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4200</w:t>
            </w:r>
          </w:p>
        </w:tc>
        <w:tc>
          <w:tcPr>
            <w:tcW w:w="1428" w:type="dxa"/>
            <w:vAlign w:val="center"/>
          </w:tcPr>
          <w:p w14:paraId="15C23EBA" w14:textId="300FA9AF"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57ED3093" w14:textId="63ED7C88"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6.7</w:t>
            </w:r>
          </w:p>
        </w:tc>
        <w:tc>
          <w:tcPr>
            <w:tcW w:w="1024" w:type="dxa"/>
            <w:vAlign w:val="center"/>
          </w:tcPr>
          <w:p w14:paraId="416D4A6C" w14:textId="28CF6512"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w:t>
            </w:r>
          </w:p>
        </w:tc>
        <w:tc>
          <w:tcPr>
            <w:tcW w:w="1070" w:type="dxa"/>
            <w:vAlign w:val="center"/>
          </w:tcPr>
          <w:p w14:paraId="18CCF4F7" w14:textId="37651A16" w:rsidR="00F02582" w:rsidRPr="003D73C3" w:rsidRDefault="00F02582" w:rsidP="00FA3544">
            <w:pPr>
              <w:spacing w:before="120"/>
              <w:jc w:val="center"/>
              <w:rPr>
                <w:rFonts w:ascii="Arial" w:hAnsi="Arial" w:cs="Arial"/>
                <w:sz w:val="16"/>
                <w:szCs w:val="18"/>
              </w:rPr>
            </w:pPr>
            <w:r w:rsidRPr="003D73C3">
              <w:rPr>
                <w:rFonts w:ascii="Arial" w:hAnsi="Arial" w:cs="Arial"/>
                <w:sz w:val="16"/>
                <w:szCs w:val="18"/>
              </w:rPr>
              <w:t>0.0281</w:t>
            </w:r>
          </w:p>
        </w:tc>
      </w:tr>
      <w:tr w:rsidR="00F02582" w:rsidRPr="00F552EF" w14:paraId="1CBF741E" w14:textId="77777777" w:rsidTr="00944F46">
        <w:tc>
          <w:tcPr>
            <w:tcW w:w="670" w:type="dxa"/>
            <w:vMerge/>
            <w:vAlign w:val="center"/>
          </w:tcPr>
          <w:p w14:paraId="36C1BF5C" w14:textId="77777777" w:rsidR="00F02582" w:rsidRPr="003D73C3" w:rsidRDefault="00F02582" w:rsidP="00A95C93">
            <w:pPr>
              <w:spacing w:before="120"/>
              <w:rPr>
                <w:rFonts w:ascii="Arial" w:hAnsi="Arial" w:cs="Arial"/>
                <w:b/>
                <w:sz w:val="16"/>
                <w:szCs w:val="18"/>
              </w:rPr>
            </w:pPr>
          </w:p>
        </w:tc>
        <w:tc>
          <w:tcPr>
            <w:tcW w:w="1923" w:type="dxa"/>
            <w:vAlign w:val="center"/>
          </w:tcPr>
          <w:p w14:paraId="41D705BD" w14:textId="14A6A6FF" w:rsidR="00F02582" w:rsidRPr="003D73C3" w:rsidRDefault="00F02582" w:rsidP="00BE4DFC">
            <w:pPr>
              <w:spacing w:before="120"/>
              <w:rPr>
                <w:rFonts w:ascii="Arial" w:hAnsi="Arial" w:cs="Arial"/>
                <w:sz w:val="16"/>
                <w:szCs w:val="18"/>
              </w:rPr>
            </w:pPr>
            <w:r w:rsidRPr="003D73C3">
              <w:rPr>
                <w:rFonts w:ascii="Arial" w:hAnsi="Arial" w:cs="Arial"/>
                <w:sz w:val="16"/>
                <w:szCs w:val="18"/>
              </w:rPr>
              <w:t>Pulp mill lime kilns</w:t>
            </w:r>
          </w:p>
        </w:tc>
        <w:tc>
          <w:tcPr>
            <w:tcW w:w="1512" w:type="dxa"/>
            <w:vAlign w:val="center"/>
          </w:tcPr>
          <w:p w14:paraId="7103EAEA" w14:textId="70CB043D" w:rsidR="00F02582" w:rsidRPr="003D73C3" w:rsidRDefault="00F02582" w:rsidP="00A95C93">
            <w:pPr>
              <w:spacing w:before="120"/>
              <w:jc w:val="center"/>
              <w:rPr>
                <w:rFonts w:ascii="Arial" w:hAnsi="Arial" w:cs="Arial"/>
                <w:sz w:val="16"/>
                <w:szCs w:val="18"/>
              </w:rPr>
            </w:pPr>
          </w:p>
        </w:tc>
        <w:tc>
          <w:tcPr>
            <w:tcW w:w="1428" w:type="dxa"/>
            <w:vAlign w:val="center"/>
          </w:tcPr>
          <w:p w14:paraId="3E58093F" w14:textId="6F998D34" w:rsidR="00F02582" w:rsidRPr="003D73C3" w:rsidRDefault="00F02582" w:rsidP="00A95C93">
            <w:pPr>
              <w:spacing w:before="120"/>
              <w:jc w:val="center"/>
              <w:rPr>
                <w:rFonts w:ascii="Arial" w:hAnsi="Arial" w:cs="Arial"/>
                <w:sz w:val="16"/>
                <w:szCs w:val="18"/>
              </w:rPr>
            </w:pPr>
          </w:p>
        </w:tc>
        <w:tc>
          <w:tcPr>
            <w:tcW w:w="1434" w:type="dxa"/>
            <w:vAlign w:val="center"/>
          </w:tcPr>
          <w:p w14:paraId="526781A3" w14:textId="404D4695" w:rsidR="00F02582" w:rsidRPr="003D73C3" w:rsidRDefault="00F02582" w:rsidP="00A95C93">
            <w:pPr>
              <w:spacing w:before="120"/>
              <w:jc w:val="center"/>
              <w:rPr>
                <w:rFonts w:ascii="Arial" w:hAnsi="Arial" w:cs="Arial"/>
                <w:sz w:val="16"/>
                <w:szCs w:val="18"/>
              </w:rPr>
            </w:pPr>
          </w:p>
        </w:tc>
        <w:tc>
          <w:tcPr>
            <w:tcW w:w="1024" w:type="dxa"/>
            <w:vAlign w:val="center"/>
          </w:tcPr>
          <w:p w14:paraId="67E53C8E" w14:textId="58613317" w:rsidR="00F02582" w:rsidRPr="003D73C3" w:rsidRDefault="00F02582" w:rsidP="00A95C93">
            <w:pPr>
              <w:spacing w:before="120"/>
              <w:jc w:val="center"/>
              <w:rPr>
                <w:rFonts w:ascii="Arial" w:hAnsi="Arial" w:cs="Arial"/>
                <w:sz w:val="16"/>
                <w:szCs w:val="18"/>
              </w:rPr>
            </w:pPr>
            <w:r w:rsidRPr="003D73C3">
              <w:rPr>
                <w:rFonts w:ascii="Arial" w:hAnsi="Arial" w:cs="Arial"/>
                <w:sz w:val="16"/>
                <w:szCs w:val="18"/>
              </w:rPr>
              <w:t>0.0006</w:t>
            </w:r>
          </w:p>
        </w:tc>
        <w:tc>
          <w:tcPr>
            <w:tcW w:w="1070" w:type="dxa"/>
            <w:vAlign w:val="center"/>
          </w:tcPr>
          <w:p w14:paraId="6050F477" w14:textId="2D4F6D27" w:rsidR="00F02582" w:rsidRPr="003D73C3" w:rsidRDefault="00F02582" w:rsidP="00A95C93">
            <w:pPr>
              <w:spacing w:before="120"/>
              <w:jc w:val="center"/>
              <w:rPr>
                <w:rFonts w:ascii="Arial" w:hAnsi="Arial" w:cs="Arial"/>
                <w:sz w:val="16"/>
                <w:szCs w:val="18"/>
              </w:rPr>
            </w:pPr>
          </w:p>
        </w:tc>
      </w:tr>
      <w:tr w:rsidR="00D01A04" w:rsidRPr="00F552EF" w14:paraId="1BD0E1E5" w14:textId="77777777" w:rsidTr="00944F46">
        <w:tc>
          <w:tcPr>
            <w:tcW w:w="670" w:type="dxa"/>
            <w:vAlign w:val="center"/>
          </w:tcPr>
          <w:p w14:paraId="7A58CEDF" w14:textId="6075AD2D" w:rsidR="00D01A04" w:rsidRPr="00D01A04" w:rsidRDefault="00D01A04" w:rsidP="00D01A04">
            <w:pPr>
              <w:spacing w:before="120"/>
              <w:rPr>
                <w:rFonts w:ascii="Arial" w:hAnsi="Arial" w:cs="Arial"/>
                <w:b/>
                <w:sz w:val="16"/>
                <w:szCs w:val="18"/>
              </w:rPr>
            </w:pPr>
            <w:r w:rsidRPr="00604E4D">
              <w:rPr>
                <w:rFonts w:ascii="Arial" w:hAnsi="Arial" w:cs="Arial"/>
                <w:b/>
                <w:sz w:val="16"/>
                <w:szCs w:val="18"/>
              </w:rPr>
              <w:t>Total</w:t>
            </w:r>
          </w:p>
        </w:tc>
        <w:tc>
          <w:tcPr>
            <w:tcW w:w="1923" w:type="dxa"/>
            <w:vAlign w:val="center"/>
          </w:tcPr>
          <w:p w14:paraId="3C0546AF" w14:textId="77777777" w:rsidR="00D01A04" w:rsidRPr="00D01A04" w:rsidRDefault="00D01A04" w:rsidP="00D01A04">
            <w:pPr>
              <w:spacing w:before="120"/>
              <w:rPr>
                <w:rFonts w:ascii="Arial" w:hAnsi="Arial" w:cs="Arial"/>
                <w:sz w:val="16"/>
                <w:szCs w:val="18"/>
              </w:rPr>
            </w:pPr>
          </w:p>
        </w:tc>
        <w:tc>
          <w:tcPr>
            <w:tcW w:w="1512" w:type="dxa"/>
            <w:vAlign w:val="center"/>
          </w:tcPr>
          <w:p w14:paraId="31758336" w14:textId="77777777" w:rsidR="00D01A04" w:rsidRPr="00D01A04" w:rsidRDefault="00D01A04" w:rsidP="00D01A04">
            <w:pPr>
              <w:spacing w:before="120"/>
              <w:jc w:val="center"/>
              <w:rPr>
                <w:rFonts w:ascii="Arial" w:hAnsi="Arial" w:cs="Arial"/>
                <w:sz w:val="16"/>
                <w:szCs w:val="18"/>
              </w:rPr>
            </w:pPr>
          </w:p>
        </w:tc>
        <w:tc>
          <w:tcPr>
            <w:tcW w:w="1428" w:type="dxa"/>
            <w:vAlign w:val="center"/>
          </w:tcPr>
          <w:p w14:paraId="04378E14" w14:textId="77777777" w:rsidR="00D01A04" w:rsidRPr="00D01A04" w:rsidRDefault="00D01A04" w:rsidP="00D01A04">
            <w:pPr>
              <w:spacing w:before="120"/>
              <w:jc w:val="center"/>
              <w:rPr>
                <w:rFonts w:ascii="Arial" w:hAnsi="Arial" w:cs="Arial"/>
                <w:sz w:val="16"/>
                <w:szCs w:val="18"/>
              </w:rPr>
            </w:pPr>
          </w:p>
        </w:tc>
        <w:tc>
          <w:tcPr>
            <w:tcW w:w="1434" w:type="dxa"/>
            <w:vAlign w:val="center"/>
          </w:tcPr>
          <w:p w14:paraId="62525879" w14:textId="77777777" w:rsidR="00D01A04" w:rsidRPr="00D01A04" w:rsidRDefault="00D01A04" w:rsidP="00D01A04">
            <w:pPr>
              <w:spacing w:before="120"/>
              <w:jc w:val="center"/>
              <w:rPr>
                <w:rFonts w:ascii="Arial" w:hAnsi="Arial" w:cs="Arial"/>
                <w:sz w:val="16"/>
                <w:szCs w:val="18"/>
              </w:rPr>
            </w:pPr>
          </w:p>
        </w:tc>
        <w:tc>
          <w:tcPr>
            <w:tcW w:w="1024" w:type="dxa"/>
            <w:vAlign w:val="center"/>
          </w:tcPr>
          <w:p w14:paraId="0C19178A" w14:textId="72E67F48" w:rsidR="00D01A04" w:rsidRPr="00D01A04" w:rsidRDefault="00D01A04" w:rsidP="00D01A04">
            <w:pPr>
              <w:spacing w:before="120"/>
              <w:jc w:val="center"/>
              <w:rPr>
                <w:rFonts w:ascii="Arial" w:hAnsi="Arial" w:cs="Arial"/>
                <w:sz w:val="16"/>
                <w:szCs w:val="18"/>
              </w:rPr>
            </w:pPr>
            <w:r w:rsidRPr="00604E4D">
              <w:rPr>
                <w:rFonts w:ascii="Arial" w:hAnsi="Arial" w:cs="Arial"/>
                <w:b/>
                <w:sz w:val="16"/>
                <w:szCs w:val="18"/>
              </w:rPr>
              <w:t>0.0173</w:t>
            </w:r>
          </w:p>
        </w:tc>
        <w:tc>
          <w:tcPr>
            <w:tcW w:w="1070" w:type="dxa"/>
            <w:vAlign w:val="center"/>
          </w:tcPr>
          <w:p w14:paraId="39A8CD18" w14:textId="0FADF4B4" w:rsidR="00D01A04" w:rsidRPr="00D01A04" w:rsidRDefault="00D01A04" w:rsidP="00D01A04">
            <w:pPr>
              <w:spacing w:before="120"/>
              <w:jc w:val="center"/>
              <w:rPr>
                <w:rFonts w:ascii="Arial" w:hAnsi="Arial" w:cs="Arial"/>
                <w:sz w:val="16"/>
                <w:szCs w:val="18"/>
              </w:rPr>
            </w:pPr>
            <w:r w:rsidRPr="00604E4D">
              <w:rPr>
                <w:rFonts w:ascii="Arial" w:hAnsi="Arial" w:cs="Arial"/>
                <w:b/>
                <w:sz w:val="16"/>
                <w:szCs w:val="18"/>
              </w:rPr>
              <w:t>0.0576</w:t>
            </w:r>
          </w:p>
        </w:tc>
      </w:tr>
      <w:tr w:rsidR="00D01A04" w:rsidRPr="00F552EF" w14:paraId="05BA3C17" w14:textId="77777777" w:rsidTr="00944F46">
        <w:tc>
          <w:tcPr>
            <w:tcW w:w="670" w:type="dxa"/>
            <w:vMerge w:val="restart"/>
            <w:vAlign w:val="center"/>
          </w:tcPr>
          <w:p w14:paraId="03AC15FE" w14:textId="61C3F664" w:rsidR="00D01A04" w:rsidRPr="00D01A04" w:rsidRDefault="00D01A04" w:rsidP="00D01A04">
            <w:pPr>
              <w:spacing w:before="120"/>
              <w:rPr>
                <w:rFonts w:ascii="Arial" w:hAnsi="Arial" w:cs="Arial"/>
                <w:b/>
                <w:sz w:val="16"/>
                <w:szCs w:val="18"/>
              </w:rPr>
            </w:pPr>
            <w:r>
              <w:rPr>
                <w:rFonts w:ascii="Arial" w:hAnsi="Arial" w:cs="Arial"/>
                <w:b/>
                <w:sz w:val="16"/>
                <w:szCs w:val="18"/>
              </w:rPr>
              <w:t>2020</w:t>
            </w:r>
          </w:p>
        </w:tc>
        <w:tc>
          <w:tcPr>
            <w:tcW w:w="1923" w:type="dxa"/>
            <w:vAlign w:val="center"/>
          </w:tcPr>
          <w:p w14:paraId="7BD46366" w14:textId="0F4AD474" w:rsidR="00D01A04" w:rsidRPr="00D01A04" w:rsidRDefault="00D01A04" w:rsidP="00D01A04">
            <w:pPr>
              <w:spacing w:before="120"/>
              <w:rPr>
                <w:rFonts w:ascii="Arial" w:hAnsi="Arial" w:cs="Arial"/>
                <w:sz w:val="16"/>
                <w:szCs w:val="18"/>
              </w:rPr>
            </w:pPr>
            <w:r w:rsidRPr="00604E4D">
              <w:rPr>
                <w:rFonts w:ascii="Arial" w:hAnsi="Arial" w:cs="Arial"/>
                <w:sz w:val="16"/>
                <w:szCs w:val="18"/>
              </w:rPr>
              <w:t>Lime production</w:t>
            </w:r>
          </w:p>
        </w:tc>
        <w:tc>
          <w:tcPr>
            <w:tcW w:w="1512" w:type="dxa"/>
            <w:vAlign w:val="center"/>
          </w:tcPr>
          <w:p w14:paraId="1DF62DC1" w14:textId="2E3B7E82" w:rsidR="00D01A04" w:rsidRPr="00D01A04" w:rsidRDefault="00D01A04" w:rsidP="00D01A04">
            <w:pPr>
              <w:spacing w:before="120"/>
              <w:jc w:val="center"/>
              <w:rPr>
                <w:rFonts w:ascii="Arial" w:hAnsi="Arial" w:cs="Arial"/>
                <w:sz w:val="16"/>
                <w:szCs w:val="18"/>
              </w:rPr>
            </w:pPr>
            <w:r>
              <w:rPr>
                <w:rFonts w:ascii="Arial" w:hAnsi="Arial" w:cs="Arial"/>
                <w:sz w:val="16"/>
                <w:szCs w:val="18"/>
              </w:rPr>
              <w:t>144,385</w:t>
            </w:r>
          </w:p>
        </w:tc>
        <w:tc>
          <w:tcPr>
            <w:tcW w:w="1428" w:type="dxa"/>
            <w:vAlign w:val="center"/>
          </w:tcPr>
          <w:p w14:paraId="0845F598" w14:textId="1F69EC4A" w:rsidR="00D01A04" w:rsidRPr="00D01A04" w:rsidRDefault="00D01A04" w:rsidP="00D01A04">
            <w:pPr>
              <w:spacing w:before="120"/>
              <w:jc w:val="center"/>
              <w:rPr>
                <w:rFonts w:ascii="Arial" w:hAnsi="Arial" w:cs="Arial"/>
                <w:sz w:val="16"/>
                <w:szCs w:val="18"/>
              </w:rPr>
            </w:pPr>
            <w:r>
              <w:rPr>
                <w:rFonts w:ascii="Arial" w:hAnsi="Arial" w:cs="Arial"/>
                <w:sz w:val="16"/>
                <w:szCs w:val="18"/>
              </w:rPr>
              <w:t>0.07</w:t>
            </w:r>
          </w:p>
        </w:tc>
        <w:tc>
          <w:tcPr>
            <w:tcW w:w="1434" w:type="dxa"/>
            <w:vAlign w:val="center"/>
          </w:tcPr>
          <w:p w14:paraId="7EEB8FB2" w14:textId="77777777" w:rsidR="00D01A04" w:rsidRPr="00D01A04" w:rsidRDefault="00D01A04" w:rsidP="00D01A04">
            <w:pPr>
              <w:spacing w:before="120"/>
              <w:jc w:val="center"/>
              <w:rPr>
                <w:rFonts w:ascii="Arial" w:hAnsi="Arial" w:cs="Arial"/>
                <w:sz w:val="16"/>
                <w:szCs w:val="18"/>
              </w:rPr>
            </w:pPr>
          </w:p>
        </w:tc>
        <w:tc>
          <w:tcPr>
            <w:tcW w:w="1024" w:type="dxa"/>
            <w:vAlign w:val="center"/>
          </w:tcPr>
          <w:p w14:paraId="2DF4AACF" w14:textId="570D3E9E" w:rsidR="00D01A04" w:rsidRPr="00D01A04" w:rsidRDefault="00AD7F5B" w:rsidP="00D01A04">
            <w:pPr>
              <w:spacing w:before="120"/>
              <w:jc w:val="center"/>
              <w:rPr>
                <w:rFonts w:ascii="Arial" w:hAnsi="Arial" w:cs="Arial"/>
                <w:sz w:val="16"/>
                <w:szCs w:val="18"/>
              </w:rPr>
            </w:pPr>
            <w:r>
              <w:rPr>
                <w:rFonts w:ascii="Arial" w:hAnsi="Arial" w:cs="Arial"/>
                <w:sz w:val="16"/>
                <w:szCs w:val="18"/>
              </w:rPr>
              <w:t>0.0101</w:t>
            </w:r>
          </w:p>
        </w:tc>
        <w:tc>
          <w:tcPr>
            <w:tcW w:w="1070" w:type="dxa"/>
            <w:vAlign w:val="center"/>
          </w:tcPr>
          <w:p w14:paraId="1E498684" w14:textId="77777777" w:rsidR="00D01A04" w:rsidRPr="00D01A04" w:rsidRDefault="00D01A04" w:rsidP="00D01A04">
            <w:pPr>
              <w:spacing w:before="120"/>
              <w:jc w:val="center"/>
              <w:rPr>
                <w:rFonts w:ascii="Arial" w:hAnsi="Arial" w:cs="Arial"/>
                <w:sz w:val="16"/>
                <w:szCs w:val="18"/>
              </w:rPr>
            </w:pPr>
          </w:p>
        </w:tc>
      </w:tr>
      <w:tr w:rsidR="00D01A04" w:rsidRPr="00F552EF" w14:paraId="594DC76B" w14:textId="77777777" w:rsidTr="00944F46">
        <w:tc>
          <w:tcPr>
            <w:tcW w:w="670" w:type="dxa"/>
            <w:vMerge/>
            <w:vAlign w:val="center"/>
          </w:tcPr>
          <w:p w14:paraId="10B85210" w14:textId="77777777" w:rsidR="00D01A04" w:rsidRPr="00D01A04" w:rsidRDefault="00D01A04" w:rsidP="00D01A04">
            <w:pPr>
              <w:spacing w:before="120"/>
              <w:rPr>
                <w:rFonts w:ascii="Arial" w:hAnsi="Arial" w:cs="Arial"/>
                <w:b/>
                <w:sz w:val="16"/>
                <w:szCs w:val="18"/>
              </w:rPr>
            </w:pPr>
          </w:p>
        </w:tc>
        <w:tc>
          <w:tcPr>
            <w:tcW w:w="1923" w:type="dxa"/>
            <w:vAlign w:val="center"/>
          </w:tcPr>
          <w:p w14:paraId="0A30F919" w14:textId="44C51113" w:rsidR="00D01A04" w:rsidRPr="00D01A04" w:rsidRDefault="00D01A04" w:rsidP="00D01A04">
            <w:pPr>
              <w:spacing w:before="120"/>
              <w:rPr>
                <w:rFonts w:ascii="Arial" w:hAnsi="Arial" w:cs="Arial"/>
                <w:sz w:val="16"/>
                <w:szCs w:val="18"/>
              </w:rPr>
            </w:pPr>
            <w:r w:rsidRPr="00604E4D">
              <w:rPr>
                <w:rFonts w:ascii="Arial" w:hAnsi="Arial" w:cs="Arial"/>
                <w:sz w:val="16"/>
                <w:szCs w:val="18"/>
              </w:rPr>
              <w:t>Lime application to land</w:t>
            </w:r>
          </w:p>
        </w:tc>
        <w:tc>
          <w:tcPr>
            <w:tcW w:w="1512" w:type="dxa"/>
            <w:vAlign w:val="center"/>
          </w:tcPr>
          <w:p w14:paraId="13D0D9ED" w14:textId="6FCC7696" w:rsidR="00D01A04" w:rsidRPr="00D01A04" w:rsidRDefault="00D01A04" w:rsidP="00D01A04">
            <w:pPr>
              <w:spacing w:before="120"/>
              <w:jc w:val="center"/>
              <w:rPr>
                <w:rFonts w:ascii="Arial" w:hAnsi="Arial" w:cs="Arial"/>
                <w:sz w:val="16"/>
                <w:szCs w:val="18"/>
              </w:rPr>
            </w:pPr>
            <w:r>
              <w:rPr>
                <w:rFonts w:ascii="Arial" w:hAnsi="Arial" w:cs="Arial"/>
                <w:sz w:val="16"/>
                <w:szCs w:val="18"/>
              </w:rPr>
              <w:t>14,450</w:t>
            </w:r>
          </w:p>
        </w:tc>
        <w:tc>
          <w:tcPr>
            <w:tcW w:w="1428" w:type="dxa"/>
            <w:vAlign w:val="center"/>
          </w:tcPr>
          <w:p w14:paraId="4E450228" w14:textId="77777777" w:rsidR="00D01A04" w:rsidRPr="00D01A04" w:rsidRDefault="00D01A04" w:rsidP="00D01A04">
            <w:pPr>
              <w:spacing w:before="120"/>
              <w:jc w:val="center"/>
              <w:rPr>
                <w:rFonts w:ascii="Arial" w:hAnsi="Arial" w:cs="Arial"/>
                <w:sz w:val="16"/>
                <w:szCs w:val="18"/>
              </w:rPr>
            </w:pPr>
          </w:p>
        </w:tc>
        <w:tc>
          <w:tcPr>
            <w:tcW w:w="1434" w:type="dxa"/>
            <w:vAlign w:val="center"/>
          </w:tcPr>
          <w:p w14:paraId="4870A70D" w14:textId="30DE4CB9" w:rsidR="00D01A04" w:rsidRPr="00D01A04" w:rsidRDefault="00AD7F5B" w:rsidP="00D01A04">
            <w:pPr>
              <w:spacing w:before="120"/>
              <w:jc w:val="center"/>
              <w:rPr>
                <w:rFonts w:ascii="Arial" w:hAnsi="Arial" w:cs="Arial"/>
                <w:sz w:val="16"/>
                <w:szCs w:val="18"/>
              </w:rPr>
            </w:pPr>
            <w:r>
              <w:rPr>
                <w:rFonts w:ascii="Arial" w:hAnsi="Arial" w:cs="Arial"/>
                <w:sz w:val="16"/>
                <w:szCs w:val="18"/>
              </w:rPr>
              <w:t>1.24</w:t>
            </w:r>
          </w:p>
        </w:tc>
        <w:tc>
          <w:tcPr>
            <w:tcW w:w="1024" w:type="dxa"/>
            <w:vAlign w:val="center"/>
          </w:tcPr>
          <w:p w14:paraId="24C5747E" w14:textId="77777777" w:rsidR="00D01A04" w:rsidRPr="00D01A04" w:rsidRDefault="00D01A04" w:rsidP="00D01A04">
            <w:pPr>
              <w:spacing w:before="120"/>
              <w:jc w:val="center"/>
              <w:rPr>
                <w:rFonts w:ascii="Arial" w:hAnsi="Arial" w:cs="Arial"/>
                <w:sz w:val="16"/>
                <w:szCs w:val="18"/>
              </w:rPr>
            </w:pPr>
          </w:p>
        </w:tc>
        <w:tc>
          <w:tcPr>
            <w:tcW w:w="1070" w:type="dxa"/>
            <w:vAlign w:val="center"/>
          </w:tcPr>
          <w:p w14:paraId="4612C649" w14:textId="53C2D3E7" w:rsidR="00D01A04" w:rsidRPr="00D01A04" w:rsidRDefault="00AD7F5B" w:rsidP="00D01A04">
            <w:pPr>
              <w:spacing w:before="120"/>
              <w:jc w:val="center"/>
              <w:rPr>
                <w:rFonts w:ascii="Arial" w:hAnsi="Arial" w:cs="Arial"/>
                <w:sz w:val="16"/>
                <w:szCs w:val="18"/>
              </w:rPr>
            </w:pPr>
            <w:r>
              <w:rPr>
                <w:rFonts w:ascii="Arial" w:hAnsi="Arial" w:cs="Arial"/>
                <w:sz w:val="16"/>
                <w:szCs w:val="18"/>
              </w:rPr>
              <w:t>0.0179</w:t>
            </w:r>
          </w:p>
        </w:tc>
      </w:tr>
      <w:tr w:rsidR="00D01A04" w:rsidRPr="00F552EF" w14:paraId="0319372C" w14:textId="77777777" w:rsidTr="00944F46">
        <w:tc>
          <w:tcPr>
            <w:tcW w:w="670" w:type="dxa"/>
            <w:vMerge/>
            <w:vAlign w:val="center"/>
          </w:tcPr>
          <w:p w14:paraId="36B41EB5" w14:textId="77777777" w:rsidR="00D01A04" w:rsidRPr="00D01A04" w:rsidRDefault="00D01A04" w:rsidP="00D01A04">
            <w:pPr>
              <w:spacing w:before="120"/>
              <w:rPr>
                <w:rFonts w:ascii="Arial" w:hAnsi="Arial" w:cs="Arial"/>
                <w:b/>
                <w:sz w:val="16"/>
                <w:szCs w:val="18"/>
              </w:rPr>
            </w:pPr>
          </w:p>
        </w:tc>
        <w:tc>
          <w:tcPr>
            <w:tcW w:w="1923" w:type="dxa"/>
            <w:vAlign w:val="center"/>
          </w:tcPr>
          <w:p w14:paraId="370ACCB6" w14:textId="572CE2D0" w:rsidR="00D01A04" w:rsidRPr="00D01A04" w:rsidRDefault="00D01A04" w:rsidP="00D01A04">
            <w:pPr>
              <w:spacing w:before="120"/>
              <w:rPr>
                <w:rFonts w:ascii="Arial" w:hAnsi="Arial" w:cs="Arial"/>
                <w:sz w:val="16"/>
                <w:szCs w:val="18"/>
              </w:rPr>
            </w:pPr>
            <w:r w:rsidRPr="00604E4D">
              <w:rPr>
                <w:rFonts w:ascii="Arial" w:hAnsi="Arial" w:cs="Arial"/>
                <w:sz w:val="16"/>
                <w:szCs w:val="18"/>
              </w:rPr>
              <w:t>APC equipment dust</w:t>
            </w:r>
          </w:p>
        </w:tc>
        <w:tc>
          <w:tcPr>
            <w:tcW w:w="1512" w:type="dxa"/>
            <w:vAlign w:val="center"/>
          </w:tcPr>
          <w:p w14:paraId="345C3C7B" w14:textId="38CA7D47" w:rsidR="00D01A04" w:rsidRPr="00D01A04" w:rsidRDefault="00D01A04" w:rsidP="00D01A04">
            <w:pPr>
              <w:spacing w:before="120"/>
              <w:jc w:val="center"/>
              <w:rPr>
                <w:rFonts w:ascii="Arial" w:hAnsi="Arial" w:cs="Arial"/>
                <w:sz w:val="16"/>
                <w:szCs w:val="18"/>
              </w:rPr>
            </w:pPr>
            <w:r>
              <w:rPr>
                <w:rFonts w:ascii="Arial" w:hAnsi="Arial" w:cs="Arial"/>
                <w:sz w:val="16"/>
                <w:szCs w:val="18"/>
              </w:rPr>
              <w:t>2,550</w:t>
            </w:r>
          </w:p>
        </w:tc>
        <w:tc>
          <w:tcPr>
            <w:tcW w:w="1428" w:type="dxa"/>
            <w:vAlign w:val="center"/>
          </w:tcPr>
          <w:p w14:paraId="518916C5" w14:textId="77777777" w:rsidR="00D01A04" w:rsidRPr="00D01A04" w:rsidRDefault="00D01A04" w:rsidP="00D01A04">
            <w:pPr>
              <w:spacing w:before="120"/>
              <w:jc w:val="center"/>
              <w:rPr>
                <w:rFonts w:ascii="Arial" w:hAnsi="Arial" w:cs="Arial"/>
                <w:sz w:val="16"/>
                <w:szCs w:val="18"/>
              </w:rPr>
            </w:pPr>
          </w:p>
        </w:tc>
        <w:tc>
          <w:tcPr>
            <w:tcW w:w="1434" w:type="dxa"/>
            <w:vAlign w:val="center"/>
          </w:tcPr>
          <w:p w14:paraId="133B667A" w14:textId="340DD872" w:rsidR="00D01A04" w:rsidRPr="00D01A04" w:rsidRDefault="00AD7F5B" w:rsidP="00D01A04">
            <w:pPr>
              <w:spacing w:before="120"/>
              <w:jc w:val="center"/>
              <w:rPr>
                <w:rFonts w:ascii="Arial" w:hAnsi="Arial" w:cs="Arial"/>
                <w:sz w:val="16"/>
                <w:szCs w:val="18"/>
              </w:rPr>
            </w:pPr>
            <w:r>
              <w:rPr>
                <w:rFonts w:ascii="Arial" w:hAnsi="Arial" w:cs="Arial"/>
                <w:sz w:val="16"/>
                <w:szCs w:val="18"/>
              </w:rPr>
              <w:t>6.7</w:t>
            </w:r>
          </w:p>
        </w:tc>
        <w:tc>
          <w:tcPr>
            <w:tcW w:w="1024" w:type="dxa"/>
            <w:vAlign w:val="center"/>
          </w:tcPr>
          <w:p w14:paraId="68D700CD" w14:textId="77777777" w:rsidR="00D01A04" w:rsidRPr="00D01A04" w:rsidRDefault="00D01A04" w:rsidP="00D01A04">
            <w:pPr>
              <w:spacing w:before="120"/>
              <w:jc w:val="center"/>
              <w:rPr>
                <w:rFonts w:ascii="Arial" w:hAnsi="Arial" w:cs="Arial"/>
                <w:sz w:val="16"/>
                <w:szCs w:val="18"/>
              </w:rPr>
            </w:pPr>
          </w:p>
        </w:tc>
        <w:tc>
          <w:tcPr>
            <w:tcW w:w="1070" w:type="dxa"/>
            <w:vAlign w:val="center"/>
          </w:tcPr>
          <w:p w14:paraId="1B46B84E" w14:textId="6FB2214C" w:rsidR="00D01A04" w:rsidRPr="00D01A04" w:rsidRDefault="00AD7F5B" w:rsidP="00D01A04">
            <w:pPr>
              <w:spacing w:before="120"/>
              <w:jc w:val="center"/>
              <w:rPr>
                <w:rFonts w:ascii="Arial" w:hAnsi="Arial" w:cs="Arial"/>
                <w:sz w:val="16"/>
                <w:szCs w:val="18"/>
              </w:rPr>
            </w:pPr>
            <w:r>
              <w:rPr>
                <w:rFonts w:ascii="Arial" w:hAnsi="Arial" w:cs="Arial"/>
                <w:sz w:val="16"/>
                <w:szCs w:val="18"/>
              </w:rPr>
              <w:t>0.0171</w:t>
            </w:r>
          </w:p>
        </w:tc>
      </w:tr>
      <w:tr w:rsidR="00D01A04" w:rsidRPr="00F552EF" w14:paraId="4C002822" w14:textId="77777777" w:rsidTr="00944F46">
        <w:tc>
          <w:tcPr>
            <w:tcW w:w="670" w:type="dxa"/>
            <w:vMerge/>
            <w:vAlign w:val="center"/>
          </w:tcPr>
          <w:p w14:paraId="1C43B7F8" w14:textId="77777777" w:rsidR="00D01A04" w:rsidRPr="00D01A04" w:rsidRDefault="00D01A04" w:rsidP="00D01A04">
            <w:pPr>
              <w:spacing w:before="120"/>
              <w:rPr>
                <w:rFonts w:ascii="Arial" w:hAnsi="Arial" w:cs="Arial"/>
                <w:b/>
                <w:sz w:val="16"/>
                <w:szCs w:val="18"/>
              </w:rPr>
            </w:pPr>
          </w:p>
        </w:tc>
        <w:tc>
          <w:tcPr>
            <w:tcW w:w="1923" w:type="dxa"/>
            <w:vAlign w:val="center"/>
          </w:tcPr>
          <w:p w14:paraId="6CF578B6" w14:textId="70062864" w:rsidR="00D01A04" w:rsidRPr="00D01A04" w:rsidRDefault="00D01A04" w:rsidP="00D01A04">
            <w:pPr>
              <w:spacing w:before="120"/>
              <w:rPr>
                <w:rFonts w:ascii="Arial" w:hAnsi="Arial" w:cs="Arial"/>
                <w:sz w:val="16"/>
                <w:szCs w:val="18"/>
              </w:rPr>
            </w:pPr>
            <w:r w:rsidRPr="00604E4D">
              <w:rPr>
                <w:rFonts w:ascii="Arial" w:hAnsi="Arial" w:cs="Arial"/>
                <w:sz w:val="16"/>
                <w:szCs w:val="18"/>
              </w:rPr>
              <w:t>Pulp mill lime kilns</w:t>
            </w:r>
          </w:p>
        </w:tc>
        <w:tc>
          <w:tcPr>
            <w:tcW w:w="1512" w:type="dxa"/>
            <w:vAlign w:val="center"/>
          </w:tcPr>
          <w:p w14:paraId="2024D33B" w14:textId="77777777" w:rsidR="00D01A04" w:rsidRPr="00D01A04" w:rsidRDefault="00D01A04" w:rsidP="00D01A04">
            <w:pPr>
              <w:spacing w:before="120"/>
              <w:jc w:val="center"/>
              <w:rPr>
                <w:rFonts w:ascii="Arial" w:hAnsi="Arial" w:cs="Arial"/>
                <w:sz w:val="16"/>
                <w:szCs w:val="18"/>
              </w:rPr>
            </w:pPr>
          </w:p>
        </w:tc>
        <w:tc>
          <w:tcPr>
            <w:tcW w:w="1428" w:type="dxa"/>
            <w:vAlign w:val="center"/>
          </w:tcPr>
          <w:p w14:paraId="3FC854AD" w14:textId="77777777" w:rsidR="00D01A04" w:rsidRPr="00D01A04" w:rsidRDefault="00D01A04" w:rsidP="00D01A04">
            <w:pPr>
              <w:spacing w:before="120"/>
              <w:jc w:val="center"/>
              <w:rPr>
                <w:rFonts w:ascii="Arial" w:hAnsi="Arial" w:cs="Arial"/>
                <w:sz w:val="16"/>
                <w:szCs w:val="18"/>
              </w:rPr>
            </w:pPr>
          </w:p>
        </w:tc>
        <w:tc>
          <w:tcPr>
            <w:tcW w:w="1434" w:type="dxa"/>
            <w:vAlign w:val="center"/>
          </w:tcPr>
          <w:p w14:paraId="03654D50" w14:textId="77777777" w:rsidR="00D01A04" w:rsidRPr="00D01A04" w:rsidRDefault="00D01A04" w:rsidP="00D01A04">
            <w:pPr>
              <w:spacing w:before="120"/>
              <w:jc w:val="center"/>
              <w:rPr>
                <w:rFonts w:ascii="Arial" w:hAnsi="Arial" w:cs="Arial"/>
                <w:sz w:val="16"/>
                <w:szCs w:val="18"/>
              </w:rPr>
            </w:pPr>
          </w:p>
        </w:tc>
        <w:tc>
          <w:tcPr>
            <w:tcW w:w="1024" w:type="dxa"/>
            <w:vAlign w:val="center"/>
          </w:tcPr>
          <w:p w14:paraId="6053AF15" w14:textId="7F356E20" w:rsidR="00D01A04" w:rsidRPr="00D01A04" w:rsidRDefault="00D01A04" w:rsidP="00D01A04">
            <w:pPr>
              <w:spacing w:before="120"/>
              <w:jc w:val="center"/>
              <w:rPr>
                <w:rFonts w:ascii="Arial" w:hAnsi="Arial" w:cs="Arial"/>
                <w:sz w:val="16"/>
                <w:szCs w:val="18"/>
              </w:rPr>
            </w:pPr>
            <w:r>
              <w:rPr>
                <w:rFonts w:ascii="Arial" w:hAnsi="Arial" w:cs="Arial"/>
                <w:sz w:val="16"/>
                <w:szCs w:val="18"/>
              </w:rPr>
              <w:t>0.0006</w:t>
            </w:r>
          </w:p>
        </w:tc>
        <w:tc>
          <w:tcPr>
            <w:tcW w:w="1070" w:type="dxa"/>
            <w:vAlign w:val="center"/>
          </w:tcPr>
          <w:p w14:paraId="05709B3D" w14:textId="77777777" w:rsidR="00D01A04" w:rsidRPr="00D01A04" w:rsidRDefault="00D01A04" w:rsidP="00D01A04">
            <w:pPr>
              <w:spacing w:before="120"/>
              <w:jc w:val="center"/>
              <w:rPr>
                <w:rFonts w:ascii="Arial" w:hAnsi="Arial" w:cs="Arial"/>
                <w:sz w:val="16"/>
                <w:szCs w:val="18"/>
              </w:rPr>
            </w:pPr>
          </w:p>
        </w:tc>
      </w:tr>
      <w:tr w:rsidR="00F02582" w:rsidRPr="00AF1200" w14:paraId="0F2C6CC6" w14:textId="77777777" w:rsidTr="00944F46">
        <w:tc>
          <w:tcPr>
            <w:tcW w:w="670" w:type="dxa"/>
            <w:vAlign w:val="center"/>
          </w:tcPr>
          <w:p w14:paraId="77D6522D" w14:textId="23F1EAE0" w:rsidR="00F02582" w:rsidRPr="003D73C3" w:rsidRDefault="00F02582" w:rsidP="00A95C93">
            <w:pPr>
              <w:spacing w:before="120"/>
              <w:rPr>
                <w:rFonts w:ascii="Arial" w:hAnsi="Arial" w:cs="Arial"/>
                <w:b/>
                <w:sz w:val="16"/>
                <w:szCs w:val="18"/>
              </w:rPr>
            </w:pPr>
            <w:r w:rsidRPr="003D73C3">
              <w:rPr>
                <w:rFonts w:ascii="Arial" w:hAnsi="Arial" w:cs="Arial"/>
                <w:b/>
                <w:sz w:val="16"/>
                <w:szCs w:val="18"/>
              </w:rPr>
              <w:t>Total</w:t>
            </w:r>
          </w:p>
        </w:tc>
        <w:tc>
          <w:tcPr>
            <w:tcW w:w="1923" w:type="dxa"/>
            <w:vAlign w:val="center"/>
          </w:tcPr>
          <w:p w14:paraId="741B79C9" w14:textId="77777777" w:rsidR="00F02582" w:rsidRPr="003D73C3" w:rsidRDefault="00F02582" w:rsidP="00BE4DFC">
            <w:pPr>
              <w:spacing w:before="120"/>
              <w:rPr>
                <w:rFonts w:ascii="Arial" w:hAnsi="Arial" w:cs="Arial"/>
                <w:b/>
                <w:sz w:val="16"/>
                <w:szCs w:val="18"/>
              </w:rPr>
            </w:pPr>
          </w:p>
        </w:tc>
        <w:tc>
          <w:tcPr>
            <w:tcW w:w="1512" w:type="dxa"/>
            <w:vAlign w:val="center"/>
          </w:tcPr>
          <w:p w14:paraId="5D1C1485" w14:textId="77777777" w:rsidR="00F02582" w:rsidRPr="003D73C3" w:rsidRDefault="00F02582" w:rsidP="00A95C93">
            <w:pPr>
              <w:spacing w:before="120"/>
              <w:jc w:val="center"/>
              <w:rPr>
                <w:rFonts w:ascii="Arial" w:hAnsi="Arial" w:cs="Arial"/>
                <w:b/>
                <w:sz w:val="16"/>
                <w:szCs w:val="18"/>
              </w:rPr>
            </w:pPr>
          </w:p>
        </w:tc>
        <w:tc>
          <w:tcPr>
            <w:tcW w:w="1428" w:type="dxa"/>
            <w:vAlign w:val="center"/>
          </w:tcPr>
          <w:p w14:paraId="194C1FF0" w14:textId="77777777" w:rsidR="00F02582" w:rsidRPr="003D73C3" w:rsidRDefault="00F02582" w:rsidP="00A95C93">
            <w:pPr>
              <w:spacing w:before="120"/>
              <w:jc w:val="center"/>
              <w:rPr>
                <w:rFonts w:ascii="Arial" w:hAnsi="Arial" w:cs="Arial"/>
                <w:b/>
                <w:sz w:val="16"/>
                <w:szCs w:val="18"/>
              </w:rPr>
            </w:pPr>
          </w:p>
        </w:tc>
        <w:tc>
          <w:tcPr>
            <w:tcW w:w="1434" w:type="dxa"/>
            <w:vAlign w:val="center"/>
          </w:tcPr>
          <w:p w14:paraId="18720A10" w14:textId="77777777" w:rsidR="00F02582" w:rsidRPr="003D73C3" w:rsidRDefault="00F02582" w:rsidP="00A95C93">
            <w:pPr>
              <w:spacing w:before="120"/>
              <w:jc w:val="center"/>
              <w:rPr>
                <w:rFonts w:ascii="Arial" w:hAnsi="Arial" w:cs="Arial"/>
                <w:b/>
                <w:sz w:val="16"/>
                <w:szCs w:val="18"/>
              </w:rPr>
            </w:pPr>
          </w:p>
        </w:tc>
        <w:tc>
          <w:tcPr>
            <w:tcW w:w="1024" w:type="dxa"/>
            <w:vAlign w:val="center"/>
          </w:tcPr>
          <w:p w14:paraId="69F8D36A" w14:textId="285B2AD6" w:rsidR="00F02582" w:rsidRPr="003D73C3" w:rsidRDefault="00AD7F5B" w:rsidP="006061F0">
            <w:pPr>
              <w:spacing w:before="120"/>
              <w:jc w:val="center"/>
              <w:rPr>
                <w:rFonts w:ascii="Arial" w:hAnsi="Arial" w:cs="Arial"/>
                <w:b/>
                <w:sz w:val="16"/>
                <w:szCs w:val="18"/>
              </w:rPr>
            </w:pPr>
            <w:r>
              <w:rPr>
                <w:rFonts w:ascii="Arial" w:hAnsi="Arial" w:cs="Arial"/>
                <w:b/>
                <w:sz w:val="16"/>
                <w:szCs w:val="18"/>
              </w:rPr>
              <w:t>0.0107</w:t>
            </w:r>
          </w:p>
        </w:tc>
        <w:tc>
          <w:tcPr>
            <w:tcW w:w="1070" w:type="dxa"/>
            <w:vAlign w:val="center"/>
          </w:tcPr>
          <w:p w14:paraId="09D36DEA" w14:textId="1774E79F" w:rsidR="00F02582" w:rsidRPr="003D73C3" w:rsidRDefault="00AD7F5B" w:rsidP="00A95C93">
            <w:pPr>
              <w:spacing w:before="120"/>
              <w:jc w:val="center"/>
              <w:rPr>
                <w:rFonts w:ascii="Arial" w:hAnsi="Arial" w:cs="Arial"/>
                <w:b/>
                <w:sz w:val="16"/>
                <w:szCs w:val="18"/>
              </w:rPr>
            </w:pPr>
            <w:r>
              <w:rPr>
                <w:rFonts w:ascii="Arial" w:hAnsi="Arial" w:cs="Arial"/>
                <w:b/>
                <w:sz w:val="16"/>
                <w:szCs w:val="18"/>
              </w:rPr>
              <w:t>0.0350</w:t>
            </w:r>
          </w:p>
        </w:tc>
      </w:tr>
      <w:bookmarkEnd w:id="87"/>
    </w:tbl>
    <w:p w14:paraId="48499B5A" w14:textId="77777777" w:rsidR="00563617" w:rsidRPr="00AF1200" w:rsidRDefault="00563617" w:rsidP="003D73C3">
      <w:pPr>
        <w:spacing w:after="0"/>
        <w:rPr>
          <w:rFonts w:ascii="Arial" w:hAnsi="Arial" w:cs="Arial"/>
          <w:b/>
          <w:szCs w:val="18"/>
          <w:highlight w:val="yellow"/>
        </w:rPr>
      </w:pPr>
    </w:p>
    <w:p w14:paraId="63C17F77" w14:textId="6DDCB9E4"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5A22DE">
        <w:rPr>
          <w:rFonts w:ascii="Arial" w:hAnsi="Arial" w:cs="Arial"/>
          <w:b/>
          <w:szCs w:val="18"/>
        </w:rPr>
        <w:t>2020</w:t>
      </w:r>
    </w:p>
    <w:p w14:paraId="1143EDB9"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Medium (because it is based on estimated production data)</w:t>
      </w:r>
    </w:p>
    <w:p w14:paraId="76037E7D"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 and other published information)</w:t>
      </w:r>
    </w:p>
    <w:p w14:paraId="0B4E7CA2" w14:textId="77777777" w:rsidR="006761D2" w:rsidRPr="003D73C3" w:rsidRDefault="006761D2" w:rsidP="00261F78">
      <w:pPr>
        <w:pStyle w:val="Heading2"/>
      </w:pPr>
      <w:bookmarkStart w:id="231" w:name="_Toc112768106"/>
      <w:r w:rsidRPr="003D73C3">
        <w:t>Brick production</w:t>
      </w:r>
      <w:bookmarkEnd w:id="231"/>
    </w:p>
    <w:p w14:paraId="48AA8EE3" w14:textId="269BC3F2" w:rsidR="006761D2" w:rsidRPr="003D73C3" w:rsidRDefault="53E97707" w:rsidP="0C34660A">
      <w:pPr>
        <w:spacing w:line="300" w:lineRule="atLeast"/>
        <w:jc w:val="both"/>
        <w:rPr>
          <w:rFonts w:eastAsia="Calibri"/>
        </w:rPr>
      </w:pPr>
      <w:r w:rsidRPr="0C34660A">
        <w:rPr>
          <w:rFonts w:eastAsia="Calibri"/>
        </w:rPr>
        <w:t>With the closure of New Zealand</w:t>
      </w:r>
      <w:r w:rsidR="63A1546F" w:rsidRPr="0C34660A">
        <w:rPr>
          <w:rFonts w:eastAsia="Calibri"/>
        </w:rPr>
        <w:t>’</w:t>
      </w:r>
      <w:r w:rsidRPr="0C34660A">
        <w:rPr>
          <w:rFonts w:eastAsia="Calibri"/>
        </w:rPr>
        <w:t xml:space="preserve">s largest brick manufacturing facility, CSR Building Products (Monier Bricks), there are now only </w:t>
      </w:r>
      <w:r w:rsidR="63A1546F" w:rsidRPr="0C34660A">
        <w:rPr>
          <w:rFonts w:eastAsia="Calibri"/>
        </w:rPr>
        <w:t>two significant</w:t>
      </w:r>
      <w:r w:rsidR="24854215" w:rsidRPr="0C34660A">
        <w:rPr>
          <w:rFonts w:eastAsia="Calibri"/>
        </w:rPr>
        <w:t xml:space="preserve"> manufacturers of bricks in New Zealand located in Huntly and Christchurch. The Huntly plant is fired by gas and produce</w:t>
      </w:r>
      <w:r w:rsidRPr="0C34660A">
        <w:rPr>
          <w:rFonts w:eastAsia="Calibri"/>
        </w:rPr>
        <w:t>s</w:t>
      </w:r>
      <w:r w:rsidR="24854215" w:rsidRPr="0C34660A">
        <w:rPr>
          <w:rFonts w:eastAsia="Calibri"/>
        </w:rPr>
        <w:t xml:space="preserve"> </w:t>
      </w:r>
      <w:r w:rsidR="0CC0E7CA" w:rsidRPr="0C34660A">
        <w:rPr>
          <w:rFonts w:eastAsia="Calibri"/>
        </w:rPr>
        <w:t>about 5,000</w:t>
      </w:r>
      <w:r w:rsidR="24854215" w:rsidRPr="0C34660A">
        <w:rPr>
          <w:rFonts w:eastAsia="Calibri"/>
        </w:rPr>
        <w:t xml:space="preserve"> tonnes</w:t>
      </w:r>
      <w:r w:rsidRPr="0C34660A">
        <w:rPr>
          <w:rFonts w:eastAsia="Calibri"/>
        </w:rPr>
        <w:t xml:space="preserve"> per annum</w:t>
      </w:r>
      <w:r w:rsidR="24854215" w:rsidRPr="0C34660A">
        <w:rPr>
          <w:rFonts w:eastAsia="Calibri"/>
        </w:rPr>
        <w:t xml:space="preserve">, </w:t>
      </w:r>
      <w:r w:rsidRPr="0C34660A">
        <w:rPr>
          <w:rFonts w:eastAsia="Calibri"/>
        </w:rPr>
        <w:t>whereas</w:t>
      </w:r>
      <w:r w:rsidR="24854215" w:rsidRPr="0C34660A">
        <w:rPr>
          <w:rFonts w:eastAsia="Calibri"/>
        </w:rPr>
        <w:t xml:space="preserve"> the Christchurch plant produce</w:t>
      </w:r>
      <w:r w:rsidR="37496FA2" w:rsidRPr="0C34660A">
        <w:rPr>
          <w:rFonts w:eastAsia="Calibri"/>
        </w:rPr>
        <w:t>d</w:t>
      </w:r>
      <w:r w:rsidR="24854215" w:rsidRPr="0C34660A">
        <w:rPr>
          <w:rFonts w:eastAsia="Calibri"/>
        </w:rPr>
        <w:t xml:space="preserve"> </w:t>
      </w:r>
      <w:r w:rsidR="126BC1C7" w:rsidRPr="0C34660A">
        <w:rPr>
          <w:rFonts w:eastAsia="Calibri"/>
        </w:rPr>
        <w:t>6</w:t>
      </w:r>
      <w:r w:rsidR="24854215" w:rsidRPr="0C34660A">
        <w:rPr>
          <w:rFonts w:eastAsia="Calibri"/>
        </w:rPr>
        <w:t xml:space="preserve">,000 tonnes </w:t>
      </w:r>
      <w:r w:rsidRPr="0C34660A">
        <w:rPr>
          <w:rFonts w:eastAsia="Calibri"/>
        </w:rPr>
        <w:t xml:space="preserve">per annum </w:t>
      </w:r>
      <w:r w:rsidR="126BC1C7" w:rsidRPr="0C34660A">
        <w:rPr>
          <w:rFonts w:eastAsia="Calibri"/>
        </w:rPr>
        <w:t xml:space="preserve">in 2020 </w:t>
      </w:r>
      <w:r w:rsidR="24854215" w:rsidRPr="0C34660A">
        <w:rPr>
          <w:rFonts w:eastAsia="Calibri"/>
        </w:rPr>
        <w:t xml:space="preserve">and is fired with oil (R Thomas, Canterbury Clay Bricks, pers comm, </w:t>
      </w:r>
      <w:r w:rsidR="126BC1C7" w:rsidRPr="0C34660A">
        <w:rPr>
          <w:rFonts w:eastAsia="Calibri"/>
        </w:rPr>
        <w:t>2022</w:t>
      </w:r>
      <w:r w:rsidR="24854215" w:rsidRPr="0C34660A">
        <w:rPr>
          <w:rFonts w:eastAsia="Calibri"/>
        </w:rPr>
        <w:t xml:space="preserve">). Consequently, total brick production for </w:t>
      </w:r>
      <w:r w:rsidR="126BC1C7" w:rsidRPr="0C34660A">
        <w:rPr>
          <w:rFonts w:eastAsia="Calibri"/>
        </w:rPr>
        <w:t>2020</w:t>
      </w:r>
      <w:r w:rsidRPr="0C34660A">
        <w:rPr>
          <w:rFonts w:eastAsia="Calibri"/>
        </w:rPr>
        <w:t xml:space="preserve"> </w:t>
      </w:r>
      <w:r w:rsidR="24854215" w:rsidRPr="0C34660A">
        <w:rPr>
          <w:rFonts w:eastAsia="Calibri"/>
        </w:rPr>
        <w:t xml:space="preserve">was </w:t>
      </w:r>
      <w:r w:rsidR="0CC0E7CA" w:rsidRPr="0C34660A">
        <w:rPr>
          <w:rFonts w:eastAsia="Calibri"/>
        </w:rPr>
        <w:t>1</w:t>
      </w:r>
      <w:r w:rsidR="126BC1C7" w:rsidRPr="0C34660A">
        <w:rPr>
          <w:rFonts w:eastAsia="Calibri"/>
        </w:rPr>
        <w:t>1</w:t>
      </w:r>
      <w:r w:rsidR="0CC0E7CA" w:rsidRPr="0C34660A">
        <w:rPr>
          <w:rFonts w:eastAsia="Calibri"/>
        </w:rPr>
        <w:t>,000</w:t>
      </w:r>
      <w:r w:rsidR="63A1546F" w:rsidRPr="0C34660A">
        <w:rPr>
          <w:rFonts w:eastAsia="Calibri"/>
        </w:rPr>
        <w:t xml:space="preserve"> </w:t>
      </w:r>
      <w:r w:rsidR="24854215" w:rsidRPr="0C34660A">
        <w:rPr>
          <w:rFonts w:eastAsia="Calibri"/>
        </w:rPr>
        <w:t>tonnes.</w:t>
      </w:r>
    </w:p>
    <w:p w14:paraId="523887B6" w14:textId="5633A174" w:rsidR="006761D2" w:rsidRPr="003D73C3" w:rsidRDefault="006761D2" w:rsidP="006761D2">
      <w:pPr>
        <w:spacing w:line="300" w:lineRule="atLeast"/>
        <w:jc w:val="both"/>
        <w:rPr>
          <w:rFonts w:eastAsia="Calibri"/>
          <w:szCs w:val="18"/>
        </w:rPr>
      </w:pPr>
      <w:r w:rsidRPr="003D73C3">
        <w:rPr>
          <w:rFonts w:eastAsia="Calibri"/>
          <w:szCs w:val="18"/>
        </w:rPr>
        <w:t xml:space="preserve">The UNEP Toolkit differentiates between small, poorly controlled kilns (which it assigns as Class1) and larger better-controlled kilns (Class 2). Kilns can qualify for the class 2 category if they have either emission control technology in place or state of the art process control, in which case they can burn fuels of any type including those which the Toolkit refers to as “contaminated”. Alternatively larger kilns with no emission control technology, but </w:t>
      </w:r>
      <w:r w:rsidRPr="003D73C3">
        <w:rPr>
          <w:rFonts w:eastAsia="Calibri"/>
          <w:szCs w:val="18"/>
        </w:rPr>
        <w:lastRenderedPageBreak/>
        <w:t xml:space="preserve">which use uncontaminated fuels, also qualify as class 2. On this basis the </w:t>
      </w:r>
      <w:r w:rsidR="000A08A0" w:rsidRPr="003D73C3">
        <w:rPr>
          <w:rFonts w:eastAsia="Calibri"/>
          <w:szCs w:val="18"/>
        </w:rPr>
        <w:t xml:space="preserve">two </w:t>
      </w:r>
      <w:r w:rsidRPr="003D73C3">
        <w:rPr>
          <w:rFonts w:eastAsia="Calibri"/>
          <w:szCs w:val="18"/>
        </w:rPr>
        <w:t xml:space="preserve">New Zealand brick-making facilities should be assigned to Class 2. </w:t>
      </w:r>
    </w:p>
    <w:p w14:paraId="5DBB2483" w14:textId="6031F185" w:rsidR="006761D2" w:rsidRPr="003D73C3" w:rsidRDefault="24854215" w:rsidP="0C34660A">
      <w:pPr>
        <w:spacing w:line="300" w:lineRule="atLeast"/>
        <w:jc w:val="both"/>
        <w:rPr>
          <w:rFonts w:eastAsia="Calibri"/>
        </w:rPr>
      </w:pPr>
      <w:r w:rsidRPr="0C34660A">
        <w:rPr>
          <w:rFonts w:eastAsia="Calibri"/>
        </w:rPr>
        <w:t xml:space="preserve">The Toolkit provides emission factors for releases to air, in products and in residues. The residues produced in brick making are the ash products resulting from the combustion of solid fuels. Where the fuel is natural gas or a liquid fuel such as oil or diesel, virtually no ash is produced. Consequently, there are no significant releases via residues for the New Zealand plants. </w:t>
      </w:r>
    </w:p>
    <w:p w14:paraId="6F7495CC" w14:textId="3B487144" w:rsidR="006761D2" w:rsidRPr="003D73C3" w:rsidRDefault="006761D2" w:rsidP="006761D2">
      <w:pPr>
        <w:spacing w:after="240" w:line="300" w:lineRule="atLeast"/>
        <w:jc w:val="both"/>
        <w:rPr>
          <w:szCs w:val="18"/>
        </w:rPr>
      </w:pPr>
      <w:r w:rsidRPr="003D73C3">
        <w:rPr>
          <w:szCs w:val="18"/>
        </w:rPr>
        <w:t xml:space="preserve">The </w:t>
      </w:r>
      <w:r w:rsidR="00AE6F0A" w:rsidRPr="003D73C3">
        <w:rPr>
          <w:szCs w:val="18"/>
        </w:rPr>
        <w:t xml:space="preserve">2020 </w:t>
      </w:r>
      <w:r w:rsidRPr="003D73C3">
        <w:rPr>
          <w:szCs w:val="18"/>
        </w:rPr>
        <w:t xml:space="preserve">release estimates for brick production are shown in </w:t>
      </w:r>
      <w:r w:rsidRPr="003D73C3">
        <w:rPr>
          <w:szCs w:val="18"/>
        </w:rPr>
        <w:fldChar w:fldCharType="begin"/>
      </w:r>
      <w:r w:rsidRPr="003D73C3">
        <w:rPr>
          <w:szCs w:val="18"/>
        </w:rPr>
        <w:instrText xml:space="preserve"> REF _Ref386530622 \h  \* MERGEFORMAT </w:instrText>
      </w:r>
      <w:r w:rsidRPr="003D73C3">
        <w:rPr>
          <w:szCs w:val="18"/>
        </w:rPr>
      </w:r>
      <w:r w:rsidRPr="003D73C3">
        <w:rPr>
          <w:szCs w:val="18"/>
        </w:rPr>
        <w:fldChar w:fldCharType="separate"/>
      </w:r>
      <w:r w:rsidR="00141D7F" w:rsidRPr="00141D7F">
        <w:t xml:space="preserve">Table </w:t>
      </w:r>
      <w:r w:rsidR="00141D7F" w:rsidRPr="00141D7F">
        <w:rPr>
          <w:noProof/>
        </w:rPr>
        <w:t>6</w:t>
      </w:r>
      <w:r w:rsidR="00141D7F" w:rsidRPr="00141D7F">
        <w:rPr>
          <w:noProof/>
        </w:rPr>
        <w:noBreakHyphen/>
        <w:t>3</w:t>
      </w:r>
      <w:r w:rsidRPr="003D73C3">
        <w:rPr>
          <w:szCs w:val="18"/>
        </w:rPr>
        <w:fldChar w:fldCharType="end"/>
      </w:r>
      <w:r w:rsidRPr="003D73C3">
        <w:rPr>
          <w:szCs w:val="18"/>
        </w:rPr>
        <w:t xml:space="preserve">, along with the corresponding estimates reported for the </w:t>
      </w:r>
      <w:r w:rsidR="00DE2EBD" w:rsidRPr="003D73C3">
        <w:rPr>
          <w:szCs w:val="18"/>
        </w:rPr>
        <w:t xml:space="preserve">2012 </w:t>
      </w:r>
      <w:r w:rsidR="00AE6F0A" w:rsidRPr="003D73C3">
        <w:rPr>
          <w:szCs w:val="18"/>
        </w:rPr>
        <w:t xml:space="preserve">and 2016 </w:t>
      </w:r>
      <w:r w:rsidRPr="003D73C3">
        <w:rPr>
          <w:szCs w:val="18"/>
        </w:rPr>
        <w:t>Inventor</w:t>
      </w:r>
      <w:r w:rsidR="00AE6F0A" w:rsidRPr="003D73C3">
        <w:rPr>
          <w:szCs w:val="18"/>
        </w:rPr>
        <w:t>ies</w:t>
      </w:r>
      <w:r w:rsidRPr="003D73C3">
        <w:rPr>
          <w:szCs w:val="18"/>
        </w:rPr>
        <w:t>.</w:t>
      </w:r>
    </w:p>
    <w:p w14:paraId="66A395A3" w14:textId="47E0EB5A" w:rsidR="006761D2" w:rsidRPr="003D73C3" w:rsidRDefault="006761D2" w:rsidP="006761D2">
      <w:pPr>
        <w:pStyle w:val="Caption"/>
        <w:spacing w:before="120"/>
        <w:jc w:val="left"/>
        <w:rPr>
          <w:rFonts w:cs="Arial"/>
          <w:szCs w:val="18"/>
        </w:rPr>
      </w:pPr>
      <w:bookmarkStart w:id="232" w:name="_Ref38653062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6</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bookmarkEnd w:id="232"/>
      <w:r w:rsidRPr="003D73C3">
        <w:rPr>
          <w:rFonts w:cs="Arial"/>
        </w:rPr>
        <w:t>: Dioxin releases from brick production</w:t>
      </w:r>
    </w:p>
    <w:tbl>
      <w:tblPr>
        <w:tblStyle w:val="TableGrid"/>
        <w:tblW w:w="0" w:type="auto"/>
        <w:tblLook w:val="04A0" w:firstRow="1" w:lastRow="0" w:firstColumn="1" w:lastColumn="0" w:noHBand="0" w:noVBand="1"/>
      </w:tblPr>
      <w:tblGrid>
        <w:gridCol w:w="864"/>
        <w:gridCol w:w="2579"/>
        <w:gridCol w:w="1414"/>
        <w:gridCol w:w="1444"/>
        <w:gridCol w:w="1353"/>
        <w:gridCol w:w="1407"/>
      </w:tblGrid>
      <w:tr w:rsidR="006761D2" w:rsidRPr="008C3D0E" w14:paraId="53690E7C" w14:textId="77777777" w:rsidTr="00944F46">
        <w:tc>
          <w:tcPr>
            <w:tcW w:w="864" w:type="dxa"/>
            <w:vMerge w:val="restart"/>
            <w:vAlign w:val="center"/>
          </w:tcPr>
          <w:p w14:paraId="2CB0890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79" w:type="dxa"/>
            <w:vMerge w:val="restart"/>
            <w:vAlign w:val="center"/>
          </w:tcPr>
          <w:p w14:paraId="0B8579D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Activity Rate (tonnes/year)</w:t>
            </w:r>
          </w:p>
        </w:tc>
        <w:tc>
          <w:tcPr>
            <w:tcW w:w="2858" w:type="dxa"/>
            <w:gridSpan w:val="2"/>
            <w:vAlign w:val="center"/>
          </w:tcPr>
          <w:p w14:paraId="1AA095C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b/>
                <w:sz w:val="16"/>
                <w:szCs w:val="18"/>
              </w:rPr>
              <w:t>µg TEQ/tonne)</w:t>
            </w:r>
          </w:p>
        </w:tc>
        <w:tc>
          <w:tcPr>
            <w:tcW w:w="2760" w:type="dxa"/>
            <w:gridSpan w:val="2"/>
            <w:vAlign w:val="center"/>
          </w:tcPr>
          <w:p w14:paraId="1D9E0D18"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8C3D0E" w14:paraId="09FBF1E9" w14:textId="77777777" w:rsidTr="00E95BD6">
        <w:tc>
          <w:tcPr>
            <w:tcW w:w="864" w:type="dxa"/>
            <w:vMerge/>
          </w:tcPr>
          <w:p w14:paraId="005D90CE" w14:textId="77777777" w:rsidR="006761D2" w:rsidRPr="003D73C3" w:rsidRDefault="006761D2" w:rsidP="009F7DB8">
            <w:pPr>
              <w:spacing w:before="120"/>
              <w:jc w:val="both"/>
              <w:rPr>
                <w:rFonts w:ascii="Arial" w:hAnsi="Arial" w:cs="Arial"/>
                <w:sz w:val="16"/>
                <w:szCs w:val="18"/>
              </w:rPr>
            </w:pPr>
          </w:p>
        </w:tc>
        <w:tc>
          <w:tcPr>
            <w:tcW w:w="2579" w:type="dxa"/>
            <w:vMerge/>
            <w:vAlign w:val="center"/>
          </w:tcPr>
          <w:p w14:paraId="2088D593" w14:textId="77777777" w:rsidR="006761D2" w:rsidRPr="003D73C3" w:rsidRDefault="006761D2" w:rsidP="009F7DB8">
            <w:pPr>
              <w:spacing w:before="120"/>
              <w:jc w:val="center"/>
              <w:rPr>
                <w:rFonts w:ascii="Arial" w:hAnsi="Arial" w:cs="Arial"/>
                <w:sz w:val="16"/>
                <w:szCs w:val="18"/>
              </w:rPr>
            </w:pPr>
          </w:p>
        </w:tc>
        <w:tc>
          <w:tcPr>
            <w:tcW w:w="1414" w:type="dxa"/>
            <w:vAlign w:val="center"/>
          </w:tcPr>
          <w:p w14:paraId="3C763EB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44" w:type="dxa"/>
            <w:vAlign w:val="center"/>
          </w:tcPr>
          <w:p w14:paraId="1F510AA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Products</w:t>
            </w:r>
          </w:p>
        </w:tc>
        <w:tc>
          <w:tcPr>
            <w:tcW w:w="1353" w:type="dxa"/>
            <w:vAlign w:val="center"/>
          </w:tcPr>
          <w:p w14:paraId="0312CBD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07" w:type="dxa"/>
            <w:vAlign w:val="center"/>
          </w:tcPr>
          <w:p w14:paraId="0323A84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Products</w:t>
            </w:r>
          </w:p>
        </w:tc>
      </w:tr>
      <w:tr w:rsidR="000A08A0" w:rsidRPr="008C3D0E" w14:paraId="523A281B" w14:textId="77777777" w:rsidTr="00E95BD6">
        <w:tc>
          <w:tcPr>
            <w:tcW w:w="864" w:type="dxa"/>
            <w:vMerge w:val="restart"/>
            <w:vAlign w:val="center"/>
          </w:tcPr>
          <w:p w14:paraId="46914A6D" w14:textId="4E95E321" w:rsidR="000A08A0" w:rsidRPr="003D73C3" w:rsidRDefault="000A08A0" w:rsidP="009F7DB8">
            <w:pPr>
              <w:spacing w:before="120"/>
              <w:rPr>
                <w:rFonts w:ascii="Arial" w:hAnsi="Arial" w:cs="Arial"/>
                <w:b/>
                <w:sz w:val="16"/>
                <w:szCs w:val="18"/>
              </w:rPr>
            </w:pPr>
            <w:r w:rsidRPr="003D73C3">
              <w:rPr>
                <w:rFonts w:ascii="Arial" w:hAnsi="Arial" w:cs="Arial"/>
                <w:b/>
                <w:sz w:val="16"/>
                <w:szCs w:val="18"/>
              </w:rPr>
              <w:t>2012</w:t>
            </w:r>
          </w:p>
        </w:tc>
        <w:tc>
          <w:tcPr>
            <w:tcW w:w="2579" w:type="dxa"/>
            <w:vMerge w:val="restart"/>
            <w:vAlign w:val="center"/>
          </w:tcPr>
          <w:p w14:paraId="4EE1151C" w14:textId="4F2DE3A0"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44,546</w:t>
            </w:r>
          </w:p>
        </w:tc>
        <w:tc>
          <w:tcPr>
            <w:tcW w:w="1414" w:type="dxa"/>
            <w:vAlign w:val="center"/>
          </w:tcPr>
          <w:p w14:paraId="2BF3A106" w14:textId="2E825049"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0.02</w:t>
            </w:r>
          </w:p>
        </w:tc>
        <w:tc>
          <w:tcPr>
            <w:tcW w:w="1444" w:type="dxa"/>
            <w:vAlign w:val="center"/>
          </w:tcPr>
          <w:p w14:paraId="3C753274" w14:textId="584ECE38"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w:t>
            </w:r>
          </w:p>
        </w:tc>
        <w:tc>
          <w:tcPr>
            <w:tcW w:w="1353" w:type="dxa"/>
            <w:vAlign w:val="center"/>
          </w:tcPr>
          <w:p w14:paraId="771D6CB8" w14:textId="624A220B"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0.00089</w:t>
            </w:r>
          </w:p>
        </w:tc>
        <w:tc>
          <w:tcPr>
            <w:tcW w:w="1407" w:type="dxa"/>
            <w:vAlign w:val="center"/>
          </w:tcPr>
          <w:p w14:paraId="3EE0D437" w14:textId="5108E8D2"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w:t>
            </w:r>
          </w:p>
        </w:tc>
      </w:tr>
      <w:tr w:rsidR="000A08A0" w:rsidRPr="008C3D0E" w14:paraId="28550B06" w14:textId="77777777" w:rsidTr="00E95BD6">
        <w:tc>
          <w:tcPr>
            <w:tcW w:w="864" w:type="dxa"/>
            <w:vMerge/>
            <w:vAlign w:val="center"/>
          </w:tcPr>
          <w:p w14:paraId="1C2183C1" w14:textId="77777777" w:rsidR="000A08A0" w:rsidRPr="003D73C3" w:rsidRDefault="000A08A0" w:rsidP="009F7DB8">
            <w:pPr>
              <w:spacing w:before="120"/>
              <w:rPr>
                <w:rFonts w:ascii="Arial" w:hAnsi="Arial" w:cs="Arial"/>
                <w:b/>
                <w:sz w:val="16"/>
                <w:szCs w:val="18"/>
              </w:rPr>
            </w:pPr>
          </w:p>
        </w:tc>
        <w:tc>
          <w:tcPr>
            <w:tcW w:w="2579" w:type="dxa"/>
            <w:vMerge/>
            <w:vAlign w:val="center"/>
          </w:tcPr>
          <w:p w14:paraId="4CC844D3" w14:textId="77777777" w:rsidR="000A08A0" w:rsidRPr="003D73C3" w:rsidRDefault="000A08A0" w:rsidP="009F7DB8">
            <w:pPr>
              <w:spacing w:before="120"/>
              <w:jc w:val="center"/>
              <w:rPr>
                <w:rFonts w:ascii="Arial" w:hAnsi="Arial" w:cs="Arial"/>
                <w:sz w:val="16"/>
                <w:szCs w:val="18"/>
              </w:rPr>
            </w:pPr>
          </w:p>
        </w:tc>
        <w:tc>
          <w:tcPr>
            <w:tcW w:w="1414" w:type="dxa"/>
            <w:vAlign w:val="center"/>
          </w:tcPr>
          <w:p w14:paraId="3A0537F5" w14:textId="5DD89E8C"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w:t>
            </w:r>
          </w:p>
        </w:tc>
        <w:tc>
          <w:tcPr>
            <w:tcW w:w="1444" w:type="dxa"/>
            <w:vAlign w:val="center"/>
          </w:tcPr>
          <w:p w14:paraId="75407BA8" w14:textId="5A474E07"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0.006</w:t>
            </w:r>
          </w:p>
        </w:tc>
        <w:tc>
          <w:tcPr>
            <w:tcW w:w="1353" w:type="dxa"/>
            <w:vAlign w:val="center"/>
          </w:tcPr>
          <w:p w14:paraId="45D4CB13" w14:textId="7C895554"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w:t>
            </w:r>
          </w:p>
        </w:tc>
        <w:tc>
          <w:tcPr>
            <w:tcW w:w="1407" w:type="dxa"/>
            <w:vAlign w:val="center"/>
          </w:tcPr>
          <w:p w14:paraId="0F7F7916" w14:textId="3B9B8235" w:rsidR="000A08A0" w:rsidRPr="003D73C3" w:rsidRDefault="000A08A0" w:rsidP="009F7DB8">
            <w:pPr>
              <w:spacing w:before="120"/>
              <w:jc w:val="center"/>
              <w:rPr>
                <w:rFonts w:ascii="Arial" w:hAnsi="Arial" w:cs="Arial"/>
                <w:sz w:val="16"/>
                <w:szCs w:val="18"/>
              </w:rPr>
            </w:pPr>
            <w:r w:rsidRPr="003D73C3">
              <w:rPr>
                <w:rFonts w:ascii="Arial" w:hAnsi="Arial" w:cs="Arial"/>
                <w:sz w:val="16"/>
                <w:szCs w:val="18"/>
              </w:rPr>
              <w:t>0.00027</w:t>
            </w:r>
          </w:p>
        </w:tc>
      </w:tr>
      <w:tr w:rsidR="006761D2" w:rsidRPr="008C3D0E" w14:paraId="15C7951B" w14:textId="77777777" w:rsidTr="00E95BD6">
        <w:tc>
          <w:tcPr>
            <w:tcW w:w="864" w:type="dxa"/>
            <w:vMerge w:val="restart"/>
            <w:vAlign w:val="center"/>
          </w:tcPr>
          <w:p w14:paraId="6194AA56" w14:textId="57DF0D7C" w:rsidR="006761D2" w:rsidRPr="003D73C3" w:rsidRDefault="000A08A0" w:rsidP="009F7DB8">
            <w:pPr>
              <w:spacing w:before="120"/>
              <w:rPr>
                <w:rFonts w:ascii="Arial" w:hAnsi="Arial" w:cs="Arial"/>
                <w:b/>
                <w:sz w:val="16"/>
                <w:szCs w:val="18"/>
              </w:rPr>
            </w:pPr>
            <w:r w:rsidRPr="003D73C3">
              <w:rPr>
                <w:rFonts w:ascii="Arial" w:hAnsi="Arial" w:cs="Arial"/>
                <w:b/>
                <w:sz w:val="16"/>
                <w:szCs w:val="18"/>
              </w:rPr>
              <w:t>2016</w:t>
            </w:r>
          </w:p>
        </w:tc>
        <w:tc>
          <w:tcPr>
            <w:tcW w:w="2579" w:type="dxa"/>
            <w:vMerge w:val="restart"/>
            <w:vAlign w:val="center"/>
          </w:tcPr>
          <w:p w14:paraId="1F57982F" w14:textId="23152CE8" w:rsidR="006761D2" w:rsidRPr="003D73C3" w:rsidRDefault="00DE2EBD" w:rsidP="009F7DB8">
            <w:pPr>
              <w:spacing w:before="120"/>
              <w:jc w:val="center"/>
              <w:rPr>
                <w:rFonts w:ascii="Arial" w:hAnsi="Arial" w:cs="Arial"/>
                <w:sz w:val="16"/>
                <w:szCs w:val="18"/>
              </w:rPr>
            </w:pPr>
            <w:r w:rsidRPr="003D73C3">
              <w:rPr>
                <w:rFonts w:ascii="Arial" w:hAnsi="Arial" w:cs="Arial"/>
                <w:sz w:val="16"/>
                <w:szCs w:val="18"/>
              </w:rPr>
              <w:t>10,000</w:t>
            </w:r>
          </w:p>
        </w:tc>
        <w:tc>
          <w:tcPr>
            <w:tcW w:w="1414" w:type="dxa"/>
            <w:vAlign w:val="center"/>
          </w:tcPr>
          <w:p w14:paraId="7E760EF9" w14:textId="6B2F425F" w:rsidR="006761D2" w:rsidRPr="003D73C3" w:rsidRDefault="00563617" w:rsidP="009F7DB8">
            <w:pPr>
              <w:spacing w:before="120"/>
              <w:jc w:val="center"/>
              <w:rPr>
                <w:rFonts w:ascii="Arial" w:hAnsi="Arial" w:cs="Arial"/>
                <w:sz w:val="16"/>
                <w:szCs w:val="18"/>
              </w:rPr>
            </w:pPr>
            <w:r w:rsidRPr="003D73C3">
              <w:rPr>
                <w:rFonts w:ascii="Arial" w:hAnsi="Arial" w:cs="Arial"/>
                <w:sz w:val="16"/>
                <w:szCs w:val="18"/>
              </w:rPr>
              <w:t>0.02</w:t>
            </w:r>
          </w:p>
        </w:tc>
        <w:tc>
          <w:tcPr>
            <w:tcW w:w="1444" w:type="dxa"/>
            <w:vAlign w:val="center"/>
          </w:tcPr>
          <w:p w14:paraId="122966BD" w14:textId="0F122389" w:rsidR="006761D2" w:rsidRPr="003D73C3" w:rsidRDefault="006761D2" w:rsidP="009F7DB8">
            <w:pPr>
              <w:spacing w:before="120"/>
              <w:jc w:val="center"/>
              <w:rPr>
                <w:rFonts w:ascii="Arial" w:hAnsi="Arial" w:cs="Arial"/>
                <w:sz w:val="16"/>
                <w:szCs w:val="18"/>
              </w:rPr>
            </w:pPr>
          </w:p>
        </w:tc>
        <w:tc>
          <w:tcPr>
            <w:tcW w:w="1353" w:type="dxa"/>
            <w:vAlign w:val="center"/>
          </w:tcPr>
          <w:p w14:paraId="595712F0" w14:textId="45E9FD56" w:rsidR="006761D2" w:rsidRPr="003D73C3" w:rsidRDefault="00DE2EBD" w:rsidP="009F7DB8">
            <w:pPr>
              <w:spacing w:before="120"/>
              <w:jc w:val="center"/>
              <w:rPr>
                <w:rFonts w:ascii="Arial" w:hAnsi="Arial" w:cs="Arial"/>
                <w:sz w:val="16"/>
                <w:szCs w:val="18"/>
              </w:rPr>
            </w:pPr>
            <w:r w:rsidRPr="003D73C3">
              <w:rPr>
                <w:rFonts w:ascii="Arial" w:hAnsi="Arial" w:cs="Arial"/>
                <w:sz w:val="16"/>
                <w:szCs w:val="18"/>
              </w:rPr>
              <w:t>0.00020</w:t>
            </w:r>
          </w:p>
        </w:tc>
        <w:tc>
          <w:tcPr>
            <w:tcW w:w="1407" w:type="dxa"/>
            <w:vAlign w:val="center"/>
          </w:tcPr>
          <w:p w14:paraId="7C7E5674" w14:textId="3CA8996B" w:rsidR="006761D2" w:rsidRPr="003D73C3" w:rsidRDefault="006761D2" w:rsidP="009F7DB8">
            <w:pPr>
              <w:spacing w:before="120"/>
              <w:jc w:val="center"/>
              <w:rPr>
                <w:rFonts w:ascii="Arial" w:hAnsi="Arial" w:cs="Arial"/>
                <w:sz w:val="16"/>
                <w:szCs w:val="18"/>
              </w:rPr>
            </w:pPr>
          </w:p>
        </w:tc>
      </w:tr>
      <w:tr w:rsidR="006761D2" w:rsidRPr="008C3D0E" w14:paraId="0368B688" w14:textId="77777777" w:rsidTr="00E95BD6">
        <w:tc>
          <w:tcPr>
            <w:tcW w:w="864" w:type="dxa"/>
            <w:vMerge/>
            <w:vAlign w:val="center"/>
          </w:tcPr>
          <w:p w14:paraId="24AFF51E" w14:textId="77777777" w:rsidR="006761D2" w:rsidRPr="003D73C3" w:rsidRDefault="006761D2" w:rsidP="009F7DB8">
            <w:pPr>
              <w:spacing w:before="120"/>
              <w:rPr>
                <w:rFonts w:ascii="Arial" w:hAnsi="Arial" w:cs="Arial"/>
                <w:b/>
                <w:sz w:val="16"/>
                <w:szCs w:val="18"/>
              </w:rPr>
            </w:pPr>
          </w:p>
        </w:tc>
        <w:tc>
          <w:tcPr>
            <w:tcW w:w="2579" w:type="dxa"/>
            <w:vMerge/>
            <w:vAlign w:val="center"/>
          </w:tcPr>
          <w:p w14:paraId="0D5B3E3E" w14:textId="77777777" w:rsidR="006761D2" w:rsidRPr="003D73C3" w:rsidRDefault="006761D2" w:rsidP="009F7DB8">
            <w:pPr>
              <w:spacing w:before="120"/>
              <w:jc w:val="center"/>
              <w:rPr>
                <w:rFonts w:ascii="Arial" w:hAnsi="Arial" w:cs="Arial"/>
                <w:sz w:val="16"/>
                <w:szCs w:val="18"/>
              </w:rPr>
            </w:pPr>
          </w:p>
        </w:tc>
        <w:tc>
          <w:tcPr>
            <w:tcW w:w="1414" w:type="dxa"/>
            <w:vAlign w:val="center"/>
          </w:tcPr>
          <w:p w14:paraId="006F88CC" w14:textId="2B127B29" w:rsidR="006761D2" w:rsidRPr="003D73C3" w:rsidRDefault="006761D2" w:rsidP="009F7DB8">
            <w:pPr>
              <w:spacing w:before="120"/>
              <w:jc w:val="center"/>
              <w:rPr>
                <w:rFonts w:ascii="Arial" w:hAnsi="Arial" w:cs="Arial"/>
                <w:sz w:val="16"/>
                <w:szCs w:val="18"/>
              </w:rPr>
            </w:pPr>
          </w:p>
        </w:tc>
        <w:tc>
          <w:tcPr>
            <w:tcW w:w="1444" w:type="dxa"/>
            <w:vAlign w:val="center"/>
          </w:tcPr>
          <w:p w14:paraId="51DFBD65" w14:textId="7926EFBD" w:rsidR="006761D2" w:rsidRPr="003D73C3" w:rsidRDefault="00563617" w:rsidP="009F7DB8">
            <w:pPr>
              <w:spacing w:before="120"/>
              <w:jc w:val="center"/>
              <w:rPr>
                <w:rFonts w:ascii="Arial" w:hAnsi="Arial" w:cs="Arial"/>
                <w:sz w:val="16"/>
                <w:szCs w:val="18"/>
              </w:rPr>
            </w:pPr>
            <w:r w:rsidRPr="003D73C3">
              <w:rPr>
                <w:rFonts w:ascii="Arial" w:hAnsi="Arial" w:cs="Arial"/>
                <w:sz w:val="16"/>
                <w:szCs w:val="18"/>
              </w:rPr>
              <w:t>0.006</w:t>
            </w:r>
          </w:p>
        </w:tc>
        <w:tc>
          <w:tcPr>
            <w:tcW w:w="1353" w:type="dxa"/>
            <w:vAlign w:val="center"/>
          </w:tcPr>
          <w:p w14:paraId="0F71A9E1" w14:textId="65C82B8E" w:rsidR="006761D2" w:rsidRPr="003D73C3" w:rsidRDefault="006761D2" w:rsidP="009F7DB8">
            <w:pPr>
              <w:spacing w:before="120"/>
              <w:jc w:val="center"/>
              <w:rPr>
                <w:rFonts w:ascii="Arial" w:hAnsi="Arial" w:cs="Arial"/>
                <w:sz w:val="16"/>
                <w:szCs w:val="18"/>
              </w:rPr>
            </w:pPr>
          </w:p>
        </w:tc>
        <w:tc>
          <w:tcPr>
            <w:tcW w:w="1407" w:type="dxa"/>
            <w:vAlign w:val="center"/>
          </w:tcPr>
          <w:p w14:paraId="168EE80B" w14:textId="4B3BD734" w:rsidR="006761D2" w:rsidRPr="003D73C3" w:rsidRDefault="00DE2EBD" w:rsidP="009F7DB8">
            <w:pPr>
              <w:spacing w:before="120"/>
              <w:jc w:val="center"/>
              <w:rPr>
                <w:rFonts w:ascii="Arial" w:hAnsi="Arial" w:cs="Arial"/>
                <w:sz w:val="16"/>
                <w:szCs w:val="18"/>
              </w:rPr>
            </w:pPr>
            <w:r w:rsidRPr="003D73C3">
              <w:rPr>
                <w:rFonts w:ascii="Arial" w:hAnsi="Arial" w:cs="Arial"/>
                <w:sz w:val="16"/>
                <w:szCs w:val="18"/>
              </w:rPr>
              <w:t>0.00006</w:t>
            </w:r>
          </w:p>
        </w:tc>
      </w:tr>
      <w:tr w:rsidR="008C3D0E" w:rsidRPr="008C3D0E" w14:paraId="21FAA341" w14:textId="77777777" w:rsidTr="00E95BD6">
        <w:tc>
          <w:tcPr>
            <w:tcW w:w="864" w:type="dxa"/>
            <w:vMerge w:val="restart"/>
            <w:vAlign w:val="center"/>
          </w:tcPr>
          <w:p w14:paraId="5E2E5E47" w14:textId="39B0BA8E" w:rsidR="008C3D0E" w:rsidRPr="003D73C3" w:rsidRDefault="008C3D0E" w:rsidP="009F7DB8">
            <w:pPr>
              <w:spacing w:before="120"/>
              <w:rPr>
                <w:rFonts w:ascii="Arial" w:hAnsi="Arial" w:cs="Arial"/>
                <w:b/>
                <w:sz w:val="16"/>
                <w:szCs w:val="18"/>
              </w:rPr>
            </w:pPr>
            <w:r w:rsidRPr="003D73C3">
              <w:rPr>
                <w:rFonts w:ascii="Arial" w:hAnsi="Arial" w:cs="Arial"/>
                <w:b/>
                <w:sz w:val="16"/>
                <w:szCs w:val="18"/>
              </w:rPr>
              <w:t>2020</w:t>
            </w:r>
          </w:p>
        </w:tc>
        <w:tc>
          <w:tcPr>
            <w:tcW w:w="2579" w:type="dxa"/>
            <w:vMerge w:val="restart"/>
            <w:vAlign w:val="center"/>
          </w:tcPr>
          <w:p w14:paraId="33E3BF82" w14:textId="5617E542" w:rsidR="008C3D0E" w:rsidRPr="003D73C3" w:rsidRDefault="008C3D0E" w:rsidP="009F7DB8">
            <w:pPr>
              <w:spacing w:before="120"/>
              <w:jc w:val="center"/>
              <w:rPr>
                <w:rFonts w:ascii="Arial" w:hAnsi="Arial" w:cs="Arial"/>
                <w:sz w:val="16"/>
                <w:szCs w:val="18"/>
              </w:rPr>
            </w:pPr>
            <w:r w:rsidRPr="003D73C3">
              <w:rPr>
                <w:rFonts w:ascii="Arial" w:hAnsi="Arial" w:cs="Arial"/>
                <w:sz w:val="16"/>
                <w:szCs w:val="18"/>
              </w:rPr>
              <w:t>11,000</w:t>
            </w:r>
          </w:p>
        </w:tc>
        <w:tc>
          <w:tcPr>
            <w:tcW w:w="1414" w:type="dxa"/>
            <w:vAlign w:val="center"/>
          </w:tcPr>
          <w:p w14:paraId="43369F6A" w14:textId="5DB92FF5" w:rsidR="008C3D0E" w:rsidRPr="003D73C3" w:rsidRDefault="008C3D0E" w:rsidP="009F7DB8">
            <w:pPr>
              <w:spacing w:before="120"/>
              <w:jc w:val="center"/>
              <w:rPr>
                <w:rFonts w:ascii="Arial" w:hAnsi="Arial" w:cs="Arial"/>
                <w:sz w:val="16"/>
                <w:szCs w:val="18"/>
              </w:rPr>
            </w:pPr>
            <w:r w:rsidRPr="003D73C3">
              <w:rPr>
                <w:rFonts w:ascii="Arial" w:hAnsi="Arial" w:cs="Arial"/>
                <w:sz w:val="16"/>
                <w:szCs w:val="18"/>
              </w:rPr>
              <w:t>0.02</w:t>
            </w:r>
          </w:p>
        </w:tc>
        <w:tc>
          <w:tcPr>
            <w:tcW w:w="1444" w:type="dxa"/>
            <w:vAlign w:val="center"/>
          </w:tcPr>
          <w:p w14:paraId="218E8066" w14:textId="77777777" w:rsidR="008C3D0E" w:rsidRPr="003D73C3" w:rsidRDefault="008C3D0E" w:rsidP="009F7DB8">
            <w:pPr>
              <w:spacing w:before="120"/>
              <w:jc w:val="center"/>
              <w:rPr>
                <w:rFonts w:ascii="Arial" w:hAnsi="Arial" w:cs="Arial"/>
                <w:sz w:val="16"/>
                <w:szCs w:val="18"/>
              </w:rPr>
            </w:pPr>
          </w:p>
        </w:tc>
        <w:tc>
          <w:tcPr>
            <w:tcW w:w="1353" w:type="dxa"/>
            <w:vAlign w:val="center"/>
          </w:tcPr>
          <w:p w14:paraId="72E08931" w14:textId="6A5D99A3" w:rsidR="008C3D0E" w:rsidRPr="003D73C3" w:rsidRDefault="008C3D0E" w:rsidP="009F7DB8">
            <w:pPr>
              <w:spacing w:before="120"/>
              <w:jc w:val="center"/>
              <w:rPr>
                <w:rFonts w:ascii="Arial" w:hAnsi="Arial" w:cs="Arial"/>
                <w:sz w:val="16"/>
                <w:szCs w:val="18"/>
              </w:rPr>
            </w:pPr>
            <w:r w:rsidRPr="003D73C3">
              <w:rPr>
                <w:rFonts w:ascii="Arial" w:hAnsi="Arial" w:cs="Arial"/>
                <w:sz w:val="16"/>
                <w:szCs w:val="18"/>
              </w:rPr>
              <w:t>0.00022</w:t>
            </w:r>
          </w:p>
        </w:tc>
        <w:tc>
          <w:tcPr>
            <w:tcW w:w="1407" w:type="dxa"/>
            <w:vAlign w:val="center"/>
          </w:tcPr>
          <w:p w14:paraId="2AFC0939" w14:textId="77777777" w:rsidR="008C3D0E" w:rsidRPr="003D73C3" w:rsidRDefault="008C3D0E" w:rsidP="009F7DB8">
            <w:pPr>
              <w:spacing w:before="120"/>
              <w:jc w:val="center"/>
              <w:rPr>
                <w:rFonts w:ascii="Arial" w:hAnsi="Arial" w:cs="Arial"/>
                <w:sz w:val="16"/>
                <w:szCs w:val="18"/>
              </w:rPr>
            </w:pPr>
          </w:p>
        </w:tc>
      </w:tr>
      <w:tr w:rsidR="008C3D0E" w:rsidRPr="008C3D0E" w14:paraId="1E377075" w14:textId="77777777" w:rsidTr="00E95BD6">
        <w:tc>
          <w:tcPr>
            <w:tcW w:w="864" w:type="dxa"/>
            <w:vMerge/>
            <w:vAlign w:val="center"/>
          </w:tcPr>
          <w:p w14:paraId="7BDC6F1E" w14:textId="77777777" w:rsidR="008C3D0E" w:rsidRPr="003D73C3" w:rsidRDefault="008C3D0E" w:rsidP="009F7DB8">
            <w:pPr>
              <w:spacing w:before="120"/>
              <w:rPr>
                <w:rFonts w:ascii="Arial" w:hAnsi="Arial" w:cs="Arial"/>
                <w:b/>
                <w:sz w:val="16"/>
                <w:szCs w:val="18"/>
              </w:rPr>
            </w:pPr>
          </w:p>
        </w:tc>
        <w:tc>
          <w:tcPr>
            <w:tcW w:w="2579" w:type="dxa"/>
            <w:vMerge/>
            <w:vAlign w:val="center"/>
          </w:tcPr>
          <w:p w14:paraId="529FD369" w14:textId="77777777" w:rsidR="008C3D0E" w:rsidRPr="003D73C3" w:rsidRDefault="008C3D0E" w:rsidP="009F7DB8">
            <w:pPr>
              <w:spacing w:before="120"/>
              <w:jc w:val="center"/>
              <w:rPr>
                <w:rFonts w:ascii="Arial" w:hAnsi="Arial" w:cs="Arial"/>
                <w:sz w:val="16"/>
                <w:szCs w:val="18"/>
              </w:rPr>
            </w:pPr>
          </w:p>
        </w:tc>
        <w:tc>
          <w:tcPr>
            <w:tcW w:w="1414" w:type="dxa"/>
            <w:vAlign w:val="center"/>
          </w:tcPr>
          <w:p w14:paraId="587E4EF7" w14:textId="77777777" w:rsidR="008C3D0E" w:rsidRPr="003D73C3" w:rsidRDefault="008C3D0E" w:rsidP="009F7DB8">
            <w:pPr>
              <w:spacing w:before="120"/>
              <w:jc w:val="center"/>
              <w:rPr>
                <w:rFonts w:ascii="Arial" w:hAnsi="Arial" w:cs="Arial"/>
                <w:sz w:val="16"/>
                <w:szCs w:val="18"/>
              </w:rPr>
            </w:pPr>
          </w:p>
        </w:tc>
        <w:tc>
          <w:tcPr>
            <w:tcW w:w="1444" w:type="dxa"/>
            <w:vAlign w:val="center"/>
          </w:tcPr>
          <w:p w14:paraId="00A8422F" w14:textId="15217A4A" w:rsidR="008C3D0E" w:rsidRPr="003D73C3" w:rsidRDefault="008C3D0E" w:rsidP="009F7DB8">
            <w:pPr>
              <w:spacing w:before="120"/>
              <w:jc w:val="center"/>
              <w:rPr>
                <w:rFonts w:ascii="Arial" w:hAnsi="Arial" w:cs="Arial"/>
                <w:sz w:val="16"/>
                <w:szCs w:val="18"/>
              </w:rPr>
            </w:pPr>
            <w:r w:rsidRPr="003D73C3">
              <w:rPr>
                <w:rFonts w:ascii="Arial" w:hAnsi="Arial" w:cs="Arial"/>
                <w:sz w:val="16"/>
                <w:szCs w:val="18"/>
              </w:rPr>
              <w:t>0.006</w:t>
            </w:r>
          </w:p>
        </w:tc>
        <w:tc>
          <w:tcPr>
            <w:tcW w:w="1353" w:type="dxa"/>
            <w:vAlign w:val="center"/>
          </w:tcPr>
          <w:p w14:paraId="51FFC07E" w14:textId="77777777" w:rsidR="008C3D0E" w:rsidRPr="003D73C3" w:rsidRDefault="008C3D0E" w:rsidP="009F7DB8">
            <w:pPr>
              <w:spacing w:before="120"/>
              <w:jc w:val="center"/>
              <w:rPr>
                <w:rFonts w:ascii="Arial" w:hAnsi="Arial" w:cs="Arial"/>
                <w:sz w:val="16"/>
                <w:szCs w:val="18"/>
              </w:rPr>
            </w:pPr>
          </w:p>
        </w:tc>
        <w:tc>
          <w:tcPr>
            <w:tcW w:w="1407" w:type="dxa"/>
            <w:vAlign w:val="center"/>
          </w:tcPr>
          <w:p w14:paraId="5B887D30" w14:textId="5F892F28" w:rsidR="008C3D0E" w:rsidRPr="003D73C3" w:rsidRDefault="008C3D0E" w:rsidP="009F7DB8">
            <w:pPr>
              <w:spacing w:before="120"/>
              <w:jc w:val="center"/>
              <w:rPr>
                <w:rFonts w:ascii="Arial" w:hAnsi="Arial" w:cs="Arial"/>
                <w:sz w:val="16"/>
                <w:szCs w:val="18"/>
              </w:rPr>
            </w:pPr>
            <w:r w:rsidRPr="003D73C3">
              <w:rPr>
                <w:rFonts w:ascii="Arial" w:hAnsi="Arial" w:cs="Arial"/>
                <w:sz w:val="16"/>
                <w:szCs w:val="18"/>
              </w:rPr>
              <w:t>0.000066</w:t>
            </w:r>
          </w:p>
        </w:tc>
      </w:tr>
    </w:tbl>
    <w:p w14:paraId="632F2C49" w14:textId="05E18ADF"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8C3D0E">
        <w:rPr>
          <w:rFonts w:ascii="Arial" w:hAnsi="Arial" w:cs="Arial"/>
          <w:b/>
          <w:szCs w:val="18"/>
        </w:rPr>
        <w:t>2020</w:t>
      </w:r>
    </w:p>
    <w:p w14:paraId="23C2E528"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High (because it is based on industry production data)</w:t>
      </w:r>
    </w:p>
    <w:p w14:paraId="06DDF3F2"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w:t>
      </w:r>
    </w:p>
    <w:p w14:paraId="6DE10876" w14:textId="77777777" w:rsidR="006761D2" w:rsidRPr="003D73C3" w:rsidRDefault="006761D2" w:rsidP="00261F78">
      <w:pPr>
        <w:pStyle w:val="Heading2"/>
      </w:pPr>
      <w:bookmarkStart w:id="233" w:name="_Toc112768107"/>
      <w:r w:rsidRPr="003D73C3">
        <w:t>Glass production</w:t>
      </w:r>
      <w:bookmarkEnd w:id="233"/>
    </w:p>
    <w:p w14:paraId="631FA6C9" w14:textId="77AC2117" w:rsidR="006761D2" w:rsidRPr="003D73C3" w:rsidRDefault="24854215" w:rsidP="006761D2">
      <w:pPr>
        <w:spacing w:line="300" w:lineRule="atLeast"/>
        <w:jc w:val="both"/>
      </w:pPr>
      <w:r>
        <w:t xml:space="preserve">There </w:t>
      </w:r>
      <w:r w:rsidR="6B2D99D2">
        <w:t xml:space="preserve">are </w:t>
      </w:r>
      <w:r w:rsidR="30D0A725">
        <w:t>two</w:t>
      </w:r>
      <w:r>
        <w:t xml:space="preserve"> industrial glass manufacturers in New Zealand</w:t>
      </w:r>
      <w:r w:rsidR="3A6EE49E">
        <w:t xml:space="preserve"> both</w:t>
      </w:r>
      <w:r>
        <w:t xml:space="preserve"> based in Auckland</w:t>
      </w:r>
      <w:r w:rsidR="0A9D7E32">
        <w:t xml:space="preserve">. </w:t>
      </w:r>
      <w:r w:rsidR="37496FA2">
        <w:t xml:space="preserve">Visy (formerly </w:t>
      </w:r>
      <w:r w:rsidR="0A9D7E32">
        <w:t>O-I Glass Ltd</w:t>
      </w:r>
      <w:r w:rsidR="37496FA2">
        <w:t>)</w:t>
      </w:r>
      <w:r>
        <w:t xml:space="preserve"> produces glass bottles and jars, while </w:t>
      </w:r>
      <w:r w:rsidR="0A9D7E32">
        <w:t>Tasman Insulation</w:t>
      </w:r>
      <w:r>
        <w:t>, produce</w:t>
      </w:r>
      <w:r w:rsidR="30D0A725">
        <w:t>s</w:t>
      </w:r>
      <w:r>
        <w:t xml:space="preserve"> fibreglass insulation. The </w:t>
      </w:r>
      <w:r w:rsidR="30D0A725">
        <w:t>latter process uses recycled window glass as its feedstock and an electric melter (M Burgess</w:t>
      </w:r>
      <w:r w:rsidR="0A9D7E32">
        <w:t xml:space="preserve">, Fletcher Building, pers comm, 2018) </w:t>
      </w:r>
      <w:r w:rsidR="30D0A725">
        <w:t xml:space="preserve">so its production </w:t>
      </w:r>
      <w:r w:rsidR="553EF86E">
        <w:t>does not contribute</w:t>
      </w:r>
      <w:r w:rsidR="30D0A725">
        <w:t xml:space="preserve"> to the sector’s activity</w:t>
      </w:r>
      <w:r w:rsidR="0A9D7E32">
        <w:t xml:space="preserve">. </w:t>
      </w:r>
      <w:r w:rsidR="37496FA2">
        <w:t>It has not been possible to obtain 2020 p</w:t>
      </w:r>
      <w:r>
        <w:t xml:space="preserve">roduction </w:t>
      </w:r>
      <w:r w:rsidR="37496FA2">
        <w:t xml:space="preserve">quantities from Visy, so the amount used </w:t>
      </w:r>
      <w:r>
        <w:t>for</w:t>
      </w:r>
      <w:r w:rsidR="37496FA2">
        <w:t xml:space="preserve"> the</w:t>
      </w:r>
      <w:r>
        <w:t xml:space="preserve"> 201</w:t>
      </w:r>
      <w:r w:rsidR="0A9D7E32">
        <w:t>6</w:t>
      </w:r>
      <w:r>
        <w:t xml:space="preserve"> </w:t>
      </w:r>
      <w:r w:rsidR="37496FA2">
        <w:t>Inventory (</w:t>
      </w:r>
      <w:r>
        <w:t>2</w:t>
      </w:r>
      <w:r w:rsidR="0A9D7E32">
        <w:t>09</w:t>
      </w:r>
      <w:r>
        <w:t>,</w:t>
      </w:r>
      <w:r w:rsidR="0A9D7E32">
        <w:t>077</w:t>
      </w:r>
      <w:r>
        <w:t xml:space="preserve"> tonnes per year of glass product</w:t>
      </w:r>
      <w:r w:rsidR="71EA5D26">
        <w:t>) has been used as an estimate.</w:t>
      </w:r>
    </w:p>
    <w:p w14:paraId="68515CF3" w14:textId="1B8DEC4A" w:rsidR="006761D2" w:rsidRPr="003D73C3" w:rsidRDefault="006761D2" w:rsidP="00E27321">
      <w:pPr>
        <w:spacing w:line="300" w:lineRule="atLeast"/>
        <w:jc w:val="both"/>
        <w:rPr>
          <w:rFonts w:ascii="Arial" w:hAnsi="Arial" w:cs="Arial"/>
          <w:b/>
          <w:bCs/>
        </w:rPr>
      </w:pPr>
      <w:r w:rsidRPr="003D73C3">
        <w:rPr>
          <w:szCs w:val="18"/>
          <w:lang w:val="en-US"/>
        </w:rPr>
        <w:t>The emission estimate</w:t>
      </w:r>
      <w:r w:rsidR="003D3511">
        <w:rPr>
          <w:szCs w:val="18"/>
          <w:lang w:val="en-US"/>
        </w:rPr>
        <w:t xml:space="preserve">s for the </w:t>
      </w:r>
      <w:r w:rsidR="00003896" w:rsidRPr="003D73C3">
        <w:rPr>
          <w:szCs w:val="18"/>
          <w:lang w:val="en-US"/>
        </w:rPr>
        <w:t>2012</w:t>
      </w:r>
      <w:r w:rsidR="003D3511">
        <w:rPr>
          <w:szCs w:val="18"/>
          <w:lang w:val="en-US"/>
        </w:rPr>
        <w:t xml:space="preserve"> and 2016 Inventories were</w:t>
      </w:r>
      <w:r w:rsidR="00003896" w:rsidRPr="003D73C3">
        <w:rPr>
          <w:szCs w:val="18"/>
          <w:lang w:val="en-US"/>
        </w:rPr>
        <w:t xml:space="preserve"> </w:t>
      </w:r>
      <w:r w:rsidRPr="003D73C3">
        <w:rPr>
          <w:szCs w:val="18"/>
          <w:lang w:val="en-US"/>
        </w:rPr>
        <w:t>based on the UNEP Toolkit default factor of 0.</w:t>
      </w:r>
      <w:r w:rsidR="00003896" w:rsidRPr="003D73C3">
        <w:rPr>
          <w:szCs w:val="18"/>
          <w:lang w:val="en-US"/>
        </w:rPr>
        <w:t>0</w:t>
      </w:r>
      <w:r w:rsidRPr="003D73C3">
        <w:rPr>
          <w:szCs w:val="18"/>
          <w:lang w:val="en-US"/>
        </w:rPr>
        <w:t>15 µg TEQ per tonne of glass (0.</w:t>
      </w:r>
      <w:r w:rsidR="00003896" w:rsidRPr="003D73C3">
        <w:rPr>
          <w:szCs w:val="18"/>
          <w:lang w:val="en-US"/>
        </w:rPr>
        <w:t>0</w:t>
      </w:r>
      <w:r w:rsidRPr="003D73C3">
        <w:rPr>
          <w:szCs w:val="18"/>
          <w:lang w:val="en-US"/>
        </w:rPr>
        <w:t>15 x 10</w:t>
      </w:r>
      <w:r w:rsidRPr="003D73C3">
        <w:rPr>
          <w:szCs w:val="18"/>
          <w:vertAlign w:val="superscript"/>
          <w:lang w:val="en-US"/>
        </w:rPr>
        <w:t>-6</w:t>
      </w:r>
      <w:r w:rsidRPr="003D73C3">
        <w:rPr>
          <w:szCs w:val="18"/>
          <w:lang w:val="en-US"/>
        </w:rPr>
        <w:t xml:space="preserve"> g TEQ/tonne) for releases to air, and there were no significance releases via any other media. The same approach has been adopted here. </w:t>
      </w:r>
      <w:r w:rsidRPr="003D73C3">
        <w:rPr>
          <w:szCs w:val="18"/>
        </w:rPr>
        <w:t xml:space="preserve">The </w:t>
      </w:r>
      <w:r w:rsidR="00A67093">
        <w:rPr>
          <w:szCs w:val="18"/>
        </w:rPr>
        <w:t>2020</w:t>
      </w:r>
      <w:r w:rsidR="00003896" w:rsidRPr="003D73C3">
        <w:rPr>
          <w:szCs w:val="18"/>
        </w:rPr>
        <w:t xml:space="preserve"> </w:t>
      </w:r>
      <w:r w:rsidRPr="003D73C3">
        <w:rPr>
          <w:szCs w:val="18"/>
        </w:rPr>
        <w:t>release estimates for glass production are shown in Table 6-4, along with the corresp</w:t>
      </w:r>
      <w:r w:rsidR="002D1BC7" w:rsidRPr="003D73C3">
        <w:rPr>
          <w:szCs w:val="18"/>
        </w:rPr>
        <w:t>onding estimate made in the 2012</w:t>
      </w:r>
      <w:r w:rsidR="00A67093">
        <w:rPr>
          <w:szCs w:val="18"/>
        </w:rPr>
        <w:t xml:space="preserve"> and 2016</w:t>
      </w:r>
      <w:r w:rsidRPr="003D73C3">
        <w:rPr>
          <w:szCs w:val="18"/>
        </w:rPr>
        <w:t xml:space="preserve"> Inventor</w:t>
      </w:r>
      <w:r w:rsidR="00A67093">
        <w:rPr>
          <w:szCs w:val="18"/>
        </w:rPr>
        <w:t>ies</w:t>
      </w:r>
      <w:r w:rsidRPr="003D73C3">
        <w:rPr>
          <w:szCs w:val="18"/>
        </w:rPr>
        <w:t xml:space="preserve">. </w:t>
      </w:r>
      <w:bookmarkStart w:id="234" w:name="_Ref359759563"/>
    </w:p>
    <w:p w14:paraId="7B172A0D" w14:textId="77777777" w:rsidR="003D3511" w:rsidRDefault="003D3511">
      <w:pPr>
        <w:spacing w:after="0"/>
        <w:rPr>
          <w:rFonts w:ascii="Arial" w:hAnsi="Arial" w:cs="Arial"/>
          <w:b/>
          <w:bCs/>
        </w:rPr>
      </w:pPr>
      <w:r>
        <w:rPr>
          <w:rFonts w:cs="Arial"/>
        </w:rPr>
        <w:br w:type="page"/>
      </w:r>
    </w:p>
    <w:p w14:paraId="1467D116" w14:textId="010E8F2C" w:rsidR="006761D2" w:rsidRPr="003D73C3" w:rsidRDefault="006761D2" w:rsidP="006761D2">
      <w:pPr>
        <w:pStyle w:val="Caption"/>
        <w:jc w:val="left"/>
        <w:rPr>
          <w:rFonts w:cs="Arial"/>
          <w:szCs w:val="18"/>
        </w:rPr>
      </w:pPr>
      <w:r w:rsidRPr="003D73C3">
        <w:rPr>
          <w:rFonts w:cs="Arial"/>
        </w:rPr>
        <w:lastRenderedPageBreak/>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6</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4</w:t>
      </w:r>
      <w:r w:rsidRPr="003D73C3">
        <w:rPr>
          <w:rFonts w:cs="Arial"/>
        </w:rPr>
        <w:fldChar w:fldCharType="end"/>
      </w:r>
      <w:bookmarkEnd w:id="234"/>
      <w:r w:rsidRPr="003D73C3">
        <w:rPr>
          <w:rFonts w:cs="Arial"/>
        </w:rPr>
        <w:t>: Dioxin releases from glass production</w:t>
      </w:r>
    </w:p>
    <w:tbl>
      <w:tblPr>
        <w:tblStyle w:val="TableGrid"/>
        <w:tblW w:w="0" w:type="auto"/>
        <w:tblLook w:val="04A0" w:firstRow="1" w:lastRow="0" w:firstColumn="1" w:lastColumn="0" w:noHBand="0" w:noVBand="1"/>
      </w:tblPr>
      <w:tblGrid>
        <w:gridCol w:w="806"/>
        <w:gridCol w:w="2617"/>
        <w:gridCol w:w="2886"/>
        <w:gridCol w:w="2752"/>
      </w:tblGrid>
      <w:tr w:rsidR="006761D2" w:rsidRPr="002236A5" w14:paraId="17205173" w14:textId="77777777" w:rsidTr="00944F46">
        <w:tc>
          <w:tcPr>
            <w:tcW w:w="806" w:type="dxa"/>
            <w:vMerge w:val="restart"/>
            <w:vAlign w:val="center"/>
          </w:tcPr>
          <w:p w14:paraId="6DCD07A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617" w:type="dxa"/>
            <w:vMerge w:val="restart"/>
            <w:vAlign w:val="center"/>
          </w:tcPr>
          <w:p w14:paraId="6DABFA51"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35" w:name="_Int_OkauSudh"/>
            <w:r w:rsidRPr="0C34660A">
              <w:rPr>
                <w:rFonts w:ascii="Arial" w:hAnsi="Arial" w:cs="Arial"/>
                <w:b/>
                <w:bCs/>
                <w:sz w:val="16"/>
                <w:szCs w:val="16"/>
              </w:rPr>
              <w:t>tonnes</w:t>
            </w:r>
            <w:bookmarkEnd w:id="235"/>
            <w:r w:rsidRPr="0C34660A">
              <w:rPr>
                <w:rFonts w:ascii="Arial" w:hAnsi="Arial" w:cs="Arial"/>
                <w:b/>
                <w:bCs/>
                <w:sz w:val="16"/>
                <w:szCs w:val="16"/>
              </w:rPr>
              <w:t xml:space="preserve"> of glass/year)</w:t>
            </w:r>
          </w:p>
        </w:tc>
        <w:tc>
          <w:tcPr>
            <w:tcW w:w="2886" w:type="dxa"/>
            <w:vAlign w:val="center"/>
          </w:tcPr>
          <w:p w14:paraId="79AEF57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glass)</w:t>
            </w:r>
          </w:p>
        </w:tc>
        <w:tc>
          <w:tcPr>
            <w:tcW w:w="2752" w:type="dxa"/>
            <w:vAlign w:val="center"/>
          </w:tcPr>
          <w:p w14:paraId="480C337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2236A5" w14:paraId="19F2ABD5" w14:textId="77777777" w:rsidTr="00E95BD6">
        <w:tc>
          <w:tcPr>
            <w:tcW w:w="806" w:type="dxa"/>
            <w:vMerge/>
          </w:tcPr>
          <w:p w14:paraId="4DE1791A" w14:textId="77777777" w:rsidR="006761D2" w:rsidRPr="003D73C3" w:rsidRDefault="006761D2" w:rsidP="009F7DB8">
            <w:pPr>
              <w:spacing w:before="120"/>
              <w:jc w:val="both"/>
              <w:rPr>
                <w:rFonts w:ascii="Arial" w:hAnsi="Arial" w:cs="Arial"/>
                <w:sz w:val="16"/>
                <w:szCs w:val="18"/>
              </w:rPr>
            </w:pPr>
          </w:p>
        </w:tc>
        <w:tc>
          <w:tcPr>
            <w:tcW w:w="2617" w:type="dxa"/>
            <w:vMerge/>
            <w:vAlign w:val="center"/>
          </w:tcPr>
          <w:p w14:paraId="5DEFA97E" w14:textId="77777777" w:rsidR="006761D2" w:rsidRPr="003D73C3" w:rsidRDefault="006761D2" w:rsidP="009F7DB8">
            <w:pPr>
              <w:spacing w:before="120"/>
              <w:jc w:val="center"/>
              <w:rPr>
                <w:rFonts w:ascii="Arial" w:hAnsi="Arial" w:cs="Arial"/>
                <w:sz w:val="16"/>
                <w:szCs w:val="18"/>
              </w:rPr>
            </w:pPr>
          </w:p>
        </w:tc>
        <w:tc>
          <w:tcPr>
            <w:tcW w:w="2886" w:type="dxa"/>
            <w:vAlign w:val="center"/>
          </w:tcPr>
          <w:p w14:paraId="4E4638D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52" w:type="dxa"/>
            <w:vAlign w:val="center"/>
          </w:tcPr>
          <w:p w14:paraId="76FE6EE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003896" w:rsidRPr="002236A5" w14:paraId="12087B73" w14:textId="77777777" w:rsidTr="00E95BD6">
        <w:tc>
          <w:tcPr>
            <w:tcW w:w="806" w:type="dxa"/>
            <w:vAlign w:val="center"/>
          </w:tcPr>
          <w:p w14:paraId="0DB6B82A" w14:textId="7EFE6368" w:rsidR="00003896" w:rsidRPr="003D73C3" w:rsidRDefault="00003896" w:rsidP="009F7DB8">
            <w:pPr>
              <w:spacing w:before="120"/>
              <w:rPr>
                <w:rFonts w:ascii="Arial" w:hAnsi="Arial" w:cs="Arial"/>
                <w:b/>
                <w:sz w:val="16"/>
                <w:szCs w:val="18"/>
              </w:rPr>
            </w:pPr>
            <w:r w:rsidRPr="003D73C3">
              <w:rPr>
                <w:rFonts w:ascii="Arial" w:hAnsi="Arial" w:cs="Arial"/>
                <w:b/>
                <w:sz w:val="16"/>
                <w:szCs w:val="18"/>
              </w:rPr>
              <w:t>2012</w:t>
            </w:r>
          </w:p>
        </w:tc>
        <w:tc>
          <w:tcPr>
            <w:tcW w:w="2617" w:type="dxa"/>
            <w:vAlign w:val="center"/>
          </w:tcPr>
          <w:p w14:paraId="35C3D60F" w14:textId="00389741" w:rsidR="00003896" w:rsidRPr="003D73C3" w:rsidRDefault="00003896" w:rsidP="009F7DB8">
            <w:pPr>
              <w:spacing w:before="120"/>
              <w:jc w:val="center"/>
              <w:rPr>
                <w:rFonts w:ascii="Arial" w:hAnsi="Arial" w:cs="Arial"/>
                <w:sz w:val="16"/>
                <w:szCs w:val="18"/>
              </w:rPr>
            </w:pPr>
            <w:r w:rsidRPr="003D73C3">
              <w:rPr>
                <w:rFonts w:ascii="Arial" w:hAnsi="Arial" w:cs="Arial"/>
                <w:sz w:val="16"/>
                <w:szCs w:val="18"/>
              </w:rPr>
              <w:t>230,511</w:t>
            </w:r>
          </w:p>
        </w:tc>
        <w:tc>
          <w:tcPr>
            <w:tcW w:w="2886" w:type="dxa"/>
            <w:vAlign w:val="center"/>
          </w:tcPr>
          <w:p w14:paraId="34F7DD22" w14:textId="160F3F81" w:rsidR="00003896" w:rsidRPr="003D73C3" w:rsidRDefault="00003896" w:rsidP="009F7DB8">
            <w:pPr>
              <w:spacing w:before="120"/>
              <w:jc w:val="center"/>
              <w:rPr>
                <w:rFonts w:ascii="Arial" w:hAnsi="Arial" w:cs="Arial"/>
                <w:sz w:val="16"/>
                <w:szCs w:val="18"/>
              </w:rPr>
            </w:pPr>
            <w:r w:rsidRPr="003D73C3">
              <w:rPr>
                <w:rFonts w:ascii="Arial" w:hAnsi="Arial" w:cs="Arial"/>
                <w:sz w:val="16"/>
                <w:szCs w:val="18"/>
              </w:rPr>
              <w:t>0.015</w:t>
            </w:r>
          </w:p>
        </w:tc>
        <w:tc>
          <w:tcPr>
            <w:tcW w:w="2752" w:type="dxa"/>
            <w:vAlign w:val="center"/>
          </w:tcPr>
          <w:p w14:paraId="23EB3978" w14:textId="6203F5C1" w:rsidR="00003896" w:rsidRPr="003D73C3" w:rsidRDefault="00003896" w:rsidP="009F7DB8">
            <w:pPr>
              <w:spacing w:before="120"/>
              <w:jc w:val="center"/>
              <w:rPr>
                <w:rFonts w:ascii="Arial" w:hAnsi="Arial" w:cs="Arial"/>
                <w:sz w:val="16"/>
                <w:szCs w:val="18"/>
              </w:rPr>
            </w:pPr>
            <w:r w:rsidRPr="003D73C3">
              <w:rPr>
                <w:rFonts w:ascii="Arial" w:hAnsi="Arial" w:cs="Arial"/>
                <w:sz w:val="16"/>
                <w:szCs w:val="18"/>
              </w:rPr>
              <w:t>0.0035</w:t>
            </w:r>
          </w:p>
        </w:tc>
      </w:tr>
      <w:tr w:rsidR="006761D2" w:rsidRPr="002236A5" w14:paraId="0B7B5C7B" w14:textId="77777777" w:rsidTr="00E95BD6">
        <w:tc>
          <w:tcPr>
            <w:tcW w:w="806" w:type="dxa"/>
            <w:vAlign w:val="center"/>
          </w:tcPr>
          <w:p w14:paraId="6A74AFDC" w14:textId="4CF7D6AB" w:rsidR="006761D2" w:rsidRPr="003D73C3" w:rsidRDefault="00003896" w:rsidP="009F7DB8">
            <w:pPr>
              <w:spacing w:before="120"/>
              <w:rPr>
                <w:rFonts w:ascii="Arial" w:hAnsi="Arial" w:cs="Arial"/>
                <w:b/>
                <w:sz w:val="16"/>
                <w:szCs w:val="18"/>
              </w:rPr>
            </w:pPr>
            <w:r w:rsidRPr="003D73C3">
              <w:rPr>
                <w:rFonts w:ascii="Arial" w:hAnsi="Arial" w:cs="Arial"/>
                <w:b/>
                <w:sz w:val="16"/>
                <w:szCs w:val="18"/>
              </w:rPr>
              <w:t>2016</w:t>
            </w:r>
          </w:p>
        </w:tc>
        <w:tc>
          <w:tcPr>
            <w:tcW w:w="2617" w:type="dxa"/>
            <w:vAlign w:val="center"/>
          </w:tcPr>
          <w:p w14:paraId="198B76E5" w14:textId="5AF33D34" w:rsidR="006761D2" w:rsidRPr="003D73C3" w:rsidRDefault="00003896" w:rsidP="009F7DB8">
            <w:pPr>
              <w:spacing w:before="120"/>
              <w:jc w:val="center"/>
              <w:rPr>
                <w:rFonts w:ascii="Arial" w:hAnsi="Arial" w:cs="Arial"/>
                <w:sz w:val="16"/>
                <w:szCs w:val="18"/>
              </w:rPr>
            </w:pPr>
            <w:r w:rsidRPr="003D73C3">
              <w:rPr>
                <w:rFonts w:ascii="Arial" w:hAnsi="Arial" w:cs="Arial"/>
                <w:sz w:val="16"/>
                <w:szCs w:val="18"/>
              </w:rPr>
              <w:t>209,077</w:t>
            </w:r>
          </w:p>
        </w:tc>
        <w:tc>
          <w:tcPr>
            <w:tcW w:w="2886" w:type="dxa"/>
            <w:vAlign w:val="center"/>
          </w:tcPr>
          <w:p w14:paraId="165CFF38" w14:textId="407FE0FD" w:rsidR="006761D2" w:rsidRPr="003D73C3" w:rsidRDefault="00003896" w:rsidP="009F7DB8">
            <w:pPr>
              <w:spacing w:before="120"/>
              <w:jc w:val="center"/>
              <w:rPr>
                <w:rFonts w:ascii="Arial" w:hAnsi="Arial" w:cs="Arial"/>
                <w:sz w:val="16"/>
                <w:szCs w:val="18"/>
              </w:rPr>
            </w:pPr>
            <w:r w:rsidRPr="003D73C3">
              <w:rPr>
                <w:rFonts w:ascii="Arial" w:hAnsi="Arial" w:cs="Arial"/>
                <w:sz w:val="16"/>
                <w:szCs w:val="18"/>
              </w:rPr>
              <w:t>0.015</w:t>
            </w:r>
          </w:p>
        </w:tc>
        <w:tc>
          <w:tcPr>
            <w:tcW w:w="2752" w:type="dxa"/>
            <w:vAlign w:val="center"/>
          </w:tcPr>
          <w:p w14:paraId="08B7BA86" w14:textId="04E70F5F" w:rsidR="006761D2" w:rsidRPr="003D73C3" w:rsidRDefault="00003896" w:rsidP="009F7DB8">
            <w:pPr>
              <w:spacing w:before="120"/>
              <w:jc w:val="center"/>
              <w:rPr>
                <w:rFonts w:ascii="Arial" w:hAnsi="Arial" w:cs="Arial"/>
                <w:sz w:val="16"/>
                <w:szCs w:val="18"/>
              </w:rPr>
            </w:pPr>
            <w:r w:rsidRPr="003D73C3">
              <w:rPr>
                <w:rFonts w:ascii="Arial" w:hAnsi="Arial" w:cs="Arial"/>
                <w:sz w:val="16"/>
                <w:szCs w:val="18"/>
              </w:rPr>
              <w:t>0.0031</w:t>
            </w:r>
          </w:p>
        </w:tc>
      </w:tr>
      <w:tr w:rsidR="002236A5" w:rsidRPr="002236A5" w14:paraId="04A292E8" w14:textId="77777777" w:rsidTr="00E95BD6">
        <w:tc>
          <w:tcPr>
            <w:tcW w:w="806" w:type="dxa"/>
            <w:vAlign w:val="center"/>
          </w:tcPr>
          <w:p w14:paraId="78467295" w14:textId="7719B653" w:rsidR="002236A5" w:rsidRPr="003D73C3" w:rsidRDefault="002236A5" w:rsidP="009F7DB8">
            <w:pPr>
              <w:spacing w:before="120"/>
              <w:rPr>
                <w:rFonts w:ascii="Arial" w:hAnsi="Arial" w:cs="Arial"/>
                <w:b/>
                <w:sz w:val="16"/>
                <w:szCs w:val="18"/>
              </w:rPr>
            </w:pPr>
            <w:r w:rsidRPr="003D73C3">
              <w:rPr>
                <w:rFonts w:ascii="Arial" w:hAnsi="Arial" w:cs="Arial"/>
                <w:b/>
                <w:sz w:val="16"/>
                <w:szCs w:val="18"/>
              </w:rPr>
              <w:t>2020</w:t>
            </w:r>
          </w:p>
        </w:tc>
        <w:tc>
          <w:tcPr>
            <w:tcW w:w="2617" w:type="dxa"/>
            <w:vAlign w:val="center"/>
          </w:tcPr>
          <w:p w14:paraId="41A6B797" w14:textId="020067EF" w:rsidR="002236A5" w:rsidRPr="003D73C3" w:rsidRDefault="002236A5" w:rsidP="009F7DB8">
            <w:pPr>
              <w:spacing w:before="120"/>
              <w:jc w:val="center"/>
              <w:rPr>
                <w:rFonts w:ascii="Arial" w:hAnsi="Arial" w:cs="Arial"/>
                <w:sz w:val="16"/>
                <w:szCs w:val="18"/>
              </w:rPr>
            </w:pPr>
            <w:r w:rsidRPr="003D73C3">
              <w:rPr>
                <w:rFonts w:ascii="Arial" w:hAnsi="Arial" w:cs="Arial"/>
                <w:sz w:val="16"/>
                <w:szCs w:val="18"/>
              </w:rPr>
              <w:t>209,077</w:t>
            </w:r>
          </w:p>
        </w:tc>
        <w:tc>
          <w:tcPr>
            <w:tcW w:w="2886" w:type="dxa"/>
            <w:vAlign w:val="center"/>
          </w:tcPr>
          <w:p w14:paraId="33DDE044" w14:textId="09FEE5B6" w:rsidR="002236A5" w:rsidRPr="003D73C3" w:rsidRDefault="002236A5" w:rsidP="009F7DB8">
            <w:pPr>
              <w:spacing w:before="120"/>
              <w:jc w:val="center"/>
              <w:rPr>
                <w:rFonts w:ascii="Arial" w:hAnsi="Arial" w:cs="Arial"/>
                <w:sz w:val="16"/>
                <w:szCs w:val="18"/>
              </w:rPr>
            </w:pPr>
            <w:r w:rsidRPr="003D73C3">
              <w:rPr>
                <w:rFonts w:ascii="Arial" w:hAnsi="Arial" w:cs="Arial"/>
                <w:sz w:val="16"/>
                <w:szCs w:val="18"/>
              </w:rPr>
              <w:t>0.015</w:t>
            </w:r>
          </w:p>
        </w:tc>
        <w:tc>
          <w:tcPr>
            <w:tcW w:w="2752" w:type="dxa"/>
            <w:vAlign w:val="center"/>
          </w:tcPr>
          <w:p w14:paraId="61F16452" w14:textId="76AF2F28" w:rsidR="002236A5" w:rsidRPr="003D73C3" w:rsidRDefault="002236A5" w:rsidP="009F7DB8">
            <w:pPr>
              <w:spacing w:before="120"/>
              <w:jc w:val="center"/>
              <w:rPr>
                <w:rFonts w:ascii="Arial" w:hAnsi="Arial" w:cs="Arial"/>
                <w:sz w:val="16"/>
                <w:szCs w:val="18"/>
              </w:rPr>
            </w:pPr>
            <w:r w:rsidRPr="003D73C3">
              <w:rPr>
                <w:rFonts w:ascii="Arial" w:hAnsi="Arial" w:cs="Arial"/>
                <w:sz w:val="16"/>
                <w:szCs w:val="18"/>
              </w:rPr>
              <w:t>0.0031</w:t>
            </w:r>
          </w:p>
        </w:tc>
      </w:tr>
    </w:tbl>
    <w:p w14:paraId="16979E32" w14:textId="66E803D5"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2236A5">
        <w:rPr>
          <w:rFonts w:ascii="Arial" w:hAnsi="Arial" w:cs="Arial"/>
          <w:b/>
          <w:szCs w:val="18"/>
        </w:rPr>
        <w:t>2020</w:t>
      </w:r>
    </w:p>
    <w:p w14:paraId="519CB0E4" w14:textId="5123875E"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r>
      <w:r w:rsidR="003D3511">
        <w:rPr>
          <w:szCs w:val="18"/>
        </w:rPr>
        <w:t>Medium</w:t>
      </w:r>
      <w:r w:rsidRPr="003D73C3">
        <w:rPr>
          <w:szCs w:val="18"/>
        </w:rPr>
        <w:t xml:space="preserve"> (because it is based on</w:t>
      </w:r>
      <w:r w:rsidR="003D3511">
        <w:rPr>
          <w:szCs w:val="18"/>
        </w:rPr>
        <w:t xml:space="preserve"> an estimate of</w:t>
      </w:r>
      <w:r w:rsidRPr="003D73C3">
        <w:rPr>
          <w:szCs w:val="18"/>
        </w:rPr>
        <w:t xml:space="preserve"> actual production data)</w:t>
      </w:r>
    </w:p>
    <w:p w14:paraId="033AF4AC"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w:t>
      </w:r>
    </w:p>
    <w:p w14:paraId="226AB1F0" w14:textId="77777777" w:rsidR="006761D2" w:rsidRPr="003D73C3" w:rsidRDefault="006761D2" w:rsidP="00261F78">
      <w:pPr>
        <w:pStyle w:val="Heading2"/>
      </w:pPr>
      <w:bookmarkStart w:id="236" w:name="_Toc112768108"/>
      <w:r w:rsidRPr="003D73C3">
        <w:t>Pottery and ceramics production</w:t>
      </w:r>
      <w:bookmarkEnd w:id="236"/>
    </w:p>
    <w:p w14:paraId="0E7F2690" w14:textId="780FD7EC" w:rsidR="006761D2" w:rsidRPr="003D73C3" w:rsidRDefault="03867262" w:rsidP="006761D2">
      <w:pPr>
        <w:spacing w:line="300" w:lineRule="atLeast"/>
        <w:jc w:val="both"/>
      </w:pPr>
      <w:r>
        <w:t>Statistics for the</w:t>
      </w:r>
      <w:r w:rsidR="24854215">
        <w:t xml:space="preserve"> annual production of clay for pottery and ceramics in New Zealand</w:t>
      </w:r>
      <w:r>
        <w:t xml:space="preserve"> are kept by the New Zealand Petroleum and Minerals group of the Ministry of Business</w:t>
      </w:r>
      <w:r w:rsidR="71EA5D26">
        <w:t>,</w:t>
      </w:r>
      <w:r>
        <w:t xml:space="preserve"> Innovation and Employment (MBIE). Most production comes from a single site in Northland (C. McCabe, MBIE</w:t>
      </w:r>
      <w:r w:rsidR="24854215">
        <w:t>,</w:t>
      </w:r>
      <w:r>
        <w:t xml:space="preserve"> pers comm, 2018). The statistical records show that the amount of clay listed can vary significantly from year to year. </w:t>
      </w:r>
      <w:proofErr w:type="gramStart"/>
      <w:r w:rsidR="315600C9">
        <w:t>As a consequence</w:t>
      </w:r>
      <w:proofErr w:type="gramEnd"/>
      <w:r w:rsidR="315600C9">
        <w:t>, the practice was adopted for the 2016 Inventory of using a four yearly average of clay production to represent the activity for the reference year</w:t>
      </w:r>
      <w:r w:rsidR="261DAF89">
        <w:t xml:space="preserve"> and will be continued here.</w:t>
      </w:r>
      <w:r w:rsidR="315600C9">
        <w:t xml:space="preserve"> The average clay production for 2017 to 2020 inclusive was </w:t>
      </w:r>
      <w:r w:rsidR="45119645">
        <w:t>39,573 tonnes.</w:t>
      </w:r>
      <w:r w:rsidR="217E0460">
        <w:t xml:space="preserve"> (New Zealand Petroleum and Minerals, 2022)</w:t>
      </w:r>
    </w:p>
    <w:p w14:paraId="3EF71989" w14:textId="25906602" w:rsidR="006761D2" w:rsidRPr="003D73C3" w:rsidRDefault="24854215" w:rsidP="00EE5B1E">
      <w:pPr>
        <w:spacing w:line="300" w:lineRule="atLeast"/>
        <w:jc w:val="both"/>
      </w:pPr>
      <w:r>
        <w:t xml:space="preserve">The UNEP Toolkit notes that dioxins will </w:t>
      </w:r>
      <w:bookmarkStart w:id="237" w:name="_Int_SKJDO71l"/>
      <w:r>
        <w:t>most likely be</w:t>
      </w:r>
      <w:bookmarkEnd w:id="237"/>
      <w:r>
        <w:t xml:space="preserve"> released to air during ceramics production </w:t>
      </w:r>
      <w:bookmarkStart w:id="238" w:name="_Int_Uy7HYFaU"/>
      <w:proofErr w:type="gramStart"/>
      <w:r>
        <w:t>as a result of</w:t>
      </w:r>
      <w:bookmarkEnd w:id="238"/>
      <w:proofErr w:type="gramEnd"/>
      <w:r>
        <w:t xml:space="preserve"> the thermal processes involved. However, no specific emission data has been reported</w:t>
      </w:r>
      <w:r w:rsidR="71EA5D26">
        <w:t xml:space="preserve"> </w:t>
      </w:r>
      <w:r>
        <w:t xml:space="preserve">and it recommends using the emission factors developed for brick making to give an indication of the </w:t>
      </w:r>
      <w:bookmarkStart w:id="239" w:name="_Int_rmsolqCO"/>
      <w:r>
        <w:t>likely releases</w:t>
      </w:r>
      <w:bookmarkEnd w:id="239"/>
      <w:r>
        <w:t xml:space="preserve"> </w:t>
      </w:r>
      <w:r w:rsidR="0DD904CD" w:rsidRPr="0C34660A">
        <w:rPr>
          <w:noProof/>
        </w:rPr>
        <w:t>(United Nations Environment Programme, 2013)</w:t>
      </w:r>
      <w:r>
        <w:t xml:space="preserve">. </w:t>
      </w:r>
      <w:r w:rsidRPr="0C34660A">
        <w:rPr>
          <w:rFonts w:eastAsia="Calibri"/>
        </w:rPr>
        <w:t xml:space="preserve">The Toolkit differentiates between small, poorly controlled kilns (which it assigns as Class 1) and other types of kilns (Class 2). The Class 2 category covers a variety of situations, including kilns with no emission control technology, but which use uncontaminated fuels. It has been assumed that all New Zealand kilns </w:t>
      </w:r>
      <w:r w:rsidR="1521BC77" w:rsidRPr="0C34660A">
        <w:rPr>
          <w:rFonts w:eastAsia="Calibri"/>
        </w:rPr>
        <w:t xml:space="preserve">will comply with </w:t>
      </w:r>
      <w:r w:rsidRPr="0C34660A">
        <w:rPr>
          <w:rFonts w:eastAsia="Calibri"/>
        </w:rPr>
        <w:t>Class 2</w:t>
      </w:r>
      <w:r w:rsidR="1521BC77" w:rsidRPr="0C34660A">
        <w:rPr>
          <w:rFonts w:eastAsia="Calibri"/>
        </w:rPr>
        <w:t xml:space="preserve"> conditions</w:t>
      </w:r>
      <w:r w:rsidRPr="0C34660A">
        <w:rPr>
          <w:rFonts w:eastAsia="Calibri"/>
        </w:rPr>
        <w:t xml:space="preserve">. </w:t>
      </w:r>
      <w:r w:rsidR="171EDDD7">
        <w:t xml:space="preserve">The </w:t>
      </w:r>
      <w:r w:rsidR="217E0460">
        <w:t>20</w:t>
      </w:r>
      <w:r w:rsidR="0DD904CD">
        <w:t xml:space="preserve">20 </w:t>
      </w:r>
      <w:r>
        <w:t>release estimates for pottery and ceramics production are shown i</w:t>
      </w:r>
      <w:r w:rsidR="0DD904CD">
        <w:t xml:space="preserve">n Table 6-5 </w:t>
      </w:r>
      <w:r w:rsidR="171EDDD7">
        <w:t>along with the estimate</w:t>
      </w:r>
      <w:r w:rsidR="1521BC77">
        <w:t>s</w:t>
      </w:r>
      <w:r w:rsidR="171EDDD7">
        <w:t xml:space="preserve"> for the 2012</w:t>
      </w:r>
      <w:r>
        <w:t xml:space="preserve"> </w:t>
      </w:r>
      <w:r w:rsidR="217E0460">
        <w:t xml:space="preserve">and 2016 </w:t>
      </w:r>
      <w:r>
        <w:t>Inventor</w:t>
      </w:r>
      <w:r w:rsidR="217E0460">
        <w:t>ies</w:t>
      </w:r>
      <w:r>
        <w:t>.</w:t>
      </w:r>
    </w:p>
    <w:p w14:paraId="289B7197" w14:textId="0361EF1A" w:rsidR="006761D2" w:rsidRPr="003D73C3" w:rsidRDefault="006761D2" w:rsidP="006761D2">
      <w:pPr>
        <w:pStyle w:val="Caption"/>
        <w:jc w:val="left"/>
        <w:rPr>
          <w:rFonts w:cs="Arial"/>
          <w:szCs w:val="18"/>
        </w:rPr>
      </w:pPr>
      <w:bookmarkStart w:id="240" w:name="_Ref390598415"/>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6</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5</w:t>
      </w:r>
      <w:r w:rsidRPr="003D73C3">
        <w:rPr>
          <w:rFonts w:cs="Arial"/>
        </w:rPr>
        <w:fldChar w:fldCharType="end"/>
      </w:r>
      <w:bookmarkEnd w:id="240"/>
      <w:r w:rsidRPr="003D73C3">
        <w:rPr>
          <w:rFonts w:cs="Arial"/>
        </w:rPr>
        <w:t>: Dioxin releases from pottery and ceramics production</w:t>
      </w:r>
    </w:p>
    <w:tbl>
      <w:tblPr>
        <w:tblStyle w:val="TableGrid"/>
        <w:tblW w:w="0" w:type="auto"/>
        <w:tblLook w:val="04A0" w:firstRow="1" w:lastRow="0" w:firstColumn="1" w:lastColumn="0" w:noHBand="0" w:noVBand="1"/>
      </w:tblPr>
      <w:tblGrid>
        <w:gridCol w:w="868"/>
        <w:gridCol w:w="2599"/>
        <w:gridCol w:w="2862"/>
        <w:gridCol w:w="2732"/>
      </w:tblGrid>
      <w:tr w:rsidR="006761D2" w:rsidRPr="005208DB" w14:paraId="67A7D0B1" w14:textId="77777777" w:rsidTr="00944F46">
        <w:tc>
          <w:tcPr>
            <w:tcW w:w="868" w:type="dxa"/>
            <w:vMerge w:val="restart"/>
            <w:vAlign w:val="center"/>
          </w:tcPr>
          <w:p w14:paraId="6E61790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99" w:type="dxa"/>
            <w:vMerge w:val="restart"/>
            <w:vAlign w:val="center"/>
          </w:tcPr>
          <w:p w14:paraId="2C6C22A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Activity Rate (tonnes/year)</w:t>
            </w:r>
          </w:p>
        </w:tc>
        <w:tc>
          <w:tcPr>
            <w:tcW w:w="2862" w:type="dxa"/>
            <w:vAlign w:val="center"/>
          </w:tcPr>
          <w:p w14:paraId="4B7B6F1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b/>
                <w:sz w:val="16"/>
                <w:szCs w:val="18"/>
              </w:rPr>
              <w:t>µg TEQ/tonne)</w:t>
            </w:r>
          </w:p>
        </w:tc>
        <w:tc>
          <w:tcPr>
            <w:tcW w:w="2732" w:type="dxa"/>
            <w:vAlign w:val="center"/>
          </w:tcPr>
          <w:p w14:paraId="59608A5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5208DB" w14:paraId="442CB969" w14:textId="77777777" w:rsidTr="00E95BD6">
        <w:tc>
          <w:tcPr>
            <w:tcW w:w="868" w:type="dxa"/>
            <w:vMerge/>
          </w:tcPr>
          <w:p w14:paraId="2BFE1322" w14:textId="77777777" w:rsidR="006761D2" w:rsidRPr="003D73C3" w:rsidRDefault="006761D2" w:rsidP="009F7DB8">
            <w:pPr>
              <w:spacing w:before="120"/>
              <w:jc w:val="both"/>
              <w:rPr>
                <w:rFonts w:ascii="Arial" w:hAnsi="Arial" w:cs="Arial"/>
                <w:sz w:val="16"/>
                <w:szCs w:val="18"/>
              </w:rPr>
            </w:pPr>
          </w:p>
        </w:tc>
        <w:tc>
          <w:tcPr>
            <w:tcW w:w="2599" w:type="dxa"/>
            <w:vMerge/>
            <w:vAlign w:val="center"/>
          </w:tcPr>
          <w:p w14:paraId="4D30CA5B" w14:textId="77777777" w:rsidR="006761D2" w:rsidRPr="003D73C3" w:rsidRDefault="006761D2" w:rsidP="009F7DB8">
            <w:pPr>
              <w:spacing w:before="120"/>
              <w:jc w:val="center"/>
              <w:rPr>
                <w:rFonts w:ascii="Arial" w:hAnsi="Arial" w:cs="Arial"/>
                <w:sz w:val="16"/>
                <w:szCs w:val="18"/>
              </w:rPr>
            </w:pPr>
          </w:p>
        </w:tc>
        <w:tc>
          <w:tcPr>
            <w:tcW w:w="2862" w:type="dxa"/>
            <w:vAlign w:val="center"/>
          </w:tcPr>
          <w:p w14:paraId="63CFD81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32" w:type="dxa"/>
            <w:vAlign w:val="center"/>
          </w:tcPr>
          <w:p w14:paraId="37A15AF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6761D2" w:rsidRPr="005208DB" w14:paraId="4DA67091" w14:textId="77777777" w:rsidTr="00E95BD6">
        <w:tc>
          <w:tcPr>
            <w:tcW w:w="868" w:type="dxa"/>
            <w:vAlign w:val="center"/>
          </w:tcPr>
          <w:p w14:paraId="02D1C3A5" w14:textId="27C756F6" w:rsidR="006761D2" w:rsidRPr="003D73C3" w:rsidRDefault="005F58D3" w:rsidP="009F7DB8">
            <w:pPr>
              <w:spacing w:before="120"/>
              <w:rPr>
                <w:rFonts w:ascii="Arial" w:hAnsi="Arial" w:cs="Arial"/>
                <w:b/>
                <w:sz w:val="16"/>
                <w:szCs w:val="18"/>
              </w:rPr>
            </w:pPr>
            <w:r w:rsidRPr="003D73C3">
              <w:rPr>
                <w:rFonts w:ascii="Arial" w:hAnsi="Arial" w:cs="Arial"/>
                <w:b/>
                <w:sz w:val="16"/>
                <w:szCs w:val="18"/>
              </w:rPr>
              <w:t>2012</w:t>
            </w:r>
          </w:p>
        </w:tc>
        <w:tc>
          <w:tcPr>
            <w:tcW w:w="2599" w:type="dxa"/>
            <w:vAlign w:val="center"/>
          </w:tcPr>
          <w:p w14:paraId="444B43E5" w14:textId="020B385A" w:rsidR="006761D2" w:rsidRPr="003D73C3" w:rsidRDefault="005F58D3" w:rsidP="009F7DB8">
            <w:pPr>
              <w:spacing w:before="120"/>
              <w:jc w:val="center"/>
              <w:rPr>
                <w:rFonts w:ascii="Arial" w:hAnsi="Arial" w:cs="Arial"/>
                <w:sz w:val="16"/>
                <w:szCs w:val="18"/>
              </w:rPr>
            </w:pPr>
            <w:r w:rsidRPr="003D73C3">
              <w:rPr>
                <w:rFonts w:ascii="Arial" w:hAnsi="Arial" w:cs="Arial"/>
                <w:sz w:val="16"/>
                <w:szCs w:val="18"/>
              </w:rPr>
              <w:t xml:space="preserve">37,475 </w:t>
            </w:r>
          </w:p>
        </w:tc>
        <w:tc>
          <w:tcPr>
            <w:tcW w:w="2862" w:type="dxa"/>
            <w:vAlign w:val="center"/>
          </w:tcPr>
          <w:p w14:paraId="16786F74"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0.02</w:t>
            </w:r>
          </w:p>
        </w:tc>
        <w:tc>
          <w:tcPr>
            <w:tcW w:w="2732" w:type="dxa"/>
            <w:vAlign w:val="center"/>
          </w:tcPr>
          <w:p w14:paraId="255875A8" w14:textId="698EAF1E"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0.000</w:t>
            </w:r>
            <w:r w:rsidR="005F58D3" w:rsidRPr="003D73C3">
              <w:rPr>
                <w:rFonts w:ascii="Arial" w:hAnsi="Arial" w:cs="Arial"/>
                <w:sz w:val="16"/>
                <w:szCs w:val="18"/>
              </w:rPr>
              <w:t>75</w:t>
            </w:r>
          </w:p>
        </w:tc>
      </w:tr>
      <w:tr w:rsidR="006761D2" w:rsidRPr="005208DB" w14:paraId="10A6518F" w14:textId="77777777" w:rsidTr="00E95BD6">
        <w:trPr>
          <w:trHeight w:val="410"/>
        </w:trPr>
        <w:tc>
          <w:tcPr>
            <w:tcW w:w="868" w:type="dxa"/>
            <w:vAlign w:val="center"/>
          </w:tcPr>
          <w:p w14:paraId="05394FE8" w14:textId="21E10D02" w:rsidR="006761D2" w:rsidRPr="003D73C3" w:rsidRDefault="005F58D3" w:rsidP="009F7DB8">
            <w:pPr>
              <w:spacing w:before="120"/>
              <w:rPr>
                <w:rFonts w:ascii="Arial" w:hAnsi="Arial" w:cs="Arial"/>
                <w:b/>
                <w:sz w:val="16"/>
                <w:szCs w:val="18"/>
              </w:rPr>
            </w:pPr>
            <w:r w:rsidRPr="003D73C3">
              <w:rPr>
                <w:rFonts w:ascii="Arial" w:hAnsi="Arial" w:cs="Arial"/>
                <w:b/>
                <w:sz w:val="16"/>
                <w:szCs w:val="18"/>
              </w:rPr>
              <w:t>2016</w:t>
            </w:r>
          </w:p>
        </w:tc>
        <w:tc>
          <w:tcPr>
            <w:tcW w:w="2599" w:type="dxa"/>
            <w:vAlign w:val="center"/>
          </w:tcPr>
          <w:p w14:paraId="02BB39F9" w14:textId="51BCC9E9" w:rsidR="006761D2" w:rsidRPr="003D73C3" w:rsidRDefault="005F58D3" w:rsidP="009F7DB8">
            <w:pPr>
              <w:spacing w:before="120"/>
              <w:jc w:val="center"/>
              <w:rPr>
                <w:rFonts w:ascii="Arial" w:hAnsi="Arial" w:cs="Arial"/>
                <w:sz w:val="16"/>
                <w:szCs w:val="18"/>
              </w:rPr>
            </w:pPr>
            <w:r w:rsidRPr="003D73C3">
              <w:rPr>
                <w:rFonts w:ascii="Arial" w:hAnsi="Arial" w:cs="Arial"/>
                <w:sz w:val="16"/>
                <w:szCs w:val="18"/>
              </w:rPr>
              <w:t>37,439</w:t>
            </w:r>
          </w:p>
        </w:tc>
        <w:tc>
          <w:tcPr>
            <w:tcW w:w="2862" w:type="dxa"/>
            <w:vAlign w:val="center"/>
          </w:tcPr>
          <w:p w14:paraId="63ABABE5"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0.02</w:t>
            </w:r>
          </w:p>
        </w:tc>
        <w:tc>
          <w:tcPr>
            <w:tcW w:w="2732" w:type="dxa"/>
            <w:vAlign w:val="center"/>
          </w:tcPr>
          <w:p w14:paraId="4BEE5100" w14:textId="529AD4B9" w:rsidR="006761D2" w:rsidRPr="003D73C3" w:rsidRDefault="005F58D3" w:rsidP="009F7DB8">
            <w:pPr>
              <w:spacing w:before="120"/>
              <w:jc w:val="center"/>
              <w:rPr>
                <w:rFonts w:ascii="Arial" w:hAnsi="Arial" w:cs="Arial"/>
                <w:sz w:val="16"/>
                <w:szCs w:val="18"/>
              </w:rPr>
            </w:pPr>
            <w:r w:rsidRPr="003D73C3">
              <w:rPr>
                <w:rFonts w:ascii="Arial" w:hAnsi="Arial" w:cs="Arial"/>
                <w:sz w:val="16"/>
                <w:szCs w:val="18"/>
              </w:rPr>
              <w:t>0.00075</w:t>
            </w:r>
          </w:p>
        </w:tc>
      </w:tr>
      <w:tr w:rsidR="00590DAF" w:rsidRPr="005208DB" w14:paraId="60DD05E0" w14:textId="77777777" w:rsidTr="00E95BD6">
        <w:trPr>
          <w:trHeight w:val="410"/>
        </w:trPr>
        <w:tc>
          <w:tcPr>
            <w:tcW w:w="868" w:type="dxa"/>
            <w:vAlign w:val="center"/>
          </w:tcPr>
          <w:p w14:paraId="4829F886" w14:textId="7BF5AB4B" w:rsidR="00590DAF" w:rsidRPr="003D73C3" w:rsidRDefault="00590DAF" w:rsidP="009F7DB8">
            <w:pPr>
              <w:spacing w:before="120"/>
              <w:rPr>
                <w:rFonts w:ascii="Arial" w:hAnsi="Arial" w:cs="Arial"/>
                <w:b/>
                <w:sz w:val="16"/>
                <w:szCs w:val="18"/>
              </w:rPr>
            </w:pPr>
            <w:r w:rsidRPr="003D73C3">
              <w:rPr>
                <w:rFonts w:ascii="Arial" w:hAnsi="Arial" w:cs="Arial"/>
                <w:b/>
                <w:sz w:val="16"/>
                <w:szCs w:val="18"/>
              </w:rPr>
              <w:t>2020</w:t>
            </w:r>
          </w:p>
        </w:tc>
        <w:tc>
          <w:tcPr>
            <w:tcW w:w="2599" w:type="dxa"/>
            <w:vAlign w:val="center"/>
          </w:tcPr>
          <w:p w14:paraId="0D3018E1" w14:textId="1D1663BC" w:rsidR="00590DAF" w:rsidRPr="003D73C3" w:rsidRDefault="00590DAF" w:rsidP="009F7DB8">
            <w:pPr>
              <w:spacing w:before="120"/>
              <w:jc w:val="center"/>
              <w:rPr>
                <w:rFonts w:ascii="Arial" w:hAnsi="Arial" w:cs="Arial"/>
                <w:sz w:val="16"/>
                <w:szCs w:val="18"/>
              </w:rPr>
            </w:pPr>
            <w:r w:rsidRPr="003D73C3">
              <w:rPr>
                <w:rFonts w:ascii="Arial" w:hAnsi="Arial" w:cs="Arial"/>
                <w:sz w:val="16"/>
                <w:szCs w:val="18"/>
              </w:rPr>
              <w:t>39,573</w:t>
            </w:r>
          </w:p>
        </w:tc>
        <w:tc>
          <w:tcPr>
            <w:tcW w:w="2862" w:type="dxa"/>
            <w:vAlign w:val="center"/>
          </w:tcPr>
          <w:p w14:paraId="09372E4F" w14:textId="18666C26" w:rsidR="00590DAF" w:rsidRPr="003D73C3" w:rsidRDefault="00590DAF" w:rsidP="009F7DB8">
            <w:pPr>
              <w:spacing w:before="120"/>
              <w:jc w:val="center"/>
              <w:rPr>
                <w:rFonts w:ascii="Arial" w:hAnsi="Arial" w:cs="Arial"/>
                <w:sz w:val="16"/>
                <w:szCs w:val="18"/>
              </w:rPr>
            </w:pPr>
            <w:r w:rsidRPr="003D73C3">
              <w:rPr>
                <w:rFonts w:ascii="Arial" w:hAnsi="Arial" w:cs="Arial"/>
                <w:sz w:val="16"/>
                <w:szCs w:val="18"/>
              </w:rPr>
              <w:t>0.02</w:t>
            </w:r>
          </w:p>
        </w:tc>
        <w:tc>
          <w:tcPr>
            <w:tcW w:w="2732" w:type="dxa"/>
            <w:vAlign w:val="center"/>
          </w:tcPr>
          <w:p w14:paraId="24F83384" w14:textId="43090C20" w:rsidR="00590DAF" w:rsidRPr="003D73C3" w:rsidRDefault="005208DB" w:rsidP="009F7DB8">
            <w:pPr>
              <w:spacing w:before="120"/>
              <w:jc w:val="center"/>
              <w:rPr>
                <w:rFonts w:ascii="Arial" w:hAnsi="Arial" w:cs="Arial"/>
                <w:sz w:val="16"/>
                <w:szCs w:val="18"/>
              </w:rPr>
            </w:pPr>
            <w:r w:rsidRPr="003D73C3">
              <w:rPr>
                <w:rFonts w:ascii="Arial" w:hAnsi="Arial" w:cs="Arial"/>
                <w:sz w:val="16"/>
                <w:szCs w:val="18"/>
              </w:rPr>
              <w:t>0.00079</w:t>
            </w:r>
          </w:p>
        </w:tc>
      </w:tr>
    </w:tbl>
    <w:p w14:paraId="57938548" w14:textId="3DB7BCB8"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5208DB">
        <w:rPr>
          <w:rFonts w:ascii="Arial" w:hAnsi="Arial" w:cs="Arial"/>
          <w:b/>
          <w:szCs w:val="18"/>
        </w:rPr>
        <w:t>2020</w:t>
      </w:r>
    </w:p>
    <w:p w14:paraId="516D0D0C" w14:textId="54E356D5"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High (because it is based on national clay production data)</w:t>
      </w:r>
    </w:p>
    <w:p w14:paraId="40CCF2FE" w14:textId="6E72C51A" w:rsidR="006761D2" w:rsidRPr="003D73C3" w:rsidRDefault="006761D2" w:rsidP="00E27321">
      <w:pPr>
        <w:tabs>
          <w:tab w:val="left" w:pos="1701"/>
        </w:tabs>
        <w:spacing w:line="300" w:lineRule="atLeast"/>
        <w:ind w:left="1701" w:hanging="1701"/>
        <w:jc w:val="both"/>
        <w:rPr>
          <w:rFonts w:ascii="Arial" w:hAnsi="Arial" w:cs="Arial"/>
          <w:b/>
          <w:szCs w:val="18"/>
        </w:rPr>
      </w:pPr>
      <w:r w:rsidRPr="003D73C3">
        <w:rPr>
          <w:szCs w:val="18"/>
        </w:rPr>
        <w:t xml:space="preserve">Emission factor: </w:t>
      </w:r>
      <w:r w:rsidRPr="003D73C3">
        <w:rPr>
          <w:szCs w:val="18"/>
        </w:rPr>
        <w:tab/>
        <w:t>Low (because it is based on the Toolkit default factor)</w:t>
      </w:r>
    </w:p>
    <w:p w14:paraId="4FB1EE0C" w14:textId="77777777" w:rsidR="006761D2" w:rsidRPr="003D73C3" w:rsidRDefault="006761D2" w:rsidP="00261F78">
      <w:pPr>
        <w:pStyle w:val="Heading2"/>
      </w:pPr>
      <w:bookmarkStart w:id="241" w:name="_Toc112768109"/>
      <w:r w:rsidRPr="003D73C3">
        <w:lastRenderedPageBreak/>
        <w:t>Asphalt mixing</w:t>
      </w:r>
      <w:bookmarkEnd w:id="241"/>
    </w:p>
    <w:p w14:paraId="780616BA" w14:textId="5C02BAA9" w:rsidR="006761D2" w:rsidRPr="003D73C3" w:rsidRDefault="00EE5B1E" w:rsidP="006761D2">
      <w:pPr>
        <w:spacing w:line="300" w:lineRule="atLeast"/>
        <w:jc w:val="both"/>
        <w:rPr>
          <w:szCs w:val="18"/>
          <w:lang w:val="en-US"/>
        </w:rPr>
      </w:pPr>
      <w:r w:rsidRPr="003D73C3">
        <w:rPr>
          <w:szCs w:val="18"/>
          <w:lang w:val="en-US"/>
        </w:rPr>
        <w:t xml:space="preserve">Civil Contracting New Zealand have estimated that the annual asphalt production for </w:t>
      </w:r>
      <w:r w:rsidR="005208DB" w:rsidRPr="003D73C3">
        <w:rPr>
          <w:szCs w:val="18"/>
          <w:lang w:val="en-US"/>
        </w:rPr>
        <w:t xml:space="preserve">2020 </w:t>
      </w:r>
      <w:r w:rsidR="00DD78DD" w:rsidRPr="003D73C3">
        <w:rPr>
          <w:szCs w:val="18"/>
          <w:lang w:val="en-US"/>
        </w:rPr>
        <w:t xml:space="preserve">in New Zealand </w:t>
      </w:r>
      <w:r w:rsidRPr="003D73C3">
        <w:rPr>
          <w:szCs w:val="18"/>
          <w:lang w:val="en-US"/>
        </w:rPr>
        <w:t xml:space="preserve">was </w:t>
      </w:r>
      <w:r w:rsidR="005208DB" w:rsidRPr="003D73C3">
        <w:rPr>
          <w:szCs w:val="18"/>
          <w:lang w:val="en-US"/>
        </w:rPr>
        <w:t xml:space="preserve">1.57 </w:t>
      </w:r>
      <w:r w:rsidRPr="003D73C3">
        <w:rPr>
          <w:szCs w:val="18"/>
          <w:lang w:val="en-US"/>
        </w:rPr>
        <w:t xml:space="preserve">million tonnes per year </w:t>
      </w:r>
      <w:r w:rsidR="005208DB" w:rsidRPr="003D73C3">
        <w:rPr>
          <w:szCs w:val="18"/>
          <w:lang w:val="en-US"/>
        </w:rPr>
        <w:t>which was</w:t>
      </w:r>
      <w:r w:rsidRPr="003D73C3">
        <w:rPr>
          <w:szCs w:val="18"/>
          <w:lang w:val="en-US"/>
        </w:rPr>
        <w:t xml:space="preserve"> higher than the </w:t>
      </w:r>
      <w:r w:rsidR="005208DB" w:rsidRPr="003D73C3">
        <w:rPr>
          <w:szCs w:val="18"/>
          <w:lang w:val="en-US"/>
        </w:rPr>
        <w:t>1.4 million</w:t>
      </w:r>
      <w:r w:rsidRPr="003D73C3">
        <w:rPr>
          <w:szCs w:val="18"/>
          <w:lang w:val="en-US"/>
        </w:rPr>
        <w:t xml:space="preserve"> tonnes used for the previous inventory </w:t>
      </w:r>
      <w:r w:rsidR="005208DB" w:rsidRPr="003D73C3">
        <w:rPr>
          <w:szCs w:val="18"/>
          <w:lang w:val="en-US"/>
        </w:rPr>
        <w:t>despite April to June being a slow period due to C</w:t>
      </w:r>
      <w:r w:rsidR="00686060">
        <w:rPr>
          <w:szCs w:val="18"/>
          <w:lang w:val="en-US"/>
        </w:rPr>
        <w:t>OVID</w:t>
      </w:r>
      <w:r w:rsidR="005208DB" w:rsidRPr="003D73C3">
        <w:rPr>
          <w:szCs w:val="18"/>
          <w:lang w:val="en-US"/>
        </w:rPr>
        <w:t xml:space="preserve">-19 lockdown </w:t>
      </w:r>
      <w:r w:rsidRPr="003D73C3">
        <w:rPr>
          <w:szCs w:val="18"/>
          <w:lang w:val="en-US"/>
        </w:rPr>
        <w:t>(S. Goldsworthy</w:t>
      </w:r>
      <w:r w:rsidR="006761D2" w:rsidRPr="003D73C3">
        <w:rPr>
          <w:szCs w:val="18"/>
          <w:lang w:val="en-US"/>
        </w:rPr>
        <w:t>, pers comm,</w:t>
      </w:r>
      <w:r w:rsidR="005208DB" w:rsidRPr="003D73C3">
        <w:rPr>
          <w:szCs w:val="18"/>
          <w:lang w:val="en-US"/>
        </w:rPr>
        <w:t xml:space="preserve"> 2022</w:t>
      </w:r>
      <w:r w:rsidR="00724C12" w:rsidRPr="003D73C3">
        <w:rPr>
          <w:szCs w:val="18"/>
          <w:lang w:val="en-US"/>
        </w:rPr>
        <w:t>)</w:t>
      </w:r>
      <w:r w:rsidR="005208DB" w:rsidRPr="003D73C3">
        <w:rPr>
          <w:szCs w:val="18"/>
          <w:lang w:val="en-US"/>
        </w:rPr>
        <w:t>.</w:t>
      </w:r>
    </w:p>
    <w:p w14:paraId="1CA2CBA4" w14:textId="0BC5D5C9" w:rsidR="006761D2" w:rsidRPr="003D73C3" w:rsidRDefault="006761D2" w:rsidP="006761D2">
      <w:pPr>
        <w:spacing w:line="300" w:lineRule="atLeast"/>
        <w:jc w:val="both"/>
        <w:rPr>
          <w:szCs w:val="18"/>
          <w:lang w:val="en-US"/>
        </w:rPr>
      </w:pPr>
      <w:r w:rsidRPr="003D73C3">
        <w:rPr>
          <w:szCs w:val="18"/>
          <w:lang w:val="en-US"/>
        </w:rPr>
        <w:t xml:space="preserve">The </w:t>
      </w:r>
      <w:r w:rsidR="00DD78DD" w:rsidRPr="003D73C3">
        <w:rPr>
          <w:szCs w:val="18"/>
          <w:lang w:val="en-US"/>
        </w:rPr>
        <w:t>2012</w:t>
      </w:r>
      <w:r w:rsidRPr="003D73C3">
        <w:rPr>
          <w:szCs w:val="18"/>
          <w:lang w:val="en-US"/>
        </w:rPr>
        <w:t xml:space="preserve"> </w:t>
      </w:r>
      <w:r w:rsidR="00B237BB" w:rsidRPr="003D73C3">
        <w:rPr>
          <w:szCs w:val="18"/>
          <w:lang w:val="en-US"/>
        </w:rPr>
        <w:t xml:space="preserve">and 2016 </w:t>
      </w:r>
      <w:r w:rsidRPr="003D73C3">
        <w:rPr>
          <w:szCs w:val="18"/>
          <w:lang w:val="en-US"/>
        </w:rPr>
        <w:t>Inventory estimates for this source category were based on the UNEP Toolkit default factors of 0.007 µg TEQ per tonne of asphalt for emissions to air, and 0.06 µg TEQ per tonne of asphalt for releases in residues (1 µg TEQ/tonne = 1 x 10</w:t>
      </w:r>
      <w:r w:rsidRPr="003D73C3">
        <w:rPr>
          <w:szCs w:val="18"/>
          <w:vertAlign w:val="superscript"/>
          <w:lang w:val="en-US"/>
        </w:rPr>
        <w:t>-6</w:t>
      </w:r>
      <w:r w:rsidRPr="003D73C3">
        <w:rPr>
          <w:szCs w:val="18"/>
          <w:lang w:val="en-US"/>
        </w:rPr>
        <w:t xml:space="preserve"> g TEQ/tonne). However, the latter factor was only applied to 50% of the total production, because in about half of the plants the dust collected in the air pollution control equipment is recycled back to the process. The same factors have been applied to the current estimates.</w:t>
      </w:r>
    </w:p>
    <w:p w14:paraId="2C6B25FA" w14:textId="7DB682B5" w:rsidR="006761D2" w:rsidRPr="003D73C3" w:rsidRDefault="00DD78DD" w:rsidP="006761D2">
      <w:pPr>
        <w:spacing w:line="300" w:lineRule="atLeast"/>
        <w:jc w:val="both"/>
        <w:rPr>
          <w:szCs w:val="18"/>
        </w:rPr>
      </w:pPr>
      <w:r w:rsidRPr="003D73C3">
        <w:rPr>
          <w:szCs w:val="18"/>
        </w:rPr>
        <w:t>The 2016</w:t>
      </w:r>
      <w:r w:rsidR="006761D2" w:rsidRPr="003D73C3">
        <w:rPr>
          <w:szCs w:val="18"/>
        </w:rPr>
        <w:t xml:space="preserve"> release estimates for asphalt production are shown in </w:t>
      </w:r>
      <w:r w:rsidR="006761D2" w:rsidRPr="003D73C3">
        <w:rPr>
          <w:szCs w:val="18"/>
        </w:rPr>
        <w:fldChar w:fldCharType="begin"/>
      </w:r>
      <w:r w:rsidR="006761D2" w:rsidRPr="003D73C3">
        <w:rPr>
          <w:szCs w:val="18"/>
        </w:rPr>
        <w:instrText xml:space="preserve"> REF _Ref359760921 \h  \* MERGEFORMAT </w:instrText>
      </w:r>
      <w:r w:rsidR="006761D2" w:rsidRPr="003D73C3">
        <w:rPr>
          <w:szCs w:val="18"/>
        </w:rPr>
      </w:r>
      <w:r w:rsidR="006761D2" w:rsidRPr="003D73C3">
        <w:rPr>
          <w:szCs w:val="18"/>
        </w:rPr>
        <w:fldChar w:fldCharType="separate"/>
      </w:r>
      <w:r w:rsidR="00141D7F" w:rsidRPr="00141D7F">
        <w:t xml:space="preserve">Table </w:t>
      </w:r>
      <w:r w:rsidR="00141D7F" w:rsidRPr="00141D7F">
        <w:rPr>
          <w:noProof/>
        </w:rPr>
        <w:t>6</w:t>
      </w:r>
      <w:r w:rsidR="00141D7F" w:rsidRPr="00141D7F">
        <w:rPr>
          <w:noProof/>
        </w:rPr>
        <w:noBreakHyphen/>
        <w:t>6</w:t>
      </w:r>
      <w:r w:rsidR="006761D2" w:rsidRPr="003D73C3">
        <w:rPr>
          <w:szCs w:val="18"/>
        </w:rPr>
        <w:fldChar w:fldCharType="end"/>
      </w:r>
      <w:r w:rsidR="002D1BC7" w:rsidRPr="003D73C3">
        <w:rPr>
          <w:szCs w:val="18"/>
        </w:rPr>
        <w:t xml:space="preserve"> along with the estimates for 2012</w:t>
      </w:r>
      <w:r w:rsidR="00B237BB" w:rsidRPr="003D73C3">
        <w:rPr>
          <w:szCs w:val="18"/>
        </w:rPr>
        <w:t xml:space="preserve"> and 2016.</w:t>
      </w:r>
    </w:p>
    <w:p w14:paraId="259CA1AB" w14:textId="77EAE380" w:rsidR="006761D2" w:rsidRPr="003D73C3" w:rsidRDefault="006761D2" w:rsidP="006761D2">
      <w:pPr>
        <w:pStyle w:val="Caption"/>
        <w:jc w:val="left"/>
        <w:rPr>
          <w:rFonts w:cs="Arial"/>
          <w:szCs w:val="18"/>
        </w:rPr>
      </w:pPr>
      <w:bookmarkStart w:id="242" w:name="_Ref359760921"/>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6</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6</w:t>
      </w:r>
      <w:r w:rsidRPr="003D73C3">
        <w:rPr>
          <w:rFonts w:cs="Arial"/>
        </w:rPr>
        <w:fldChar w:fldCharType="end"/>
      </w:r>
      <w:bookmarkEnd w:id="242"/>
      <w:r w:rsidRPr="003D73C3">
        <w:rPr>
          <w:rFonts w:cs="Arial"/>
        </w:rPr>
        <w:t>: Dioxin releases from asphalt production</w:t>
      </w:r>
    </w:p>
    <w:tbl>
      <w:tblPr>
        <w:tblStyle w:val="TableGrid"/>
        <w:tblW w:w="0" w:type="auto"/>
        <w:tblLook w:val="04A0" w:firstRow="1" w:lastRow="0" w:firstColumn="1" w:lastColumn="0" w:noHBand="0" w:noVBand="1"/>
      </w:tblPr>
      <w:tblGrid>
        <w:gridCol w:w="798"/>
        <w:gridCol w:w="2040"/>
        <w:gridCol w:w="1644"/>
        <w:gridCol w:w="1227"/>
        <w:gridCol w:w="1250"/>
        <w:gridCol w:w="1020"/>
        <w:gridCol w:w="1082"/>
      </w:tblGrid>
      <w:tr w:rsidR="006761D2" w:rsidRPr="00B237BB" w14:paraId="20F229B0" w14:textId="77777777" w:rsidTr="00944F46">
        <w:tc>
          <w:tcPr>
            <w:tcW w:w="798" w:type="dxa"/>
            <w:vMerge w:val="restart"/>
            <w:vAlign w:val="center"/>
          </w:tcPr>
          <w:p w14:paraId="04F2D94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040" w:type="dxa"/>
            <w:vMerge w:val="restart"/>
            <w:vAlign w:val="center"/>
          </w:tcPr>
          <w:p w14:paraId="7386C04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Activity</w:t>
            </w:r>
          </w:p>
        </w:tc>
        <w:tc>
          <w:tcPr>
            <w:tcW w:w="1644" w:type="dxa"/>
            <w:vMerge w:val="restart"/>
            <w:vAlign w:val="center"/>
          </w:tcPr>
          <w:p w14:paraId="138A4553"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43" w:name="_Int_m0OG7COD"/>
            <w:r w:rsidRPr="0C34660A">
              <w:rPr>
                <w:rFonts w:ascii="Arial" w:hAnsi="Arial" w:cs="Arial"/>
                <w:b/>
                <w:bCs/>
                <w:sz w:val="16"/>
                <w:szCs w:val="16"/>
              </w:rPr>
              <w:t>tonnes</w:t>
            </w:r>
            <w:bookmarkEnd w:id="243"/>
            <w:r w:rsidRPr="0C34660A">
              <w:rPr>
                <w:rFonts w:ascii="Arial" w:hAnsi="Arial" w:cs="Arial"/>
                <w:b/>
                <w:bCs/>
                <w:sz w:val="16"/>
                <w:szCs w:val="16"/>
              </w:rPr>
              <w:t xml:space="preserve"> of asphalt)</w:t>
            </w:r>
          </w:p>
        </w:tc>
        <w:tc>
          <w:tcPr>
            <w:tcW w:w="2477" w:type="dxa"/>
            <w:gridSpan w:val="2"/>
            <w:vAlign w:val="center"/>
          </w:tcPr>
          <w:p w14:paraId="3A922E2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asphalt)</w:t>
            </w:r>
          </w:p>
        </w:tc>
        <w:tc>
          <w:tcPr>
            <w:tcW w:w="2102" w:type="dxa"/>
            <w:gridSpan w:val="2"/>
            <w:vAlign w:val="center"/>
          </w:tcPr>
          <w:p w14:paraId="1502A14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B237BB" w14:paraId="55E7CD58" w14:textId="77777777" w:rsidTr="00E95BD6">
        <w:tc>
          <w:tcPr>
            <w:tcW w:w="798" w:type="dxa"/>
            <w:vMerge/>
          </w:tcPr>
          <w:p w14:paraId="05361950" w14:textId="77777777" w:rsidR="006761D2" w:rsidRPr="003D73C3" w:rsidRDefault="006761D2" w:rsidP="009F7DB8">
            <w:pPr>
              <w:spacing w:before="120"/>
              <w:jc w:val="both"/>
              <w:rPr>
                <w:rFonts w:ascii="Arial" w:hAnsi="Arial" w:cs="Arial"/>
                <w:sz w:val="16"/>
                <w:szCs w:val="18"/>
              </w:rPr>
            </w:pPr>
          </w:p>
        </w:tc>
        <w:tc>
          <w:tcPr>
            <w:tcW w:w="2040" w:type="dxa"/>
            <w:vMerge/>
            <w:vAlign w:val="center"/>
          </w:tcPr>
          <w:p w14:paraId="0775B369" w14:textId="77777777" w:rsidR="006761D2" w:rsidRPr="003D73C3" w:rsidRDefault="006761D2" w:rsidP="009F7DB8">
            <w:pPr>
              <w:spacing w:before="120"/>
              <w:jc w:val="center"/>
              <w:rPr>
                <w:rFonts w:ascii="Arial" w:hAnsi="Arial" w:cs="Arial"/>
                <w:sz w:val="16"/>
                <w:szCs w:val="18"/>
              </w:rPr>
            </w:pPr>
          </w:p>
        </w:tc>
        <w:tc>
          <w:tcPr>
            <w:tcW w:w="1644" w:type="dxa"/>
            <w:vMerge/>
            <w:vAlign w:val="center"/>
          </w:tcPr>
          <w:p w14:paraId="4970701A" w14:textId="77777777" w:rsidR="006761D2" w:rsidRPr="003D73C3" w:rsidRDefault="006761D2" w:rsidP="009F7DB8">
            <w:pPr>
              <w:spacing w:before="120"/>
              <w:jc w:val="center"/>
              <w:rPr>
                <w:rFonts w:ascii="Arial" w:hAnsi="Arial" w:cs="Arial"/>
                <w:sz w:val="16"/>
                <w:szCs w:val="18"/>
              </w:rPr>
            </w:pPr>
          </w:p>
        </w:tc>
        <w:tc>
          <w:tcPr>
            <w:tcW w:w="1227" w:type="dxa"/>
            <w:vAlign w:val="center"/>
          </w:tcPr>
          <w:p w14:paraId="79896EA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250" w:type="dxa"/>
            <w:vAlign w:val="center"/>
          </w:tcPr>
          <w:p w14:paraId="2868163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Residues</w:t>
            </w:r>
          </w:p>
        </w:tc>
        <w:tc>
          <w:tcPr>
            <w:tcW w:w="1020" w:type="dxa"/>
            <w:vAlign w:val="center"/>
          </w:tcPr>
          <w:p w14:paraId="3C29831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082" w:type="dxa"/>
            <w:vAlign w:val="center"/>
          </w:tcPr>
          <w:p w14:paraId="1F95EE68"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Residues</w:t>
            </w:r>
          </w:p>
        </w:tc>
      </w:tr>
      <w:tr w:rsidR="006761D2" w:rsidRPr="00B237BB" w14:paraId="5E548A6D" w14:textId="77777777" w:rsidTr="00E95BD6">
        <w:tc>
          <w:tcPr>
            <w:tcW w:w="798" w:type="dxa"/>
            <w:vMerge w:val="restart"/>
            <w:vAlign w:val="center"/>
          </w:tcPr>
          <w:p w14:paraId="38BD8056" w14:textId="22B701AB" w:rsidR="006761D2" w:rsidRPr="003D73C3" w:rsidRDefault="006761D2" w:rsidP="009F7DB8">
            <w:pPr>
              <w:spacing w:before="120"/>
              <w:rPr>
                <w:rFonts w:ascii="Arial" w:hAnsi="Arial" w:cs="Arial"/>
                <w:b/>
                <w:sz w:val="16"/>
                <w:szCs w:val="18"/>
              </w:rPr>
            </w:pPr>
            <w:r w:rsidRPr="003D73C3">
              <w:rPr>
                <w:rFonts w:ascii="Arial" w:hAnsi="Arial" w:cs="Arial"/>
                <w:b/>
                <w:sz w:val="16"/>
                <w:szCs w:val="18"/>
              </w:rPr>
              <w:t>2012</w:t>
            </w:r>
          </w:p>
        </w:tc>
        <w:tc>
          <w:tcPr>
            <w:tcW w:w="2040" w:type="dxa"/>
            <w:vAlign w:val="center"/>
          </w:tcPr>
          <w:p w14:paraId="58F13523" w14:textId="77777777" w:rsidR="006761D2" w:rsidRPr="003D73C3" w:rsidRDefault="006761D2" w:rsidP="009F7DB8">
            <w:pPr>
              <w:spacing w:before="120"/>
              <w:rPr>
                <w:rFonts w:ascii="Arial" w:hAnsi="Arial" w:cs="Arial"/>
                <w:sz w:val="16"/>
                <w:szCs w:val="18"/>
              </w:rPr>
            </w:pPr>
            <w:r w:rsidRPr="003D73C3">
              <w:rPr>
                <w:rFonts w:ascii="Arial" w:hAnsi="Arial" w:cs="Arial"/>
                <w:sz w:val="16"/>
                <w:szCs w:val="18"/>
              </w:rPr>
              <w:t>Asphalt production</w:t>
            </w:r>
          </w:p>
        </w:tc>
        <w:tc>
          <w:tcPr>
            <w:tcW w:w="1644" w:type="dxa"/>
            <w:vAlign w:val="center"/>
          </w:tcPr>
          <w:p w14:paraId="38906E03"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850,000</w:t>
            </w:r>
          </w:p>
        </w:tc>
        <w:tc>
          <w:tcPr>
            <w:tcW w:w="1227" w:type="dxa"/>
            <w:vAlign w:val="center"/>
          </w:tcPr>
          <w:p w14:paraId="17D92AF4"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0.007</w:t>
            </w:r>
          </w:p>
        </w:tc>
        <w:tc>
          <w:tcPr>
            <w:tcW w:w="1250" w:type="dxa"/>
            <w:vAlign w:val="center"/>
          </w:tcPr>
          <w:p w14:paraId="01519F85"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w:t>
            </w:r>
          </w:p>
        </w:tc>
        <w:tc>
          <w:tcPr>
            <w:tcW w:w="1020" w:type="dxa"/>
            <w:vAlign w:val="center"/>
          </w:tcPr>
          <w:p w14:paraId="336172BB"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0.006</w:t>
            </w:r>
          </w:p>
        </w:tc>
        <w:tc>
          <w:tcPr>
            <w:tcW w:w="1082" w:type="dxa"/>
            <w:vAlign w:val="center"/>
          </w:tcPr>
          <w:p w14:paraId="3C7B395D"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w:t>
            </w:r>
          </w:p>
        </w:tc>
      </w:tr>
      <w:tr w:rsidR="006761D2" w:rsidRPr="00B237BB" w14:paraId="1CBAE194" w14:textId="77777777" w:rsidTr="00E95BD6">
        <w:tc>
          <w:tcPr>
            <w:tcW w:w="798" w:type="dxa"/>
            <w:vMerge/>
            <w:vAlign w:val="center"/>
          </w:tcPr>
          <w:p w14:paraId="6C4F4D77" w14:textId="77777777" w:rsidR="006761D2" w:rsidRPr="003D73C3" w:rsidRDefault="006761D2" w:rsidP="009F7DB8">
            <w:pPr>
              <w:spacing w:before="120"/>
              <w:rPr>
                <w:rFonts w:ascii="Arial" w:hAnsi="Arial" w:cs="Arial"/>
                <w:b/>
                <w:sz w:val="16"/>
                <w:szCs w:val="18"/>
              </w:rPr>
            </w:pPr>
          </w:p>
        </w:tc>
        <w:tc>
          <w:tcPr>
            <w:tcW w:w="2040" w:type="dxa"/>
            <w:vAlign w:val="center"/>
          </w:tcPr>
          <w:p w14:paraId="395BAE37" w14:textId="77777777" w:rsidR="006761D2" w:rsidRPr="003D73C3" w:rsidRDefault="006761D2" w:rsidP="009F7DB8">
            <w:pPr>
              <w:spacing w:before="120"/>
              <w:rPr>
                <w:rFonts w:ascii="Arial" w:hAnsi="Arial" w:cs="Arial"/>
                <w:sz w:val="16"/>
                <w:szCs w:val="18"/>
              </w:rPr>
            </w:pPr>
            <w:r w:rsidRPr="003D73C3">
              <w:rPr>
                <w:rFonts w:ascii="Arial" w:hAnsi="Arial" w:cs="Arial"/>
                <w:sz w:val="16"/>
                <w:szCs w:val="18"/>
              </w:rPr>
              <w:t>Plant residues (dust)</w:t>
            </w:r>
          </w:p>
        </w:tc>
        <w:tc>
          <w:tcPr>
            <w:tcW w:w="1644" w:type="dxa"/>
            <w:vAlign w:val="center"/>
          </w:tcPr>
          <w:p w14:paraId="0D3741AF"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50% of the above</w:t>
            </w:r>
          </w:p>
        </w:tc>
        <w:tc>
          <w:tcPr>
            <w:tcW w:w="1227" w:type="dxa"/>
            <w:vAlign w:val="center"/>
          </w:tcPr>
          <w:p w14:paraId="1BDF97EA"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w:t>
            </w:r>
          </w:p>
        </w:tc>
        <w:tc>
          <w:tcPr>
            <w:tcW w:w="1250" w:type="dxa"/>
            <w:vAlign w:val="center"/>
          </w:tcPr>
          <w:p w14:paraId="6BD3AE78"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0.06</w:t>
            </w:r>
          </w:p>
        </w:tc>
        <w:tc>
          <w:tcPr>
            <w:tcW w:w="1020" w:type="dxa"/>
            <w:vAlign w:val="center"/>
          </w:tcPr>
          <w:p w14:paraId="32D90FDB"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w:t>
            </w:r>
          </w:p>
        </w:tc>
        <w:tc>
          <w:tcPr>
            <w:tcW w:w="1082" w:type="dxa"/>
            <w:vAlign w:val="center"/>
          </w:tcPr>
          <w:p w14:paraId="4C420B5E"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0.026</w:t>
            </w:r>
          </w:p>
        </w:tc>
      </w:tr>
      <w:tr w:rsidR="00DD78DD" w:rsidRPr="00B237BB" w14:paraId="03FC745B" w14:textId="77777777" w:rsidTr="00E95BD6">
        <w:trPr>
          <w:trHeight w:val="162"/>
        </w:trPr>
        <w:tc>
          <w:tcPr>
            <w:tcW w:w="798" w:type="dxa"/>
            <w:vMerge w:val="restart"/>
            <w:vAlign w:val="center"/>
          </w:tcPr>
          <w:p w14:paraId="7ECE343E" w14:textId="61C7CF8A" w:rsidR="00DD78DD" w:rsidRPr="003D73C3" w:rsidRDefault="00DD78DD" w:rsidP="009F7DB8">
            <w:pPr>
              <w:spacing w:before="120"/>
              <w:rPr>
                <w:rFonts w:ascii="Arial" w:hAnsi="Arial" w:cs="Arial"/>
                <w:b/>
                <w:sz w:val="16"/>
                <w:szCs w:val="18"/>
              </w:rPr>
            </w:pPr>
            <w:r w:rsidRPr="003D73C3">
              <w:rPr>
                <w:rFonts w:ascii="Arial" w:hAnsi="Arial" w:cs="Arial"/>
                <w:b/>
                <w:sz w:val="16"/>
                <w:szCs w:val="18"/>
              </w:rPr>
              <w:t>2016</w:t>
            </w:r>
          </w:p>
        </w:tc>
        <w:tc>
          <w:tcPr>
            <w:tcW w:w="2040" w:type="dxa"/>
            <w:vAlign w:val="center"/>
          </w:tcPr>
          <w:p w14:paraId="47B72031" w14:textId="0A3E9480" w:rsidR="00DD78DD" w:rsidRPr="003D73C3" w:rsidRDefault="00DD78DD" w:rsidP="009F7DB8">
            <w:pPr>
              <w:spacing w:before="120"/>
              <w:rPr>
                <w:rFonts w:ascii="Arial" w:hAnsi="Arial" w:cs="Arial"/>
                <w:sz w:val="16"/>
                <w:szCs w:val="18"/>
              </w:rPr>
            </w:pPr>
            <w:r w:rsidRPr="003D73C3">
              <w:rPr>
                <w:rFonts w:ascii="Arial" w:hAnsi="Arial" w:cs="Arial"/>
                <w:sz w:val="16"/>
                <w:szCs w:val="18"/>
              </w:rPr>
              <w:t>Asphalt production</w:t>
            </w:r>
          </w:p>
        </w:tc>
        <w:tc>
          <w:tcPr>
            <w:tcW w:w="1644" w:type="dxa"/>
            <w:vAlign w:val="center"/>
          </w:tcPr>
          <w:p w14:paraId="575AC068" w14:textId="662C3ED0"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1,400,000</w:t>
            </w:r>
          </w:p>
        </w:tc>
        <w:tc>
          <w:tcPr>
            <w:tcW w:w="1227" w:type="dxa"/>
            <w:vAlign w:val="center"/>
          </w:tcPr>
          <w:p w14:paraId="4F942FFF" w14:textId="4A72B091"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0.007</w:t>
            </w:r>
          </w:p>
        </w:tc>
        <w:tc>
          <w:tcPr>
            <w:tcW w:w="1250" w:type="dxa"/>
            <w:vAlign w:val="center"/>
          </w:tcPr>
          <w:p w14:paraId="030217CA" w14:textId="77777777" w:rsidR="00DD78DD" w:rsidRPr="003D73C3" w:rsidRDefault="00DD78DD" w:rsidP="009F7DB8">
            <w:pPr>
              <w:spacing w:before="120"/>
              <w:jc w:val="center"/>
              <w:rPr>
                <w:rFonts w:ascii="Arial" w:hAnsi="Arial" w:cs="Arial"/>
                <w:sz w:val="16"/>
                <w:szCs w:val="18"/>
              </w:rPr>
            </w:pPr>
          </w:p>
        </w:tc>
        <w:tc>
          <w:tcPr>
            <w:tcW w:w="1020" w:type="dxa"/>
            <w:vAlign w:val="center"/>
          </w:tcPr>
          <w:p w14:paraId="0257652C" w14:textId="07F53585"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0.0098</w:t>
            </w:r>
          </w:p>
        </w:tc>
        <w:tc>
          <w:tcPr>
            <w:tcW w:w="1082" w:type="dxa"/>
            <w:vAlign w:val="center"/>
          </w:tcPr>
          <w:p w14:paraId="6DD0F2B8" w14:textId="77777777" w:rsidR="00DD78DD" w:rsidRPr="003D73C3" w:rsidRDefault="00DD78DD" w:rsidP="009F7DB8">
            <w:pPr>
              <w:spacing w:before="120"/>
              <w:jc w:val="center"/>
              <w:rPr>
                <w:rFonts w:ascii="Arial" w:hAnsi="Arial" w:cs="Arial"/>
                <w:sz w:val="16"/>
                <w:szCs w:val="18"/>
              </w:rPr>
            </w:pPr>
          </w:p>
        </w:tc>
      </w:tr>
      <w:tr w:rsidR="00DD78DD" w:rsidRPr="00B237BB" w14:paraId="14C17C94" w14:textId="77777777" w:rsidTr="00E95BD6">
        <w:trPr>
          <w:trHeight w:val="161"/>
        </w:trPr>
        <w:tc>
          <w:tcPr>
            <w:tcW w:w="798" w:type="dxa"/>
            <w:vMerge/>
            <w:vAlign w:val="center"/>
          </w:tcPr>
          <w:p w14:paraId="297C801B" w14:textId="77777777" w:rsidR="00DD78DD" w:rsidRPr="003D73C3" w:rsidRDefault="00DD78DD" w:rsidP="009F7DB8">
            <w:pPr>
              <w:spacing w:before="120"/>
              <w:rPr>
                <w:rFonts w:ascii="Arial" w:hAnsi="Arial" w:cs="Arial"/>
                <w:b/>
                <w:sz w:val="16"/>
                <w:szCs w:val="18"/>
              </w:rPr>
            </w:pPr>
          </w:p>
        </w:tc>
        <w:tc>
          <w:tcPr>
            <w:tcW w:w="2040" w:type="dxa"/>
            <w:vAlign w:val="center"/>
          </w:tcPr>
          <w:p w14:paraId="284B51B8" w14:textId="1DD3A322" w:rsidR="00DD78DD" w:rsidRPr="003D73C3" w:rsidRDefault="00DD78DD" w:rsidP="009F7DB8">
            <w:pPr>
              <w:spacing w:before="120"/>
              <w:rPr>
                <w:rFonts w:ascii="Arial" w:hAnsi="Arial" w:cs="Arial"/>
                <w:sz w:val="16"/>
                <w:szCs w:val="18"/>
              </w:rPr>
            </w:pPr>
            <w:r w:rsidRPr="003D73C3">
              <w:rPr>
                <w:rFonts w:ascii="Arial" w:hAnsi="Arial" w:cs="Arial"/>
                <w:sz w:val="16"/>
                <w:szCs w:val="18"/>
              </w:rPr>
              <w:t>Plant residues (dust)</w:t>
            </w:r>
          </w:p>
        </w:tc>
        <w:tc>
          <w:tcPr>
            <w:tcW w:w="1644" w:type="dxa"/>
            <w:vAlign w:val="center"/>
          </w:tcPr>
          <w:p w14:paraId="6C8AC560" w14:textId="6EBF7D40"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50% of the above</w:t>
            </w:r>
          </w:p>
        </w:tc>
        <w:tc>
          <w:tcPr>
            <w:tcW w:w="1227" w:type="dxa"/>
            <w:vAlign w:val="center"/>
          </w:tcPr>
          <w:p w14:paraId="22C2E34C" w14:textId="77777777" w:rsidR="00DD78DD" w:rsidRPr="003D73C3" w:rsidRDefault="00DD78DD" w:rsidP="009F7DB8">
            <w:pPr>
              <w:spacing w:before="120"/>
              <w:jc w:val="center"/>
              <w:rPr>
                <w:rFonts w:ascii="Arial" w:hAnsi="Arial" w:cs="Arial"/>
                <w:sz w:val="16"/>
                <w:szCs w:val="18"/>
              </w:rPr>
            </w:pPr>
          </w:p>
        </w:tc>
        <w:tc>
          <w:tcPr>
            <w:tcW w:w="1250" w:type="dxa"/>
            <w:vAlign w:val="center"/>
          </w:tcPr>
          <w:p w14:paraId="299691FC" w14:textId="2CEC7FF2"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0.06</w:t>
            </w:r>
          </w:p>
        </w:tc>
        <w:tc>
          <w:tcPr>
            <w:tcW w:w="1020" w:type="dxa"/>
            <w:vAlign w:val="center"/>
          </w:tcPr>
          <w:p w14:paraId="106B2CF1" w14:textId="77777777" w:rsidR="00DD78DD" w:rsidRPr="003D73C3" w:rsidRDefault="00DD78DD" w:rsidP="009F7DB8">
            <w:pPr>
              <w:spacing w:before="120"/>
              <w:jc w:val="center"/>
              <w:rPr>
                <w:rFonts w:ascii="Arial" w:hAnsi="Arial" w:cs="Arial"/>
                <w:sz w:val="16"/>
                <w:szCs w:val="18"/>
              </w:rPr>
            </w:pPr>
          </w:p>
        </w:tc>
        <w:tc>
          <w:tcPr>
            <w:tcW w:w="1082" w:type="dxa"/>
            <w:vAlign w:val="center"/>
          </w:tcPr>
          <w:p w14:paraId="7AA7DC75" w14:textId="6512D12F" w:rsidR="00DD78DD" w:rsidRPr="003D73C3" w:rsidRDefault="00DD78DD" w:rsidP="009F7DB8">
            <w:pPr>
              <w:spacing w:before="120"/>
              <w:jc w:val="center"/>
              <w:rPr>
                <w:rFonts w:ascii="Arial" w:hAnsi="Arial" w:cs="Arial"/>
                <w:sz w:val="16"/>
                <w:szCs w:val="18"/>
              </w:rPr>
            </w:pPr>
            <w:r w:rsidRPr="003D73C3">
              <w:rPr>
                <w:rFonts w:ascii="Arial" w:hAnsi="Arial" w:cs="Arial"/>
                <w:sz w:val="16"/>
                <w:szCs w:val="18"/>
              </w:rPr>
              <w:t>0.042</w:t>
            </w:r>
          </w:p>
        </w:tc>
      </w:tr>
      <w:tr w:rsidR="00B237BB" w:rsidRPr="00B237BB" w14:paraId="6185617C" w14:textId="77777777" w:rsidTr="00E95BD6">
        <w:trPr>
          <w:trHeight w:val="161"/>
        </w:trPr>
        <w:tc>
          <w:tcPr>
            <w:tcW w:w="798" w:type="dxa"/>
            <w:vMerge w:val="restart"/>
            <w:vAlign w:val="center"/>
          </w:tcPr>
          <w:p w14:paraId="6158566A" w14:textId="3CD8A14E" w:rsidR="00B237BB" w:rsidRPr="003D73C3" w:rsidRDefault="00B237BB" w:rsidP="00B237BB">
            <w:pPr>
              <w:spacing w:before="120"/>
              <w:rPr>
                <w:rFonts w:ascii="Arial" w:hAnsi="Arial" w:cs="Arial"/>
                <w:b/>
                <w:sz w:val="16"/>
                <w:szCs w:val="18"/>
              </w:rPr>
            </w:pPr>
            <w:r w:rsidRPr="003D73C3">
              <w:rPr>
                <w:rFonts w:ascii="Arial" w:hAnsi="Arial" w:cs="Arial"/>
                <w:b/>
                <w:sz w:val="16"/>
                <w:szCs w:val="18"/>
              </w:rPr>
              <w:t>2020</w:t>
            </w:r>
          </w:p>
        </w:tc>
        <w:tc>
          <w:tcPr>
            <w:tcW w:w="2040" w:type="dxa"/>
            <w:vAlign w:val="center"/>
          </w:tcPr>
          <w:p w14:paraId="14F8054A" w14:textId="1E07B6A7" w:rsidR="00B237BB" w:rsidRPr="003D73C3" w:rsidRDefault="00B237BB" w:rsidP="00B237BB">
            <w:pPr>
              <w:spacing w:before="120"/>
              <w:rPr>
                <w:rFonts w:ascii="Arial" w:hAnsi="Arial" w:cs="Arial"/>
                <w:sz w:val="16"/>
                <w:szCs w:val="18"/>
              </w:rPr>
            </w:pPr>
            <w:r w:rsidRPr="00604E4D">
              <w:rPr>
                <w:rFonts w:ascii="Arial" w:hAnsi="Arial" w:cs="Arial"/>
                <w:sz w:val="16"/>
                <w:szCs w:val="18"/>
              </w:rPr>
              <w:t>Asphalt production</w:t>
            </w:r>
          </w:p>
        </w:tc>
        <w:tc>
          <w:tcPr>
            <w:tcW w:w="1644" w:type="dxa"/>
            <w:vAlign w:val="center"/>
          </w:tcPr>
          <w:p w14:paraId="09EFA720" w14:textId="79DF3C2D" w:rsidR="00B237BB" w:rsidRPr="003D73C3" w:rsidRDefault="00B237BB" w:rsidP="00B237BB">
            <w:pPr>
              <w:spacing w:before="120"/>
              <w:jc w:val="center"/>
              <w:rPr>
                <w:rFonts w:ascii="Arial" w:hAnsi="Arial" w:cs="Arial"/>
                <w:sz w:val="16"/>
                <w:szCs w:val="18"/>
              </w:rPr>
            </w:pPr>
            <w:r w:rsidRPr="00604E4D">
              <w:rPr>
                <w:rFonts w:ascii="Arial" w:hAnsi="Arial" w:cs="Arial"/>
                <w:sz w:val="16"/>
                <w:szCs w:val="18"/>
              </w:rPr>
              <w:t>1,</w:t>
            </w:r>
            <w:r>
              <w:rPr>
                <w:rFonts w:ascii="Arial" w:hAnsi="Arial" w:cs="Arial"/>
                <w:sz w:val="16"/>
                <w:szCs w:val="18"/>
              </w:rPr>
              <w:t>570</w:t>
            </w:r>
            <w:r w:rsidRPr="00604E4D">
              <w:rPr>
                <w:rFonts w:ascii="Arial" w:hAnsi="Arial" w:cs="Arial"/>
                <w:sz w:val="16"/>
                <w:szCs w:val="18"/>
              </w:rPr>
              <w:t>,000</w:t>
            </w:r>
          </w:p>
        </w:tc>
        <w:tc>
          <w:tcPr>
            <w:tcW w:w="1227" w:type="dxa"/>
            <w:vAlign w:val="center"/>
          </w:tcPr>
          <w:p w14:paraId="49EB35CA" w14:textId="2466ABBB" w:rsidR="00B237BB" w:rsidRPr="003D73C3" w:rsidRDefault="00B237BB" w:rsidP="00B237BB">
            <w:pPr>
              <w:spacing w:before="120"/>
              <w:jc w:val="center"/>
              <w:rPr>
                <w:rFonts w:ascii="Arial" w:hAnsi="Arial" w:cs="Arial"/>
                <w:sz w:val="16"/>
                <w:szCs w:val="18"/>
              </w:rPr>
            </w:pPr>
            <w:r w:rsidRPr="00604E4D">
              <w:rPr>
                <w:rFonts w:ascii="Arial" w:hAnsi="Arial" w:cs="Arial"/>
                <w:sz w:val="16"/>
                <w:szCs w:val="18"/>
              </w:rPr>
              <w:t>0.007</w:t>
            </w:r>
          </w:p>
        </w:tc>
        <w:tc>
          <w:tcPr>
            <w:tcW w:w="1250" w:type="dxa"/>
            <w:vAlign w:val="center"/>
          </w:tcPr>
          <w:p w14:paraId="5F7B64F1" w14:textId="77777777" w:rsidR="00B237BB" w:rsidRPr="003D73C3" w:rsidRDefault="00B237BB" w:rsidP="00B237BB">
            <w:pPr>
              <w:spacing w:before="120"/>
              <w:jc w:val="center"/>
              <w:rPr>
                <w:rFonts w:ascii="Arial" w:hAnsi="Arial" w:cs="Arial"/>
                <w:sz w:val="16"/>
                <w:szCs w:val="18"/>
              </w:rPr>
            </w:pPr>
          </w:p>
        </w:tc>
        <w:tc>
          <w:tcPr>
            <w:tcW w:w="1020" w:type="dxa"/>
            <w:vAlign w:val="center"/>
          </w:tcPr>
          <w:p w14:paraId="1BDC543C" w14:textId="2F5E0C3B" w:rsidR="00B237BB" w:rsidRPr="003D73C3" w:rsidRDefault="00B237BB" w:rsidP="00B237BB">
            <w:pPr>
              <w:spacing w:before="120"/>
              <w:jc w:val="center"/>
              <w:rPr>
                <w:rFonts w:ascii="Arial" w:hAnsi="Arial" w:cs="Arial"/>
                <w:sz w:val="16"/>
                <w:szCs w:val="18"/>
              </w:rPr>
            </w:pPr>
            <w:r>
              <w:rPr>
                <w:rFonts w:ascii="Arial" w:hAnsi="Arial" w:cs="Arial"/>
                <w:sz w:val="16"/>
                <w:szCs w:val="18"/>
              </w:rPr>
              <w:t>0.0110</w:t>
            </w:r>
          </w:p>
        </w:tc>
        <w:tc>
          <w:tcPr>
            <w:tcW w:w="1082" w:type="dxa"/>
            <w:vAlign w:val="center"/>
          </w:tcPr>
          <w:p w14:paraId="6E983DBD" w14:textId="77777777" w:rsidR="00B237BB" w:rsidRPr="003D73C3" w:rsidRDefault="00B237BB" w:rsidP="00B237BB">
            <w:pPr>
              <w:spacing w:before="120"/>
              <w:jc w:val="center"/>
              <w:rPr>
                <w:rFonts w:ascii="Arial" w:hAnsi="Arial" w:cs="Arial"/>
                <w:sz w:val="16"/>
                <w:szCs w:val="18"/>
              </w:rPr>
            </w:pPr>
          </w:p>
        </w:tc>
      </w:tr>
      <w:tr w:rsidR="00B237BB" w:rsidRPr="00B237BB" w14:paraId="5E157F50" w14:textId="77777777" w:rsidTr="00E95BD6">
        <w:trPr>
          <w:trHeight w:val="161"/>
        </w:trPr>
        <w:tc>
          <w:tcPr>
            <w:tcW w:w="798" w:type="dxa"/>
            <w:vMerge/>
            <w:vAlign w:val="center"/>
          </w:tcPr>
          <w:p w14:paraId="78D060B1" w14:textId="77777777" w:rsidR="00B237BB" w:rsidRPr="003D73C3" w:rsidRDefault="00B237BB" w:rsidP="00B237BB">
            <w:pPr>
              <w:spacing w:before="120"/>
              <w:rPr>
                <w:rFonts w:ascii="Arial" w:hAnsi="Arial" w:cs="Arial"/>
                <w:b/>
                <w:sz w:val="16"/>
                <w:szCs w:val="18"/>
              </w:rPr>
            </w:pPr>
          </w:p>
        </w:tc>
        <w:tc>
          <w:tcPr>
            <w:tcW w:w="2040" w:type="dxa"/>
            <w:vAlign w:val="center"/>
          </w:tcPr>
          <w:p w14:paraId="6D1A6B72" w14:textId="11D6EFF1" w:rsidR="00B237BB" w:rsidRPr="003D73C3" w:rsidRDefault="00B237BB" w:rsidP="00B237BB">
            <w:pPr>
              <w:spacing w:before="120"/>
              <w:rPr>
                <w:rFonts w:ascii="Arial" w:hAnsi="Arial" w:cs="Arial"/>
                <w:sz w:val="16"/>
                <w:szCs w:val="18"/>
              </w:rPr>
            </w:pPr>
            <w:r w:rsidRPr="00604E4D">
              <w:rPr>
                <w:rFonts w:ascii="Arial" w:hAnsi="Arial" w:cs="Arial"/>
                <w:sz w:val="16"/>
                <w:szCs w:val="18"/>
              </w:rPr>
              <w:t>Plant residues (dust)</w:t>
            </w:r>
          </w:p>
        </w:tc>
        <w:tc>
          <w:tcPr>
            <w:tcW w:w="1644" w:type="dxa"/>
            <w:vAlign w:val="center"/>
          </w:tcPr>
          <w:p w14:paraId="2998EC14" w14:textId="7DBF9D34" w:rsidR="00B237BB" w:rsidRPr="003D73C3" w:rsidRDefault="00B237BB" w:rsidP="00B237BB">
            <w:pPr>
              <w:spacing w:before="120"/>
              <w:jc w:val="center"/>
              <w:rPr>
                <w:rFonts w:ascii="Arial" w:hAnsi="Arial" w:cs="Arial"/>
                <w:sz w:val="16"/>
                <w:szCs w:val="18"/>
              </w:rPr>
            </w:pPr>
            <w:r w:rsidRPr="00604E4D">
              <w:rPr>
                <w:rFonts w:ascii="Arial" w:hAnsi="Arial" w:cs="Arial"/>
                <w:sz w:val="16"/>
                <w:szCs w:val="18"/>
              </w:rPr>
              <w:t>50% of the above</w:t>
            </w:r>
          </w:p>
        </w:tc>
        <w:tc>
          <w:tcPr>
            <w:tcW w:w="1227" w:type="dxa"/>
            <w:vAlign w:val="center"/>
          </w:tcPr>
          <w:p w14:paraId="6AA571E3" w14:textId="77777777" w:rsidR="00B237BB" w:rsidRPr="003D73C3" w:rsidRDefault="00B237BB" w:rsidP="00B237BB">
            <w:pPr>
              <w:spacing w:before="120"/>
              <w:jc w:val="center"/>
              <w:rPr>
                <w:rFonts w:ascii="Arial" w:hAnsi="Arial" w:cs="Arial"/>
                <w:sz w:val="16"/>
                <w:szCs w:val="18"/>
              </w:rPr>
            </w:pPr>
          </w:p>
        </w:tc>
        <w:tc>
          <w:tcPr>
            <w:tcW w:w="1250" w:type="dxa"/>
            <w:vAlign w:val="center"/>
          </w:tcPr>
          <w:p w14:paraId="680EFB43" w14:textId="3AFEDDFC" w:rsidR="00B237BB" w:rsidRPr="003D73C3" w:rsidRDefault="00B237BB" w:rsidP="00B237BB">
            <w:pPr>
              <w:spacing w:before="120"/>
              <w:jc w:val="center"/>
              <w:rPr>
                <w:rFonts w:ascii="Arial" w:hAnsi="Arial" w:cs="Arial"/>
                <w:sz w:val="16"/>
                <w:szCs w:val="18"/>
              </w:rPr>
            </w:pPr>
            <w:r w:rsidRPr="00604E4D">
              <w:rPr>
                <w:rFonts w:ascii="Arial" w:hAnsi="Arial" w:cs="Arial"/>
                <w:sz w:val="16"/>
                <w:szCs w:val="18"/>
              </w:rPr>
              <w:t>0.06</w:t>
            </w:r>
          </w:p>
        </w:tc>
        <w:tc>
          <w:tcPr>
            <w:tcW w:w="1020" w:type="dxa"/>
            <w:vAlign w:val="center"/>
          </w:tcPr>
          <w:p w14:paraId="21CA2577" w14:textId="77777777" w:rsidR="00B237BB" w:rsidRPr="003D73C3" w:rsidRDefault="00B237BB" w:rsidP="00B237BB">
            <w:pPr>
              <w:spacing w:before="120"/>
              <w:jc w:val="center"/>
              <w:rPr>
                <w:rFonts w:ascii="Arial" w:hAnsi="Arial" w:cs="Arial"/>
                <w:sz w:val="16"/>
                <w:szCs w:val="18"/>
              </w:rPr>
            </w:pPr>
          </w:p>
        </w:tc>
        <w:tc>
          <w:tcPr>
            <w:tcW w:w="1082" w:type="dxa"/>
            <w:vAlign w:val="center"/>
          </w:tcPr>
          <w:p w14:paraId="630BFDD3" w14:textId="7FD6CE18" w:rsidR="00B237BB" w:rsidRPr="003D73C3" w:rsidRDefault="00B237BB" w:rsidP="00B237BB">
            <w:pPr>
              <w:spacing w:before="120"/>
              <w:jc w:val="center"/>
              <w:rPr>
                <w:rFonts w:ascii="Arial" w:hAnsi="Arial" w:cs="Arial"/>
                <w:sz w:val="16"/>
                <w:szCs w:val="18"/>
              </w:rPr>
            </w:pPr>
            <w:r>
              <w:rPr>
                <w:rFonts w:ascii="Arial" w:hAnsi="Arial" w:cs="Arial"/>
                <w:sz w:val="16"/>
                <w:szCs w:val="18"/>
              </w:rPr>
              <w:t>0.047</w:t>
            </w:r>
          </w:p>
        </w:tc>
      </w:tr>
    </w:tbl>
    <w:p w14:paraId="486CA8BB" w14:textId="45DB6A99" w:rsidR="006761D2" w:rsidRPr="003D73C3" w:rsidRDefault="00FB5B1C"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B237BB">
        <w:rPr>
          <w:rFonts w:ascii="Arial" w:hAnsi="Arial" w:cs="Arial"/>
          <w:b/>
          <w:szCs w:val="18"/>
        </w:rPr>
        <w:t>2020</w:t>
      </w:r>
    </w:p>
    <w:p w14:paraId="0B91F018"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Medium (because it is based on estimated production data)</w:t>
      </w:r>
    </w:p>
    <w:p w14:paraId="78B47A3E"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 and other published information)</w:t>
      </w:r>
    </w:p>
    <w:p w14:paraId="1230934F" w14:textId="77777777" w:rsidR="006761D2" w:rsidRPr="003D73C3" w:rsidRDefault="006761D2" w:rsidP="00261F78">
      <w:pPr>
        <w:pStyle w:val="Heading2"/>
      </w:pPr>
      <w:bookmarkStart w:id="244" w:name="_Toc112768110"/>
      <w:r w:rsidRPr="003D73C3">
        <w:t>Oil shale pyrolysis</w:t>
      </w:r>
      <w:bookmarkEnd w:id="244"/>
    </w:p>
    <w:p w14:paraId="6940DBB9" w14:textId="45473753" w:rsidR="00FE1A0E" w:rsidRDefault="006761D2" w:rsidP="00E27321">
      <w:pPr>
        <w:spacing w:line="300" w:lineRule="atLeast"/>
        <w:jc w:val="both"/>
        <w:rPr>
          <w:szCs w:val="18"/>
        </w:rPr>
      </w:pPr>
      <w:r w:rsidRPr="003D73C3">
        <w:rPr>
          <w:szCs w:val="18"/>
          <w:lang w:val="x-none"/>
        </w:rPr>
        <w:t>Oil</w:t>
      </w:r>
      <w:r w:rsidRPr="003D73C3">
        <w:rPr>
          <w:szCs w:val="18"/>
        </w:rPr>
        <w:t xml:space="preserve"> </w:t>
      </w:r>
      <w:r w:rsidRPr="003D73C3">
        <w:rPr>
          <w:szCs w:val="18"/>
          <w:lang w:val="x-none"/>
        </w:rPr>
        <w:t>shale</w:t>
      </w:r>
      <w:r w:rsidRPr="003D73C3">
        <w:rPr>
          <w:szCs w:val="18"/>
        </w:rPr>
        <w:t xml:space="preserve"> </w:t>
      </w:r>
      <w:r w:rsidRPr="003D73C3">
        <w:rPr>
          <w:szCs w:val="18"/>
          <w:lang w:val="x-none"/>
        </w:rPr>
        <w:t>is</w:t>
      </w:r>
      <w:r w:rsidRPr="003D73C3">
        <w:rPr>
          <w:szCs w:val="18"/>
        </w:rPr>
        <w:t xml:space="preserve"> </w:t>
      </w:r>
      <w:r w:rsidRPr="003D73C3">
        <w:rPr>
          <w:szCs w:val="18"/>
          <w:lang w:val="x-none"/>
        </w:rPr>
        <w:t>a</w:t>
      </w:r>
      <w:r w:rsidRPr="003D73C3">
        <w:rPr>
          <w:szCs w:val="18"/>
        </w:rPr>
        <w:t xml:space="preserve"> </w:t>
      </w:r>
      <w:r w:rsidRPr="003D73C3">
        <w:rPr>
          <w:szCs w:val="18"/>
          <w:lang w:val="x-none"/>
        </w:rPr>
        <w:t>general</w:t>
      </w:r>
      <w:r w:rsidRPr="003D73C3">
        <w:rPr>
          <w:szCs w:val="18"/>
        </w:rPr>
        <w:t xml:space="preserve"> </w:t>
      </w:r>
      <w:r w:rsidRPr="003D73C3">
        <w:rPr>
          <w:szCs w:val="18"/>
          <w:lang w:val="x-none"/>
        </w:rPr>
        <w:t>term</w:t>
      </w:r>
      <w:r w:rsidRPr="003D73C3">
        <w:rPr>
          <w:szCs w:val="18"/>
        </w:rPr>
        <w:t xml:space="preserve"> </w:t>
      </w:r>
      <w:r w:rsidRPr="003D73C3">
        <w:rPr>
          <w:szCs w:val="18"/>
          <w:lang w:val="x-none"/>
        </w:rPr>
        <w:t>applied</w:t>
      </w:r>
      <w:r w:rsidRPr="003D73C3">
        <w:rPr>
          <w:szCs w:val="18"/>
        </w:rPr>
        <w:t xml:space="preserve"> </w:t>
      </w:r>
      <w:r w:rsidRPr="003D73C3">
        <w:rPr>
          <w:szCs w:val="18"/>
          <w:lang w:val="x-none"/>
        </w:rPr>
        <w:t>to</w:t>
      </w:r>
      <w:r w:rsidRPr="003D73C3">
        <w:rPr>
          <w:szCs w:val="18"/>
        </w:rPr>
        <w:t xml:space="preserve"> </w:t>
      </w:r>
      <w:r w:rsidRPr="003D73C3">
        <w:rPr>
          <w:szCs w:val="18"/>
          <w:lang w:val="x-none"/>
        </w:rPr>
        <w:t>a</w:t>
      </w:r>
      <w:r w:rsidRPr="003D73C3">
        <w:rPr>
          <w:szCs w:val="18"/>
        </w:rPr>
        <w:t xml:space="preserve"> </w:t>
      </w:r>
      <w:r w:rsidRPr="003D73C3">
        <w:rPr>
          <w:szCs w:val="18"/>
          <w:lang w:val="x-none"/>
        </w:rPr>
        <w:t>group</w:t>
      </w:r>
      <w:r w:rsidRPr="003D73C3">
        <w:rPr>
          <w:szCs w:val="18"/>
        </w:rPr>
        <w:t xml:space="preserve"> </w:t>
      </w:r>
      <w:r w:rsidRPr="003D73C3">
        <w:rPr>
          <w:szCs w:val="18"/>
          <w:lang w:val="x-none"/>
        </w:rPr>
        <w:t>of</w:t>
      </w:r>
      <w:r w:rsidRPr="003D73C3">
        <w:rPr>
          <w:szCs w:val="18"/>
        </w:rPr>
        <w:t xml:space="preserve"> hard rocks </w:t>
      </w:r>
      <w:r w:rsidRPr="003D73C3">
        <w:rPr>
          <w:szCs w:val="18"/>
          <w:lang w:val="x-none"/>
        </w:rPr>
        <w:t>rich</w:t>
      </w:r>
      <w:r w:rsidRPr="003D73C3">
        <w:rPr>
          <w:szCs w:val="18"/>
        </w:rPr>
        <w:t xml:space="preserve"> </w:t>
      </w:r>
      <w:r w:rsidRPr="003D73C3">
        <w:rPr>
          <w:szCs w:val="18"/>
          <w:lang w:val="x-none"/>
        </w:rPr>
        <w:t>enough</w:t>
      </w:r>
      <w:r w:rsidRPr="003D73C3">
        <w:rPr>
          <w:szCs w:val="18"/>
        </w:rPr>
        <w:t xml:space="preserve"> </w:t>
      </w:r>
      <w:r w:rsidRPr="003D73C3">
        <w:rPr>
          <w:szCs w:val="18"/>
          <w:lang w:val="x-none"/>
        </w:rPr>
        <w:t>in</w:t>
      </w:r>
      <w:r w:rsidRPr="003D73C3">
        <w:rPr>
          <w:szCs w:val="18"/>
        </w:rPr>
        <w:t xml:space="preserve"> </w:t>
      </w:r>
      <w:r w:rsidRPr="003D73C3">
        <w:rPr>
          <w:szCs w:val="18"/>
          <w:lang w:val="x-none"/>
        </w:rPr>
        <w:t>bituminous</w:t>
      </w:r>
      <w:r w:rsidRPr="003D73C3">
        <w:rPr>
          <w:szCs w:val="18"/>
        </w:rPr>
        <w:t xml:space="preserve"> </w:t>
      </w:r>
      <w:r w:rsidRPr="003D73C3">
        <w:rPr>
          <w:szCs w:val="18"/>
          <w:lang w:val="x-none"/>
        </w:rPr>
        <w:t>material</w:t>
      </w:r>
      <w:r w:rsidRPr="003D73C3">
        <w:rPr>
          <w:szCs w:val="18"/>
        </w:rPr>
        <w:t xml:space="preserve"> </w:t>
      </w:r>
      <w:r w:rsidRPr="003D73C3">
        <w:rPr>
          <w:szCs w:val="18"/>
          <w:lang w:val="x-none"/>
        </w:rPr>
        <w:t>to</w:t>
      </w:r>
      <w:r w:rsidRPr="003D73C3">
        <w:rPr>
          <w:szCs w:val="18"/>
        </w:rPr>
        <w:t xml:space="preserve"> </w:t>
      </w:r>
      <w:r w:rsidRPr="003D73C3">
        <w:rPr>
          <w:szCs w:val="18"/>
          <w:lang w:val="x-none"/>
        </w:rPr>
        <w:t>yield</w:t>
      </w:r>
      <w:r w:rsidRPr="003D73C3">
        <w:rPr>
          <w:szCs w:val="18"/>
        </w:rPr>
        <w:t xml:space="preserve"> </w:t>
      </w:r>
      <w:r w:rsidRPr="003D73C3">
        <w:rPr>
          <w:szCs w:val="18"/>
          <w:lang w:val="x-none"/>
        </w:rPr>
        <w:t>petroleum</w:t>
      </w:r>
      <w:r w:rsidRPr="003D73C3">
        <w:rPr>
          <w:szCs w:val="18"/>
        </w:rPr>
        <w:t xml:space="preserve"> </w:t>
      </w:r>
      <w:r w:rsidRPr="003D73C3">
        <w:rPr>
          <w:szCs w:val="18"/>
          <w:lang w:val="x-none"/>
        </w:rPr>
        <w:t>upon</w:t>
      </w:r>
      <w:r w:rsidRPr="003D73C3">
        <w:rPr>
          <w:szCs w:val="18"/>
        </w:rPr>
        <w:t xml:space="preserve"> pyrolysis and </w:t>
      </w:r>
      <w:r w:rsidRPr="003D73C3">
        <w:rPr>
          <w:szCs w:val="18"/>
          <w:lang w:val="x-none"/>
        </w:rPr>
        <w:t>distillation</w:t>
      </w:r>
      <w:r w:rsidRPr="003D73C3">
        <w:rPr>
          <w:szCs w:val="18"/>
        </w:rPr>
        <w:t xml:space="preserve"> </w:t>
      </w:r>
      <w:r w:rsidR="003D73C3" w:rsidRPr="003D73C3">
        <w:rPr>
          <w:noProof/>
          <w:szCs w:val="18"/>
        </w:rPr>
        <w:t>(Ministry of Economic Development, 2008)</w:t>
      </w:r>
      <w:r w:rsidRPr="003D73C3">
        <w:rPr>
          <w:szCs w:val="18"/>
          <w:lang w:val="x-none"/>
        </w:rPr>
        <w:t>.</w:t>
      </w:r>
      <w:r w:rsidRPr="003D73C3">
        <w:rPr>
          <w:szCs w:val="18"/>
        </w:rPr>
        <w:t xml:space="preserve"> Some of New Zealand’s oil reserves occur in soft clay-based rocks that are also described as shales. However, the oil is extracted from these </w:t>
      </w:r>
      <w:r w:rsidRPr="003D73C3">
        <w:rPr>
          <w:i/>
          <w:szCs w:val="18"/>
        </w:rPr>
        <w:t>in situ</w:t>
      </w:r>
      <w:r w:rsidRPr="003D73C3">
        <w:rPr>
          <w:szCs w:val="18"/>
        </w:rPr>
        <w:t xml:space="preserve"> rather than by pyrolysis. Hence this is not a potential source for New Zealand.</w:t>
      </w:r>
    </w:p>
    <w:p w14:paraId="51D93D92" w14:textId="77777777" w:rsidR="00FE1A0E" w:rsidRDefault="00FE1A0E">
      <w:pPr>
        <w:spacing w:after="0"/>
        <w:rPr>
          <w:szCs w:val="18"/>
        </w:rPr>
      </w:pPr>
      <w:r>
        <w:rPr>
          <w:szCs w:val="18"/>
        </w:rPr>
        <w:br w:type="page"/>
      </w:r>
    </w:p>
    <w:p w14:paraId="1E59A048" w14:textId="77777777" w:rsidR="006761D2" w:rsidRPr="003D73C3" w:rsidRDefault="006761D2" w:rsidP="00E27321">
      <w:pPr>
        <w:spacing w:line="300" w:lineRule="atLeast"/>
        <w:jc w:val="both"/>
        <w:rPr>
          <w:rFonts w:eastAsia="Calibri"/>
          <w:szCs w:val="18"/>
        </w:rPr>
      </w:pPr>
    </w:p>
    <w:p w14:paraId="783A451C" w14:textId="77777777" w:rsidR="006761D2" w:rsidRPr="003D73C3" w:rsidRDefault="006761D2" w:rsidP="00261F78">
      <w:pPr>
        <w:pStyle w:val="Heading2"/>
        <w:rPr>
          <w:rFonts w:eastAsia="Calibri"/>
        </w:rPr>
      </w:pPr>
      <w:bookmarkStart w:id="245" w:name="_Toc112768111"/>
      <w:r w:rsidRPr="003D73C3">
        <w:rPr>
          <w:rFonts w:eastAsia="Calibri"/>
        </w:rPr>
        <w:t>Summary for this category</w:t>
      </w:r>
      <w:bookmarkEnd w:id="245"/>
      <w:r w:rsidRPr="003D73C3">
        <w:rPr>
          <w:rFonts w:eastAsia="Calibri"/>
        </w:rPr>
        <w:t xml:space="preserve"> </w:t>
      </w:r>
    </w:p>
    <w:p w14:paraId="6E7A3B81" w14:textId="544B21A8" w:rsidR="006761D2" w:rsidRPr="003D73C3" w:rsidRDefault="006761D2" w:rsidP="006761D2">
      <w:pPr>
        <w:spacing w:line="300" w:lineRule="atLeast"/>
        <w:jc w:val="both"/>
        <w:rPr>
          <w:rFonts w:eastAsia="Calibri"/>
          <w:szCs w:val="22"/>
        </w:rPr>
      </w:pPr>
      <w:r w:rsidRPr="003D73C3">
        <w:rPr>
          <w:rFonts w:eastAsia="Calibri"/>
          <w:szCs w:val="22"/>
        </w:rPr>
        <w:t xml:space="preserve">The </w:t>
      </w:r>
      <w:r w:rsidR="00CF0941" w:rsidRPr="003D73C3">
        <w:rPr>
          <w:rFonts w:eastAsia="Calibri"/>
          <w:szCs w:val="22"/>
        </w:rPr>
        <w:t xml:space="preserve">2020 </w:t>
      </w:r>
      <w:r w:rsidRPr="003D73C3">
        <w:rPr>
          <w:rFonts w:eastAsia="Calibri"/>
          <w:szCs w:val="22"/>
        </w:rPr>
        <w:t>release estimates for mineral production are summarised in</w:t>
      </w:r>
      <w:r w:rsidR="001F5B4B" w:rsidRPr="003D73C3">
        <w:rPr>
          <w:rFonts w:eastAsia="Calibri"/>
          <w:szCs w:val="22"/>
        </w:rPr>
        <w:t xml:space="preserve"> Table 6-7</w:t>
      </w:r>
      <w:r w:rsidRPr="003D73C3">
        <w:rPr>
          <w:rFonts w:eastAsia="Calibri"/>
          <w:szCs w:val="22"/>
        </w:rPr>
        <w:t xml:space="preserve">, along with the totals for </w:t>
      </w:r>
      <w:r w:rsidR="00CF0941" w:rsidRPr="003D73C3">
        <w:rPr>
          <w:rFonts w:eastAsia="Calibri"/>
          <w:szCs w:val="22"/>
        </w:rPr>
        <w:t>2012</w:t>
      </w:r>
      <w:r w:rsidR="00FB5B1C" w:rsidRPr="003D73C3">
        <w:rPr>
          <w:rFonts w:eastAsia="Calibri"/>
          <w:szCs w:val="22"/>
        </w:rPr>
        <w:t xml:space="preserve"> and</w:t>
      </w:r>
      <w:r w:rsidR="003D73C3">
        <w:rPr>
          <w:rFonts w:eastAsia="Calibri"/>
          <w:szCs w:val="22"/>
        </w:rPr>
        <w:t xml:space="preserve"> </w:t>
      </w:r>
      <w:r w:rsidR="00CF0941" w:rsidRPr="003D73C3">
        <w:rPr>
          <w:rFonts w:eastAsia="Calibri"/>
          <w:szCs w:val="22"/>
        </w:rPr>
        <w:t>2016</w:t>
      </w:r>
      <w:r w:rsidRPr="003D73C3">
        <w:rPr>
          <w:rFonts w:eastAsia="Calibri"/>
          <w:szCs w:val="22"/>
        </w:rPr>
        <w:t>.</w:t>
      </w:r>
    </w:p>
    <w:p w14:paraId="6249B920" w14:textId="59295DF8" w:rsidR="006761D2" w:rsidRPr="003D73C3" w:rsidRDefault="006761D2" w:rsidP="006761D2">
      <w:pPr>
        <w:pStyle w:val="Caption"/>
        <w:jc w:val="left"/>
        <w:rPr>
          <w:rFonts w:cs="Arial"/>
          <w:szCs w:val="18"/>
        </w:rPr>
      </w:pPr>
      <w:bookmarkStart w:id="246" w:name="_Ref359761056"/>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6</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7</w:t>
      </w:r>
      <w:r w:rsidRPr="003D73C3">
        <w:rPr>
          <w:rFonts w:cs="Arial"/>
        </w:rPr>
        <w:fldChar w:fldCharType="end"/>
      </w:r>
      <w:bookmarkEnd w:id="246"/>
      <w:r w:rsidRPr="003D73C3">
        <w:rPr>
          <w:rFonts w:cs="Arial"/>
        </w:rPr>
        <w:t>: Summary of the release estimates for mineral production</w:t>
      </w:r>
    </w:p>
    <w:tbl>
      <w:tblPr>
        <w:tblStyle w:val="TableGrid"/>
        <w:tblW w:w="9214" w:type="dxa"/>
        <w:tblInd w:w="108" w:type="dxa"/>
        <w:tblLook w:val="04A0" w:firstRow="1" w:lastRow="0" w:firstColumn="1" w:lastColumn="0" w:noHBand="0" w:noVBand="1"/>
      </w:tblPr>
      <w:tblGrid>
        <w:gridCol w:w="3020"/>
        <w:gridCol w:w="1373"/>
        <w:gridCol w:w="1193"/>
        <w:gridCol w:w="1218"/>
        <w:gridCol w:w="1200"/>
        <w:gridCol w:w="1210"/>
      </w:tblGrid>
      <w:tr w:rsidR="006761D2" w:rsidRPr="00AF1200" w14:paraId="558F0438" w14:textId="77777777" w:rsidTr="007C25E7">
        <w:tc>
          <w:tcPr>
            <w:tcW w:w="3020" w:type="dxa"/>
            <w:vMerge w:val="restart"/>
            <w:vAlign w:val="center"/>
          </w:tcPr>
          <w:p w14:paraId="414FE4CE" w14:textId="77777777" w:rsidR="006761D2" w:rsidRPr="003D73C3" w:rsidRDefault="006761D2" w:rsidP="009F7DB8">
            <w:pPr>
              <w:spacing w:before="120"/>
              <w:rPr>
                <w:rFonts w:ascii="Arial" w:hAnsi="Arial" w:cs="Arial"/>
                <w:b/>
                <w:sz w:val="16"/>
                <w:szCs w:val="16"/>
              </w:rPr>
            </w:pPr>
            <w:r w:rsidRPr="003D73C3">
              <w:rPr>
                <w:rFonts w:ascii="Arial" w:hAnsi="Arial" w:cs="Arial"/>
                <w:b/>
                <w:sz w:val="16"/>
                <w:szCs w:val="16"/>
              </w:rPr>
              <w:t>Category</w:t>
            </w:r>
          </w:p>
        </w:tc>
        <w:tc>
          <w:tcPr>
            <w:tcW w:w="6194" w:type="dxa"/>
            <w:gridSpan w:val="5"/>
            <w:vAlign w:val="center"/>
          </w:tcPr>
          <w:p w14:paraId="3109870E" w14:textId="2F291F23" w:rsidR="006761D2" w:rsidRPr="003D73C3" w:rsidRDefault="007C25E7" w:rsidP="009F7DB8">
            <w:pPr>
              <w:spacing w:before="120"/>
              <w:jc w:val="center"/>
              <w:rPr>
                <w:rFonts w:ascii="Arial" w:hAnsi="Arial" w:cs="Arial"/>
                <w:b/>
                <w:sz w:val="16"/>
                <w:szCs w:val="16"/>
              </w:rPr>
            </w:pPr>
            <w:r w:rsidRPr="003D73C3">
              <w:rPr>
                <w:rFonts w:ascii="Arial" w:hAnsi="Arial" w:cs="Arial"/>
                <w:b/>
                <w:sz w:val="16"/>
                <w:szCs w:val="16"/>
              </w:rPr>
              <w:t xml:space="preserve">2020 </w:t>
            </w:r>
            <w:r w:rsidR="006761D2" w:rsidRPr="003D73C3">
              <w:rPr>
                <w:rFonts w:ascii="Arial" w:hAnsi="Arial" w:cs="Arial"/>
                <w:b/>
                <w:sz w:val="16"/>
                <w:szCs w:val="16"/>
              </w:rPr>
              <w:t>dioxin releases (g TEQ/yr)</w:t>
            </w:r>
          </w:p>
        </w:tc>
      </w:tr>
      <w:tr w:rsidR="006761D2" w:rsidRPr="00AF1200" w14:paraId="0BABE264" w14:textId="77777777" w:rsidTr="007C25E7">
        <w:tc>
          <w:tcPr>
            <w:tcW w:w="3020" w:type="dxa"/>
            <w:vMerge/>
            <w:vAlign w:val="center"/>
          </w:tcPr>
          <w:p w14:paraId="6AA1B3E7" w14:textId="77777777" w:rsidR="006761D2" w:rsidRPr="003D73C3" w:rsidRDefault="006761D2" w:rsidP="009F7DB8">
            <w:pPr>
              <w:spacing w:before="120"/>
              <w:rPr>
                <w:rFonts w:ascii="Arial" w:hAnsi="Arial" w:cs="Arial"/>
                <w:b/>
                <w:sz w:val="16"/>
                <w:szCs w:val="16"/>
              </w:rPr>
            </w:pPr>
          </w:p>
        </w:tc>
        <w:tc>
          <w:tcPr>
            <w:tcW w:w="1373" w:type="dxa"/>
            <w:vAlign w:val="center"/>
          </w:tcPr>
          <w:p w14:paraId="587FA3C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Air</w:t>
            </w:r>
          </w:p>
        </w:tc>
        <w:tc>
          <w:tcPr>
            <w:tcW w:w="1193" w:type="dxa"/>
            <w:vAlign w:val="center"/>
          </w:tcPr>
          <w:p w14:paraId="33BAAA43"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Water</w:t>
            </w:r>
          </w:p>
        </w:tc>
        <w:tc>
          <w:tcPr>
            <w:tcW w:w="1218" w:type="dxa"/>
            <w:vAlign w:val="center"/>
          </w:tcPr>
          <w:p w14:paraId="1B22A32F"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Land</w:t>
            </w:r>
          </w:p>
        </w:tc>
        <w:tc>
          <w:tcPr>
            <w:tcW w:w="1200" w:type="dxa"/>
            <w:vAlign w:val="center"/>
          </w:tcPr>
          <w:p w14:paraId="1ADB098F"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Product</w:t>
            </w:r>
          </w:p>
        </w:tc>
        <w:tc>
          <w:tcPr>
            <w:tcW w:w="1210" w:type="dxa"/>
            <w:vAlign w:val="center"/>
          </w:tcPr>
          <w:p w14:paraId="600A715D"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Residue</w:t>
            </w:r>
          </w:p>
        </w:tc>
      </w:tr>
      <w:tr w:rsidR="006761D2" w:rsidRPr="00AF1200" w14:paraId="4EE41554" w14:textId="77777777" w:rsidTr="007C25E7">
        <w:tc>
          <w:tcPr>
            <w:tcW w:w="3020" w:type="dxa"/>
            <w:vAlign w:val="center"/>
          </w:tcPr>
          <w:p w14:paraId="5C18D57E"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Cement production</w:t>
            </w:r>
          </w:p>
        </w:tc>
        <w:tc>
          <w:tcPr>
            <w:tcW w:w="1373" w:type="dxa"/>
            <w:vAlign w:val="center"/>
          </w:tcPr>
          <w:p w14:paraId="3FC32155" w14:textId="4C88A990"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0.040</w:t>
            </w:r>
          </w:p>
        </w:tc>
        <w:tc>
          <w:tcPr>
            <w:tcW w:w="1193" w:type="dxa"/>
            <w:vAlign w:val="center"/>
          </w:tcPr>
          <w:p w14:paraId="3BE29C8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7F9CFC40" w14:textId="1887F5C2" w:rsidR="006761D2" w:rsidRPr="003D73C3" w:rsidRDefault="006761D2" w:rsidP="009F7DB8">
            <w:pPr>
              <w:spacing w:before="120"/>
              <w:jc w:val="center"/>
              <w:rPr>
                <w:rFonts w:ascii="Arial" w:hAnsi="Arial" w:cs="Arial"/>
                <w:sz w:val="16"/>
                <w:szCs w:val="16"/>
              </w:rPr>
            </w:pPr>
          </w:p>
        </w:tc>
        <w:tc>
          <w:tcPr>
            <w:tcW w:w="1200" w:type="dxa"/>
            <w:vAlign w:val="center"/>
          </w:tcPr>
          <w:p w14:paraId="44862F7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0" w:type="dxa"/>
            <w:vAlign w:val="center"/>
          </w:tcPr>
          <w:p w14:paraId="6AD6D63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3B63362E" w14:textId="77777777" w:rsidTr="007C25E7">
        <w:tc>
          <w:tcPr>
            <w:tcW w:w="3020" w:type="dxa"/>
            <w:vAlign w:val="center"/>
          </w:tcPr>
          <w:p w14:paraId="1F131734"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Lime production</w:t>
            </w:r>
          </w:p>
        </w:tc>
        <w:tc>
          <w:tcPr>
            <w:tcW w:w="1373" w:type="dxa"/>
            <w:vAlign w:val="center"/>
          </w:tcPr>
          <w:p w14:paraId="3A6DD7A5" w14:textId="77F0533D"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0.0107</w:t>
            </w:r>
          </w:p>
        </w:tc>
        <w:tc>
          <w:tcPr>
            <w:tcW w:w="1193" w:type="dxa"/>
            <w:vAlign w:val="center"/>
          </w:tcPr>
          <w:p w14:paraId="22F69FC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6A5D1A31" w14:textId="5D1A324B"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0.0350</w:t>
            </w:r>
          </w:p>
        </w:tc>
        <w:tc>
          <w:tcPr>
            <w:tcW w:w="1200" w:type="dxa"/>
            <w:vAlign w:val="center"/>
          </w:tcPr>
          <w:p w14:paraId="10C2B5C7"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0" w:type="dxa"/>
            <w:vAlign w:val="center"/>
          </w:tcPr>
          <w:p w14:paraId="18C43CF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1B24F245" w14:textId="77777777" w:rsidTr="007C25E7">
        <w:tc>
          <w:tcPr>
            <w:tcW w:w="3020" w:type="dxa"/>
            <w:vAlign w:val="center"/>
          </w:tcPr>
          <w:p w14:paraId="68225EDF"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Brick production</w:t>
            </w:r>
          </w:p>
        </w:tc>
        <w:tc>
          <w:tcPr>
            <w:tcW w:w="1373" w:type="dxa"/>
          </w:tcPr>
          <w:p w14:paraId="099E7AE4" w14:textId="2FA23A0A" w:rsidR="006761D2" w:rsidRPr="003D73C3" w:rsidRDefault="006761D2" w:rsidP="007B0B71">
            <w:pPr>
              <w:spacing w:before="120"/>
              <w:jc w:val="center"/>
              <w:rPr>
                <w:rFonts w:ascii="Arial" w:hAnsi="Arial" w:cs="Arial"/>
                <w:sz w:val="16"/>
                <w:szCs w:val="16"/>
              </w:rPr>
            </w:pPr>
            <w:r w:rsidRPr="003D73C3">
              <w:rPr>
                <w:rFonts w:ascii="Arial" w:hAnsi="Arial" w:cs="Arial"/>
                <w:sz w:val="16"/>
                <w:szCs w:val="16"/>
              </w:rPr>
              <w:t>0.</w:t>
            </w:r>
            <w:r w:rsidR="007B0B71" w:rsidRPr="003D73C3">
              <w:rPr>
                <w:rFonts w:ascii="Arial" w:hAnsi="Arial" w:cs="Arial"/>
                <w:sz w:val="16"/>
                <w:szCs w:val="16"/>
              </w:rPr>
              <w:t>0002</w:t>
            </w:r>
            <w:r w:rsidR="00255E5C">
              <w:rPr>
                <w:rFonts w:ascii="Arial" w:hAnsi="Arial" w:cs="Arial"/>
                <w:sz w:val="16"/>
                <w:szCs w:val="16"/>
              </w:rPr>
              <w:t>2</w:t>
            </w:r>
          </w:p>
        </w:tc>
        <w:tc>
          <w:tcPr>
            <w:tcW w:w="1193" w:type="dxa"/>
          </w:tcPr>
          <w:p w14:paraId="1FDD2332"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019BE8A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0" w:type="dxa"/>
            <w:vAlign w:val="center"/>
          </w:tcPr>
          <w:p w14:paraId="5538AD40" w14:textId="06A8EAE6" w:rsidR="006761D2" w:rsidRPr="003D73C3" w:rsidRDefault="007B0B71" w:rsidP="009F7DB8">
            <w:pPr>
              <w:spacing w:before="120"/>
              <w:jc w:val="center"/>
              <w:rPr>
                <w:rFonts w:ascii="Arial" w:hAnsi="Arial" w:cs="Arial"/>
                <w:sz w:val="16"/>
                <w:szCs w:val="16"/>
              </w:rPr>
            </w:pPr>
            <w:r w:rsidRPr="003D73C3">
              <w:rPr>
                <w:rFonts w:ascii="Arial" w:hAnsi="Arial" w:cs="Arial"/>
                <w:sz w:val="16"/>
                <w:szCs w:val="16"/>
              </w:rPr>
              <w:t>0.00006</w:t>
            </w:r>
            <w:r w:rsidR="00255E5C" w:rsidRPr="00255E5C">
              <w:rPr>
                <w:rFonts w:ascii="Arial" w:hAnsi="Arial" w:cs="Arial"/>
                <w:sz w:val="16"/>
                <w:szCs w:val="16"/>
              </w:rPr>
              <w:t>6</w:t>
            </w:r>
          </w:p>
        </w:tc>
        <w:tc>
          <w:tcPr>
            <w:tcW w:w="1210" w:type="dxa"/>
            <w:vAlign w:val="center"/>
          </w:tcPr>
          <w:p w14:paraId="7A5B49A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383C7B7E" w14:textId="77777777" w:rsidTr="007C25E7">
        <w:tc>
          <w:tcPr>
            <w:tcW w:w="3020" w:type="dxa"/>
            <w:vAlign w:val="center"/>
          </w:tcPr>
          <w:p w14:paraId="736F04E0" w14:textId="77777777" w:rsidR="006761D2" w:rsidRPr="00686060" w:rsidRDefault="006761D2" w:rsidP="009F7DB8">
            <w:pPr>
              <w:spacing w:before="120"/>
              <w:rPr>
                <w:rFonts w:ascii="Arial" w:hAnsi="Arial" w:cs="Arial"/>
                <w:sz w:val="16"/>
                <w:szCs w:val="16"/>
              </w:rPr>
            </w:pPr>
            <w:r w:rsidRPr="00686060">
              <w:rPr>
                <w:rFonts w:ascii="Arial" w:hAnsi="Arial" w:cs="Arial"/>
                <w:sz w:val="16"/>
                <w:szCs w:val="16"/>
              </w:rPr>
              <w:t>Glass production</w:t>
            </w:r>
          </w:p>
        </w:tc>
        <w:tc>
          <w:tcPr>
            <w:tcW w:w="1373" w:type="dxa"/>
            <w:vAlign w:val="center"/>
          </w:tcPr>
          <w:p w14:paraId="051AEDFB" w14:textId="4E8DF3DE" w:rsidR="006761D2" w:rsidRPr="00686060" w:rsidRDefault="007B0B71" w:rsidP="009F7DB8">
            <w:pPr>
              <w:spacing w:before="120"/>
              <w:jc w:val="center"/>
              <w:rPr>
                <w:rFonts w:ascii="Arial" w:hAnsi="Arial" w:cs="Arial"/>
                <w:sz w:val="16"/>
                <w:szCs w:val="16"/>
              </w:rPr>
            </w:pPr>
            <w:r w:rsidRPr="00686060">
              <w:rPr>
                <w:rFonts w:ascii="Arial" w:hAnsi="Arial" w:cs="Arial"/>
                <w:sz w:val="16"/>
                <w:szCs w:val="16"/>
              </w:rPr>
              <w:t>0.0031</w:t>
            </w:r>
          </w:p>
        </w:tc>
        <w:tc>
          <w:tcPr>
            <w:tcW w:w="1193" w:type="dxa"/>
            <w:vAlign w:val="center"/>
          </w:tcPr>
          <w:p w14:paraId="7528592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27F1E68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0" w:type="dxa"/>
            <w:vAlign w:val="center"/>
          </w:tcPr>
          <w:p w14:paraId="062547A0"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0" w:type="dxa"/>
            <w:vAlign w:val="center"/>
          </w:tcPr>
          <w:p w14:paraId="5F39674A"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66A8320D" w14:textId="77777777" w:rsidTr="007C25E7">
        <w:tc>
          <w:tcPr>
            <w:tcW w:w="3020" w:type="dxa"/>
            <w:vAlign w:val="center"/>
          </w:tcPr>
          <w:p w14:paraId="035A630C"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Pottery and ceramics</w:t>
            </w:r>
          </w:p>
        </w:tc>
        <w:tc>
          <w:tcPr>
            <w:tcW w:w="1373" w:type="dxa"/>
            <w:vAlign w:val="center"/>
          </w:tcPr>
          <w:p w14:paraId="3D9687C5" w14:textId="6F9BD767"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0.00079</w:t>
            </w:r>
          </w:p>
        </w:tc>
        <w:tc>
          <w:tcPr>
            <w:tcW w:w="1193" w:type="dxa"/>
            <w:vAlign w:val="center"/>
          </w:tcPr>
          <w:p w14:paraId="52E36430"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7887542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0" w:type="dxa"/>
            <w:vAlign w:val="center"/>
          </w:tcPr>
          <w:p w14:paraId="7AB58B9A"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0" w:type="dxa"/>
            <w:vAlign w:val="center"/>
          </w:tcPr>
          <w:p w14:paraId="21B98ECE"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4021FBF9" w14:textId="77777777" w:rsidTr="007C25E7">
        <w:tc>
          <w:tcPr>
            <w:tcW w:w="3020" w:type="dxa"/>
            <w:vAlign w:val="center"/>
          </w:tcPr>
          <w:p w14:paraId="5D9505EC"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Asphalt production</w:t>
            </w:r>
          </w:p>
        </w:tc>
        <w:tc>
          <w:tcPr>
            <w:tcW w:w="1373" w:type="dxa"/>
            <w:vAlign w:val="center"/>
          </w:tcPr>
          <w:p w14:paraId="39110979" w14:textId="481B1679"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0.0110</w:t>
            </w:r>
          </w:p>
        </w:tc>
        <w:tc>
          <w:tcPr>
            <w:tcW w:w="1193" w:type="dxa"/>
            <w:vAlign w:val="center"/>
          </w:tcPr>
          <w:p w14:paraId="5DA53F8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8" w:type="dxa"/>
            <w:vAlign w:val="center"/>
          </w:tcPr>
          <w:p w14:paraId="2782C5FB"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0" w:type="dxa"/>
            <w:vAlign w:val="center"/>
          </w:tcPr>
          <w:p w14:paraId="5EF200E7"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0" w:type="dxa"/>
            <w:vAlign w:val="center"/>
          </w:tcPr>
          <w:p w14:paraId="05198C24" w14:textId="7380C137" w:rsidR="006761D2" w:rsidRPr="003D73C3" w:rsidRDefault="00CF0941" w:rsidP="009F7DB8">
            <w:pPr>
              <w:spacing w:before="120"/>
              <w:jc w:val="center"/>
              <w:rPr>
                <w:rFonts w:ascii="Arial" w:hAnsi="Arial" w:cs="Arial"/>
                <w:sz w:val="16"/>
                <w:szCs w:val="16"/>
              </w:rPr>
            </w:pPr>
            <w:r w:rsidRPr="003D73C3">
              <w:rPr>
                <w:rFonts w:ascii="Arial" w:hAnsi="Arial" w:cs="Arial"/>
                <w:sz w:val="16"/>
                <w:szCs w:val="16"/>
              </w:rPr>
              <w:t>0.047</w:t>
            </w:r>
          </w:p>
        </w:tc>
      </w:tr>
      <w:tr w:rsidR="007C25E7" w:rsidRPr="00AF1200" w14:paraId="2340EE72" w14:textId="77777777" w:rsidTr="003D73C3">
        <w:tc>
          <w:tcPr>
            <w:tcW w:w="3020" w:type="dxa"/>
          </w:tcPr>
          <w:p w14:paraId="72CC5074" w14:textId="6CB2F587" w:rsidR="007C25E7" w:rsidRPr="003D73C3" w:rsidRDefault="007C25E7" w:rsidP="007C25E7">
            <w:pPr>
              <w:spacing w:before="120"/>
              <w:jc w:val="both"/>
              <w:rPr>
                <w:rFonts w:ascii="Arial" w:hAnsi="Arial" w:cs="Arial"/>
                <w:b/>
                <w:sz w:val="16"/>
                <w:szCs w:val="16"/>
              </w:rPr>
            </w:pPr>
            <w:r w:rsidRPr="003D73C3">
              <w:rPr>
                <w:rFonts w:ascii="Arial" w:hAnsi="Arial" w:cs="Arial"/>
                <w:b/>
                <w:sz w:val="16"/>
                <w:szCs w:val="16"/>
              </w:rPr>
              <w:t>2012 totals</w:t>
            </w:r>
            <w:r w:rsidRPr="003D73C3" w:rsidDel="00CF0941">
              <w:rPr>
                <w:rFonts w:ascii="Arial" w:hAnsi="Arial" w:cs="Arial"/>
                <w:b/>
                <w:sz w:val="16"/>
                <w:szCs w:val="16"/>
              </w:rPr>
              <w:t xml:space="preserve"> </w:t>
            </w:r>
          </w:p>
        </w:tc>
        <w:tc>
          <w:tcPr>
            <w:tcW w:w="1373" w:type="dxa"/>
          </w:tcPr>
          <w:p w14:paraId="2337598B" w14:textId="3F9D9264"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0.066</w:t>
            </w:r>
          </w:p>
        </w:tc>
        <w:tc>
          <w:tcPr>
            <w:tcW w:w="1193" w:type="dxa"/>
          </w:tcPr>
          <w:p w14:paraId="1D72F673" w14:textId="3D974817"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w:t>
            </w:r>
          </w:p>
        </w:tc>
        <w:tc>
          <w:tcPr>
            <w:tcW w:w="1218" w:type="dxa"/>
          </w:tcPr>
          <w:p w14:paraId="5E656228" w14:textId="6FB56EA6"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0.176</w:t>
            </w:r>
          </w:p>
        </w:tc>
        <w:tc>
          <w:tcPr>
            <w:tcW w:w="1200" w:type="dxa"/>
          </w:tcPr>
          <w:p w14:paraId="72738433" w14:textId="5ECD91B2"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0.00027</w:t>
            </w:r>
          </w:p>
        </w:tc>
        <w:tc>
          <w:tcPr>
            <w:tcW w:w="1210" w:type="dxa"/>
          </w:tcPr>
          <w:p w14:paraId="54A39967" w14:textId="1E62BD69"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0.026</w:t>
            </w:r>
          </w:p>
        </w:tc>
      </w:tr>
      <w:tr w:rsidR="007C25E7" w:rsidRPr="00AF1200" w14:paraId="4B12AE36" w14:textId="77777777" w:rsidTr="003D73C3">
        <w:tc>
          <w:tcPr>
            <w:tcW w:w="3020" w:type="dxa"/>
          </w:tcPr>
          <w:p w14:paraId="0D083FB8" w14:textId="0DFA8592" w:rsidR="007C25E7" w:rsidRPr="003D73C3" w:rsidRDefault="007C25E7" w:rsidP="007C25E7">
            <w:pPr>
              <w:spacing w:before="120"/>
              <w:jc w:val="both"/>
              <w:rPr>
                <w:rFonts w:ascii="Arial" w:hAnsi="Arial" w:cs="Arial"/>
                <w:b/>
                <w:sz w:val="16"/>
                <w:szCs w:val="16"/>
              </w:rPr>
            </w:pPr>
            <w:r w:rsidRPr="003D73C3">
              <w:rPr>
                <w:rFonts w:ascii="Arial" w:hAnsi="Arial" w:cs="Arial"/>
                <w:b/>
                <w:sz w:val="16"/>
                <w:szCs w:val="16"/>
              </w:rPr>
              <w:t>2016 totals</w:t>
            </w:r>
            <w:r w:rsidRPr="003D73C3" w:rsidDel="00CF0941">
              <w:rPr>
                <w:rFonts w:ascii="Arial" w:hAnsi="Arial" w:cs="Arial"/>
                <w:b/>
                <w:sz w:val="16"/>
                <w:szCs w:val="16"/>
              </w:rPr>
              <w:t xml:space="preserve"> </w:t>
            </w:r>
          </w:p>
        </w:tc>
        <w:tc>
          <w:tcPr>
            <w:tcW w:w="1373" w:type="dxa"/>
            <w:vAlign w:val="center"/>
          </w:tcPr>
          <w:p w14:paraId="10812115" w14:textId="5EE2DA0D"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0.076</w:t>
            </w:r>
          </w:p>
        </w:tc>
        <w:tc>
          <w:tcPr>
            <w:tcW w:w="1193" w:type="dxa"/>
            <w:vAlign w:val="center"/>
          </w:tcPr>
          <w:p w14:paraId="44DECEB0" w14:textId="459EB63A"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w:t>
            </w:r>
          </w:p>
        </w:tc>
        <w:tc>
          <w:tcPr>
            <w:tcW w:w="1218" w:type="dxa"/>
            <w:vAlign w:val="center"/>
          </w:tcPr>
          <w:p w14:paraId="32AC0849" w14:textId="3A40BE73"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0.0576</w:t>
            </w:r>
          </w:p>
        </w:tc>
        <w:tc>
          <w:tcPr>
            <w:tcW w:w="1200" w:type="dxa"/>
            <w:vAlign w:val="center"/>
          </w:tcPr>
          <w:p w14:paraId="0CC6A3E7" w14:textId="60D70895"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0.00006</w:t>
            </w:r>
          </w:p>
        </w:tc>
        <w:tc>
          <w:tcPr>
            <w:tcW w:w="1210" w:type="dxa"/>
            <w:vAlign w:val="center"/>
          </w:tcPr>
          <w:p w14:paraId="3B8A7E0E" w14:textId="1B39A467" w:rsidR="007C25E7" w:rsidRPr="003D73C3" w:rsidRDefault="007C25E7" w:rsidP="007C25E7">
            <w:pPr>
              <w:spacing w:before="120"/>
              <w:jc w:val="center"/>
              <w:rPr>
                <w:rFonts w:ascii="Arial" w:hAnsi="Arial" w:cs="Arial"/>
                <w:b/>
                <w:sz w:val="16"/>
                <w:szCs w:val="16"/>
              </w:rPr>
            </w:pPr>
            <w:r w:rsidRPr="003D73C3">
              <w:rPr>
                <w:rFonts w:ascii="Arial" w:hAnsi="Arial" w:cs="Arial"/>
                <w:b/>
                <w:sz w:val="16"/>
                <w:szCs w:val="16"/>
              </w:rPr>
              <w:t>0.042</w:t>
            </w:r>
          </w:p>
        </w:tc>
      </w:tr>
      <w:tr w:rsidR="00FB5B1C" w:rsidRPr="00AF1200" w14:paraId="016B6BC0" w14:textId="77777777" w:rsidTr="007C25E7">
        <w:tc>
          <w:tcPr>
            <w:tcW w:w="3020" w:type="dxa"/>
          </w:tcPr>
          <w:p w14:paraId="2B0B2A08" w14:textId="6CF9DA8B" w:rsidR="00FB5B1C" w:rsidRPr="00AF1200" w:rsidRDefault="00CF0941" w:rsidP="00C658B6">
            <w:pPr>
              <w:spacing w:before="120"/>
              <w:jc w:val="both"/>
              <w:rPr>
                <w:rFonts w:ascii="Arial" w:hAnsi="Arial" w:cs="Arial"/>
                <w:b/>
                <w:sz w:val="16"/>
                <w:szCs w:val="16"/>
                <w:highlight w:val="yellow"/>
              </w:rPr>
            </w:pPr>
            <w:r w:rsidRPr="00686060">
              <w:rPr>
                <w:rFonts w:ascii="Arial" w:hAnsi="Arial" w:cs="Arial"/>
                <w:b/>
                <w:sz w:val="16"/>
                <w:szCs w:val="16"/>
              </w:rPr>
              <w:t>2020 totals</w:t>
            </w:r>
          </w:p>
        </w:tc>
        <w:tc>
          <w:tcPr>
            <w:tcW w:w="1373" w:type="dxa"/>
            <w:vAlign w:val="center"/>
          </w:tcPr>
          <w:p w14:paraId="665846CD" w14:textId="32A59E70" w:rsidR="00FB5B1C" w:rsidRPr="008C6A93" w:rsidRDefault="00686060" w:rsidP="009F7DB8">
            <w:pPr>
              <w:spacing w:before="120"/>
              <w:jc w:val="center"/>
              <w:rPr>
                <w:rFonts w:ascii="Arial" w:hAnsi="Arial" w:cs="Arial"/>
                <w:b/>
                <w:sz w:val="16"/>
                <w:szCs w:val="16"/>
              </w:rPr>
            </w:pPr>
            <w:r w:rsidRPr="008C6A93">
              <w:rPr>
                <w:rFonts w:ascii="Arial" w:hAnsi="Arial" w:cs="Arial"/>
                <w:b/>
                <w:sz w:val="16"/>
                <w:szCs w:val="16"/>
              </w:rPr>
              <w:t>0.066</w:t>
            </w:r>
          </w:p>
        </w:tc>
        <w:tc>
          <w:tcPr>
            <w:tcW w:w="1193" w:type="dxa"/>
            <w:vAlign w:val="center"/>
          </w:tcPr>
          <w:p w14:paraId="63A114C4" w14:textId="5CCF5537" w:rsidR="00FB5B1C" w:rsidRPr="008C6A93" w:rsidRDefault="00FB5B1C" w:rsidP="009F7DB8">
            <w:pPr>
              <w:spacing w:before="120"/>
              <w:jc w:val="center"/>
              <w:rPr>
                <w:rFonts w:ascii="Arial" w:hAnsi="Arial" w:cs="Arial"/>
                <w:b/>
                <w:sz w:val="16"/>
                <w:szCs w:val="16"/>
              </w:rPr>
            </w:pPr>
          </w:p>
        </w:tc>
        <w:tc>
          <w:tcPr>
            <w:tcW w:w="1218" w:type="dxa"/>
            <w:vAlign w:val="center"/>
          </w:tcPr>
          <w:p w14:paraId="35A68B6E" w14:textId="369A6D3F" w:rsidR="00FB5B1C" w:rsidRPr="008C6A93" w:rsidRDefault="00686060" w:rsidP="009F7DB8">
            <w:pPr>
              <w:spacing w:before="120"/>
              <w:jc w:val="center"/>
              <w:rPr>
                <w:rFonts w:ascii="Arial" w:hAnsi="Arial" w:cs="Arial"/>
                <w:b/>
                <w:sz w:val="16"/>
                <w:szCs w:val="16"/>
              </w:rPr>
            </w:pPr>
            <w:r w:rsidRPr="008C6A93">
              <w:rPr>
                <w:rFonts w:ascii="Arial" w:hAnsi="Arial" w:cs="Arial"/>
                <w:b/>
                <w:sz w:val="16"/>
                <w:szCs w:val="16"/>
              </w:rPr>
              <w:t>0.0350</w:t>
            </w:r>
          </w:p>
        </w:tc>
        <w:tc>
          <w:tcPr>
            <w:tcW w:w="1200" w:type="dxa"/>
            <w:vAlign w:val="center"/>
          </w:tcPr>
          <w:p w14:paraId="513FC7D6" w14:textId="0C3CFF61" w:rsidR="00FB5B1C" w:rsidRPr="008C6A93" w:rsidRDefault="00686060" w:rsidP="009F7DB8">
            <w:pPr>
              <w:spacing w:before="120"/>
              <w:jc w:val="center"/>
              <w:rPr>
                <w:rFonts w:ascii="Arial" w:hAnsi="Arial" w:cs="Arial"/>
                <w:b/>
                <w:sz w:val="16"/>
                <w:szCs w:val="16"/>
              </w:rPr>
            </w:pPr>
            <w:r w:rsidRPr="008C6A93">
              <w:rPr>
                <w:rFonts w:ascii="Arial" w:hAnsi="Arial" w:cs="Arial"/>
                <w:b/>
                <w:sz w:val="16"/>
                <w:szCs w:val="16"/>
              </w:rPr>
              <w:t>0.00007</w:t>
            </w:r>
          </w:p>
        </w:tc>
        <w:tc>
          <w:tcPr>
            <w:tcW w:w="1210" w:type="dxa"/>
            <w:vAlign w:val="center"/>
          </w:tcPr>
          <w:p w14:paraId="16E24485" w14:textId="36169F25" w:rsidR="00FB5B1C" w:rsidRPr="008C6A93" w:rsidRDefault="008C6A93" w:rsidP="009F7DB8">
            <w:pPr>
              <w:spacing w:before="120"/>
              <w:jc w:val="center"/>
              <w:rPr>
                <w:rFonts w:ascii="Arial" w:hAnsi="Arial" w:cs="Arial"/>
                <w:b/>
                <w:sz w:val="16"/>
                <w:szCs w:val="16"/>
              </w:rPr>
            </w:pPr>
            <w:r w:rsidRPr="008C6A93">
              <w:rPr>
                <w:rFonts w:ascii="Arial" w:hAnsi="Arial" w:cs="Arial"/>
                <w:b/>
                <w:sz w:val="16"/>
                <w:szCs w:val="16"/>
              </w:rPr>
              <w:t>0.047</w:t>
            </w:r>
          </w:p>
        </w:tc>
      </w:tr>
    </w:tbl>
    <w:p w14:paraId="26B22044" w14:textId="77777777" w:rsidR="006761D2" w:rsidRPr="00AF1200" w:rsidRDefault="006761D2">
      <w:pPr>
        <w:pStyle w:val="Heading1"/>
        <w:numPr>
          <w:ilvl w:val="0"/>
          <w:numId w:val="0"/>
        </w:numPr>
        <w:rPr>
          <w:highlight w:val="yellow"/>
        </w:rPr>
      </w:pPr>
      <w:r w:rsidRPr="00AF1200">
        <w:rPr>
          <w:highlight w:val="yellow"/>
        </w:rPr>
        <w:br w:type="page"/>
      </w:r>
    </w:p>
    <w:p w14:paraId="1A8C9198" w14:textId="77777777" w:rsidR="006761D2" w:rsidRPr="001E58E1" w:rsidRDefault="006761D2" w:rsidP="00261F78">
      <w:pPr>
        <w:pStyle w:val="Heading1"/>
      </w:pPr>
      <w:bookmarkStart w:id="247" w:name="_Toc112768112"/>
      <w:r w:rsidRPr="001E58E1">
        <w:lastRenderedPageBreak/>
        <w:t>Transport</w:t>
      </w:r>
      <w:bookmarkEnd w:id="247"/>
    </w:p>
    <w:p w14:paraId="1DBA333C" w14:textId="7E97ED85" w:rsidR="006761D2" w:rsidRPr="001E58E1" w:rsidRDefault="24854215" w:rsidP="006761D2">
      <w:pPr>
        <w:spacing w:line="300" w:lineRule="atLeast"/>
        <w:jc w:val="both"/>
      </w:pPr>
      <w:r w:rsidRPr="0C34660A">
        <w:rPr>
          <w:lang w:val="en-US"/>
        </w:rPr>
        <w:t>This source category covers emissions to air from the combustion of petroleum-based fuels in transportation.</w:t>
      </w:r>
      <w:r w:rsidRPr="001E58E1">
        <w:rPr>
          <w:szCs w:val="18"/>
        </w:rPr>
        <w:t xml:space="preserve"> </w:t>
      </w:r>
      <w:r w:rsidRPr="0C34660A">
        <w:rPr>
          <w:lang w:val="en-US"/>
        </w:rPr>
        <w:t xml:space="preserve">The primary focus is on fuel use in motor vehicles, but the methodology also captures fuel consumption by other forms of transport, such as trains, </w:t>
      </w:r>
      <w:bookmarkStart w:id="248" w:name="_Int_wq79pG3L"/>
      <w:r w:rsidRPr="0C34660A">
        <w:rPr>
          <w:lang w:val="en-US"/>
        </w:rPr>
        <w:t>boats,</w:t>
      </w:r>
      <w:bookmarkEnd w:id="248"/>
      <w:r w:rsidRPr="0C34660A">
        <w:rPr>
          <w:lang w:val="en-US"/>
        </w:rPr>
        <w:t xml:space="preserve"> and off-road vehicles, </w:t>
      </w:r>
      <w:bookmarkStart w:id="249" w:name="_Int_3ITjxrGi"/>
      <w:proofErr w:type="gramStart"/>
      <w:r w:rsidRPr="0C34660A">
        <w:rPr>
          <w:lang w:val="en-US"/>
        </w:rPr>
        <w:t>and also</w:t>
      </w:r>
      <w:bookmarkEnd w:id="249"/>
      <w:proofErr w:type="gramEnd"/>
      <w:r w:rsidRPr="0C34660A">
        <w:rPr>
          <w:lang w:val="en-US"/>
        </w:rPr>
        <w:t xml:space="preserve"> fuel use in stationary engines, such as generators </w:t>
      </w:r>
      <w:sdt>
        <w:sdtPr>
          <w:rPr>
            <w:lang w:val="en-US"/>
          </w:rPr>
          <w:id w:val="-1812773983"/>
          <w:lock w:val="contentLocked"/>
          <w:placeholder>
            <w:docPart w:val="DefaultPlaceholder_1081868574"/>
          </w:placeholder>
          <w:citation/>
        </w:sdtPr>
        <w:sdtEndPr/>
        <w:sdtContent>
          <w:r w:rsidR="006761D2" w:rsidRPr="0C34660A">
            <w:rPr>
              <w:lang w:val="en-US"/>
            </w:rPr>
            <w:fldChar w:fldCharType="begin"/>
          </w:r>
          <w:r w:rsidR="006761D2" w:rsidRPr="001E58E1">
            <w:rPr>
              <w:szCs w:val="18"/>
            </w:rPr>
            <w:instrText xml:space="preserve"> CITATION UNEP13 \l 5129 </w:instrText>
          </w:r>
          <w:r w:rsidR="006761D2" w:rsidRPr="0C34660A">
            <w:rPr>
              <w:lang w:val="en-US"/>
            </w:rPr>
            <w:fldChar w:fldCharType="separate"/>
          </w:r>
          <w:r w:rsidR="25EC959F" w:rsidRPr="0C34660A">
            <w:rPr>
              <w:noProof/>
            </w:rPr>
            <w:t>(United Nations Environment Programme, 2013)</w:t>
          </w:r>
          <w:r w:rsidR="006761D2" w:rsidRPr="0C34660A">
            <w:rPr>
              <w:lang w:val="en-US"/>
            </w:rPr>
            <w:fldChar w:fldCharType="end"/>
          </w:r>
        </w:sdtContent>
      </w:sdt>
      <w:r w:rsidRPr="0C34660A">
        <w:rPr>
          <w:lang w:val="en-US"/>
        </w:rPr>
        <w:t xml:space="preserve">. Aircraft are not included because the combustion of aviation fuel is believed to not result in any significant releases of dioxins. </w:t>
      </w:r>
      <w:r w:rsidRPr="0C34660A">
        <w:t>The category is broken down into the following sub-groups:</w:t>
      </w:r>
    </w:p>
    <w:p w14:paraId="0B4C556C" w14:textId="77777777" w:rsidR="006761D2" w:rsidRPr="001E58E1" w:rsidRDefault="006761D2" w:rsidP="006761D2">
      <w:pPr>
        <w:spacing w:line="300" w:lineRule="atLeast"/>
        <w:ind w:left="720"/>
        <w:jc w:val="both"/>
        <w:rPr>
          <w:szCs w:val="18"/>
        </w:rPr>
      </w:pPr>
      <w:r w:rsidRPr="001E58E1">
        <w:rPr>
          <w:szCs w:val="18"/>
        </w:rPr>
        <w:t>5a</w:t>
      </w:r>
      <w:r w:rsidRPr="001E58E1">
        <w:rPr>
          <w:szCs w:val="18"/>
        </w:rPr>
        <w:tab/>
        <w:t>4-Stroke engines</w:t>
      </w:r>
    </w:p>
    <w:p w14:paraId="0A75D4CC" w14:textId="77777777" w:rsidR="006761D2" w:rsidRPr="001E58E1" w:rsidRDefault="006761D2" w:rsidP="006761D2">
      <w:pPr>
        <w:spacing w:line="300" w:lineRule="atLeast"/>
        <w:ind w:left="720"/>
        <w:jc w:val="both"/>
        <w:rPr>
          <w:szCs w:val="18"/>
        </w:rPr>
      </w:pPr>
      <w:r w:rsidRPr="001E58E1">
        <w:rPr>
          <w:szCs w:val="18"/>
        </w:rPr>
        <w:t>5b</w:t>
      </w:r>
      <w:r w:rsidRPr="001E58E1">
        <w:rPr>
          <w:szCs w:val="18"/>
        </w:rPr>
        <w:tab/>
        <w:t>2-Stroke engines</w:t>
      </w:r>
    </w:p>
    <w:p w14:paraId="6571514D" w14:textId="77777777" w:rsidR="006761D2" w:rsidRPr="001E58E1" w:rsidRDefault="006761D2" w:rsidP="006761D2">
      <w:pPr>
        <w:spacing w:line="300" w:lineRule="atLeast"/>
        <w:ind w:left="720"/>
        <w:jc w:val="both"/>
        <w:rPr>
          <w:szCs w:val="18"/>
        </w:rPr>
      </w:pPr>
      <w:r w:rsidRPr="001E58E1">
        <w:rPr>
          <w:szCs w:val="18"/>
        </w:rPr>
        <w:t>5c</w:t>
      </w:r>
      <w:r w:rsidRPr="001E58E1">
        <w:rPr>
          <w:szCs w:val="18"/>
        </w:rPr>
        <w:tab/>
        <w:t>Diesel engines</w:t>
      </w:r>
    </w:p>
    <w:p w14:paraId="4748E3D8" w14:textId="77777777" w:rsidR="006761D2" w:rsidRPr="001E58E1" w:rsidRDefault="006761D2" w:rsidP="006761D2">
      <w:pPr>
        <w:spacing w:line="300" w:lineRule="atLeast"/>
        <w:ind w:left="720"/>
        <w:jc w:val="both"/>
        <w:rPr>
          <w:szCs w:val="18"/>
        </w:rPr>
      </w:pPr>
      <w:r w:rsidRPr="001E58E1">
        <w:rPr>
          <w:szCs w:val="18"/>
        </w:rPr>
        <w:t>5d</w:t>
      </w:r>
      <w:r w:rsidRPr="001E58E1">
        <w:rPr>
          <w:szCs w:val="18"/>
        </w:rPr>
        <w:tab/>
        <w:t>Heavy oil-fired engines</w:t>
      </w:r>
    </w:p>
    <w:p w14:paraId="5259AC63" w14:textId="44EE26D8" w:rsidR="006761D2" w:rsidRPr="001E58E1" w:rsidRDefault="24854215" w:rsidP="006761D2">
      <w:pPr>
        <w:spacing w:line="300" w:lineRule="atLeast"/>
        <w:jc w:val="both"/>
      </w:pPr>
      <w:r>
        <w:t>The dioxin releases from transport are all combustion-related</w:t>
      </w:r>
      <w:r w:rsidR="04D16548">
        <w:t xml:space="preserve"> </w:t>
      </w:r>
      <w:r>
        <w:t xml:space="preserve">and they </w:t>
      </w:r>
      <w:bookmarkStart w:id="250" w:name="_Int_32AdPeEx"/>
      <w:r>
        <w:t>mainly arise</w:t>
      </w:r>
      <w:bookmarkEnd w:id="250"/>
      <w:r>
        <w:t xml:space="preserve"> from the incomplete combustion of the fuels being burned. For this reason, the dioxin release rates tend to be greatest for the more complex fuels (eg. oil versus petrol versus LPG). They are also affected by the different engine designs and the use of catalytic converters on the engine exhausts. An additional factor specific to leaded petrol is noted below.</w:t>
      </w:r>
    </w:p>
    <w:p w14:paraId="5537206A" w14:textId="554C24FA" w:rsidR="006761D2" w:rsidRPr="001E58E1" w:rsidRDefault="001E58E1" w:rsidP="006761D2">
      <w:pPr>
        <w:spacing w:line="300" w:lineRule="atLeast"/>
        <w:jc w:val="both"/>
        <w:rPr>
          <w:szCs w:val="18"/>
        </w:rPr>
      </w:pPr>
      <w:r>
        <w:rPr>
          <w:szCs w:val="18"/>
        </w:rPr>
        <w:t>The vehicle fleet was comprised of the following vehicles in 2020</w:t>
      </w:r>
      <w:r w:rsidR="007C3280">
        <w:rPr>
          <w:szCs w:val="18"/>
        </w:rPr>
        <w:t xml:space="preserve"> (Ministry of Transport, 2022)</w:t>
      </w:r>
      <w:r w:rsidR="006761D2" w:rsidRPr="001E58E1">
        <w:rPr>
          <w:szCs w:val="18"/>
        </w:rPr>
        <w:t>:</w:t>
      </w:r>
    </w:p>
    <w:p w14:paraId="3EE3632A" w14:textId="38DB36B2" w:rsidR="006761D2" w:rsidRPr="001E58E1" w:rsidRDefault="183D073C" w:rsidP="00387BF7">
      <w:pPr>
        <w:pStyle w:val="ListParagraph"/>
        <w:numPr>
          <w:ilvl w:val="0"/>
          <w:numId w:val="26"/>
        </w:numPr>
        <w:spacing w:line="300" w:lineRule="atLeast"/>
        <w:jc w:val="both"/>
      </w:pPr>
      <w:r>
        <w:t>3</w:t>
      </w:r>
      <w:r w:rsidR="4311EF9B">
        <w:t>,399,000</w:t>
      </w:r>
      <w:r>
        <w:t xml:space="preserve"> light petrol vehicles</w:t>
      </w:r>
      <w:r w:rsidR="6584DEDD">
        <w:t xml:space="preserve"> (including hybrid and </w:t>
      </w:r>
      <w:bookmarkStart w:id="251" w:name="_Int_od8TTzqi"/>
      <w:r w:rsidR="00FA28EF">
        <w:t>PHEVs</w:t>
      </w:r>
      <w:bookmarkEnd w:id="251"/>
      <w:r w:rsidR="6584DEDD">
        <w:t>)</w:t>
      </w:r>
    </w:p>
    <w:p w14:paraId="3460283C" w14:textId="12008329" w:rsidR="006761D2" w:rsidRPr="001E58E1" w:rsidRDefault="007C3280" w:rsidP="00387BF7">
      <w:pPr>
        <w:pStyle w:val="ListParagraph"/>
        <w:numPr>
          <w:ilvl w:val="0"/>
          <w:numId w:val="26"/>
        </w:numPr>
        <w:spacing w:line="300" w:lineRule="atLeast"/>
        <w:jc w:val="both"/>
        <w:rPr>
          <w:szCs w:val="18"/>
        </w:rPr>
      </w:pPr>
      <w:r>
        <w:rPr>
          <w:szCs w:val="18"/>
        </w:rPr>
        <w:t xml:space="preserve">818,300 </w:t>
      </w:r>
      <w:r w:rsidR="006761D2" w:rsidRPr="001E58E1">
        <w:rPr>
          <w:szCs w:val="18"/>
        </w:rPr>
        <w:t>diesel powered light vehicles (mostly vans, utes, light trucks and 4-WDs)</w:t>
      </w:r>
    </w:p>
    <w:p w14:paraId="67F467CD" w14:textId="38B47A16" w:rsidR="006761D2" w:rsidRPr="001E58E1" w:rsidRDefault="006761D2" w:rsidP="00387BF7">
      <w:pPr>
        <w:pStyle w:val="ListParagraph"/>
        <w:numPr>
          <w:ilvl w:val="0"/>
          <w:numId w:val="26"/>
        </w:numPr>
        <w:spacing w:line="300" w:lineRule="atLeast"/>
        <w:jc w:val="both"/>
        <w:rPr>
          <w:szCs w:val="18"/>
        </w:rPr>
      </w:pPr>
      <w:r w:rsidRPr="001E58E1">
        <w:rPr>
          <w:szCs w:val="18"/>
        </w:rPr>
        <w:t>1</w:t>
      </w:r>
      <w:r w:rsidR="007C3280">
        <w:rPr>
          <w:szCs w:val="18"/>
        </w:rPr>
        <w:t>64</w:t>
      </w:r>
      <w:r w:rsidRPr="001E58E1">
        <w:rPr>
          <w:szCs w:val="18"/>
        </w:rPr>
        <w:t>,000 diesel heavy vehicles (trucks and buses)</w:t>
      </w:r>
    </w:p>
    <w:p w14:paraId="263F13CB" w14:textId="27ACCA8C" w:rsidR="006761D2" w:rsidRPr="001E58E1" w:rsidRDefault="24854215" w:rsidP="0C34660A">
      <w:pPr>
        <w:pStyle w:val="ListParagraph"/>
        <w:numPr>
          <w:ilvl w:val="0"/>
          <w:numId w:val="26"/>
        </w:numPr>
        <w:spacing w:line="300" w:lineRule="atLeast"/>
        <w:jc w:val="both"/>
      </w:pPr>
      <w:r>
        <w:t>1</w:t>
      </w:r>
      <w:r w:rsidR="56F357E2">
        <w:t>61</w:t>
      </w:r>
      <w:r>
        <w:t>,000 motorcycles</w:t>
      </w:r>
    </w:p>
    <w:p w14:paraId="5CE710EF" w14:textId="7E8B460B" w:rsidR="006761D2" w:rsidRPr="001E58E1" w:rsidRDefault="24854215" w:rsidP="00387BF7">
      <w:pPr>
        <w:pStyle w:val="ListParagraph"/>
        <w:numPr>
          <w:ilvl w:val="0"/>
          <w:numId w:val="26"/>
        </w:numPr>
        <w:spacing w:line="300" w:lineRule="atLeast"/>
        <w:jc w:val="both"/>
      </w:pPr>
      <w:r>
        <w:t>3</w:t>
      </w:r>
      <w:r w:rsidR="56F357E2">
        <w:t>2</w:t>
      </w:r>
      <w:r>
        <w:t>,000 mopeds (</w:t>
      </w:r>
      <w:bookmarkStart w:id="252" w:name="_Int_RELRM5m9"/>
      <w:r>
        <w:t>a significant proportion</w:t>
      </w:r>
      <w:bookmarkEnd w:id="252"/>
      <w:r>
        <w:t xml:space="preserve"> of which have 2-stroke engines)</w:t>
      </w:r>
    </w:p>
    <w:p w14:paraId="278197E3" w14:textId="4F150B12" w:rsidR="006761D2" w:rsidRPr="001E58E1" w:rsidRDefault="00074DC7" w:rsidP="00387BF7">
      <w:pPr>
        <w:pStyle w:val="ListParagraph"/>
        <w:numPr>
          <w:ilvl w:val="0"/>
          <w:numId w:val="26"/>
        </w:numPr>
        <w:spacing w:line="300" w:lineRule="atLeast"/>
        <w:jc w:val="both"/>
        <w:rPr>
          <w:szCs w:val="18"/>
        </w:rPr>
      </w:pPr>
      <w:r>
        <w:rPr>
          <w:szCs w:val="18"/>
        </w:rPr>
        <w:t xml:space="preserve">25 </w:t>
      </w:r>
      <w:r w:rsidR="006761D2" w:rsidRPr="001E58E1">
        <w:rPr>
          <w:szCs w:val="18"/>
        </w:rPr>
        <w:t>CNG powered vehicles</w:t>
      </w:r>
    </w:p>
    <w:p w14:paraId="31ACAAFE" w14:textId="75569DE2" w:rsidR="006761D2" w:rsidRPr="001E58E1" w:rsidRDefault="00074DC7" w:rsidP="00387BF7">
      <w:pPr>
        <w:pStyle w:val="ListParagraph"/>
        <w:numPr>
          <w:ilvl w:val="0"/>
          <w:numId w:val="26"/>
        </w:numPr>
        <w:spacing w:line="300" w:lineRule="atLeast"/>
        <w:jc w:val="both"/>
        <w:rPr>
          <w:szCs w:val="18"/>
        </w:rPr>
      </w:pPr>
      <w:r>
        <w:rPr>
          <w:szCs w:val="18"/>
        </w:rPr>
        <w:t xml:space="preserve">1049 </w:t>
      </w:r>
      <w:r w:rsidR="006761D2" w:rsidRPr="001E58E1">
        <w:rPr>
          <w:szCs w:val="18"/>
        </w:rPr>
        <w:t>LPG powered vehicles.</w:t>
      </w:r>
    </w:p>
    <w:p w14:paraId="5BE99FFF" w14:textId="7F55113E" w:rsidR="006761D2" w:rsidRPr="001E58E1" w:rsidRDefault="006761D2" w:rsidP="006761D2">
      <w:pPr>
        <w:spacing w:line="300" w:lineRule="atLeast"/>
        <w:jc w:val="both"/>
        <w:rPr>
          <w:szCs w:val="18"/>
        </w:rPr>
      </w:pPr>
      <w:r w:rsidRPr="001E58E1">
        <w:rPr>
          <w:szCs w:val="18"/>
        </w:rPr>
        <w:t>An unusual feature of this vehicle fle</w:t>
      </w:r>
      <w:r w:rsidR="00773433" w:rsidRPr="001E58E1">
        <w:rPr>
          <w:szCs w:val="18"/>
        </w:rPr>
        <w:t xml:space="preserve">et in global terms is its age. </w:t>
      </w:r>
      <w:r w:rsidR="00074DC7">
        <w:rPr>
          <w:szCs w:val="18"/>
        </w:rPr>
        <w:t>Of the light vehicle fleet 21%</w:t>
      </w:r>
      <w:r w:rsidRPr="001E58E1">
        <w:rPr>
          <w:szCs w:val="18"/>
        </w:rPr>
        <w:t xml:space="preserve"> </w:t>
      </w:r>
      <w:r w:rsidR="00797982">
        <w:rPr>
          <w:szCs w:val="18"/>
        </w:rPr>
        <w:t xml:space="preserve">of vehicles </w:t>
      </w:r>
      <w:r w:rsidRPr="001E58E1">
        <w:rPr>
          <w:szCs w:val="18"/>
        </w:rPr>
        <w:t>are more than 20 years old</w:t>
      </w:r>
      <w:r w:rsidR="00FC714D">
        <w:rPr>
          <w:szCs w:val="18"/>
        </w:rPr>
        <w:t xml:space="preserve"> and 65% are 10 years or older.</w:t>
      </w:r>
      <w:r w:rsidR="003C12F3">
        <w:rPr>
          <w:szCs w:val="18"/>
        </w:rPr>
        <w:t xml:space="preserve"> The average light vehicle age in New Zealand is 14 years whereas in Australia </w:t>
      </w:r>
      <w:r w:rsidR="00BD671A">
        <w:rPr>
          <w:szCs w:val="18"/>
        </w:rPr>
        <w:t>it is 10 years. (Ministry of Transport, 2022)</w:t>
      </w:r>
    </w:p>
    <w:p w14:paraId="455F7286" w14:textId="53916FB4" w:rsidR="0026228C" w:rsidRDefault="24854215" w:rsidP="006761D2">
      <w:pPr>
        <w:spacing w:line="300" w:lineRule="atLeast"/>
        <w:jc w:val="both"/>
      </w:pPr>
      <w:r>
        <w:t xml:space="preserve">Significant quantities of petrol </w:t>
      </w:r>
      <w:r w:rsidR="6411622E">
        <w:t>are also</w:t>
      </w:r>
      <w:r>
        <w:t xml:space="preserve"> combusted in engines in off-road situation</w:t>
      </w:r>
      <w:r w:rsidR="26B757C6">
        <w:t xml:space="preserve">s. </w:t>
      </w:r>
      <w:r w:rsidR="5237DE4A">
        <w:t xml:space="preserve">The Energy Efficiency and Conservation Authority </w:t>
      </w:r>
      <w:r w:rsidR="352E8525">
        <w:t xml:space="preserve">(EECA) </w:t>
      </w:r>
      <w:r w:rsidR="5237DE4A">
        <w:t>recently conducted a study aimed at improving estimates of off-road petrol and diesel use in New Zealand</w:t>
      </w:r>
      <w:r w:rsidR="263E6B86">
        <w:t xml:space="preserve"> (Energy Efficiency and Conservation Authority, 2021)</w:t>
      </w:r>
      <w:r w:rsidR="2F4A3B07">
        <w:t xml:space="preserve">. One of the findings of the study was that of the 445 million litres of petrol used for off-road activities, 383 million litres </w:t>
      </w:r>
      <w:r w:rsidR="3C28B818">
        <w:t xml:space="preserve">(86%) </w:t>
      </w:r>
      <w:bookmarkStart w:id="253" w:name="_Int_z4dBKo3k"/>
      <w:r w:rsidR="3C28B818">
        <w:t>were</w:t>
      </w:r>
      <w:bookmarkEnd w:id="253"/>
      <w:r w:rsidR="3C28B818">
        <w:t xml:space="preserve"> </w:t>
      </w:r>
      <w:r w:rsidR="4BB4A804">
        <w:t xml:space="preserve">being </w:t>
      </w:r>
      <w:r w:rsidR="3C28B818">
        <w:t>used for recreational marine activities. Because this fuel has been sourced from the retail network to fill boats for recreation</w:t>
      </w:r>
      <w:r w:rsidR="04D16548">
        <w:t>,</w:t>
      </w:r>
      <w:r w:rsidR="3C28B818">
        <w:t xml:space="preserve"> currently it is being captured as “on-road” use when it should be “off-road</w:t>
      </w:r>
      <w:bookmarkStart w:id="254" w:name="_Int_BC4RYQvG"/>
      <w:r w:rsidR="3C28B818">
        <w:t>”.</w:t>
      </w:r>
      <w:bookmarkEnd w:id="254"/>
      <w:r w:rsidR="4BB4A804">
        <w:t xml:space="preserve"> This may have led to previous underestimation of the quantities of petrol being used in boats</w:t>
      </w:r>
      <w:r w:rsidR="3160F857">
        <w:t xml:space="preserve">. For instance, in the </w:t>
      </w:r>
      <w:r w:rsidR="04D16548">
        <w:t>2016 Inventory</w:t>
      </w:r>
      <w:r w:rsidR="51EBD957">
        <w:t>,</w:t>
      </w:r>
      <w:r w:rsidR="4BB4A804">
        <w:t xml:space="preserve"> </w:t>
      </w:r>
      <w:r w:rsidR="51EBD957">
        <w:t>t</w:t>
      </w:r>
      <w:r>
        <w:t xml:space="preserve">he Ministry of Transport </w:t>
      </w:r>
      <w:r w:rsidR="3160F857">
        <w:t xml:space="preserve">estimated that New Zealand’s boats and jet skis consumed 65.6 million litres </w:t>
      </w:r>
      <w:r>
        <w:t>(I McGlinchy, Ministry of Transport, pers comm, 2018)</w:t>
      </w:r>
      <w:r w:rsidR="2AFF3EDE">
        <w:t xml:space="preserve">. </w:t>
      </w:r>
    </w:p>
    <w:p w14:paraId="2CABF366" w14:textId="1B9D8509" w:rsidR="006761D2" w:rsidRPr="001E58E1" w:rsidRDefault="47F0E9C3" w:rsidP="006761D2">
      <w:pPr>
        <w:spacing w:line="300" w:lineRule="atLeast"/>
        <w:jc w:val="both"/>
      </w:pPr>
      <w:r>
        <w:t>Apart from recreational marine activities</w:t>
      </w:r>
      <w:r w:rsidR="352E8525">
        <w:t>,</w:t>
      </w:r>
      <w:r>
        <w:t xml:space="preserve"> </w:t>
      </w:r>
      <w:r w:rsidR="352E8525">
        <w:t xml:space="preserve">the EECA study reported that </w:t>
      </w:r>
      <w:r>
        <w:t>other major off-road petrol uses occurred in agriculture (33 million litres) and commercial activities (21 million litres)</w:t>
      </w:r>
      <w:r w:rsidR="352E8525">
        <w:t>,</w:t>
      </w:r>
      <w:r>
        <w:t xml:space="preserve"> although the latter </w:t>
      </w:r>
      <w:r w:rsidR="00265858">
        <w:t>encompasses</w:t>
      </w:r>
      <w:r>
        <w:t xml:space="preserve"> a wider </w:t>
      </w:r>
      <w:r w:rsidR="1C3B6BAE">
        <w:t xml:space="preserve">range than purely commercial functions. Light vehicles such as agricultural and recreational quad bikes and motor bikes, </w:t>
      </w:r>
      <w:bookmarkStart w:id="255" w:name="_Int_ei7VTDf6"/>
      <w:r w:rsidR="1C3B6BAE">
        <w:t>utes,</w:t>
      </w:r>
      <w:bookmarkEnd w:id="255"/>
      <w:r w:rsidR="1C3B6BAE">
        <w:t xml:space="preserve"> and small equipment such as chainsaws, pumps and motor mowers</w:t>
      </w:r>
      <w:r w:rsidR="07BA6FAA">
        <w:t xml:space="preserve"> are the principal users of petrol here.</w:t>
      </w:r>
    </w:p>
    <w:p w14:paraId="5E986E7D" w14:textId="6784C72D" w:rsidR="006761D2" w:rsidRPr="001E58E1" w:rsidRDefault="006761D2" w:rsidP="003D73C3"/>
    <w:p w14:paraId="0B5A70D5" w14:textId="77777777" w:rsidR="006761D2" w:rsidRPr="001E58E1" w:rsidRDefault="006761D2" w:rsidP="00261F78">
      <w:pPr>
        <w:pStyle w:val="Heading2"/>
      </w:pPr>
      <w:bookmarkStart w:id="256" w:name="_Toc112768113"/>
      <w:r w:rsidRPr="001E58E1">
        <w:lastRenderedPageBreak/>
        <w:t>4-Stroke engines</w:t>
      </w:r>
      <w:bookmarkEnd w:id="256"/>
    </w:p>
    <w:p w14:paraId="59D66A3A" w14:textId="18A12D37" w:rsidR="006761D2" w:rsidRPr="00AD6C4F" w:rsidRDefault="24854215" w:rsidP="0C34660A">
      <w:pPr>
        <w:spacing w:line="300" w:lineRule="atLeast"/>
        <w:jc w:val="both"/>
        <w:rPr>
          <w:lang w:val="en-US"/>
        </w:rPr>
      </w:pPr>
      <w:r w:rsidRPr="0C34660A">
        <w:rPr>
          <w:lang w:val="en-US"/>
        </w:rPr>
        <w:t xml:space="preserve">The use of </w:t>
      </w:r>
      <w:bookmarkStart w:id="257" w:name="_Int_y9Bpjkq6"/>
      <w:r w:rsidRPr="0C34660A">
        <w:rPr>
          <w:lang w:val="en-US"/>
        </w:rPr>
        <w:t>leaded</w:t>
      </w:r>
      <w:bookmarkEnd w:id="257"/>
      <w:r w:rsidRPr="0C34660A">
        <w:rPr>
          <w:lang w:val="en-US"/>
        </w:rPr>
        <w:t xml:space="preserve"> petrol was the major cause of dioxin emissions from motor vehicles, due to the presence of chemicals such as dichloroethane that were used as scavengers for the lead </w:t>
      </w:r>
      <w:sdt>
        <w:sdtPr>
          <w:rPr>
            <w:lang w:val="en-US"/>
          </w:rPr>
          <w:id w:val="-503118192"/>
          <w:lock w:val="contentLocked"/>
          <w:placeholder>
            <w:docPart w:val="DefaultPlaceholder_1081868574"/>
          </w:placeholder>
          <w:citation/>
        </w:sdtPr>
        <w:sdtEndPr/>
        <w:sdtContent>
          <w:r w:rsidR="006761D2" w:rsidRPr="0C34660A">
            <w:rPr>
              <w:lang w:val="en-US"/>
            </w:rPr>
            <w:fldChar w:fldCharType="begin"/>
          </w:r>
          <w:r w:rsidR="006761D2" w:rsidRPr="001E58E1">
            <w:rPr>
              <w:szCs w:val="18"/>
            </w:rPr>
            <w:instrText xml:space="preserve"> CITATION UNEP13 \l 5129 </w:instrText>
          </w:r>
          <w:r w:rsidR="006761D2" w:rsidRPr="0C34660A">
            <w:rPr>
              <w:lang w:val="en-US"/>
            </w:rPr>
            <w:fldChar w:fldCharType="separate"/>
          </w:r>
          <w:r w:rsidR="25EC959F" w:rsidRPr="0C34660A">
            <w:rPr>
              <w:noProof/>
            </w:rPr>
            <w:t>(United Nations Environment Programme, 2013)</w:t>
          </w:r>
          <w:r w:rsidR="006761D2" w:rsidRPr="0C34660A">
            <w:rPr>
              <w:lang w:val="en-US"/>
            </w:rPr>
            <w:fldChar w:fldCharType="end"/>
          </w:r>
        </w:sdtContent>
      </w:sdt>
      <w:r w:rsidRPr="0C34660A">
        <w:rPr>
          <w:lang w:val="en-US"/>
        </w:rPr>
        <w:t xml:space="preserve">. Dioxins have also been detected in the emissions from vehicles burning unleaded petrol and diesel, but in much lower amounts. The use of modern emission control technologies, especially catalytic converters, has been shown to reduce the emissions to almost negligible levels. </w:t>
      </w:r>
      <w:r w:rsidRPr="0C34660A">
        <w:t xml:space="preserve">The engines of most petrol-fuelled vehicles operate on a 4-stroke </w:t>
      </w:r>
      <w:bookmarkStart w:id="258" w:name="_Int_0I5x6bFi"/>
      <w:r w:rsidRPr="0C34660A">
        <w:t>cycle</w:t>
      </w:r>
      <w:bookmarkEnd w:id="258"/>
      <w:r w:rsidRPr="0C34660A">
        <w:t xml:space="preserve"> and, in New Zealand, all petrol has been unleaded since the late 1990s. The total petrol consumption in </w:t>
      </w:r>
      <w:r w:rsidR="7F2E0327" w:rsidRPr="0C34660A">
        <w:t>2020</w:t>
      </w:r>
      <w:r w:rsidR="2B7517E2" w:rsidRPr="001E58E1">
        <w:rPr>
          <w:szCs w:val="18"/>
        </w:rPr>
        <w:t xml:space="preserve"> </w:t>
      </w:r>
      <w:r w:rsidRPr="0C34660A">
        <w:t xml:space="preserve">was </w:t>
      </w:r>
      <w:r w:rsidR="7F2E0327" w:rsidRPr="0C34660A">
        <w:t xml:space="preserve">100,710 </w:t>
      </w:r>
      <w:r w:rsidRPr="0C34660A">
        <w:t xml:space="preserve">TJ, or about </w:t>
      </w:r>
      <w:r w:rsidR="7F2E0327" w:rsidRPr="0C34660A">
        <w:t>2,146,270</w:t>
      </w:r>
      <w:r w:rsidRPr="0C34660A">
        <w:t xml:space="preserve"> tonnes (1 TJ = 10</w:t>
      </w:r>
      <w:r w:rsidRPr="0C34660A">
        <w:rPr>
          <w:vertAlign w:val="superscript"/>
        </w:rPr>
        <w:t>12</w:t>
      </w:r>
      <w:r w:rsidRPr="0C34660A">
        <w:t xml:space="preserve"> Joules) </w:t>
      </w:r>
      <w:r w:rsidR="7F2E0327" w:rsidRPr="0C34660A">
        <w:rPr>
          <w:noProof/>
        </w:rPr>
        <w:t>(Ministry of Business Innovation and Employment, 2021)</w:t>
      </w:r>
      <w:r w:rsidRPr="001E58E1">
        <w:rPr>
          <w:szCs w:val="18"/>
        </w:rPr>
        <w:t>.</w:t>
      </w:r>
    </w:p>
    <w:p w14:paraId="13223567" w14:textId="07DD9684" w:rsidR="006761D2" w:rsidRPr="001E58E1" w:rsidRDefault="24854215" w:rsidP="006761D2">
      <w:pPr>
        <w:spacing w:line="300" w:lineRule="atLeast"/>
        <w:jc w:val="both"/>
      </w:pPr>
      <w:r>
        <w:t>The UNEP Toolkit provides different emission factors for 4-stroke vehicles with or without catalysts</w:t>
      </w:r>
      <w:r w:rsidR="352E8525">
        <w:t xml:space="preserve"> </w:t>
      </w:r>
      <w:bookmarkStart w:id="259" w:name="_Int_ARaJiWoj"/>
      <w:proofErr w:type="gramStart"/>
      <w:r>
        <w:t>and also</w:t>
      </w:r>
      <w:bookmarkEnd w:id="259"/>
      <w:proofErr w:type="gramEnd"/>
      <w:r>
        <w:t xml:space="preserve"> for vehicles operated on petrol/ethanol blends containing 50% or more ethanol. Petrol/ethanol blends are available in New Zealand, but the proportion of ethanol is limited under the </w:t>
      </w:r>
      <w:r w:rsidRPr="0C34660A">
        <w:rPr>
          <w:i/>
          <w:iCs/>
        </w:rPr>
        <w:t>Engine Fuel Specifications Regulations 2011</w:t>
      </w:r>
      <w:r>
        <w:t xml:space="preserve"> to no more than 10%. The total amount of </w:t>
      </w:r>
      <w:r w:rsidR="5BFAC5AD">
        <w:t>biofuels (</w:t>
      </w:r>
      <w:r>
        <w:t>bioethanol</w:t>
      </w:r>
      <w:r w:rsidR="5BFAC5AD">
        <w:t xml:space="preserve"> and biodiesel)</w:t>
      </w:r>
      <w:r>
        <w:t xml:space="preserve"> produced in New Zealand </w:t>
      </w:r>
      <w:r w:rsidR="26B757C6">
        <w:t xml:space="preserve">in </w:t>
      </w:r>
      <w:r w:rsidR="094EBAFC">
        <w:t>2020</w:t>
      </w:r>
      <w:r>
        <w:t xml:space="preserve"> was only </w:t>
      </w:r>
      <w:r w:rsidR="5BFAC5AD">
        <w:t xml:space="preserve">320 </w:t>
      </w:r>
      <w:r>
        <w:t>TJ</w:t>
      </w:r>
      <w:r w:rsidR="5BFAC5AD">
        <w:t xml:space="preserve"> </w:t>
      </w:r>
      <w:r w:rsidR="5BFAC5AD" w:rsidRPr="0C34660A">
        <w:rPr>
          <w:noProof/>
        </w:rPr>
        <w:t>(Ministry of Business Innovation and Employment, 2021)</w:t>
      </w:r>
      <w:r w:rsidR="352E8525">
        <w:t xml:space="preserve"> </w:t>
      </w:r>
      <w:r>
        <w:t>and the consumption for transport has already been included in the total petrol figure given above.</w:t>
      </w:r>
      <w:r w:rsidR="5BFAC5AD">
        <w:t xml:space="preserve"> For the previous Inventory it was </w:t>
      </w:r>
      <w:r w:rsidR="33D336D5">
        <w:t>estimated</w:t>
      </w:r>
      <w:r w:rsidR="5BFAC5AD">
        <w:t xml:space="preserve"> that 95% of the on-road use of petrol was in vehicles fitted with catalytic converters</w:t>
      </w:r>
      <w:bookmarkStart w:id="260" w:name="_Int_2Z0LDQpY"/>
      <w:r w:rsidR="5BFAC5AD">
        <w:t xml:space="preserve">. </w:t>
      </w:r>
      <w:bookmarkEnd w:id="260"/>
      <w:r w:rsidR="5BFAC5AD">
        <w:t xml:space="preserve">The Ministry of Transport </w:t>
      </w:r>
      <w:r w:rsidR="33D336D5">
        <w:t xml:space="preserve">is not able to </w:t>
      </w:r>
      <w:r w:rsidR="352E8525">
        <w:t xml:space="preserve">provide a current update </w:t>
      </w:r>
      <w:r w:rsidR="33D336D5">
        <w:t xml:space="preserve">but feels that the proportion of vehicles with a catalytic converter should be </w:t>
      </w:r>
      <w:bookmarkStart w:id="261" w:name="_Int_CPFFmqe4"/>
      <w:proofErr w:type="gramStart"/>
      <w:r w:rsidR="33D336D5">
        <w:t>fairly high</w:t>
      </w:r>
      <w:bookmarkEnd w:id="261"/>
      <w:proofErr w:type="gramEnd"/>
      <w:r w:rsidR="33D336D5">
        <w:t xml:space="preserve"> (</w:t>
      </w:r>
      <w:r w:rsidR="4BE24A4A">
        <w:t>H. Wang, Ministry of Transport, pers comm, 2022). Given New Zealand’s fleet age profile it is assumed that a figure of 95% is still relevant.</w:t>
      </w:r>
    </w:p>
    <w:p w14:paraId="2267634C" w14:textId="2C2C17DC" w:rsidR="006761D2" w:rsidRPr="001E58E1" w:rsidRDefault="24854215" w:rsidP="006761D2">
      <w:pPr>
        <w:spacing w:line="300" w:lineRule="atLeast"/>
        <w:jc w:val="both"/>
      </w:pPr>
      <w:r>
        <w:t>The use of LPG in vehicles is also included in this category</w:t>
      </w:r>
      <w:r w:rsidR="352E8525">
        <w:t xml:space="preserve"> </w:t>
      </w:r>
      <w:r>
        <w:t xml:space="preserve">and the emissions are expected to be </w:t>
      </w:r>
      <w:bookmarkStart w:id="262" w:name="_Int_ZsDkLDxW"/>
      <w:proofErr w:type="gramStart"/>
      <w:r>
        <w:t>similar to</w:t>
      </w:r>
      <w:bookmarkEnd w:id="262"/>
      <w:proofErr w:type="gramEnd"/>
      <w:r>
        <w:t xml:space="preserve"> those from 4-stroke engines fitted with exhaust catalysts. The total LPG consumption for transport in 2016 was only </w:t>
      </w:r>
      <w:r w:rsidR="14604ED9">
        <w:t>130</w:t>
      </w:r>
      <w:r>
        <w:t xml:space="preserve"> TJ or </w:t>
      </w:r>
      <w:r w:rsidR="14604ED9">
        <w:t xml:space="preserve">2,700 </w:t>
      </w:r>
      <w:r>
        <w:t>tonnes,</w:t>
      </w:r>
    </w:p>
    <w:p w14:paraId="3C69BD8D" w14:textId="76EA613C" w:rsidR="006761D2" w:rsidRPr="00C6233D" w:rsidRDefault="006761D2" w:rsidP="006761D2">
      <w:pPr>
        <w:spacing w:line="300" w:lineRule="atLeast"/>
        <w:jc w:val="both"/>
        <w:rPr>
          <w:szCs w:val="18"/>
        </w:rPr>
      </w:pPr>
      <w:r w:rsidRPr="00C6233D">
        <w:rPr>
          <w:szCs w:val="18"/>
        </w:rPr>
        <w:t xml:space="preserve">The </w:t>
      </w:r>
      <w:r w:rsidR="00EA409D" w:rsidRPr="00C6233D">
        <w:rPr>
          <w:szCs w:val="18"/>
        </w:rPr>
        <w:t>2020</w:t>
      </w:r>
      <w:r w:rsidR="003E581C" w:rsidRPr="00C6233D">
        <w:rPr>
          <w:szCs w:val="18"/>
        </w:rPr>
        <w:t xml:space="preserve"> </w:t>
      </w:r>
      <w:r w:rsidRPr="00C6233D">
        <w:rPr>
          <w:szCs w:val="18"/>
        </w:rPr>
        <w:t xml:space="preserve">release estimates for 4-stroke engines are shown in Table 7-1, along with the corresponding estimates </w:t>
      </w:r>
      <w:r w:rsidR="00AD6C4F">
        <w:rPr>
          <w:szCs w:val="18"/>
        </w:rPr>
        <w:t xml:space="preserve">for </w:t>
      </w:r>
      <w:r w:rsidRPr="00C6233D">
        <w:rPr>
          <w:szCs w:val="18"/>
        </w:rPr>
        <w:t>the</w:t>
      </w:r>
      <w:r w:rsidR="00AD6C4F">
        <w:rPr>
          <w:szCs w:val="18"/>
        </w:rPr>
        <w:t xml:space="preserve"> 2012 and</w:t>
      </w:r>
      <w:r w:rsidRPr="00C6233D">
        <w:rPr>
          <w:szCs w:val="18"/>
        </w:rPr>
        <w:t xml:space="preserve"> </w:t>
      </w:r>
      <w:r w:rsidR="00C6233D">
        <w:rPr>
          <w:szCs w:val="18"/>
        </w:rPr>
        <w:t>2016</w:t>
      </w:r>
      <w:r w:rsidRPr="00C6233D">
        <w:rPr>
          <w:szCs w:val="18"/>
        </w:rPr>
        <w:t xml:space="preserve"> Invento</w:t>
      </w:r>
      <w:r w:rsidR="00AD6C4F">
        <w:rPr>
          <w:szCs w:val="18"/>
        </w:rPr>
        <w:t>ries</w:t>
      </w:r>
      <w:r w:rsidRPr="00C6233D">
        <w:rPr>
          <w:szCs w:val="18"/>
        </w:rPr>
        <w:t xml:space="preserve">. The activity rates were obtained by subtracting the petrol used in 2-stroke engines (see section 7.2 below) and then distributing 5% of the remainder to non-catalyst vehicles and </w:t>
      </w:r>
      <w:r w:rsidR="00672218" w:rsidRPr="00C6233D">
        <w:rPr>
          <w:szCs w:val="18"/>
        </w:rPr>
        <w:t>9</w:t>
      </w:r>
      <w:r w:rsidRPr="00C6233D">
        <w:rPr>
          <w:szCs w:val="18"/>
        </w:rPr>
        <w:t>5% to those fitted with catalysts. The annual LPG consumption has been added to the latter figure.</w:t>
      </w:r>
      <w:bookmarkStart w:id="263" w:name="_Ref386016782"/>
    </w:p>
    <w:p w14:paraId="3F999587" w14:textId="0C031A16" w:rsidR="006761D2" w:rsidRPr="00607DD6" w:rsidRDefault="006761D2" w:rsidP="006761D2">
      <w:pPr>
        <w:pStyle w:val="Caption"/>
        <w:jc w:val="left"/>
        <w:rPr>
          <w:rFonts w:cs="Arial"/>
          <w:szCs w:val="18"/>
        </w:rPr>
      </w:pPr>
      <w:r w:rsidRPr="00607DD6">
        <w:rPr>
          <w:rFonts w:cs="Arial"/>
        </w:rPr>
        <w:t xml:space="preserve">Table </w:t>
      </w:r>
      <w:r w:rsidRPr="00607DD6">
        <w:rPr>
          <w:rFonts w:cs="Arial"/>
        </w:rPr>
        <w:fldChar w:fldCharType="begin"/>
      </w:r>
      <w:r w:rsidRPr="00607DD6">
        <w:rPr>
          <w:rFonts w:cs="Arial"/>
        </w:rPr>
        <w:instrText xml:space="preserve"> STYLEREF 1 \s </w:instrText>
      </w:r>
      <w:r w:rsidRPr="00607DD6">
        <w:rPr>
          <w:rFonts w:cs="Arial"/>
        </w:rPr>
        <w:fldChar w:fldCharType="separate"/>
      </w:r>
      <w:r w:rsidR="00141D7F">
        <w:rPr>
          <w:rFonts w:cs="Arial"/>
          <w:noProof/>
        </w:rPr>
        <w:t>7</w:t>
      </w:r>
      <w:r w:rsidRPr="00607DD6">
        <w:rPr>
          <w:rFonts w:cs="Arial"/>
        </w:rPr>
        <w:fldChar w:fldCharType="end"/>
      </w:r>
      <w:r w:rsidRPr="00607DD6">
        <w:rPr>
          <w:rFonts w:cs="Arial"/>
        </w:rPr>
        <w:noBreakHyphen/>
      </w:r>
      <w:r w:rsidRPr="00607DD6">
        <w:rPr>
          <w:rFonts w:cs="Arial"/>
        </w:rPr>
        <w:fldChar w:fldCharType="begin"/>
      </w:r>
      <w:r w:rsidRPr="00607DD6">
        <w:rPr>
          <w:rFonts w:cs="Arial"/>
        </w:rPr>
        <w:instrText xml:space="preserve"> SEQ Table \* ARABIC \s 1 </w:instrText>
      </w:r>
      <w:r w:rsidRPr="00607DD6">
        <w:rPr>
          <w:rFonts w:cs="Arial"/>
        </w:rPr>
        <w:fldChar w:fldCharType="separate"/>
      </w:r>
      <w:r w:rsidR="00141D7F">
        <w:rPr>
          <w:rFonts w:cs="Arial"/>
          <w:noProof/>
        </w:rPr>
        <w:t>1</w:t>
      </w:r>
      <w:r w:rsidRPr="00607DD6">
        <w:rPr>
          <w:rFonts w:cs="Arial"/>
        </w:rPr>
        <w:fldChar w:fldCharType="end"/>
      </w:r>
      <w:bookmarkEnd w:id="263"/>
      <w:r w:rsidRPr="00607DD6">
        <w:rPr>
          <w:rFonts w:cs="Arial"/>
        </w:rPr>
        <w:t>: Dioxin releases from 4-stroke petrol engines</w:t>
      </w:r>
    </w:p>
    <w:tbl>
      <w:tblPr>
        <w:tblStyle w:val="TableGrid"/>
        <w:tblW w:w="0" w:type="auto"/>
        <w:tblLook w:val="04A0" w:firstRow="1" w:lastRow="0" w:firstColumn="1" w:lastColumn="0" w:noHBand="0" w:noVBand="1"/>
      </w:tblPr>
      <w:tblGrid>
        <w:gridCol w:w="924"/>
        <w:gridCol w:w="1641"/>
        <w:gridCol w:w="2160"/>
        <w:gridCol w:w="2144"/>
        <w:gridCol w:w="2192"/>
      </w:tblGrid>
      <w:tr w:rsidR="006761D2" w:rsidRPr="00607DD6" w14:paraId="2C286C47" w14:textId="77777777" w:rsidTr="0C34660A">
        <w:tc>
          <w:tcPr>
            <w:tcW w:w="924" w:type="dxa"/>
            <w:vMerge w:val="restart"/>
            <w:vAlign w:val="center"/>
          </w:tcPr>
          <w:p w14:paraId="020A2494"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Year</w:t>
            </w:r>
          </w:p>
        </w:tc>
        <w:tc>
          <w:tcPr>
            <w:tcW w:w="1641" w:type="dxa"/>
            <w:vMerge w:val="restart"/>
            <w:vAlign w:val="center"/>
          </w:tcPr>
          <w:p w14:paraId="5A29EEA5"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Type of 4-stroke engine</w:t>
            </w:r>
          </w:p>
        </w:tc>
        <w:tc>
          <w:tcPr>
            <w:tcW w:w="2160" w:type="dxa"/>
            <w:vMerge w:val="restart"/>
            <w:vAlign w:val="center"/>
          </w:tcPr>
          <w:p w14:paraId="15B52895" w14:textId="77777777" w:rsidR="006761D2" w:rsidRPr="00607DD6"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64" w:name="_Int_RYiOdzVQ"/>
            <w:r w:rsidRPr="0C34660A">
              <w:rPr>
                <w:rFonts w:ascii="Arial" w:hAnsi="Arial" w:cs="Arial"/>
                <w:b/>
                <w:bCs/>
                <w:sz w:val="16"/>
                <w:szCs w:val="16"/>
              </w:rPr>
              <w:t>tonnes</w:t>
            </w:r>
            <w:bookmarkEnd w:id="264"/>
            <w:r w:rsidRPr="0C34660A">
              <w:rPr>
                <w:rFonts w:ascii="Arial" w:hAnsi="Arial" w:cs="Arial"/>
                <w:b/>
                <w:bCs/>
                <w:sz w:val="16"/>
                <w:szCs w:val="16"/>
              </w:rPr>
              <w:t xml:space="preserve"> of fuel/year)</w:t>
            </w:r>
          </w:p>
        </w:tc>
        <w:tc>
          <w:tcPr>
            <w:tcW w:w="2144" w:type="dxa"/>
            <w:vAlign w:val="center"/>
          </w:tcPr>
          <w:p w14:paraId="61E2912D"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Release factors</w:t>
            </w:r>
            <w:r w:rsidRPr="00607DD6">
              <w:rPr>
                <w:rFonts w:ascii="Arial" w:hAnsi="Arial" w:cs="Arial"/>
                <w:sz w:val="16"/>
                <w:szCs w:val="18"/>
              </w:rPr>
              <w:t xml:space="preserve"> </w:t>
            </w:r>
            <w:r w:rsidRPr="00607DD6">
              <w:rPr>
                <w:rFonts w:ascii="Arial" w:hAnsi="Arial" w:cs="Arial"/>
                <w:sz w:val="16"/>
                <w:szCs w:val="18"/>
              </w:rPr>
              <w:br/>
              <w:t>(</w:t>
            </w:r>
            <w:r w:rsidRPr="00607DD6">
              <w:rPr>
                <w:rFonts w:ascii="Arial" w:hAnsi="Arial" w:cs="Arial"/>
                <w:b/>
                <w:sz w:val="16"/>
                <w:szCs w:val="18"/>
              </w:rPr>
              <w:t>µg TEQ/tonne of fuel)</w:t>
            </w:r>
          </w:p>
        </w:tc>
        <w:tc>
          <w:tcPr>
            <w:tcW w:w="2192" w:type="dxa"/>
            <w:vAlign w:val="center"/>
          </w:tcPr>
          <w:p w14:paraId="4BE85C44"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 xml:space="preserve">Annual releases </w:t>
            </w:r>
            <w:r w:rsidRPr="00607DD6">
              <w:rPr>
                <w:rFonts w:ascii="Arial" w:hAnsi="Arial" w:cs="Arial"/>
                <w:b/>
                <w:sz w:val="16"/>
                <w:szCs w:val="18"/>
              </w:rPr>
              <w:br/>
              <w:t>(g TEQ/yr)</w:t>
            </w:r>
          </w:p>
        </w:tc>
      </w:tr>
      <w:tr w:rsidR="006761D2" w:rsidRPr="00607DD6" w14:paraId="5833B6A8" w14:textId="77777777" w:rsidTr="0C34660A">
        <w:tc>
          <w:tcPr>
            <w:tcW w:w="924" w:type="dxa"/>
            <w:vMerge/>
          </w:tcPr>
          <w:p w14:paraId="25CEB5E3" w14:textId="77777777" w:rsidR="006761D2" w:rsidRPr="00607DD6" w:rsidRDefault="006761D2" w:rsidP="009F7DB8">
            <w:pPr>
              <w:spacing w:before="120"/>
              <w:jc w:val="both"/>
              <w:rPr>
                <w:rFonts w:ascii="Arial" w:hAnsi="Arial" w:cs="Arial"/>
                <w:sz w:val="16"/>
                <w:szCs w:val="18"/>
              </w:rPr>
            </w:pPr>
          </w:p>
        </w:tc>
        <w:tc>
          <w:tcPr>
            <w:tcW w:w="1641" w:type="dxa"/>
            <w:vMerge/>
          </w:tcPr>
          <w:p w14:paraId="062493FE" w14:textId="77777777" w:rsidR="006761D2" w:rsidRPr="00607DD6" w:rsidRDefault="006761D2" w:rsidP="009F7DB8">
            <w:pPr>
              <w:spacing w:before="120"/>
              <w:jc w:val="center"/>
              <w:rPr>
                <w:rFonts w:ascii="Arial" w:hAnsi="Arial" w:cs="Arial"/>
                <w:sz w:val="16"/>
                <w:szCs w:val="18"/>
              </w:rPr>
            </w:pPr>
          </w:p>
        </w:tc>
        <w:tc>
          <w:tcPr>
            <w:tcW w:w="2160" w:type="dxa"/>
            <w:vMerge/>
            <w:vAlign w:val="center"/>
          </w:tcPr>
          <w:p w14:paraId="444E3889" w14:textId="77777777" w:rsidR="006761D2" w:rsidRPr="00607DD6" w:rsidRDefault="006761D2" w:rsidP="009F7DB8">
            <w:pPr>
              <w:spacing w:before="120"/>
              <w:jc w:val="center"/>
              <w:rPr>
                <w:rFonts w:ascii="Arial" w:hAnsi="Arial" w:cs="Arial"/>
                <w:sz w:val="16"/>
                <w:szCs w:val="18"/>
              </w:rPr>
            </w:pPr>
          </w:p>
        </w:tc>
        <w:tc>
          <w:tcPr>
            <w:tcW w:w="2144" w:type="dxa"/>
            <w:vAlign w:val="center"/>
          </w:tcPr>
          <w:p w14:paraId="07DBC1A1"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Air</w:t>
            </w:r>
          </w:p>
        </w:tc>
        <w:tc>
          <w:tcPr>
            <w:tcW w:w="2192" w:type="dxa"/>
            <w:vAlign w:val="center"/>
          </w:tcPr>
          <w:p w14:paraId="149FF982" w14:textId="77777777" w:rsidR="006761D2" w:rsidRPr="00607DD6" w:rsidRDefault="006761D2" w:rsidP="009F7DB8">
            <w:pPr>
              <w:spacing w:before="120"/>
              <w:jc w:val="center"/>
              <w:rPr>
                <w:rFonts w:ascii="Arial" w:hAnsi="Arial" w:cs="Arial"/>
                <w:b/>
                <w:sz w:val="16"/>
                <w:szCs w:val="18"/>
              </w:rPr>
            </w:pPr>
            <w:r w:rsidRPr="00607DD6">
              <w:rPr>
                <w:rFonts w:ascii="Arial" w:hAnsi="Arial" w:cs="Arial"/>
                <w:b/>
                <w:sz w:val="16"/>
                <w:szCs w:val="18"/>
              </w:rPr>
              <w:t>Air</w:t>
            </w:r>
          </w:p>
        </w:tc>
      </w:tr>
      <w:tr w:rsidR="00AA4F49" w:rsidRPr="00607DD6" w14:paraId="740585FA" w14:textId="77777777" w:rsidTr="0030171B">
        <w:tc>
          <w:tcPr>
            <w:tcW w:w="924" w:type="dxa"/>
            <w:vMerge w:val="restart"/>
            <w:vAlign w:val="center"/>
          </w:tcPr>
          <w:p w14:paraId="38036A82" w14:textId="314BA353" w:rsidR="00AA4F49" w:rsidRPr="003D73C3" w:rsidRDefault="00AA4F49" w:rsidP="00AB5049">
            <w:pPr>
              <w:spacing w:before="120"/>
              <w:rPr>
                <w:rFonts w:ascii="Arial" w:hAnsi="Arial" w:cs="Arial"/>
                <w:b/>
                <w:sz w:val="16"/>
                <w:szCs w:val="18"/>
              </w:rPr>
            </w:pPr>
            <w:r>
              <w:rPr>
                <w:rFonts w:ascii="Arial" w:hAnsi="Arial" w:cs="Arial"/>
                <w:b/>
                <w:sz w:val="16"/>
                <w:szCs w:val="18"/>
              </w:rPr>
              <w:t>2012</w:t>
            </w:r>
          </w:p>
        </w:tc>
        <w:tc>
          <w:tcPr>
            <w:tcW w:w="1641" w:type="dxa"/>
          </w:tcPr>
          <w:p w14:paraId="7619DB69" w14:textId="206575CB" w:rsidR="00AA4F49" w:rsidRPr="00607DD6" w:rsidRDefault="00AA4F49" w:rsidP="00AB5049">
            <w:pPr>
              <w:tabs>
                <w:tab w:val="left" w:pos="330"/>
                <w:tab w:val="center" w:pos="884"/>
              </w:tabs>
              <w:spacing w:before="120"/>
              <w:rPr>
                <w:rFonts w:ascii="Arial" w:hAnsi="Arial" w:cs="Arial"/>
                <w:sz w:val="16"/>
                <w:szCs w:val="18"/>
              </w:rPr>
            </w:pPr>
            <w:r>
              <w:rPr>
                <w:rFonts w:ascii="Arial" w:hAnsi="Arial" w:cs="Arial"/>
                <w:sz w:val="16"/>
                <w:szCs w:val="18"/>
              </w:rPr>
              <w:t>no catalyst</w:t>
            </w:r>
          </w:p>
        </w:tc>
        <w:tc>
          <w:tcPr>
            <w:tcW w:w="2160" w:type="dxa"/>
            <w:vAlign w:val="center"/>
          </w:tcPr>
          <w:p w14:paraId="59033158" w14:textId="284E034B" w:rsidR="00AA4F49" w:rsidRPr="003D73C3" w:rsidRDefault="00AA4F49" w:rsidP="00AB5049">
            <w:pPr>
              <w:spacing w:before="120"/>
              <w:jc w:val="center"/>
              <w:rPr>
                <w:rFonts w:ascii="Arial" w:hAnsi="Arial" w:cs="Arial"/>
                <w:sz w:val="16"/>
                <w:szCs w:val="18"/>
              </w:rPr>
            </w:pPr>
            <w:r>
              <w:rPr>
                <w:rFonts w:ascii="Arial" w:hAnsi="Arial" w:cs="Arial"/>
                <w:sz w:val="16"/>
                <w:szCs w:val="18"/>
              </w:rPr>
              <w:t>383,758</w:t>
            </w:r>
          </w:p>
        </w:tc>
        <w:tc>
          <w:tcPr>
            <w:tcW w:w="2144" w:type="dxa"/>
            <w:vAlign w:val="center"/>
          </w:tcPr>
          <w:p w14:paraId="6A88F3E1" w14:textId="30770355" w:rsidR="00AA4F49" w:rsidRPr="003D73C3" w:rsidRDefault="00AA4F49" w:rsidP="00AB5049">
            <w:pPr>
              <w:spacing w:before="120"/>
              <w:jc w:val="center"/>
              <w:rPr>
                <w:rFonts w:ascii="Arial" w:hAnsi="Arial" w:cs="Arial"/>
                <w:sz w:val="16"/>
                <w:szCs w:val="18"/>
              </w:rPr>
            </w:pPr>
            <w:r>
              <w:rPr>
                <w:rFonts w:ascii="Arial" w:hAnsi="Arial" w:cs="Arial"/>
                <w:sz w:val="16"/>
                <w:szCs w:val="18"/>
              </w:rPr>
              <w:t>0.1</w:t>
            </w:r>
          </w:p>
        </w:tc>
        <w:tc>
          <w:tcPr>
            <w:tcW w:w="2192" w:type="dxa"/>
            <w:vAlign w:val="center"/>
          </w:tcPr>
          <w:p w14:paraId="2300E2B2" w14:textId="59560342" w:rsidR="00AA4F49" w:rsidRPr="003D73C3" w:rsidRDefault="00AA4F49" w:rsidP="00AB5049">
            <w:pPr>
              <w:spacing w:before="120"/>
              <w:jc w:val="center"/>
              <w:rPr>
                <w:rFonts w:ascii="Arial" w:hAnsi="Arial" w:cs="Arial"/>
                <w:sz w:val="16"/>
                <w:szCs w:val="18"/>
              </w:rPr>
            </w:pPr>
            <w:r>
              <w:rPr>
                <w:rFonts w:ascii="Arial" w:hAnsi="Arial" w:cs="Arial"/>
                <w:sz w:val="16"/>
                <w:szCs w:val="18"/>
              </w:rPr>
              <w:t>0.0038</w:t>
            </w:r>
          </w:p>
        </w:tc>
      </w:tr>
      <w:tr w:rsidR="00AA4F49" w:rsidRPr="00607DD6" w14:paraId="7F914B31" w14:textId="77777777" w:rsidTr="0030171B">
        <w:tc>
          <w:tcPr>
            <w:tcW w:w="924" w:type="dxa"/>
            <w:vMerge/>
            <w:vAlign w:val="center"/>
          </w:tcPr>
          <w:p w14:paraId="1B1EB019" w14:textId="77777777" w:rsidR="00AA4F49" w:rsidRPr="003D73C3" w:rsidRDefault="00AA4F49" w:rsidP="00AB5049">
            <w:pPr>
              <w:spacing w:before="120"/>
              <w:rPr>
                <w:rFonts w:ascii="Arial" w:hAnsi="Arial" w:cs="Arial"/>
                <w:b/>
                <w:sz w:val="16"/>
                <w:szCs w:val="18"/>
              </w:rPr>
            </w:pPr>
          </w:p>
        </w:tc>
        <w:tc>
          <w:tcPr>
            <w:tcW w:w="1641" w:type="dxa"/>
          </w:tcPr>
          <w:p w14:paraId="03567226" w14:textId="07A4859D" w:rsidR="00AA4F49" w:rsidRPr="00607DD6" w:rsidRDefault="00AA4F49" w:rsidP="00AB5049">
            <w:pPr>
              <w:tabs>
                <w:tab w:val="left" w:pos="330"/>
                <w:tab w:val="center" w:pos="884"/>
              </w:tabs>
              <w:spacing w:before="120"/>
              <w:rPr>
                <w:rFonts w:ascii="Arial" w:hAnsi="Arial" w:cs="Arial"/>
                <w:sz w:val="16"/>
                <w:szCs w:val="18"/>
              </w:rPr>
            </w:pPr>
            <w:r>
              <w:rPr>
                <w:rFonts w:ascii="Arial" w:hAnsi="Arial" w:cs="Arial"/>
                <w:sz w:val="16"/>
                <w:szCs w:val="18"/>
              </w:rPr>
              <w:t>catalyst</w:t>
            </w:r>
          </w:p>
        </w:tc>
        <w:tc>
          <w:tcPr>
            <w:tcW w:w="2160" w:type="dxa"/>
            <w:vAlign w:val="center"/>
          </w:tcPr>
          <w:p w14:paraId="2665BEB9" w14:textId="3274CE62" w:rsidR="00AA4F49" w:rsidRPr="003D73C3" w:rsidRDefault="00AA4F49" w:rsidP="00AB5049">
            <w:pPr>
              <w:spacing w:before="120"/>
              <w:jc w:val="center"/>
              <w:rPr>
                <w:rFonts w:ascii="Arial" w:hAnsi="Arial" w:cs="Arial"/>
                <w:sz w:val="16"/>
                <w:szCs w:val="18"/>
              </w:rPr>
            </w:pPr>
            <w:r>
              <w:rPr>
                <w:rFonts w:ascii="Arial" w:hAnsi="Arial" w:cs="Arial"/>
                <w:sz w:val="16"/>
                <w:szCs w:val="18"/>
              </w:rPr>
              <w:t>1,881,442</w:t>
            </w:r>
          </w:p>
        </w:tc>
        <w:tc>
          <w:tcPr>
            <w:tcW w:w="2144" w:type="dxa"/>
            <w:vAlign w:val="center"/>
          </w:tcPr>
          <w:p w14:paraId="28528B69" w14:textId="10C23923" w:rsidR="00AA4F49" w:rsidRPr="003D73C3" w:rsidRDefault="00AA4F49" w:rsidP="00AB5049">
            <w:pPr>
              <w:spacing w:before="120"/>
              <w:jc w:val="center"/>
              <w:rPr>
                <w:rFonts w:ascii="Arial" w:hAnsi="Arial" w:cs="Arial"/>
                <w:sz w:val="16"/>
                <w:szCs w:val="18"/>
              </w:rPr>
            </w:pPr>
            <w:r>
              <w:rPr>
                <w:rFonts w:ascii="Arial" w:hAnsi="Arial" w:cs="Arial"/>
                <w:sz w:val="16"/>
                <w:szCs w:val="18"/>
              </w:rPr>
              <w:t>0.001</w:t>
            </w:r>
          </w:p>
        </w:tc>
        <w:tc>
          <w:tcPr>
            <w:tcW w:w="2192" w:type="dxa"/>
            <w:vAlign w:val="center"/>
          </w:tcPr>
          <w:p w14:paraId="01BB0A93" w14:textId="12D83A74" w:rsidR="00AA4F49" w:rsidRPr="003D73C3" w:rsidRDefault="00AA4F49" w:rsidP="00AB5049">
            <w:pPr>
              <w:spacing w:before="120"/>
              <w:jc w:val="center"/>
              <w:rPr>
                <w:rFonts w:ascii="Arial" w:hAnsi="Arial" w:cs="Arial"/>
                <w:sz w:val="16"/>
                <w:szCs w:val="18"/>
              </w:rPr>
            </w:pPr>
            <w:r>
              <w:rPr>
                <w:rFonts w:ascii="Arial" w:hAnsi="Arial" w:cs="Arial"/>
                <w:sz w:val="16"/>
                <w:szCs w:val="18"/>
              </w:rPr>
              <w:t>0.002</w:t>
            </w:r>
          </w:p>
        </w:tc>
      </w:tr>
      <w:tr w:rsidR="00AA4F49" w:rsidRPr="00607DD6" w14:paraId="6E48D419" w14:textId="77777777" w:rsidTr="0030171B">
        <w:tc>
          <w:tcPr>
            <w:tcW w:w="924" w:type="dxa"/>
            <w:vMerge/>
            <w:vAlign w:val="center"/>
          </w:tcPr>
          <w:p w14:paraId="1A7E4716" w14:textId="77777777" w:rsidR="00AA4F49" w:rsidRPr="003D73C3" w:rsidRDefault="00AA4F49" w:rsidP="00AB5049">
            <w:pPr>
              <w:spacing w:before="120"/>
              <w:rPr>
                <w:rFonts w:ascii="Arial" w:hAnsi="Arial" w:cs="Arial"/>
                <w:b/>
                <w:sz w:val="16"/>
                <w:szCs w:val="18"/>
              </w:rPr>
            </w:pPr>
          </w:p>
        </w:tc>
        <w:tc>
          <w:tcPr>
            <w:tcW w:w="1641" w:type="dxa"/>
          </w:tcPr>
          <w:p w14:paraId="7979E18B" w14:textId="5B1D45BD" w:rsidR="00AA4F49" w:rsidRPr="00607DD6" w:rsidRDefault="00AA4F49" w:rsidP="00AB5049">
            <w:pPr>
              <w:tabs>
                <w:tab w:val="left" w:pos="330"/>
                <w:tab w:val="center" w:pos="884"/>
              </w:tabs>
              <w:spacing w:before="120"/>
              <w:rPr>
                <w:rFonts w:ascii="Arial" w:hAnsi="Arial" w:cs="Arial"/>
                <w:sz w:val="16"/>
                <w:szCs w:val="18"/>
              </w:rPr>
            </w:pPr>
            <w:r>
              <w:rPr>
                <w:rFonts w:ascii="Arial" w:hAnsi="Arial" w:cs="Arial"/>
                <w:sz w:val="16"/>
                <w:szCs w:val="18"/>
              </w:rPr>
              <w:t>Totals</w:t>
            </w:r>
          </w:p>
        </w:tc>
        <w:tc>
          <w:tcPr>
            <w:tcW w:w="2160" w:type="dxa"/>
            <w:vAlign w:val="center"/>
          </w:tcPr>
          <w:p w14:paraId="53CE876F" w14:textId="77777777" w:rsidR="00AA4F49" w:rsidRPr="003D73C3" w:rsidRDefault="00AA4F49" w:rsidP="00AB5049">
            <w:pPr>
              <w:spacing w:before="120"/>
              <w:jc w:val="center"/>
              <w:rPr>
                <w:rFonts w:ascii="Arial" w:hAnsi="Arial" w:cs="Arial"/>
                <w:sz w:val="16"/>
                <w:szCs w:val="18"/>
              </w:rPr>
            </w:pPr>
          </w:p>
        </w:tc>
        <w:tc>
          <w:tcPr>
            <w:tcW w:w="2144" w:type="dxa"/>
            <w:vAlign w:val="center"/>
          </w:tcPr>
          <w:p w14:paraId="352E8391" w14:textId="77777777" w:rsidR="00AA4F49" w:rsidRPr="003D73C3" w:rsidRDefault="00AA4F49" w:rsidP="00AB5049">
            <w:pPr>
              <w:spacing w:before="120"/>
              <w:jc w:val="center"/>
              <w:rPr>
                <w:rFonts w:ascii="Arial" w:hAnsi="Arial" w:cs="Arial"/>
                <w:sz w:val="16"/>
                <w:szCs w:val="18"/>
              </w:rPr>
            </w:pPr>
          </w:p>
        </w:tc>
        <w:tc>
          <w:tcPr>
            <w:tcW w:w="2192" w:type="dxa"/>
            <w:vAlign w:val="center"/>
          </w:tcPr>
          <w:p w14:paraId="547A2E23" w14:textId="5736CFCA" w:rsidR="00AA4F49" w:rsidRPr="003D73C3" w:rsidRDefault="00AA4F49" w:rsidP="00AB5049">
            <w:pPr>
              <w:spacing w:before="120"/>
              <w:jc w:val="center"/>
              <w:rPr>
                <w:rFonts w:ascii="Arial" w:hAnsi="Arial" w:cs="Arial"/>
                <w:sz w:val="16"/>
                <w:szCs w:val="18"/>
              </w:rPr>
            </w:pPr>
            <w:r>
              <w:rPr>
                <w:rFonts w:ascii="Arial" w:hAnsi="Arial" w:cs="Arial"/>
                <w:sz w:val="16"/>
                <w:szCs w:val="18"/>
              </w:rPr>
              <w:t>0.040</w:t>
            </w:r>
          </w:p>
        </w:tc>
      </w:tr>
      <w:tr w:rsidR="00AA4F49" w:rsidRPr="00607DD6" w14:paraId="152278CC" w14:textId="77777777" w:rsidTr="0030171B">
        <w:tc>
          <w:tcPr>
            <w:tcW w:w="924" w:type="dxa"/>
            <w:vMerge w:val="restart"/>
            <w:vAlign w:val="center"/>
          </w:tcPr>
          <w:p w14:paraId="52F34158" w14:textId="1B5CD8E5" w:rsidR="00AB5049" w:rsidRPr="00607DD6" w:rsidRDefault="003F3CAA" w:rsidP="00AB5049">
            <w:pPr>
              <w:spacing w:before="120"/>
              <w:rPr>
                <w:rFonts w:ascii="Arial" w:hAnsi="Arial" w:cs="Arial"/>
                <w:b/>
                <w:sz w:val="16"/>
                <w:szCs w:val="18"/>
              </w:rPr>
            </w:pPr>
            <w:r>
              <w:rPr>
                <w:rFonts w:ascii="Arial" w:hAnsi="Arial" w:cs="Arial"/>
                <w:b/>
                <w:sz w:val="16"/>
                <w:szCs w:val="18"/>
              </w:rPr>
              <w:t>2016</w:t>
            </w:r>
          </w:p>
        </w:tc>
        <w:tc>
          <w:tcPr>
            <w:tcW w:w="1641" w:type="dxa"/>
          </w:tcPr>
          <w:p w14:paraId="591E9F8A" w14:textId="56FC18F9" w:rsidR="00AB5049" w:rsidRPr="00607DD6" w:rsidRDefault="00AB5049" w:rsidP="00AB5049">
            <w:pPr>
              <w:tabs>
                <w:tab w:val="left" w:pos="330"/>
                <w:tab w:val="center" w:pos="884"/>
              </w:tabs>
              <w:spacing w:before="120"/>
              <w:rPr>
                <w:rFonts w:ascii="Arial" w:hAnsi="Arial" w:cs="Arial"/>
                <w:sz w:val="16"/>
                <w:szCs w:val="18"/>
              </w:rPr>
            </w:pPr>
            <w:r w:rsidRPr="00607DD6">
              <w:rPr>
                <w:rFonts w:ascii="Arial" w:hAnsi="Arial" w:cs="Arial"/>
                <w:sz w:val="16"/>
                <w:szCs w:val="18"/>
              </w:rPr>
              <w:t>no catalyst</w:t>
            </w:r>
          </w:p>
        </w:tc>
        <w:tc>
          <w:tcPr>
            <w:tcW w:w="2160" w:type="dxa"/>
            <w:vAlign w:val="center"/>
          </w:tcPr>
          <w:p w14:paraId="06DB516B" w14:textId="672E8012"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119,411</w:t>
            </w:r>
          </w:p>
        </w:tc>
        <w:tc>
          <w:tcPr>
            <w:tcW w:w="2144" w:type="dxa"/>
            <w:vAlign w:val="center"/>
          </w:tcPr>
          <w:p w14:paraId="26CF3902" w14:textId="3E5983B0"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0.1</w:t>
            </w:r>
          </w:p>
        </w:tc>
        <w:tc>
          <w:tcPr>
            <w:tcW w:w="2192" w:type="dxa"/>
            <w:vAlign w:val="center"/>
          </w:tcPr>
          <w:p w14:paraId="76CAD1F9" w14:textId="272D16AF"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0.012</w:t>
            </w:r>
          </w:p>
        </w:tc>
      </w:tr>
      <w:tr w:rsidR="00AB5049" w:rsidRPr="00607DD6" w14:paraId="2BFF7925" w14:textId="77777777" w:rsidTr="0C34660A">
        <w:tc>
          <w:tcPr>
            <w:tcW w:w="924" w:type="dxa"/>
            <w:vMerge/>
            <w:vAlign w:val="center"/>
          </w:tcPr>
          <w:p w14:paraId="622F0CB7" w14:textId="77777777" w:rsidR="00AB5049" w:rsidRPr="00607DD6" w:rsidRDefault="00AB5049" w:rsidP="00AB5049">
            <w:pPr>
              <w:spacing w:before="120"/>
              <w:rPr>
                <w:rFonts w:ascii="Arial" w:hAnsi="Arial" w:cs="Arial"/>
                <w:b/>
                <w:sz w:val="16"/>
                <w:szCs w:val="18"/>
              </w:rPr>
            </w:pPr>
          </w:p>
        </w:tc>
        <w:tc>
          <w:tcPr>
            <w:tcW w:w="1641" w:type="dxa"/>
          </w:tcPr>
          <w:p w14:paraId="4207B37A" w14:textId="5EB21DCB" w:rsidR="00AB5049" w:rsidRPr="00607DD6" w:rsidRDefault="00AB5049" w:rsidP="00AB5049">
            <w:pPr>
              <w:spacing w:before="120"/>
              <w:rPr>
                <w:rFonts w:ascii="Arial" w:hAnsi="Arial" w:cs="Arial"/>
                <w:sz w:val="16"/>
                <w:szCs w:val="18"/>
              </w:rPr>
            </w:pPr>
            <w:r w:rsidRPr="00607DD6">
              <w:rPr>
                <w:rFonts w:ascii="Arial" w:hAnsi="Arial" w:cs="Arial"/>
                <w:sz w:val="16"/>
                <w:szCs w:val="18"/>
              </w:rPr>
              <w:t>catalyst</w:t>
            </w:r>
          </w:p>
        </w:tc>
        <w:tc>
          <w:tcPr>
            <w:tcW w:w="2160" w:type="dxa"/>
            <w:vAlign w:val="center"/>
          </w:tcPr>
          <w:p w14:paraId="3C7D37D9" w14:textId="07CBEE93"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2,268,809</w:t>
            </w:r>
          </w:p>
        </w:tc>
        <w:tc>
          <w:tcPr>
            <w:tcW w:w="2144" w:type="dxa"/>
            <w:vAlign w:val="center"/>
          </w:tcPr>
          <w:p w14:paraId="2AD44238" w14:textId="36B151B5"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0.001</w:t>
            </w:r>
          </w:p>
        </w:tc>
        <w:tc>
          <w:tcPr>
            <w:tcW w:w="2192" w:type="dxa"/>
            <w:vAlign w:val="center"/>
          </w:tcPr>
          <w:p w14:paraId="2BFD35A3" w14:textId="4B985D87"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0.0023</w:t>
            </w:r>
          </w:p>
        </w:tc>
      </w:tr>
      <w:tr w:rsidR="00AB5049" w:rsidRPr="00607DD6" w14:paraId="7EE84F4E" w14:textId="77777777" w:rsidTr="0C34660A">
        <w:tc>
          <w:tcPr>
            <w:tcW w:w="924" w:type="dxa"/>
            <w:vMerge/>
            <w:vAlign w:val="center"/>
          </w:tcPr>
          <w:p w14:paraId="02D74C7F" w14:textId="77777777" w:rsidR="00AB5049" w:rsidRPr="00607DD6" w:rsidRDefault="00AB5049" w:rsidP="00AB5049">
            <w:pPr>
              <w:spacing w:before="120"/>
              <w:rPr>
                <w:rFonts w:ascii="Arial" w:hAnsi="Arial" w:cs="Arial"/>
                <w:b/>
                <w:sz w:val="16"/>
                <w:szCs w:val="18"/>
              </w:rPr>
            </w:pPr>
          </w:p>
        </w:tc>
        <w:tc>
          <w:tcPr>
            <w:tcW w:w="1641" w:type="dxa"/>
            <w:vAlign w:val="center"/>
          </w:tcPr>
          <w:p w14:paraId="189E65A0" w14:textId="79C1D906" w:rsidR="00AB5049" w:rsidRPr="00607DD6" w:rsidRDefault="00AB5049" w:rsidP="00AB5049">
            <w:pPr>
              <w:spacing w:before="120"/>
              <w:rPr>
                <w:rFonts w:ascii="Arial" w:hAnsi="Arial" w:cs="Arial"/>
                <w:b/>
                <w:sz w:val="16"/>
                <w:szCs w:val="18"/>
              </w:rPr>
            </w:pPr>
            <w:r w:rsidRPr="00607DD6">
              <w:rPr>
                <w:rFonts w:ascii="Arial" w:hAnsi="Arial" w:cs="Arial"/>
                <w:b/>
                <w:sz w:val="16"/>
                <w:szCs w:val="18"/>
              </w:rPr>
              <w:t>Totals</w:t>
            </w:r>
          </w:p>
        </w:tc>
        <w:tc>
          <w:tcPr>
            <w:tcW w:w="2160" w:type="dxa"/>
            <w:vAlign w:val="center"/>
          </w:tcPr>
          <w:p w14:paraId="0FAD7B87" w14:textId="77777777" w:rsidR="00AB5049" w:rsidRPr="00607DD6" w:rsidRDefault="00AB5049" w:rsidP="00AB5049">
            <w:pPr>
              <w:spacing w:before="120"/>
              <w:jc w:val="center"/>
              <w:rPr>
                <w:rFonts w:ascii="Arial" w:hAnsi="Arial" w:cs="Arial"/>
                <w:b/>
                <w:sz w:val="16"/>
                <w:szCs w:val="18"/>
              </w:rPr>
            </w:pPr>
          </w:p>
        </w:tc>
        <w:tc>
          <w:tcPr>
            <w:tcW w:w="2144" w:type="dxa"/>
            <w:vAlign w:val="center"/>
          </w:tcPr>
          <w:p w14:paraId="0D68B0B4" w14:textId="77777777" w:rsidR="00AB5049" w:rsidRPr="00607DD6" w:rsidRDefault="00AB5049" w:rsidP="00AB5049">
            <w:pPr>
              <w:spacing w:before="120"/>
              <w:jc w:val="center"/>
              <w:rPr>
                <w:rFonts w:ascii="Arial" w:hAnsi="Arial" w:cs="Arial"/>
                <w:b/>
                <w:sz w:val="16"/>
                <w:szCs w:val="18"/>
              </w:rPr>
            </w:pPr>
          </w:p>
        </w:tc>
        <w:tc>
          <w:tcPr>
            <w:tcW w:w="2192" w:type="dxa"/>
            <w:vAlign w:val="center"/>
          </w:tcPr>
          <w:p w14:paraId="044FA7E3" w14:textId="2F48D68A" w:rsidR="00AB5049" w:rsidRPr="00607DD6" w:rsidRDefault="00AB5049" w:rsidP="00AB5049">
            <w:pPr>
              <w:spacing w:before="120"/>
              <w:jc w:val="center"/>
              <w:rPr>
                <w:rFonts w:ascii="Arial" w:hAnsi="Arial" w:cs="Arial"/>
                <w:b/>
                <w:sz w:val="16"/>
                <w:szCs w:val="18"/>
              </w:rPr>
            </w:pPr>
            <w:r w:rsidRPr="003D73C3">
              <w:rPr>
                <w:rFonts w:ascii="Arial" w:hAnsi="Arial" w:cs="Arial"/>
                <w:b/>
                <w:sz w:val="16"/>
                <w:szCs w:val="18"/>
              </w:rPr>
              <w:t>0.014</w:t>
            </w:r>
          </w:p>
        </w:tc>
      </w:tr>
      <w:tr w:rsidR="00AB5049" w:rsidRPr="00607DD6" w14:paraId="5CE0D950" w14:textId="77777777" w:rsidTr="0C34660A">
        <w:tc>
          <w:tcPr>
            <w:tcW w:w="924" w:type="dxa"/>
            <w:vMerge w:val="restart"/>
            <w:vAlign w:val="center"/>
          </w:tcPr>
          <w:p w14:paraId="31376B1B" w14:textId="62A13687" w:rsidR="00AB5049" w:rsidRPr="00607DD6" w:rsidRDefault="00AB5049" w:rsidP="00AB5049">
            <w:pPr>
              <w:spacing w:before="120"/>
              <w:rPr>
                <w:rFonts w:ascii="Arial" w:hAnsi="Arial" w:cs="Arial"/>
                <w:b/>
                <w:sz w:val="16"/>
                <w:szCs w:val="18"/>
              </w:rPr>
            </w:pPr>
            <w:r w:rsidRPr="003D73C3">
              <w:rPr>
                <w:rFonts w:ascii="Arial" w:hAnsi="Arial" w:cs="Arial"/>
                <w:b/>
                <w:sz w:val="16"/>
                <w:szCs w:val="18"/>
              </w:rPr>
              <w:t>2020</w:t>
            </w:r>
          </w:p>
        </w:tc>
        <w:tc>
          <w:tcPr>
            <w:tcW w:w="1641" w:type="dxa"/>
          </w:tcPr>
          <w:p w14:paraId="3614C9BE" w14:textId="38F5BC38" w:rsidR="00AB5049" w:rsidRPr="00607DD6" w:rsidRDefault="00AB5049" w:rsidP="00AB5049">
            <w:pPr>
              <w:spacing w:before="120"/>
              <w:rPr>
                <w:rFonts w:ascii="Arial" w:hAnsi="Arial" w:cs="Arial"/>
                <w:sz w:val="16"/>
                <w:szCs w:val="18"/>
              </w:rPr>
            </w:pPr>
            <w:r w:rsidRPr="003D73C3">
              <w:rPr>
                <w:rFonts w:ascii="Arial" w:hAnsi="Arial" w:cs="Arial"/>
                <w:sz w:val="16"/>
                <w:szCs w:val="18"/>
              </w:rPr>
              <w:t>no catalyst</w:t>
            </w:r>
          </w:p>
        </w:tc>
        <w:tc>
          <w:tcPr>
            <w:tcW w:w="2160" w:type="dxa"/>
            <w:vAlign w:val="center"/>
          </w:tcPr>
          <w:p w14:paraId="568C5D2E" w14:textId="4CFE5582"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103,548</w:t>
            </w:r>
          </w:p>
        </w:tc>
        <w:tc>
          <w:tcPr>
            <w:tcW w:w="2144" w:type="dxa"/>
            <w:vAlign w:val="center"/>
          </w:tcPr>
          <w:p w14:paraId="61DFA1C6" w14:textId="7018C475"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0.1</w:t>
            </w:r>
          </w:p>
        </w:tc>
        <w:tc>
          <w:tcPr>
            <w:tcW w:w="2192" w:type="dxa"/>
            <w:vAlign w:val="center"/>
          </w:tcPr>
          <w:p w14:paraId="5B4E10A1" w14:textId="0135B571"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0.0104</w:t>
            </w:r>
          </w:p>
        </w:tc>
      </w:tr>
      <w:tr w:rsidR="00AB5049" w:rsidRPr="00607DD6" w14:paraId="18052958" w14:textId="77777777" w:rsidTr="0C34660A">
        <w:tc>
          <w:tcPr>
            <w:tcW w:w="924" w:type="dxa"/>
            <w:vMerge/>
            <w:vAlign w:val="center"/>
          </w:tcPr>
          <w:p w14:paraId="38FDB053" w14:textId="77777777" w:rsidR="00AB5049" w:rsidRPr="00607DD6" w:rsidRDefault="00AB5049" w:rsidP="00AB5049">
            <w:pPr>
              <w:spacing w:before="120"/>
              <w:rPr>
                <w:rFonts w:ascii="Arial" w:hAnsi="Arial" w:cs="Arial"/>
                <w:b/>
                <w:sz w:val="16"/>
                <w:szCs w:val="18"/>
              </w:rPr>
            </w:pPr>
          </w:p>
        </w:tc>
        <w:tc>
          <w:tcPr>
            <w:tcW w:w="1641" w:type="dxa"/>
          </w:tcPr>
          <w:p w14:paraId="776226F5" w14:textId="4642792D" w:rsidR="00AB5049" w:rsidRPr="00607DD6" w:rsidRDefault="00AB5049" w:rsidP="00AB5049">
            <w:pPr>
              <w:spacing w:before="120"/>
              <w:rPr>
                <w:rFonts w:ascii="Arial" w:hAnsi="Arial" w:cs="Arial"/>
                <w:sz w:val="16"/>
                <w:szCs w:val="18"/>
              </w:rPr>
            </w:pPr>
            <w:r w:rsidRPr="003D73C3">
              <w:rPr>
                <w:rFonts w:ascii="Arial" w:hAnsi="Arial" w:cs="Arial"/>
                <w:sz w:val="16"/>
                <w:szCs w:val="18"/>
              </w:rPr>
              <w:t>catalyst</w:t>
            </w:r>
          </w:p>
        </w:tc>
        <w:tc>
          <w:tcPr>
            <w:tcW w:w="2160" w:type="dxa"/>
            <w:vAlign w:val="center"/>
          </w:tcPr>
          <w:p w14:paraId="0B7D77CC" w14:textId="3C881F00"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1,970,103</w:t>
            </w:r>
          </w:p>
        </w:tc>
        <w:tc>
          <w:tcPr>
            <w:tcW w:w="2144" w:type="dxa"/>
            <w:vAlign w:val="center"/>
          </w:tcPr>
          <w:p w14:paraId="67698B13" w14:textId="4D1A150C"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0.001</w:t>
            </w:r>
          </w:p>
        </w:tc>
        <w:tc>
          <w:tcPr>
            <w:tcW w:w="2192" w:type="dxa"/>
            <w:vAlign w:val="center"/>
          </w:tcPr>
          <w:p w14:paraId="57093A0F" w14:textId="74CD40B0" w:rsidR="00AB5049" w:rsidRPr="00607DD6" w:rsidRDefault="00AB5049" w:rsidP="00AB5049">
            <w:pPr>
              <w:spacing w:before="120"/>
              <w:jc w:val="center"/>
              <w:rPr>
                <w:rFonts w:ascii="Arial" w:hAnsi="Arial" w:cs="Arial"/>
                <w:sz w:val="16"/>
                <w:szCs w:val="18"/>
              </w:rPr>
            </w:pPr>
            <w:r w:rsidRPr="003D73C3">
              <w:rPr>
                <w:rFonts w:ascii="Arial" w:hAnsi="Arial" w:cs="Arial"/>
                <w:sz w:val="16"/>
                <w:szCs w:val="18"/>
              </w:rPr>
              <w:t>0.00197</w:t>
            </w:r>
          </w:p>
        </w:tc>
      </w:tr>
      <w:tr w:rsidR="00AB5049" w:rsidRPr="001E58E1" w14:paraId="2CD6DE75" w14:textId="77777777" w:rsidTr="0C34660A">
        <w:tc>
          <w:tcPr>
            <w:tcW w:w="924" w:type="dxa"/>
            <w:vMerge/>
            <w:vAlign w:val="center"/>
          </w:tcPr>
          <w:p w14:paraId="190FCAEB" w14:textId="77777777" w:rsidR="00AB5049" w:rsidRPr="00607DD6" w:rsidRDefault="00AB5049" w:rsidP="00AB5049">
            <w:pPr>
              <w:spacing w:before="120"/>
              <w:rPr>
                <w:rFonts w:ascii="Arial" w:hAnsi="Arial" w:cs="Arial"/>
                <w:b/>
                <w:sz w:val="16"/>
                <w:szCs w:val="18"/>
              </w:rPr>
            </w:pPr>
          </w:p>
        </w:tc>
        <w:tc>
          <w:tcPr>
            <w:tcW w:w="1641" w:type="dxa"/>
            <w:vAlign w:val="center"/>
          </w:tcPr>
          <w:p w14:paraId="0DE86AD2" w14:textId="7F2F7C19" w:rsidR="00AB5049" w:rsidRPr="00607DD6" w:rsidRDefault="00AB5049" w:rsidP="00AB5049">
            <w:pPr>
              <w:spacing w:before="120"/>
              <w:rPr>
                <w:rFonts w:ascii="Arial" w:hAnsi="Arial" w:cs="Arial"/>
                <w:b/>
                <w:sz w:val="16"/>
                <w:szCs w:val="18"/>
              </w:rPr>
            </w:pPr>
            <w:r w:rsidRPr="003D73C3">
              <w:rPr>
                <w:rFonts w:ascii="Arial" w:hAnsi="Arial" w:cs="Arial"/>
                <w:b/>
                <w:sz w:val="16"/>
                <w:szCs w:val="18"/>
              </w:rPr>
              <w:t>Totals</w:t>
            </w:r>
          </w:p>
        </w:tc>
        <w:tc>
          <w:tcPr>
            <w:tcW w:w="2160" w:type="dxa"/>
            <w:vAlign w:val="center"/>
          </w:tcPr>
          <w:p w14:paraId="2856BEC6" w14:textId="77777777" w:rsidR="00AB5049" w:rsidRPr="00607DD6" w:rsidRDefault="00AB5049" w:rsidP="00AB5049">
            <w:pPr>
              <w:spacing w:before="120"/>
              <w:jc w:val="center"/>
              <w:rPr>
                <w:rFonts w:ascii="Arial" w:hAnsi="Arial" w:cs="Arial"/>
                <w:b/>
                <w:sz w:val="16"/>
                <w:szCs w:val="18"/>
              </w:rPr>
            </w:pPr>
          </w:p>
        </w:tc>
        <w:tc>
          <w:tcPr>
            <w:tcW w:w="2144" w:type="dxa"/>
            <w:vAlign w:val="center"/>
          </w:tcPr>
          <w:p w14:paraId="22E18C85" w14:textId="77777777" w:rsidR="00AB5049" w:rsidRPr="00607DD6" w:rsidRDefault="00AB5049" w:rsidP="00AB5049">
            <w:pPr>
              <w:spacing w:before="120"/>
              <w:jc w:val="center"/>
              <w:rPr>
                <w:rFonts w:ascii="Arial" w:hAnsi="Arial" w:cs="Arial"/>
                <w:b/>
                <w:sz w:val="16"/>
                <w:szCs w:val="18"/>
              </w:rPr>
            </w:pPr>
          </w:p>
        </w:tc>
        <w:tc>
          <w:tcPr>
            <w:tcW w:w="2192" w:type="dxa"/>
            <w:vAlign w:val="center"/>
          </w:tcPr>
          <w:p w14:paraId="41D894F2" w14:textId="168DB567" w:rsidR="00AB5049" w:rsidRPr="001E58E1" w:rsidRDefault="00607DD6" w:rsidP="00AB5049">
            <w:pPr>
              <w:spacing w:before="120"/>
              <w:jc w:val="center"/>
              <w:rPr>
                <w:rFonts w:ascii="Arial" w:hAnsi="Arial" w:cs="Arial"/>
                <w:b/>
                <w:sz w:val="16"/>
                <w:szCs w:val="18"/>
              </w:rPr>
            </w:pPr>
            <w:r w:rsidRPr="003D73C3">
              <w:rPr>
                <w:rFonts w:ascii="Arial" w:hAnsi="Arial" w:cs="Arial"/>
                <w:b/>
                <w:sz w:val="16"/>
                <w:szCs w:val="18"/>
              </w:rPr>
              <w:t>0.0124</w:t>
            </w:r>
          </w:p>
        </w:tc>
      </w:tr>
    </w:tbl>
    <w:p w14:paraId="4A21007A" w14:textId="5574FDE5" w:rsidR="006761D2" w:rsidRPr="001E58E1" w:rsidRDefault="006761D2" w:rsidP="006761D2">
      <w:pPr>
        <w:tabs>
          <w:tab w:val="left" w:pos="2760"/>
        </w:tabs>
        <w:spacing w:before="120" w:line="300" w:lineRule="atLeast"/>
        <w:jc w:val="both"/>
        <w:rPr>
          <w:rFonts w:ascii="Arial" w:hAnsi="Arial" w:cs="Arial"/>
          <w:b/>
          <w:szCs w:val="18"/>
        </w:rPr>
      </w:pPr>
      <w:r w:rsidRPr="001E58E1">
        <w:rPr>
          <w:rFonts w:ascii="Arial" w:hAnsi="Arial" w:cs="Arial"/>
          <w:b/>
          <w:szCs w:val="18"/>
        </w:rPr>
        <w:lastRenderedPageBreak/>
        <w:t xml:space="preserve">Certainty assessment for </w:t>
      </w:r>
      <w:r w:rsidR="00EA409D">
        <w:rPr>
          <w:rFonts w:ascii="Arial" w:hAnsi="Arial" w:cs="Arial"/>
          <w:b/>
          <w:szCs w:val="18"/>
        </w:rPr>
        <w:t>2020</w:t>
      </w:r>
    </w:p>
    <w:p w14:paraId="6F1C1738" w14:textId="77777777" w:rsidR="006761D2" w:rsidRPr="001E58E1" w:rsidRDefault="006761D2" w:rsidP="006761D2">
      <w:pPr>
        <w:tabs>
          <w:tab w:val="left" w:pos="1701"/>
        </w:tabs>
        <w:spacing w:after="0" w:line="300" w:lineRule="atLeast"/>
        <w:jc w:val="both"/>
        <w:rPr>
          <w:szCs w:val="18"/>
        </w:rPr>
      </w:pPr>
      <w:r w:rsidRPr="001E58E1">
        <w:rPr>
          <w:szCs w:val="18"/>
        </w:rPr>
        <w:t xml:space="preserve">Activity data: </w:t>
      </w:r>
      <w:r w:rsidRPr="001E58E1">
        <w:rPr>
          <w:szCs w:val="18"/>
        </w:rPr>
        <w:tab/>
        <w:t>High (because it is based on national fuel data)</w:t>
      </w:r>
    </w:p>
    <w:p w14:paraId="23B3A373" w14:textId="77777777" w:rsidR="006761D2" w:rsidRPr="001E58E1" w:rsidRDefault="006761D2" w:rsidP="006761D2">
      <w:pPr>
        <w:tabs>
          <w:tab w:val="left" w:pos="1701"/>
        </w:tabs>
        <w:spacing w:line="300" w:lineRule="atLeast"/>
        <w:ind w:left="1701" w:hanging="1701"/>
        <w:jc w:val="both"/>
        <w:rPr>
          <w:szCs w:val="18"/>
        </w:rPr>
      </w:pPr>
      <w:r w:rsidRPr="001E58E1">
        <w:rPr>
          <w:szCs w:val="18"/>
        </w:rPr>
        <w:t xml:space="preserve">Emission factor: </w:t>
      </w:r>
      <w:r w:rsidRPr="001E58E1">
        <w:rPr>
          <w:szCs w:val="18"/>
        </w:rPr>
        <w:tab/>
        <w:t>Low (because it is based on the Toolkit default factor)</w:t>
      </w:r>
    </w:p>
    <w:p w14:paraId="11EFDD4D" w14:textId="77777777" w:rsidR="006761D2" w:rsidRPr="003D73C3" w:rsidRDefault="006761D2" w:rsidP="00261F78">
      <w:pPr>
        <w:pStyle w:val="Heading2"/>
      </w:pPr>
      <w:bookmarkStart w:id="265" w:name="_Toc112768114"/>
      <w:r w:rsidRPr="003D73C3">
        <w:t>2-Stroke engines</w:t>
      </w:r>
      <w:bookmarkEnd w:id="265"/>
    </w:p>
    <w:p w14:paraId="3A09889F" w14:textId="12C1F6A1" w:rsidR="006761D2" w:rsidRPr="003D73C3" w:rsidRDefault="24854215" w:rsidP="006761D2">
      <w:pPr>
        <w:spacing w:line="300" w:lineRule="atLeast"/>
        <w:jc w:val="both"/>
      </w:pPr>
      <w:r>
        <w:t xml:space="preserve">Petrol engines operating on a 2-stroke cycle were commonly used in the past in applications that required </w:t>
      </w:r>
      <w:bookmarkStart w:id="266" w:name="_Int_KFOv3g7x"/>
      <w:r>
        <w:t>relatively small</w:t>
      </w:r>
      <w:bookmarkEnd w:id="266"/>
      <w:r>
        <w:t xml:space="preserve"> light-weight power units, such as chain saws, lawn mowers, outboard motors, motor bikes</w:t>
      </w:r>
      <w:r w:rsidR="1A5D55B9">
        <w:t xml:space="preserve"> and jet-skis</w:t>
      </w:r>
      <w:r>
        <w:t xml:space="preserve">. However, the 2-stroke engines were </w:t>
      </w:r>
      <w:bookmarkStart w:id="267" w:name="_Int_cpR5dgIw"/>
      <w:r>
        <w:t>generally less</w:t>
      </w:r>
      <w:bookmarkEnd w:id="267"/>
      <w:r>
        <w:t xml:space="preserve"> fuel-efficient than 4-stroke engines </w:t>
      </w:r>
      <w:bookmarkStart w:id="268" w:name="_Int_ELUr4NvC"/>
      <w:proofErr w:type="gramStart"/>
      <w:r>
        <w:t>and also</w:t>
      </w:r>
      <w:bookmarkEnd w:id="268"/>
      <w:proofErr w:type="gramEnd"/>
      <w:r>
        <w:t xml:space="preserve"> produced proportionately higher quantities of exhaust pollutants, including dioxins (</w:t>
      </w:r>
      <w:r w:rsidR="00803407">
        <w:t>eg,</w:t>
      </w:r>
      <w:r>
        <w:t xml:space="preserve"> see </w:t>
      </w:r>
      <w:r w:rsidR="0DD904CD" w:rsidRPr="0C34660A">
        <w:rPr>
          <w:noProof/>
        </w:rPr>
        <w:t>Maritime New Zealand, undated-2)</w:t>
      </w:r>
      <w:r>
        <w:t xml:space="preserve">. As a result, the engines used in many of these applications are now 4-stroke. </w:t>
      </w:r>
    </w:p>
    <w:p w14:paraId="4345BBFA" w14:textId="15E21DB5" w:rsidR="00461F4F" w:rsidRDefault="24854215" w:rsidP="0C34660A">
      <w:pPr>
        <w:spacing w:line="300" w:lineRule="atLeast"/>
        <w:jc w:val="both"/>
      </w:pPr>
      <w:r>
        <w:t xml:space="preserve">Much of the fuel used in 2-stroke engines will be in off-road or non-road applications. </w:t>
      </w:r>
      <w:r w:rsidR="23447029">
        <w:t>As discussed in the introduction to this section, the Energy Efficiency and Conservation Authority estimate off-road petrol use to total about 445 million litres</w:t>
      </w:r>
      <w:r w:rsidR="1640B7DA">
        <w:t xml:space="preserve"> or 333,750 tonnes which equates to 15.6% of total petrol consumption</w:t>
      </w:r>
      <w:r w:rsidR="785D30C9">
        <w:t xml:space="preserve"> in 2020</w:t>
      </w:r>
      <w:r w:rsidR="1640B7DA">
        <w:t xml:space="preserve">. This is higher than the </w:t>
      </w:r>
      <w:r w:rsidR="6D5AC7F4">
        <w:t xml:space="preserve">estimate of 4 to 5% </w:t>
      </w:r>
      <w:r w:rsidR="785D30C9">
        <w:t xml:space="preserve">assumed for off-road use </w:t>
      </w:r>
      <w:r w:rsidR="6D5AC7F4">
        <w:t>in the 2016 Inventory</w:t>
      </w:r>
      <w:r w:rsidR="004E4D44">
        <w:t xml:space="preserve"> Report</w:t>
      </w:r>
      <w:r w:rsidR="6D5AC7F4">
        <w:t>.</w:t>
      </w:r>
      <w:r w:rsidR="1640B7DA">
        <w:t xml:space="preserve"> </w:t>
      </w:r>
      <w:r w:rsidR="785D30C9">
        <w:t xml:space="preserve">The proportion of 2-stroke engines involved is difficult to establish because neither the Ministry of Transport nor the Ministry of Business Innovation and Employment differentiate between engine types in </w:t>
      </w:r>
      <w:r w:rsidR="28AE6EE1">
        <w:t xml:space="preserve">their </w:t>
      </w:r>
      <w:r w:rsidR="785D30C9">
        <w:t>statistics</w:t>
      </w:r>
      <w:bookmarkStart w:id="269" w:name="_Int_eQFkGQs4"/>
      <w:r w:rsidR="785D30C9">
        <w:t xml:space="preserve">. </w:t>
      </w:r>
      <w:bookmarkEnd w:id="269"/>
    </w:p>
    <w:p w14:paraId="245B2D93" w14:textId="075DF490" w:rsidR="00A56D0B" w:rsidRDefault="00211816" w:rsidP="006761D2">
      <w:pPr>
        <w:spacing w:line="300" w:lineRule="atLeast"/>
        <w:jc w:val="both"/>
        <w:rPr>
          <w:szCs w:val="18"/>
        </w:rPr>
      </w:pPr>
      <w:r>
        <w:rPr>
          <w:szCs w:val="18"/>
        </w:rPr>
        <w:t>As previously</w:t>
      </w:r>
      <w:r w:rsidR="0074518E">
        <w:rPr>
          <w:szCs w:val="18"/>
        </w:rPr>
        <w:t>,</w:t>
      </w:r>
      <w:r>
        <w:rPr>
          <w:szCs w:val="18"/>
        </w:rPr>
        <w:t xml:space="preserve"> noted </w:t>
      </w:r>
      <w:proofErr w:type="gramStart"/>
      <w:r>
        <w:rPr>
          <w:szCs w:val="18"/>
        </w:rPr>
        <w:t>th</w:t>
      </w:r>
      <w:r w:rsidR="0030171B">
        <w:rPr>
          <w:szCs w:val="18"/>
        </w:rPr>
        <w:t>e majority o</w:t>
      </w:r>
      <w:r>
        <w:rPr>
          <w:szCs w:val="18"/>
        </w:rPr>
        <w:t>f</w:t>
      </w:r>
      <w:proofErr w:type="gramEnd"/>
      <w:r>
        <w:rPr>
          <w:szCs w:val="18"/>
        </w:rPr>
        <w:t xml:space="preserve"> off-road petrol consumption in 2020, 383 million litres</w:t>
      </w:r>
      <w:r w:rsidR="0074518E">
        <w:rPr>
          <w:szCs w:val="18"/>
        </w:rPr>
        <w:t xml:space="preserve"> or 287,000 tonnes</w:t>
      </w:r>
      <w:r>
        <w:rPr>
          <w:szCs w:val="18"/>
        </w:rPr>
        <w:t>, is now attributed to recreational marine activities</w:t>
      </w:r>
      <w:r w:rsidR="00461F4F">
        <w:rPr>
          <w:szCs w:val="18"/>
        </w:rPr>
        <w:t xml:space="preserve"> (Ministry of Business Innovation and Employment, 2021). </w:t>
      </w:r>
      <w:r w:rsidR="00B46FD4">
        <w:rPr>
          <w:szCs w:val="18"/>
        </w:rPr>
        <w:t>In 2019 the Auckland Harbourmaster’s office estimated that about 10–20% of new vessels and 50% of older vessels in the Auckland region were powered by 2-stroke engines.</w:t>
      </w:r>
      <w:r w:rsidR="0074518E">
        <w:rPr>
          <w:szCs w:val="18"/>
        </w:rPr>
        <w:t xml:space="preserve"> Of the 3717 active jet-skis </w:t>
      </w:r>
      <w:r w:rsidR="0074518E" w:rsidRPr="00BF6618">
        <w:rPr>
          <w:szCs w:val="18"/>
        </w:rPr>
        <w:t xml:space="preserve">in the Auckland, Northland and Bay of Plenty regions registered with the Auckland Harbourmaster, it </w:t>
      </w:r>
      <w:r w:rsidR="00AD6C4F">
        <w:rPr>
          <w:szCs w:val="18"/>
        </w:rPr>
        <w:t>was</w:t>
      </w:r>
      <w:r w:rsidR="0074518E" w:rsidRPr="00BF6618">
        <w:rPr>
          <w:szCs w:val="18"/>
        </w:rPr>
        <w:t xml:space="preserve"> estimated that about 10% have 2-stroke engines</w:t>
      </w:r>
      <w:r w:rsidR="00AD6C4F">
        <w:rPr>
          <w:szCs w:val="18"/>
        </w:rPr>
        <w:t xml:space="preserve"> in 2019.</w:t>
      </w:r>
      <w:r w:rsidR="0074518E" w:rsidRPr="00BF6618">
        <w:rPr>
          <w:szCs w:val="18"/>
        </w:rPr>
        <w:t xml:space="preserve"> </w:t>
      </w:r>
      <w:r w:rsidR="00E33D15" w:rsidRPr="003D73C3">
        <w:rPr>
          <w:szCs w:val="18"/>
        </w:rPr>
        <w:t>(M. Madsen, Auckland Harbourmasters Office, pers</w:t>
      </w:r>
      <w:r w:rsidR="00995343" w:rsidRPr="003D73C3">
        <w:rPr>
          <w:szCs w:val="18"/>
        </w:rPr>
        <w:t>.</w:t>
      </w:r>
      <w:r w:rsidR="00E33D15" w:rsidRPr="003D73C3">
        <w:rPr>
          <w:szCs w:val="18"/>
        </w:rPr>
        <w:t xml:space="preserve"> comm</w:t>
      </w:r>
      <w:r w:rsidR="00995343" w:rsidRPr="003D73C3">
        <w:rPr>
          <w:szCs w:val="18"/>
        </w:rPr>
        <w:t>.</w:t>
      </w:r>
      <w:r w:rsidR="00E33D15" w:rsidRPr="003D73C3">
        <w:rPr>
          <w:szCs w:val="18"/>
        </w:rPr>
        <w:t>, 2019)</w:t>
      </w:r>
      <w:r w:rsidR="00461F4F">
        <w:rPr>
          <w:szCs w:val="18"/>
        </w:rPr>
        <w:t>.</w:t>
      </w:r>
    </w:p>
    <w:p w14:paraId="5AEBF1D2" w14:textId="731B9588" w:rsidR="00461F4F" w:rsidRDefault="004E4D44" w:rsidP="006761D2">
      <w:pPr>
        <w:spacing w:line="300" w:lineRule="atLeast"/>
        <w:jc w:val="both"/>
      </w:pPr>
      <w:r>
        <w:t xml:space="preserve">Using these </w:t>
      </w:r>
      <w:r w:rsidR="751A47AB">
        <w:t xml:space="preserve">figures, the share of 2-stroke motors in the recreational marine sector is likely to be about 25% with </w:t>
      </w:r>
      <w:r w:rsidR="77BF8165">
        <w:t xml:space="preserve">corresponding </w:t>
      </w:r>
      <w:r w:rsidR="751A47AB">
        <w:t xml:space="preserve">petrol consumption in 2020 of about </w:t>
      </w:r>
      <w:r w:rsidR="614383AE">
        <w:t xml:space="preserve">71,750 tonnes. </w:t>
      </w:r>
      <w:bookmarkStart w:id="270" w:name="_Int_KTG992Cb"/>
      <w:proofErr w:type="gramStart"/>
      <w:r w:rsidR="614383AE">
        <w:t>With regard to</w:t>
      </w:r>
      <w:bookmarkEnd w:id="270"/>
      <w:proofErr w:type="gramEnd"/>
      <w:r w:rsidR="614383AE">
        <w:t xml:space="preserve"> other sectors which involve 2-stroke engine use, the 2016 Inventory report used a figure of 2800 tonnes </w:t>
      </w:r>
      <w:r w:rsidR="6391A961">
        <w:t>for 2-stroke moto</w:t>
      </w:r>
      <w:r w:rsidR="11616DE2">
        <w:t>rcycles</w:t>
      </w:r>
      <w:r w:rsidR="6391A961">
        <w:t xml:space="preserve">. </w:t>
      </w:r>
      <w:r w:rsidR="11616DE2">
        <w:t xml:space="preserve">Registrations of motorcycles increased 13% from 2016 to 2020 so this amount has been increased </w:t>
      </w:r>
      <w:r w:rsidR="11D23F59">
        <w:t>in proportion to 3164 tonnes.</w:t>
      </w:r>
      <w:r w:rsidR="6391A961">
        <w:t xml:space="preserve"> </w:t>
      </w:r>
      <w:r w:rsidR="142DE1FE">
        <w:t xml:space="preserve">The amount of petrol consumed by small motors such as chainsaws may not be large. For instance, forestry operations are estimated to consume only 75 tonnes (100,000 litres) of off-road petrol annually for uses which include not only </w:t>
      </w:r>
      <w:r w:rsidR="0E5AA818">
        <w:t xml:space="preserve">2-stroke </w:t>
      </w:r>
      <w:r w:rsidR="142DE1FE">
        <w:t xml:space="preserve">chainsaws but also 4-stroke applications such as generators, </w:t>
      </w:r>
      <w:bookmarkStart w:id="271" w:name="_Int_3zib4BWb"/>
      <w:r w:rsidR="142DE1FE">
        <w:t>pumps,</w:t>
      </w:r>
      <w:bookmarkEnd w:id="271"/>
      <w:r w:rsidR="142DE1FE">
        <w:t xml:space="preserve"> </w:t>
      </w:r>
      <w:r w:rsidR="0E5AA818">
        <w:t>and quad bikes (Energy Efficiency and Conservation Authority, 2021). Other small 2-stroke engine petrol cons</w:t>
      </w:r>
      <w:r w:rsidR="77BF8165">
        <w:t>umption has been estimated to be 10% of that of 2-stroke motorcycles, that is 316 tonnes.</w:t>
      </w:r>
      <w:r w:rsidR="0E5AA818">
        <w:t xml:space="preserve"> </w:t>
      </w:r>
    </w:p>
    <w:p w14:paraId="51C372BB" w14:textId="0E1D3A95" w:rsidR="001D483F" w:rsidRPr="003D73C3" w:rsidRDefault="77BF8165" w:rsidP="006761D2">
      <w:pPr>
        <w:spacing w:line="300" w:lineRule="atLeast"/>
        <w:jc w:val="both"/>
      </w:pPr>
      <w:r>
        <w:t>Consequently, in total, 2-stroke engine petrol use in New Zealand is estimated to be 75,230 tonnes.</w:t>
      </w:r>
      <w:r w:rsidR="0B9D46AA">
        <w:t xml:space="preserve"> This is significantly higher than the 5,600 tonnes used for the 2012 and 2016 Inventory Reports but as discussed, this increase results from improved fuel consumption estimates.</w:t>
      </w:r>
    </w:p>
    <w:p w14:paraId="7DD4C9B9" w14:textId="140CEDED" w:rsidR="006761D2" w:rsidRPr="003D73C3" w:rsidRDefault="006761D2" w:rsidP="006761D2">
      <w:pPr>
        <w:pStyle w:val="Caption"/>
        <w:jc w:val="left"/>
        <w:rPr>
          <w:rFonts w:cs="Arial"/>
          <w:szCs w:val="18"/>
        </w:rPr>
      </w:pPr>
      <w:bookmarkStart w:id="272" w:name="_Ref38609773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7</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2</w:t>
      </w:r>
      <w:r w:rsidRPr="003D73C3">
        <w:rPr>
          <w:rFonts w:cs="Arial"/>
        </w:rPr>
        <w:fldChar w:fldCharType="end"/>
      </w:r>
      <w:bookmarkEnd w:id="272"/>
      <w:r w:rsidRPr="003D73C3">
        <w:rPr>
          <w:rFonts w:cs="Arial"/>
        </w:rPr>
        <w:t>: Dioxin releases from 2-stroke petrol engines</w:t>
      </w:r>
    </w:p>
    <w:tbl>
      <w:tblPr>
        <w:tblStyle w:val="TableGrid"/>
        <w:tblW w:w="0" w:type="auto"/>
        <w:tblLook w:val="04A0" w:firstRow="1" w:lastRow="0" w:firstColumn="1" w:lastColumn="0" w:noHBand="0" w:noVBand="1"/>
      </w:tblPr>
      <w:tblGrid>
        <w:gridCol w:w="806"/>
        <w:gridCol w:w="2613"/>
        <w:gridCol w:w="2888"/>
        <w:gridCol w:w="2754"/>
      </w:tblGrid>
      <w:tr w:rsidR="006761D2" w:rsidRPr="00EA409D" w14:paraId="6EE78A88" w14:textId="77777777" w:rsidTr="0030171B">
        <w:tc>
          <w:tcPr>
            <w:tcW w:w="806" w:type="dxa"/>
            <w:vMerge w:val="restart"/>
            <w:vAlign w:val="center"/>
          </w:tcPr>
          <w:p w14:paraId="674BBD5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613" w:type="dxa"/>
            <w:vMerge w:val="restart"/>
            <w:vAlign w:val="center"/>
          </w:tcPr>
          <w:p w14:paraId="5FAC55B3"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73" w:name="_Int_iILqzUpR"/>
            <w:r w:rsidRPr="0C34660A">
              <w:rPr>
                <w:rFonts w:ascii="Arial" w:hAnsi="Arial" w:cs="Arial"/>
                <w:b/>
                <w:bCs/>
                <w:sz w:val="16"/>
                <w:szCs w:val="16"/>
              </w:rPr>
              <w:t>tonnes</w:t>
            </w:r>
            <w:bookmarkEnd w:id="273"/>
            <w:r w:rsidRPr="0C34660A">
              <w:rPr>
                <w:rFonts w:ascii="Arial" w:hAnsi="Arial" w:cs="Arial"/>
                <w:b/>
                <w:bCs/>
                <w:sz w:val="16"/>
                <w:szCs w:val="16"/>
              </w:rPr>
              <w:t xml:space="preserve"> of fuel/year)</w:t>
            </w:r>
          </w:p>
        </w:tc>
        <w:tc>
          <w:tcPr>
            <w:tcW w:w="2888" w:type="dxa"/>
            <w:vAlign w:val="center"/>
          </w:tcPr>
          <w:p w14:paraId="7160A7B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fuel)</w:t>
            </w:r>
          </w:p>
        </w:tc>
        <w:tc>
          <w:tcPr>
            <w:tcW w:w="2754" w:type="dxa"/>
            <w:vAlign w:val="center"/>
          </w:tcPr>
          <w:p w14:paraId="240F02B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EA409D" w14:paraId="60299FFE" w14:textId="77777777" w:rsidTr="00E95BD6">
        <w:tc>
          <w:tcPr>
            <w:tcW w:w="806" w:type="dxa"/>
            <w:vMerge/>
          </w:tcPr>
          <w:p w14:paraId="43BA66C3" w14:textId="77777777" w:rsidR="006761D2" w:rsidRPr="003D73C3" w:rsidRDefault="006761D2" w:rsidP="009F7DB8">
            <w:pPr>
              <w:spacing w:before="120"/>
              <w:jc w:val="both"/>
              <w:rPr>
                <w:rFonts w:ascii="Arial" w:hAnsi="Arial" w:cs="Arial"/>
                <w:sz w:val="16"/>
                <w:szCs w:val="18"/>
              </w:rPr>
            </w:pPr>
          </w:p>
        </w:tc>
        <w:tc>
          <w:tcPr>
            <w:tcW w:w="2613" w:type="dxa"/>
            <w:vMerge/>
            <w:vAlign w:val="center"/>
          </w:tcPr>
          <w:p w14:paraId="61051B22" w14:textId="77777777" w:rsidR="006761D2" w:rsidRPr="003D73C3" w:rsidRDefault="006761D2" w:rsidP="009F7DB8">
            <w:pPr>
              <w:spacing w:before="120"/>
              <w:jc w:val="center"/>
              <w:rPr>
                <w:rFonts w:ascii="Arial" w:hAnsi="Arial" w:cs="Arial"/>
                <w:sz w:val="16"/>
                <w:szCs w:val="18"/>
              </w:rPr>
            </w:pPr>
          </w:p>
        </w:tc>
        <w:tc>
          <w:tcPr>
            <w:tcW w:w="2888" w:type="dxa"/>
            <w:vAlign w:val="center"/>
          </w:tcPr>
          <w:p w14:paraId="1BEECE7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54" w:type="dxa"/>
            <w:vAlign w:val="center"/>
          </w:tcPr>
          <w:p w14:paraId="33730F9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672218" w:rsidRPr="00EA409D" w14:paraId="297AB4D1" w14:textId="77777777" w:rsidTr="00E95BD6">
        <w:tc>
          <w:tcPr>
            <w:tcW w:w="806" w:type="dxa"/>
            <w:vAlign w:val="center"/>
          </w:tcPr>
          <w:p w14:paraId="37EBBD73" w14:textId="34F8A396" w:rsidR="00672218" w:rsidRPr="003D73C3" w:rsidRDefault="00672218" w:rsidP="009F7DB8">
            <w:pPr>
              <w:spacing w:before="120"/>
              <w:rPr>
                <w:rFonts w:ascii="Arial" w:hAnsi="Arial" w:cs="Arial"/>
                <w:b/>
                <w:sz w:val="16"/>
                <w:szCs w:val="18"/>
              </w:rPr>
            </w:pPr>
            <w:r w:rsidRPr="003D73C3">
              <w:rPr>
                <w:rFonts w:ascii="Arial" w:hAnsi="Arial" w:cs="Arial"/>
                <w:b/>
                <w:sz w:val="16"/>
                <w:szCs w:val="18"/>
              </w:rPr>
              <w:t>2012</w:t>
            </w:r>
          </w:p>
        </w:tc>
        <w:tc>
          <w:tcPr>
            <w:tcW w:w="2613" w:type="dxa"/>
            <w:vAlign w:val="center"/>
          </w:tcPr>
          <w:p w14:paraId="69CFA703" w14:textId="41A87800" w:rsidR="00672218" w:rsidRPr="003D73C3" w:rsidRDefault="00672218" w:rsidP="009F7DB8">
            <w:pPr>
              <w:spacing w:before="120"/>
              <w:jc w:val="center"/>
              <w:rPr>
                <w:rFonts w:ascii="Arial" w:hAnsi="Arial" w:cs="Arial"/>
                <w:sz w:val="16"/>
                <w:szCs w:val="18"/>
              </w:rPr>
            </w:pPr>
            <w:r w:rsidRPr="003D73C3">
              <w:rPr>
                <w:rFonts w:ascii="Arial" w:hAnsi="Arial" w:cs="Arial"/>
                <w:sz w:val="16"/>
                <w:szCs w:val="18"/>
              </w:rPr>
              <w:t>5,600</w:t>
            </w:r>
          </w:p>
        </w:tc>
        <w:tc>
          <w:tcPr>
            <w:tcW w:w="2888" w:type="dxa"/>
            <w:vAlign w:val="center"/>
          </w:tcPr>
          <w:p w14:paraId="5E470DCE" w14:textId="77106EEA" w:rsidR="00672218" w:rsidRPr="003D73C3" w:rsidRDefault="00672218" w:rsidP="009F7DB8">
            <w:pPr>
              <w:spacing w:before="120"/>
              <w:jc w:val="center"/>
              <w:rPr>
                <w:rFonts w:ascii="Arial" w:hAnsi="Arial" w:cs="Arial"/>
                <w:sz w:val="16"/>
                <w:szCs w:val="18"/>
              </w:rPr>
            </w:pPr>
            <w:r w:rsidRPr="003D73C3">
              <w:rPr>
                <w:rFonts w:ascii="Arial" w:hAnsi="Arial" w:cs="Arial"/>
                <w:sz w:val="16"/>
                <w:szCs w:val="18"/>
              </w:rPr>
              <w:t>2.5</w:t>
            </w:r>
          </w:p>
        </w:tc>
        <w:tc>
          <w:tcPr>
            <w:tcW w:w="2754" w:type="dxa"/>
            <w:vAlign w:val="center"/>
          </w:tcPr>
          <w:p w14:paraId="66E9915E" w14:textId="4C7BFBD2" w:rsidR="00672218" w:rsidRPr="003D73C3" w:rsidRDefault="00672218" w:rsidP="009F7DB8">
            <w:pPr>
              <w:spacing w:before="120"/>
              <w:jc w:val="center"/>
              <w:rPr>
                <w:rFonts w:ascii="Arial" w:hAnsi="Arial" w:cs="Arial"/>
                <w:sz w:val="16"/>
                <w:szCs w:val="18"/>
              </w:rPr>
            </w:pPr>
            <w:r w:rsidRPr="003D73C3">
              <w:rPr>
                <w:rFonts w:ascii="Arial" w:hAnsi="Arial" w:cs="Arial"/>
                <w:sz w:val="16"/>
                <w:szCs w:val="18"/>
              </w:rPr>
              <w:t>0.014</w:t>
            </w:r>
          </w:p>
        </w:tc>
      </w:tr>
      <w:tr w:rsidR="006761D2" w:rsidRPr="00EA409D" w14:paraId="2F26337A" w14:textId="77777777" w:rsidTr="00E95BD6">
        <w:tc>
          <w:tcPr>
            <w:tcW w:w="806" w:type="dxa"/>
            <w:vAlign w:val="center"/>
          </w:tcPr>
          <w:p w14:paraId="63777E74" w14:textId="4B788805" w:rsidR="006761D2" w:rsidRPr="003D73C3" w:rsidRDefault="006761D2" w:rsidP="009F7DB8">
            <w:pPr>
              <w:spacing w:before="120"/>
              <w:rPr>
                <w:rFonts w:ascii="Arial" w:hAnsi="Arial" w:cs="Arial"/>
                <w:b/>
                <w:sz w:val="16"/>
                <w:szCs w:val="18"/>
              </w:rPr>
            </w:pPr>
            <w:r w:rsidRPr="003D73C3">
              <w:rPr>
                <w:rFonts w:ascii="Arial" w:hAnsi="Arial" w:cs="Arial"/>
                <w:b/>
                <w:sz w:val="16"/>
                <w:szCs w:val="18"/>
              </w:rPr>
              <w:t>201</w:t>
            </w:r>
            <w:r w:rsidR="00672218" w:rsidRPr="003D73C3">
              <w:rPr>
                <w:rFonts w:ascii="Arial" w:hAnsi="Arial" w:cs="Arial"/>
                <w:b/>
                <w:sz w:val="16"/>
                <w:szCs w:val="18"/>
              </w:rPr>
              <w:t>6</w:t>
            </w:r>
          </w:p>
        </w:tc>
        <w:tc>
          <w:tcPr>
            <w:tcW w:w="2613" w:type="dxa"/>
            <w:vAlign w:val="center"/>
          </w:tcPr>
          <w:p w14:paraId="7A3B21BF"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5,600</w:t>
            </w:r>
          </w:p>
        </w:tc>
        <w:tc>
          <w:tcPr>
            <w:tcW w:w="2888" w:type="dxa"/>
            <w:vAlign w:val="center"/>
          </w:tcPr>
          <w:p w14:paraId="498A9505"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2.5</w:t>
            </w:r>
          </w:p>
        </w:tc>
        <w:tc>
          <w:tcPr>
            <w:tcW w:w="2754" w:type="dxa"/>
            <w:vAlign w:val="center"/>
          </w:tcPr>
          <w:p w14:paraId="6483CB96"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0.014</w:t>
            </w:r>
          </w:p>
        </w:tc>
      </w:tr>
      <w:tr w:rsidR="00F420FE" w:rsidRPr="00EA409D" w14:paraId="431BCC65" w14:textId="77777777" w:rsidTr="00E95BD6">
        <w:tc>
          <w:tcPr>
            <w:tcW w:w="806" w:type="dxa"/>
            <w:vAlign w:val="center"/>
          </w:tcPr>
          <w:p w14:paraId="452EA406" w14:textId="721BB17F" w:rsidR="00F420FE" w:rsidRPr="00F420FE" w:rsidRDefault="00F420FE" w:rsidP="009F7DB8">
            <w:pPr>
              <w:spacing w:before="120"/>
              <w:rPr>
                <w:rFonts w:ascii="Arial" w:hAnsi="Arial" w:cs="Arial"/>
                <w:b/>
                <w:sz w:val="16"/>
                <w:szCs w:val="18"/>
              </w:rPr>
            </w:pPr>
            <w:r>
              <w:rPr>
                <w:rFonts w:ascii="Arial" w:hAnsi="Arial" w:cs="Arial"/>
                <w:b/>
                <w:sz w:val="16"/>
                <w:szCs w:val="18"/>
              </w:rPr>
              <w:t>2020</w:t>
            </w:r>
          </w:p>
        </w:tc>
        <w:tc>
          <w:tcPr>
            <w:tcW w:w="2613" w:type="dxa"/>
            <w:vAlign w:val="center"/>
          </w:tcPr>
          <w:p w14:paraId="29574526" w14:textId="7E72A791" w:rsidR="00F420FE" w:rsidRPr="00F420FE" w:rsidRDefault="00F420FE" w:rsidP="009F7DB8">
            <w:pPr>
              <w:spacing w:before="120"/>
              <w:jc w:val="center"/>
              <w:rPr>
                <w:rFonts w:ascii="Arial" w:hAnsi="Arial" w:cs="Arial"/>
                <w:sz w:val="16"/>
                <w:szCs w:val="18"/>
              </w:rPr>
            </w:pPr>
            <w:r>
              <w:rPr>
                <w:rFonts w:ascii="Arial" w:hAnsi="Arial" w:cs="Arial"/>
                <w:sz w:val="16"/>
                <w:szCs w:val="18"/>
              </w:rPr>
              <w:t>75,230</w:t>
            </w:r>
          </w:p>
        </w:tc>
        <w:tc>
          <w:tcPr>
            <w:tcW w:w="2888" w:type="dxa"/>
            <w:vAlign w:val="center"/>
          </w:tcPr>
          <w:p w14:paraId="14047F33" w14:textId="2884E257" w:rsidR="00F420FE" w:rsidRPr="00F420FE" w:rsidRDefault="00F420FE" w:rsidP="009F7DB8">
            <w:pPr>
              <w:spacing w:before="120"/>
              <w:jc w:val="center"/>
              <w:rPr>
                <w:rFonts w:ascii="Arial" w:hAnsi="Arial" w:cs="Arial"/>
                <w:sz w:val="16"/>
                <w:szCs w:val="18"/>
              </w:rPr>
            </w:pPr>
            <w:r>
              <w:rPr>
                <w:rFonts w:ascii="Arial" w:hAnsi="Arial" w:cs="Arial"/>
                <w:sz w:val="16"/>
                <w:szCs w:val="18"/>
              </w:rPr>
              <w:t>2.5</w:t>
            </w:r>
          </w:p>
        </w:tc>
        <w:tc>
          <w:tcPr>
            <w:tcW w:w="2754" w:type="dxa"/>
            <w:vAlign w:val="center"/>
          </w:tcPr>
          <w:p w14:paraId="0B908A71" w14:textId="58E6E862" w:rsidR="00F420FE" w:rsidRPr="00F420FE" w:rsidRDefault="00077BB3" w:rsidP="009F7DB8">
            <w:pPr>
              <w:spacing w:before="120"/>
              <w:jc w:val="center"/>
              <w:rPr>
                <w:rFonts w:ascii="Arial" w:hAnsi="Arial" w:cs="Arial"/>
                <w:sz w:val="16"/>
                <w:szCs w:val="18"/>
              </w:rPr>
            </w:pPr>
            <w:r>
              <w:rPr>
                <w:rFonts w:ascii="Arial" w:hAnsi="Arial" w:cs="Arial"/>
                <w:sz w:val="16"/>
                <w:szCs w:val="18"/>
              </w:rPr>
              <w:t>0.188</w:t>
            </w:r>
          </w:p>
        </w:tc>
      </w:tr>
    </w:tbl>
    <w:p w14:paraId="67919E11" w14:textId="11526F2C"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lastRenderedPageBreak/>
        <w:t xml:space="preserve">Certainty assessment for </w:t>
      </w:r>
      <w:r w:rsidR="00AE5884">
        <w:rPr>
          <w:rFonts w:ascii="Arial" w:hAnsi="Arial" w:cs="Arial"/>
          <w:b/>
          <w:szCs w:val="18"/>
        </w:rPr>
        <w:t>2020</w:t>
      </w:r>
    </w:p>
    <w:p w14:paraId="5869EEB5"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Low (because it is based on assumed annual fuel consumption)</w:t>
      </w:r>
    </w:p>
    <w:p w14:paraId="72F76B3F"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w:t>
      </w:r>
    </w:p>
    <w:p w14:paraId="3F2EFDCF" w14:textId="77777777" w:rsidR="006761D2" w:rsidRPr="003D73C3" w:rsidRDefault="006761D2" w:rsidP="00261F78">
      <w:pPr>
        <w:pStyle w:val="Heading2"/>
      </w:pPr>
      <w:bookmarkStart w:id="274" w:name="_Toc112768115"/>
      <w:r w:rsidRPr="003D73C3">
        <w:t>Diesel engines</w:t>
      </w:r>
      <w:bookmarkEnd w:id="274"/>
    </w:p>
    <w:p w14:paraId="08CBC665" w14:textId="52F9DC23" w:rsidR="006761D2" w:rsidRPr="003D73C3" w:rsidRDefault="24854215" w:rsidP="006761D2">
      <w:pPr>
        <w:spacing w:line="300" w:lineRule="atLeast"/>
        <w:jc w:val="both"/>
      </w:pPr>
      <w:r>
        <w:t xml:space="preserve">The total consumption of diesel in transport, industrial and commercial applications, </w:t>
      </w:r>
      <w:bookmarkStart w:id="275" w:name="_Int_uLa3eRZ9"/>
      <w:r>
        <w:t>agriculture,</w:t>
      </w:r>
      <w:bookmarkEnd w:id="275"/>
      <w:r>
        <w:t xml:space="preserve"> and residential uses in </w:t>
      </w:r>
      <w:r w:rsidR="03B00A49">
        <w:t xml:space="preserve">2016 </w:t>
      </w:r>
      <w:r>
        <w:t xml:space="preserve">was </w:t>
      </w:r>
      <w:r w:rsidR="6FF3AD20">
        <w:t>135</w:t>
      </w:r>
      <w:r w:rsidR="74963951">
        <w:t xml:space="preserve">,870 </w:t>
      </w:r>
      <w:r>
        <w:t>TJ (1 TJ = 10</w:t>
      </w:r>
      <w:r w:rsidRPr="0C34660A">
        <w:rPr>
          <w:vertAlign w:val="superscript"/>
        </w:rPr>
        <w:t>12</w:t>
      </w:r>
      <w:r>
        <w:t xml:space="preserve"> Joules) </w:t>
      </w:r>
      <w:r w:rsidR="74963951" w:rsidRPr="0C34660A">
        <w:rPr>
          <w:noProof/>
        </w:rPr>
        <w:t>(Ministry of Business Innovation and Employment, 2021)</w:t>
      </w:r>
      <w:r>
        <w:t xml:space="preserve">. However, some of this usage has already been accounted for under sections 5.1.3 (industrial/commercial heat and power, </w:t>
      </w:r>
      <w:r w:rsidR="3ADDC7E9">
        <w:t xml:space="preserve">5,330 </w:t>
      </w:r>
      <w:r>
        <w:t xml:space="preserve">TJ) and 5.5.2 (domestic heating and cooking, </w:t>
      </w:r>
      <w:r w:rsidR="3ADDC7E9">
        <w:t xml:space="preserve">103 </w:t>
      </w:r>
      <w:r>
        <w:t xml:space="preserve">TJ). Subtracting these figures from the total gives an annual diesel usage in transportation and stationary engines of </w:t>
      </w:r>
      <w:r w:rsidR="3ADDC7E9">
        <w:t>130,437</w:t>
      </w:r>
      <w:r w:rsidR="1852566E">
        <w:t xml:space="preserve"> </w:t>
      </w:r>
      <w:r>
        <w:t xml:space="preserve">TJ or </w:t>
      </w:r>
      <w:r w:rsidR="4D4E27E6">
        <w:t xml:space="preserve">2,847,961 </w:t>
      </w:r>
      <w:r>
        <w:t>tonnes.</w:t>
      </w:r>
    </w:p>
    <w:p w14:paraId="0C86BC27" w14:textId="63FC8ADF" w:rsidR="006761D2" w:rsidRPr="003D73C3" w:rsidRDefault="006761D2" w:rsidP="006761D2">
      <w:pPr>
        <w:spacing w:line="300" w:lineRule="atLeast"/>
        <w:jc w:val="both"/>
        <w:rPr>
          <w:szCs w:val="18"/>
        </w:rPr>
      </w:pPr>
      <w:r w:rsidRPr="003D73C3">
        <w:rPr>
          <w:szCs w:val="18"/>
        </w:rPr>
        <w:t>The UNEP Toolkit includes a separate release factor for biodiesel, although it is only marginally lower than that for normal diesel (0.07 vs 0.1 µg TEQ/tonne)</w:t>
      </w:r>
      <w:r w:rsidRPr="003D73C3">
        <w:rPr>
          <w:szCs w:val="18"/>
          <w:lang w:val="en-US"/>
        </w:rPr>
        <w:t>(1 µg TEQ/tonne = 1 x 10</w:t>
      </w:r>
      <w:r w:rsidRPr="003D73C3">
        <w:rPr>
          <w:szCs w:val="18"/>
          <w:vertAlign w:val="superscript"/>
          <w:lang w:val="en-US"/>
        </w:rPr>
        <w:t>-6</w:t>
      </w:r>
      <w:r w:rsidRPr="003D73C3">
        <w:rPr>
          <w:szCs w:val="18"/>
          <w:lang w:val="en-US"/>
        </w:rPr>
        <w:t xml:space="preserve"> g TEQ/tonne)</w:t>
      </w:r>
      <w:r w:rsidRPr="003D73C3">
        <w:rPr>
          <w:szCs w:val="18"/>
        </w:rPr>
        <w:t xml:space="preserve">. </w:t>
      </w:r>
      <w:r w:rsidR="004E3B24">
        <w:rPr>
          <w:szCs w:val="18"/>
        </w:rPr>
        <w:t>For the 2016 Inventory Repor</w:t>
      </w:r>
      <w:r w:rsidR="00670309">
        <w:rPr>
          <w:szCs w:val="18"/>
        </w:rPr>
        <w:t xml:space="preserve">t, the 20TJ (440 tonnes) of biodiesel produced at the time was regarded as trivial as it changed </w:t>
      </w:r>
      <w:r w:rsidR="00670309" w:rsidRPr="00BF6618">
        <w:rPr>
          <w:szCs w:val="18"/>
        </w:rPr>
        <w:t xml:space="preserve">the total release estimate by </w:t>
      </w:r>
      <w:r w:rsidR="00670309">
        <w:rPr>
          <w:szCs w:val="18"/>
        </w:rPr>
        <w:t xml:space="preserve">only </w:t>
      </w:r>
      <w:r w:rsidR="00670309" w:rsidRPr="00BF6618">
        <w:rPr>
          <w:szCs w:val="18"/>
        </w:rPr>
        <w:t>0.00001g TEQ</w:t>
      </w:r>
      <w:r w:rsidR="00670309">
        <w:rPr>
          <w:szCs w:val="18"/>
        </w:rPr>
        <w:t xml:space="preserve">. </w:t>
      </w:r>
      <w:r w:rsidR="004E3B24">
        <w:rPr>
          <w:szCs w:val="18"/>
        </w:rPr>
        <w:t xml:space="preserve">The </w:t>
      </w:r>
      <w:r w:rsidR="00A22854">
        <w:rPr>
          <w:szCs w:val="18"/>
        </w:rPr>
        <w:t>quantity of biodiesel produced in 2020 is not available but will be significantly less than the 2016 figure fo</w:t>
      </w:r>
      <w:r w:rsidR="004E3B24">
        <w:rPr>
          <w:szCs w:val="18"/>
        </w:rPr>
        <w:t>l</w:t>
      </w:r>
      <w:r w:rsidR="00A22854">
        <w:rPr>
          <w:szCs w:val="18"/>
        </w:rPr>
        <w:t xml:space="preserve">lowing the closure of </w:t>
      </w:r>
      <w:r w:rsidR="004E3B24">
        <w:rPr>
          <w:szCs w:val="18"/>
        </w:rPr>
        <w:t>Z-Energy’s Te Kora Hou biofuel plant in Wiri in early 2020. This was caused primarily by high international prices for tallow, an important feedstock for biodiesel</w:t>
      </w:r>
      <w:r w:rsidR="001A01B0">
        <w:rPr>
          <w:szCs w:val="18"/>
        </w:rPr>
        <w:t xml:space="preserve"> </w:t>
      </w:r>
      <w:r w:rsidR="00BD431F">
        <w:rPr>
          <w:szCs w:val="18"/>
        </w:rPr>
        <w:t>(Ministry of Business Innovation and Employment, 2021)</w:t>
      </w:r>
      <w:r w:rsidR="001A01B0">
        <w:rPr>
          <w:szCs w:val="18"/>
        </w:rPr>
        <w:t>.</w:t>
      </w:r>
    </w:p>
    <w:p w14:paraId="27ECE522" w14:textId="63EC7362" w:rsidR="006761D2" w:rsidRPr="003D73C3" w:rsidRDefault="006761D2" w:rsidP="006761D2">
      <w:pPr>
        <w:spacing w:line="300" w:lineRule="atLeast"/>
        <w:jc w:val="both"/>
        <w:rPr>
          <w:szCs w:val="18"/>
        </w:rPr>
      </w:pPr>
      <w:r w:rsidRPr="003D73C3">
        <w:rPr>
          <w:szCs w:val="18"/>
        </w:rPr>
        <w:t xml:space="preserve">The </w:t>
      </w:r>
      <w:r w:rsidR="00BD431F">
        <w:rPr>
          <w:szCs w:val="18"/>
        </w:rPr>
        <w:t>2020</w:t>
      </w:r>
      <w:r w:rsidR="000A2143" w:rsidRPr="003D73C3">
        <w:rPr>
          <w:szCs w:val="18"/>
        </w:rPr>
        <w:t xml:space="preserve"> </w:t>
      </w:r>
      <w:r w:rsidRPr="003D73C3">
        <w:rPr>
          <w:szCs w:val="18"/>
        </w:rPr>
        <w:t xml:space="preserve">release estimates for diesel consumption in transport and stationary engines are shown in </w:t>
      </w:r>
      <w:r w:rsidRPr="003D73C3">
        <w:rPr>
          <w:szCs w:val="18"/>
        </w:rPr>
        <w:fldChar w:fldCharType="begin"/>
      </w:r>
      <w:r w:rsidRPr="003D73C3">
        <w:rPr>
          <w:szCs w:val="18"/>
        </w:rPr>
        <w:instrText xml:space="preserve"> REF _Ref386097831 \h </w:instrText>
      </w:r>
      <w:r w:rsidR="00AF1200" w:rsidRPr="003D73C3">
        <w:rPr>
          <w:szCs w:val="18"/>
        </w:rPr>
        <w:instrText xml:space="preserve"> \* MERGEFORMAT </w:instrText>
      </w:r>
      <w:r w:rsidRPr="003D73C3">
        <w:rPr>
          <w:szCs w:val="18"/>
        </w:rPr>
      </w:r>
      <w:r w:rsidRPr="003D73C3">
        <w:rPr>
          <w:szCs w:val="18"/>
        </w:rPr>
        <w:fldChar w:fldCharType="separate"/>
      </w:r>
      <w:r w:rsidR="00141D7F" w:rsidRPr="003D73C3">
        <w:rPr>
          <w:rFonts w:cs="Arial"/>
        </w:rPr>
        <w:t xml:space="preserve">Table </w:t>
      </w:r>
      <w:r w:rsidR="00141D7F">
        <w:rPr>
          <w:rFonts w:cs="Arial"/>
          <w:noProof/>
        </w:rPr>
        <w:t>7</w:t>
      </w:r>
      <w:r w:rsidR="00141D7F" w:rsidRPr="003D73C3">
        <w:rPr>
          <w:rFonts w:cs="Arial"/>
          <w:noProof/>
        </w:rPr>
        <w:noBreakHyphen/>
      </w:r>
      <w:r w:rsidR="00141D7F">
        <w:rPr>
          <w:rFonts w:cs="Arial"/>
          <w:noProof/>
        </w:rPr>
        <w:t>3</w:t>
      </w:r>
      <w:r w:rsidRPr="003D73C3">
        <w:rPr>
          <w:szCs w:val="18"/>
        </w:rPr>
        <w:fldChar w:fldCharType="end"/>
      </w:r>
      <w:r w:rsidRPr="003D73C3">
        <w:rPr>
          <w:szCs w:val="18"/>
        </w:rPr>
        <w:t xml:space="preserve">, along with the corresponding estimates from the </w:t>
      </w:r>
      <w:r w:rsidR="000A2143" w:rsidRPr="003D73C3">
        <w:rPr>
          <w:szCs w:val="18"/>
        </w:rPr>
        <w:t>201</w:t>
      </w:r>
      <w:r w:rsidR="00BD431F">
        <w:rPr>
          <w:szCs w:val="18"/>
        </w:rPr>
        <w:t>2 and 2016</w:t>
      </w:r>
      <w:r w:rsidR="000A2143" w:rsidRPr="003D73C3">
        <w:rPr>
          <w:szCs w:val="18"/>
        </w:rPr>
        <w:t xml:space="preserve"> </w:t>
      </w:r>
      <w:r w:rsidRPr="003D73C3">
        <w:rPr>
          <w:szCs w:val="18"/>
        </w:rPr>
        <w:t>Inventor</w:t>
      </w:r>
      <w:r w:rsidR="00BD431F">
        <w:rPr>
          <w:szCs w:val="18"/>
        </w:rPr>
        <w:t>ies.</w:t>
      </w:r>
      <w:r w:rsidRPr="003D73C3">
        <w:rPr>
          <w:szCs w:val="18"/>
        </w:rPr>
        <w:t xml:space="preserve"> </w:t>
      </w:r>
    </w:p>
    <w:p w14:paraId="461F0F56" w14:textId="39C3BA31" w:rsidR="006761D2" w:rsidRPr="003D73C3" w:rsidRDefault="006761D2" w:rsidP="006761D2">
      <w:pPr>
        <w:pStyle w:val="Caption"/>
        <w:jc w:val="left"/>
        <w:rPr>
          <w:rFonts w:cs="Arial"/>
          <w:szCs w:val="18"/>
        </w:rPr>
      </w:pPr>
      <w:bookmarkStart w:id="276" w:name="_Ref386097831"/>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7</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bookmarkEnd w:id="276"/>
      <w:r w:rsidRPr="003D73C3">
        <w:rPr>
          <w:rFonts w:cs="Arial"/>
        </w:rPr>
        <w:t>: Dioxin releases from diesel engines</w:t>
      </w:r>
    </w:p>
    <w:tbl>
      <w:tblPr>
        <w:tblStyle w:val="TableGrid"/>
        <w:tblW w:w="0" w:type="auto"/>
        <w:tblLook w:val="04A0" w:firstRow="1" w:lastRow="0" w:firstColumn="1" w:lastColumn="0" w:noHBand="0" w:noVBand="1"/>
      </w:tblPr>
      <w:tblGrid>
        <w:gridCol w:w="806"/>
        <w:gridCol w:w="2613"/>
        <w:gridCol w:w="2888"/>
        <w:gridCol w:w="2754"/>
      </w:tblGrid>
      <w:tr w:rsidR="006761D2" w:rsidRPr="00077BB3" w14:paraId="107D231C" w14:textId="77777777" w:rsidTr="0030171B">
        <w:tc>
          <w:tcPr>
            <w:tcW w:w="806" w:type="dxa"/>
            <w:vMerge w:val="restart"/>
            <w:vAlign w:val="center"/>
          </w:tcPr>
          <w:p w14:paraId="309C22B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613" w:type="dxa"/>
            <w:vMerge w:val="restart"/>
            <w:vAlign w:val="center"/>
          </w:tcPr>
          <w:p w14:paraId="70EDBE51"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77" w:name="_Int_RZZmEuDP"/>
            <w:r w:rsidRPr="0C34660A">
              <w:rPr>
                <w:rFonts w:ascii="Arial" w:hAnsi="Arial" w:cs="Arial"/>
                <w:b/>
                <w:bCs/>
                <w:sz w:val="16"/>
                <w:szCs w:val="16"/>
              </w:rPr>
              <w:t>tonnes</w:t>
            </w:r>
            <w:bookmarkEnd w:id="277"/>
            <w:r w:rsidRPr="0C34660A">
              <w:rPr>
                <w:rFonts w:ascii="Arial" w:hAnsi="Arial" w:cs="Arial"/>
                <w:b/>
                <w:bCs/>
                <w:sz w:val="16"/>
                <w:szCs w:val="16"/>
              </w:rPr>
              <w:t xml:space="preserve"> of fuel/year)</w:t>
            </w:r>
          </w:p>
        </w:tc>
        <w:tc>
          <w:tcPr>
            <w:tcW w:w="2888" w:type="dxa"/>
            <w:vAlign w:val="center"/>
          </w:tcPr>
          <w:p w14:paraId="6BAB2DD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fuel)</w:t>
            </w:r>
          </w:p>
        </w:tc>
        <w:tc>
          <w:tcPr>
            <w:tcW w:w="2754" w:type="dxa"/>
            <w:vAlign w:val="center"/>
          </w:tcPr>
          <w:p w14:paraId="2109CFF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077BB3" w14:paraId="493C1D5E" w14:textId="77777777" w:rsidTr="00E95BD6">
        <w:tc>
          <w:tcPr>
            <w:tcW w:w="806" w:type="dxa"/>
            <w:vMerge/>
          </w:tcPr>
          <w:p w14:paraId="2BB8A8DD" w14:textId="77777777" w:rsidR="006761D2" w:rsidRPr="003D73C3" w:rsidRDefault="006761D2" w:rsidP="009F7DB8">
            <w:pPr>
              <w:spacing w:before="120"/>
              <w:jc w:val="both"/>
              <w:rPr>
                <w:rFonts w:ascii="Arial" w:hAnsi="Arial" w:cs="Arial"/>
                <w:sz w:val="16"/>
                <w:szCs w:val="18"/>
              </w:rPr>
            </w:pPr>
          </w:p>
        </w:tc>
        <w:tc>
          <w:tcPr>
            <w:tcW w:w="2613" w:type="dxa"/>
            <w:vMerge/>
            <w:vAlign w:val="center"/>
          </w:tcPr>
          <w:p w14:paraId="6632E8E5" w14:textId="77777777" w:rsidR="006761D2" w:rsidRPr="003D73C3" w:rsidRDefault="006761D2" w:rsidP="009F7DB8">
            <w:pPr>
              <w:spacing w:before="120"/>
              <w:jc w:val="center"/>
              <w:rPr>
                <w:rFonts w:ascii="Arial" w:hAnsi="Arial" w:cs="Arial"/>
                <w:sz w:val="16"/>
                <w:szCs w:val="18"/>
              </w:rPr>
            </w:pPr>
          </w:p>
        </w:tc>
        <w:tc>
          <w:tcPr>
            <w:tcW w:w="2888" w:type="dxa"/>
            <w:vAlign w:val="center"/>
          </w:tcPr>
          <w:p w14:paraId="4A1D856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54" w:type="dxa"/>
            <w:vAlign w:val="center"/>
          </w:tcPr>
          <w:p w14:paraId="69930BE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0A2143" w:rsidRPr="00077BB3" w14:paraId="26DD7318" w14:textId="77777777" w:rsidTr="00E95BD6">
        <w:tc>
          <w:tcPr>
            <w:tcW w:w="806" w:type="dxa"/>
            <w:vAlign w:val="center"/>
          </w:tcPr>
          <w:p w14:paraId="223F7C70" w14:textId="73E5168D" w:rsidR="000A2143" w:rsidRPr="003D73C3" w:rsidRDefault="000A2143" w:rsidP="009F7DB8">
            <w:pPr>
              <w:spacing w:before="120"/>
              <w:rPr>
                <w:rFonts w:ascii="Arial" w:hAnsi="Arial" w:cs="Arial"/>
                <w:b/>
                <w:sz w:val="16"/>
                <w:szCs w:val="18"/>
              </w:rPr>
            </w:pPr>
            <w:r w:rsidRPr="003D73C3">
              <w:rPr>
                <w:rFonts w:ascii="Arial" w:hAnsi="Arial" w:cs="Arial"/>
                <w:b/>
                <w:sz w:val="16"/>
                <w:szCs w:val="18"/>
              </w:rPr>
              <w:t>2012</w:t>
            </w:r>
          </w:p>
        </w:tc>
        <w:tc>
          <w:tcPr>
            <w:tcW w:w="2613" w:type="dxa"/>
            <w:vAlign w:val="center"/>
          </w:tcPr>
          <w:p w14:paraId="78958DA1" w14:textId="369F1CE1" w:rsidR="000A2143" w:rsidRPr="003D73C3" w:rsidRDefault="000A2143" w:rsidP="009F7DB8">
            <w:pPr>
              <w:spacing w:before="120"/>
              <w:jc w:val="center"/>
              <w:rPr>
                <w:rFonts w:ascii="Arial" w:hAnsi="Arial" w:cs="Arial"/>
                <w:sz w:val="16"/>
                <w:szCs w:val="18"/>
              </w:rPr>
            </w:pPr>
            <w:r w:rsidRPr="003D73C3">
              <w:rPr>
                <w:rFonts w:ascii="Arial" w:hAnsi="Arial" w:cs="Arial"/>
                <w:sz w:val="16"/>
                <w:szCs w:val="18"/>
              </w:rPr>
              <w:t>2,380,000</w:t>
            </w:r>
          </w:p>
        </w:tc>
        <w:tc>
          <w:tcPr>
            <w:tcW w:w="2888" w:type="dxa"/>
            <w:vAlign w:val="center"/>
          </w:tcPr>
          <w:p w14:paraId="1C675B7E" w14:textId="1123AEBF" w:rsidR="000A2143" w:rsidRPr="003D73C3" w:rsidRDefault="000A2143" w:rsidP="009F7DB8">
            <w:pPr>
              <w:spacing w:before="120"/>
              <w:jc w:val="center"/>
              <w:rPr>
                <w:rFonts w:ascii="Arial" w:hAnsi="Arial" w:cs="Arial"/>
                <w:sz w:val="16"/>
                <w:szCs w:val="18"/>
              </w:rPr>
            </w:pPr>
            <w:r w:rsidRPr="003D73C3">
              <w:rPr>
                <w:rFonts w:ascii="Arial" w:hAnsi="Arial" w:cs="Arial"/>
                <w:sz w:val="16"/>
                <w:szCs w:val="18"/>
              </w:rPr>
              <w:t>0.1</w:t>
            </w:r>
          </w:p>
        </w:tc>
        <w:tc>
          <w:tcPr>
            <w:tcW w:w="2754" w:type="dxa"/>
            <w:vAlign w:val="center"/>
          </w:tcPr>
          <w:p w14:paraId="442DA9F2" w14:textId="20F3820C" w:rsidR="000A2143" w:rsidRPr="003D73C3" w:rsidRDefault="000A2143" w:rsidP="009F7DB8">
            <w:pPr>
              <w:spacing w:before="120"/>
              <w:jc w:val="center"/>
              <w:rPr>
                <w:rFonts w:ascii="Arial" w:hAnsi="Arial" w:cs="Arial"/>
                <w:sz w:val="16"/>
                <w:szCs w:val="18"/>
              </w:rPr>
            </w:pPr>
            <w:r w:rsidRPr="003D73C3">
              <w:rPr>
                <w:rFonts w:ascii="Arial" w:hAnsi="Arial" w:cs="Arial"/>
                <w:sz w:val="16"/>
                <w:szCs w:val="18"/>
              </w:rPr>
              <w:t>0.238</w:t>
            </w:r>
          </w:p>
        </w:tc>
      </w:tr>
      <w:tr w:rsidR="006761D2" w:rsidRPr="00077BB3" w14:paraId="49251E3C" w14:textId="77777777" w:rsidTr="00E95BD6">
        <w:tc>
          <w:tcPr>
            <w:tcW w:w="806" w:type="dxa"/>
            <w:vAlign w:val="center"/>
          </w:tcPr>
          <w:p w14:paraId="189532D1" w14:textId="38D0C3BA" w:rsidR="006761D2" w:rsidRPr="003D73C3" w:rsidRDefault="000A2143" w:rsidP="009F7DB8">
            <w:pPr>
              <w:spacing w:before="120"/>
              <w:rPr>
                <w:rFonts w:ascii="Arial" w:hAnsi="Arial" w:cs="Arial"/>
                <w:b/>
                <w:sz w:val="16"/>
                <w:szCs w:val="18"/>
              </w:rPr>
            </w:pPr>
            <w:r w:rsidRPr="003D73C3">
              <w:rPr>
                <w:rFonts w:ascii="Arial" w:hAnsi="Arial" w:cs="Arial"/>
                <w:b/>
                <w:sz w:val="16"/>
                <w:szCs w:val="18"/>
              </w:rPr>
              <w:t>2016</w:t>
            </w:r>
          </w:p>
        </w:tc>
        <w:tc>
          <w:tcPr>
            <w:tcW w:w="2613" w:type="dxa"/>
            <w:vAlign w:val="center"/>
          </w:tcPr>
          <w:p w14:paraId="2ECB4043" w14:textId="3BF18758" w:rsidR="006761D2" w:rsidRPr="003D73C3" w:rsidRDefault="000A2143" w:rsidP="009F7DB8">
            <w:pPr>
              <w:spacing w:before="120"/>
              <w:jc w:val="center"/>
              <w:rPr>
                <w:rFonts w:ascii="Arial" w:hAnsi="Arial" w:cs="Arial"/>
                <w:sz w:val="16"/>
                <w:szCs w:val="18"/>
              </w:rPr>
            </w:pPr>
            <w:r w:rsidRPr="003D73C3">
              <w:rPr>
                <w:rFonts w:ascii="Arial" w:hAnsi="Arial" w:cs="Arial"/>
                <w:sz w:val="16"/>
                <w:szCs w:val="18"/>
              </w:rPr>
              <w:t>2,660,722</w:t>
            </w:r>
          </w:p>
        </w:tc>
        <w:tc>
          <w:tcPr>
            <w:tcW w:w="2888" w:type="dxa"/>
            <w:vAlign w:val="center"/>
          </w:tcPr>
          <w:p w14:paraId="466D16FE" w14:textId="3BE20D77" w:rsidR="006761D2" w:rsidRPr="003D73C3" w:rsidRDefault="000A2143" w:rsidP="009F7DB8">
            <w:pPr>
              <w:spacing w:before="120"/>
              <w:jc w:val="center"/>
              <w:rPr>
                <w:rFonts w:ascii="Arial" w:hAnsi="Arial" w:cs="Arial"/>
                <w:sz w:val="16"/>
                <w:szCs w:val="18"/>
              </w:rPr>
            </w:pPr>
            <w:r w:rsidRPr="003D73C3">
              <w:rPr>
                <w:rFonts w:ascii="Arial" w:hAnsi="Arial" w:cs="Arial"/>
                <w:sz w:val="16"/>
                <w:szCs w:val="18"/>
              </w:rPr>
              <w:t>0.1</w:t>
            </w:r>
          </w:p>
        </w:tc>
        <w:tc>
          <w:tcPr>
            <w:tcW w:w="2754" w:type="dxa"/>
            <w:vAlign w:val="center"/>
          </w:tcPr>
          <w:p w14:paraId="6217E124" w14:textId="6A2B678B" w:rsidR="006761D2" w:rsidRPr="003D73C3" w:rsidRDefault="009664D5" w:rsidP="009F7DB8">
            <w:pPr>
              <w:spacing w:before="120"/>
              <w:jc w:val="center"/>
              <w:rPr>
                <w:rFonts w:ascii="Arial" w:hAnsi="Arial" w:cs="Arial"/>
                <w:sz w:val="16"/>
                <w:szCs w:val="18"/>
              </w:rPr>
            </w:pPr>
            <w:r w:rsidRPr="003D73C3">
              <w:rPr>
                <w:rFonts w:ascii="Arial" w:hAnsi="Arial" w:cs="Arial"/>
                <w:sz w:val="16"/>
                <w:szCs w:val="18"/>
              </w:rPr>
              <w:t>0.266</w:t>
            </w:r>
          </w:p>
        </w:tc>
      </w:tr>
      <w:tr w:rsidR="00BD431F" w:rsidRPr="00077BB3" w14:paraId="6E9435D7" w14:textId="77777777" w:rsidTr="00E95BD6">
        <w:tc>
          <w:tcPr>
            <w:tcW w:w="806" w:type="dxa"/>
            <w:vAlign w:val="center"/>
          </w:tcPr>
          <w:p w14:paraId="5165C45A" w14:textId="77C11A90" w:rsidR="00BD431F" w:rsidRPr="00BD431F" w:rsidRDefault="00BD431F" w:rsidP="009F7DB8">
            <w:pPr>
              <w:spacing w:before="120"/>
              <w:rPr>
                <w:rFonts w:ascii="Arial" w:hAnsi="Arial" w:cs="Arial"/>
                <w:b/>
                <w:sz w:val="16"/>
                <w:szCs w:val="18"/>
              </w:rPr>
            </w:pPr>
            <w:r>
              <w:rPr>
                <w:rFonts w:ascii="Arial" w:hAnsi="Arial" w:cs="Arial"/>
                <w:b/>
                <w:sz w:val="16"/>
                <w:szCs w:val="18"/>
              </w:rPr>
              <w:t>2020</w:t>
            </w:r>
          </w:p>
        </w:tc>
        <w:tc>
          <w:tcPr>
            <w:tcW w:w="2613" w:type="dxa"/>
            <w:vAlign w:val="center"/>
          </w:tcPr>
          <w:p w14:paraId="482A89A3" w14:textId="04F35EB2" w:rsidR="00BD431F" w:rsidRPr="00BD431F" w:rsidRDefault="00BD431F" w:rsidP="009F7DB8">
            <w:pPr>
              <w:spacing w:before="120"/>
              <w:jc w:val="center"/>
              <w:rPr>
                <w:rFonts w:ascii="Arial" w:hAnsi="Arial" w:cs="Arial"/>
                <w:sz w:val="16"/>
                <w:szCs w:val="18"/>
              </w:rPr>
            </w:pPr>
            <w:r>
              <w:rPr>
                <w:rFonts w:ascii="Arial" w:hAnsi="Arial" w:cs="Arial"/>
                <w:sz w:val="16"/>
                <w:szCs w:val="18"/>
              </w:rPr>
              <w:t>2,847,961</w:t>
            </w:r>
          </w:p>
        </w:tc>
        <w:tc>
          <w:tcPr>
            <w:tcW w:w="2888" w:type="dxa"/>
            <w:vAlign w:val="center"/>
          </w:tcPr>
          <w:p w14:paraId="22EEFCFF" w14:textId="4E6FFC15" w:rsidR="00BD431F" w:rsidRPr="00BD431F" w:rsidRDefault="00BD431F" w:rsidP="009F7DB8">
            <w:pPr>
              <w:spacing w:before="120"/>
              <w:jc w:val="center"/>
              <w:rPr>
                <w:rFonts w:ascii="Arial" w:hAnsi="Arial" w:cs="Arial"/>
                <w:sz w:val="16"/>
                <w:szCs w:val="18"/>
              </w:rPr>
            </w:pPr>
            <w:r>
              <w:rPr>
                <w:rFonts w:ascii="Arial" w:hAnsi="Arial" w:cs="Arial"/>
                <w:sz w:val="16"/>
                <w:szCs w:val="18"/>
              </w:rPr>
              <w:t>0.1</w:t>
            </w:r>
          </w:p>
        </w:tc>
        <w:tc>
          <w:tcPr>
            <w:tcW w:w="2754" w:type="dxa"/>
            <w:vAlign w:val="center"/>
          </w:tcPr>
          <w:p w14:paraId="456C80C1" w14:textId="5F3E1C77" w:rsidR="00BD431F" w:rsidRPr="00BD431F" w:rsidRDefault="00BD431F" w:rsidP="009F7DB8">
            <w:pPr>
              <w:spacing w:before="120"/>
              <w:jc w:val="center"/>
              <w:rPr>
                <w:rFonts w:ascii="Arial" w:hAnsi="Arial" w:cs="Arial"/>
                <w:sz w:val="16"/>
                <w:szCs w:val="18"/>
              </w:rPr>
            </w:pPr>
            <w:r>
              <w:rPr>
                <w:rFonts w:ascii="Arial" w:hAnsi="Arial" w:cs="Arial"/>
                <w:sz w:val="16"/>
                <w:szCs w:val="18"/>
              </w:rPr>
              <w:t>0.285</w:t>
            </w:r>
          </w:p>
        </w:tc>
      </w:tr>
    </w:tbl>
    <w:p w14:paraId="3005BCD0" w14:textId="3D3D5746"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BD431F">
        <w:rPr>
          <w:rFonts w:ascii="Arial" w:hAnsi="Arial" w:cs="Arial"/>
          <w:b/>
          <w:szCs w:val="18"/>
        </w:rPr>
        <w:t>2020</w:t>
      </w:r>
    </w:p>
    <w:p w14:paraId="6729494F"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High (because it is based on national fuel data)</w:t>
      </w:r>
    </w:p>
    <w:p w14:paraId="35EE3C0F" w14:textId="2553E0CA" w:rsid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w:t>
      </w:r>
    </w:p>
    <w:p w14:paraId="1DE37123" w14:textId="77777777" w:rsidR="003D73C3" w:rsidRDefault="003D73C3">
      <w:pPr>
        <w:spacing w:after="0"/>
        <w:rPr>
          <w:szCs w:val="18"/>
        </w:rPr>
      </w:pPr>
      <w:r>
        <w:rPr>
          <w:szCs w:val="18"/>
        </w:rPr>
        <w:br w:type="page"/>
      </w:r>
    </w:p>
    <w:p w14:paraId="2641BB77" w14:textId="77777777" w:rsidR="006761D2" w:rsidRPr="003D73C3" w:rsidRDefault="006761D2" w:rsidP="00261F78">
      <w:pPr>
        <w:pStyle w:val="Heading2"/>
      </w:pPr>
      <w:bookmarkStart w:id="278" w:name="_Toc112768116"/>
      <w:r w:rsidRPr="003D73C3">
        <w:lastRenderedPageBreak/>
        <w:t>Heavy oil-fired engines</w:t>
      </w:r>
      <w:bookmarkEnd w:id="278"/>
    </w:p>
    <w:p w14:paraId="42C19A9F" w14:textId="6045516F" w:rsidR="006761D2" w:rsidRPr="003D73C3" w:rsidRDefault="006761D2" w:rsidP="006761D2">
      <w:pPr>
        <w:spacing w:line="300" w:lineRule="atLeast"/>
        <w:jc w:val="both"/>
        <w:rPr>
          <w:szCs w:val="18"/>
        </w:rPr>
      </w:pPr>
      <w:r w:rsidRPr="003D73C3">
        <w:rPr>
          <w:szCs w:val="18"/>
        </w:rPr>
        <w:t xml:space="preserve">The consumption of heavy fuel oil for transportation is primarily confined to its use in coastal shipping, for which the total fuel consumption in </w:t>
      </w:r>
      <w:r w:rsidR="00C92FA3">
        <w:rPr>
          <w:szCs w:val="18"/>
        </w:rPr>
        <w:t>2020</w:t>
      </w:r>
      <w:r w:rsidR="009664D5" w:rsidRPr="003D73C3">
        <w:rPr>
          <w:szCs w:val="18"/>
        </w:rPr>
        <w:t xml:space="preserve"> </w:t>
      </w:r>
      <w:r w:rsidRPr="003D73C3">
        <w:rPr>
          <w:szCs w:val="18"/>
        </w:rPr>
        <w:t xml:space="preserve">was </w:t>
      </w:r>
      <w:r w:rsidR="00C92FA3">
        <w:rPr>
          <w:szCs w:val="18"/>
        </w:rPr>
        <w:t>3720</w:t>
      </w:r>
      <w:r w:rsidR="009664D5" w:rsidRPr="003D73C3">
        <w:rPr>
          <w:szCs w:val="18"/>
        </w:rPr>
        <w:t xml:space="preserve"> </w:t>
      </w:r>
      <w:r w:rsidRPr="003D73C3">
        <w:rPr>
          <w:szCs w:val="18"/>
        </w:rPr>
        <w:t xml:space="preserve">TJ, or about </w:t>
      </w:r>
      <w:r w:rsidR="00C92FA3">
        <w:rPr>
          <w:szCs w:val="18"/>
        </w:rPr>
        <w:t>85,630</w:t>
      </w:r>
      <w:r w:rsidRPr="003D73C3">
        <w:rPr>
          <w:szCs w:val="18"/>
        </w:rPr>
        <w:t xml:space="preserve"> tonnes (Ministry of Business, Innovation and Empl</w:t>
      </w:r>
      <w:r w:rsidR="009664D5" w:rsidRPr="003D73C3">
        <w:rPr>
          <w:szCs w:val="18"/>
        </w:rPr>
        <w:t>oyment,</w:t>
      </w:r>
      <w:r w:rsidR="001A01B0">
        <w:rPr>
          <w:szCs w:val="18"/>
        </w:rPr>
        <w:t xml:space="preserve"> </w:t>
      </w:r>
      <w:r w:rsidR="00C92FA3">
        <w:rPr>
          <w:szCs w:val="18"/>
        </w:rPr>
        <w:t>2021</w:t>
      </w:r>
      <w:r w:rsidRPr="003D73C3">
        <w:rPr>
          <w:szCs w:val="18"/>
        </w:rPr>
        <w:t xml:space="preserve">). This total includes both ‘new’ fuel oil </w:t>
      </w:r>
      <w:r w:rsidR="009664D5" w:rsidRPr="003D73C3">
        <w:rPr>
          <w:szCs w:val="18"/>
        </w:rPr>
        <w:t xml:space="preserve">and </w:t>
      </w:r>
      <w:r w:rsidRPr="003D73C3">
        <w:rPr>
          <w:szCs w:val="18"/>
        </w:rPr>
        <w:t>recycled waste oil</w:t>
      </w:r>
      <w:r w:rsidR="009664D5" w:rsidRPr="003D73C3">
        <w:rPr>
          <w:szCs w:val="18"/>
        </w:rPr>
        <w:t>.</w:t>
      </w:r>
    </w:p>
    <w:p w14:paraId="4A35BF3F" w14:textId="5856EE2E" w:rsidR="00C92FA3" w:rsidRDefault="006761D2" w:rsidP="00AA4F49">
      <w:pPr>
        <w:spacing w:line="300" w:lineRule="atLeast"/>
        <w:jc w:val="both"/>
        <w:rPr>
          <w:rFonts w:ascii="Arial" w:hAnsi="Arial" w:cs="Arial"/>
          <w:b/>
          <w:bCs/>
        </w:rPr>
      </w:pPr>
      <w:r w:rsidRPr="003D73C3">
        <w:rPr>
          <w:szCs w:val="18"/>
        </w:rPr>
        <w:t xml:space="preserve">The </w:t>
      </w:r>
      <w:r w:rsidR="00C92FA3">
        <w:rPr>
          <w:szCs w:val="18"/>
        </w:rPr>
        <w:t>2021</w:t>
      </w:r>
      <w:r w:rsidRPr="003D73C3">
        <w:rPr>
          <w:szCs w:val="18"/>
        </w:rPr>
        <w:t xml:space="preserve"> release estimates are shown </w:t>
      </w:r>
      <w:r w:rsidR="003D73C3">
        <w:rPr>
          <w:szCs w:val="18"/>
        </w:rPr>
        <w:t xml:space="preserve">in Table 7-4 </w:t>
      </w:r>
      <w:r w:rsidRPr="003D73C3">
        <w:rPr>
          <w:szCs w:val="18"/>
        </w:rPr>
        <w:t xml:space="preserve">along with the corresponding estimates made in the </w:t>
      </w:r>
      <w:r w:rsidR="009664D5" w:rsidRPr="003D73C3">
        <w:rPr>
          <w:szCs w:val="18"/>
        </w:rPr>
        <w:t>2012</w:t>
      </w:r>
      <w:r w:rsidRPr="003D73C3">
        <w:rPr>
          <w:szCs w:val="18"/>
        </w:rPr>
        <w:t xml:space="preserve"> </w:t>
      </w:r>
      <w:r w:rsidR="00C92FA3">
        <w:rPr>
          <w:szCs w:val="18"/>
        </w:rPr>
        <w:t xml:space="preserve">and 2016 </w:t>
      </w:r>
      <w:r w:rsidRPr="003D73C3">
        <w:rPr>
          <w:szCs w:val="18"/>
        </w:rPr>
        <w:t>Inventor</w:t>
      </w:r>
      <w:r w:rsidR="00C92FA3">
        <w:rPr>
          <w:szCs w:val="18"/>
        </w:rPr>
        <w:t>ies</w:t>
      </w:r>
      <w:r w:rsidRPr="003D73C3">
        <w:rPr>
          <w:szCs w:val="18"/>
        </w:rPr>
        <w:t xml:space="preserve">. </w:t>
      </w:r>
      <w:r w:rsidR="001C7A16">
        <w:rPr>
          <w:szCs w:val="18"/>
        </w:rPr>
        <w:t xml:space="preserve">The reduction in </w:t>
      </w:r>
      <w:r w:rsidR="00297536">
        <w:rPr>
          <w:szCs w:val="18"/>
        </w:rPr>
        <w:t>consumption compared to 2016 levels may be partially related to C</w:t>
      </w:r>
      <w:r w:rsidR="001A01B0">
        <w:rPr>
          <w:szCs w:val="18"/>
        </w:rPr>
        <w:t>OVID</w:t>
      </w:r>
      <w:r w:rsidR="00297536">
        <w:rPr>
          <w:szCs w:val="18"/>
        </w:rPr>
        <w:t>-19 restrictions on activity occurring in 2020 but it is also thought that there may have been some substitution of diesel for fuel oil caused by new MARPOL Annex VI rules for international shipping. These rules lower the maximum sulphur content for fuel oil in shipping from 3.5% to 0.5%.</w:t>
      </w:r>
      <w:bookmarkStart w:id="279" w:name="_Ref386097846"/>
    </w:p>
    <w:p w14:paraId="2A53EC0A" w14:textId="0D8D7B61"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7</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4</w:t>
      </w:r>
      <w:r w:rsidRPr="003D73C3">
        <w:rPr>
          <w:rFonts w:cs="Arial"/>
        </w:rPr>
        <w:fldChar w:fldCharType="end"/>
      </w:r>
      <w:bookmarkEnd w:id="279"/>
      <w:r w:rsidRPr="003D73C3">
        <w:rPr>
          <w:rFonts w:cs="Arial"/>
        </w:rPr>
        <w:t>: Dioxin releases from heavy fuel oil-fired engines</w:t>
      </w:r>
    </w:p>
    <w:tbl>
      <w:tblPr>
        <w:tblStyle w:val="TableGrid"/>
        <w:tblW w:w="0" w:type="auto"/>
        <w:tblLook w:val="04A0" w:firstRow="1" w:lastRow="0" w:firstColumn="1" w:lastColumn="0" w:noHBand="0" w:noVBand="1"/>
      </w:tblPr>
      <w:tblGrid>
        <w:gridCol w:w="912"/>
        <w:gridCol w:w="2580"/>
        <w:gridCol w:w="2851"/>
        <w:gridCol w:w="2718"/>
      </w:tblGrid>
      <w:tr w:rsidR="006761D2" w:rsidRPr="00BD431F" w14:paraId="700F0A4F" w14:textId="77777777" w:rsidTr="00E95BD6">
        <w:tc>
          <w:tcPr>
            <w:tcW w:w="912" w:type="dxa"/>
            <w:vMerge w:val="restart"/>
            <w:vAlign w:val="center"/>
          </w:tcPr>
          <w:p w14:paraId="7092F89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80" w:type="dxa"/>
            <w:vMerge w:val="restart"/>
            <w:vAlign w:val="center"/>
          </w:tcPr>
          <w:p w14:paraId="5158E66B"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80" w:name="_Int_LCef1Sf4"/>
            <w:r w:rsidRPr="0C34660A">
              <w:rPr>
                <w:rFonts w:ascii="Arial" w:hAnsi="Arial" w:cs="Arial"/>
                <w:b/>
                <w:bCs/>
                <w:sz w:val="16"/>
                <w:szCs w:val="16"/>
              </w:rPr>
              <w:t>tonnes</w:t>
            </w:r>
            <w:bookmarkEnd w:id="280"/>
            <w:r w:rsidRPr="0C34660A">
              <w:rPr>
                <w:rFonts w:ascii="Arial" w:hAnsi="Arial" w:cs="Arial"/>
                <w:b/>
                <w:bCs/>
                <w:sz w:val="16"/>
                <w:szCs w:val="16"/>
              </w:rPr>
              <w:t xml:space="preserve"> of fuel/year)</w:t>
            </w:r>
          </w:p>
        </w:tc>
        <w:tc>
          <w:tcPr>
            <w:tcW w:w="2851" w:type="dxa"/>
            <w:vAlign w:val="center"/>
          </w:tcPr>
          <w:p w14:paraId="5A8C7E0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fuel)</w:t>
            </w:r>
          </w:p>
        </w:tc>
        <w:tc>
          <w:tcPr>
            <w:tcW w:w="2718" w:type="dxa"/>
            <w:vAlign w:val="center"/>
          </w:tcPr>
          <w:p w14:paraId="5ACC70C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BD431F" w14:paraId="5023D2B9" w14:textId="77777777" w:rsidTr="00E95BD6">
        <w:tc>
          <w:tcPr>
            <w:tcW w:w="912" w:type="dxa"/>
            <w:vMerge/>
          </w:tcPr>
          <w:p w14:paraId="0C0B6340" w14:textId="77777777" w:rsidR="006761D2" w:rsidRPr="003D73C3" w:rsidRDefault="006761D2" w:rsidP="009F7DB8">
            <w:pPr>
              <w:spacing w:before="120"/>
              <w:jc w:val="both"/>
              <w:rPr>
                <w:rFonts w:ascii="Arial" w:hAnsi="Arial" w:cs="Arial"/>
                <w:sz w:val="16"/>
                <w:szCs w:val="18"/>
              </w:rPr>
            </w:pPr>
          </w:p>
        </w:tc>
        <w:tc>
          <w:tcPr>
            <w:tcW w:w="2580" w:type="dxa"/>
            <w:vMerge/>
            <w:vAlign w:val="center"/>
          </w:tcPr>
          <w:p w14:paraId="2BEB4CF7" w14:textId="77777777" w:rsidR="006761D2" w:rsidRPr="003D73C3" w:rsidRDefault="006761D2" w:rsidP="009F7DB8">
            <w:pPr>
              <w:spacing w:before="120"/>
              <w:jc w:val="center"/>
              <w:rPr>
                <w:rFonts w:ascii="Arial" w:hAnsi="Arial" w:cs="Arial"/>
                <w:sz w:val="16"/>
                <w:szCs w:val="18"/>
              </w:rPr>
            </w:pPr>
          </w:p>
        </w:tc>
        <w:tc>
          <w:tcPr>
            <w:tcW w:w="2851" w:type="dxa"/>
            <w:vAlign w:val="center"/>
          </w:tcPr>
          <w:p w14:paraId="7CF47AD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18" w:type="dxa"/>
            <w:vAlign w:val="center"/>
          </w:tcPr>
          <w:p w14:paraId="4A19858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9664D5" w:rsidRPr="00BD431F" w14:paraId="7AF2F2FA" w14:textId="77777777" w:rsidTr="00E95BD6">
        <w:tc>
          <w:tcPr>
            <w:tcW w:w="912" w:type="dxa"/>
            <w:vAlign w:val="center"/>
          </w:tcPr>
          <w:p w14:paraId="0957DEC6" w14:textId="17042986" w:rsidR="009664D5" w:rsidRPr="003D73C3" w:rsidRDefault="009664D5" w:rsidP="009F7DB8">
            <w:pPr>
              <w:spacing w:before="120"/>
              <w:rPr>
                <w:rFonts w:ascii="Arial" w:hAnsi="Arial" w:cs="Arial"/>
                <w:b/>
                <w:sz w:val="16"/>
                <w:szCs w:val="18"/>
              </w:rPr>
            </w:pPr>
            <w:r w:rsidRPr="003D73C3">
              <w:rPr>
                <w:rFonts w:ascii="Arial" w:hAnsi="Arial" w:cs="Arial"/>
                <w:b/>
                <w:sz w:val="16"/>
                <w:szCs w:val="18"/>
              </w:rPr>
              <w:t>2012</w:t>
            </w:r>
          </w:p>
        </w:tc>
        <w:tc>
          <w:tcPr>
            <w:tcW w:w="2580" w:type="dxa"/>
            <w:vAlign w:val="center"/>
          </w:tcPr>
          <w:p w14:paraId="0B0A040F" w14:textId="15B9A55E" w:rsidR="009664D5" w:rsidRPr="003D73C3" w:rsidRDefault="009664D5" w:rsidP="009F7DB8">
            <w:pPr>
              <w:spacing w:before="120"/>
              <w:jc w:val="center"/>
              <w:rPr>
                <w:rFonts w:ascii="Arial" w:hAnsi="Arial" w:cs="Arial"/>
                <w:sz w:val="16"/>
                <w:szCs w:val="18"/>
              </w:rPr>
            </w:pPr>
            <w:r w:rsidRPr="003D73C3">
              <w:rPr>
                <w:rFonts w:ascii="Arial" w:hAnsi="Arial" w:cs="Arial"/>
                <w:sz w:val="16"/>
                <w:szCs w:val="18"/>
              </w:rPr>
              <w:t>92,000</w:t>
            </w:r>
          </w:p>
        </w:tc>
        <w:tc>
          <w:tcPr>
            <w:tcW w:w="2851" w:type="dxa"/>
            <w:vAlign w:val="center"/>
          </w:tcPr>
          <w:p w14:paraId="1A4A7AC9" w14:textId="0E09B6A8" w:rsidR="009664D5" w:rsidRPr="003D73C3" w:rsidRDefault="009664D5" w:rsidP="009F7DB8">
            <w:pPr>
              <w:spacing w:before="120"/>
              <w:jc w:val="center"/>
              <w:rPr>
                <w:rFonts w:ascii="Arial" w:hAnsi="Arial" w:cs="Arial"/>
                <w:sz w:val="16"/>
                <w:szCs w:val="18"/>
              </w:rPr>
            </w:pPr>
            <w:r w:rsidRPr="003D73C3">
              <w:rPr>
                <w:rFonts w:ascii="Arial" w:hAnsi="Arial" w:cs="Arial"/>
                <w:sz w:val="16"/>
                <w:szCs w:val="18"/>
              </w:rPr>
              <w:t>4</w:t>
            </w:r>
          </w:p>
        </w:tc>
        <w:tc>
          <w:tcPr>
            <w:tcW w:w="2718" w:type="dxa"/>
            <w:vAlign w:val="center"/>
          </w:tcPr>
          <w:p w14:paraId="36552180" w14:textId="25B104A7" w:rsidR="009664D5" w:rsidRPr="003D73C3" w:rsidRDefault="009664D5" w:rsidP="009F7DB8">
            <w:pPr>
              <w:spacing w:before="120"/>
              <w:jc w:val="center"/>
              <w:rPr>
                <w:rFonts w:ascii="Arial" w:hAnsi="Arial" w:cs="Arial"/>
                <w:sz w:val="16"/>
                <w:szCs w:val="18"/>
              </w:rPr>
            </w:pPr>
            <w:r w:rsidRPr="003D73C3">
              <w:rPr>
                <w:rFonts w:ascii="Arial" w:hAnsi="Arial" w:cs="Arial"/>
                <w:sz w:val="16"/>
                <w:szCs w:val="18"/>
              </w:rPr>
              <w:t>0.368</w:t>
            </w:r>
          </w:p>
        </w:tc>
      </w:tr>
      <w:tr w:rsidR="009664D5" w:rsidRPr="00BD431F" w14:paraId="1FEF749D" w14:textId="77777777" w:rsidTr="00E95BD6">
        <w:tc>
          <w:tcPr>
            <w:tcW w:w="912" w:type="dxa"/>
            <w:vAlign w:val="center"/>
          </w:tcPr>
          <w:p w14:paraId="77E00F23" w14:textId="130C484C" w:rsidR="009664D5" w:rsidRPr="003D73C3" w:rsidRDefault="009664D5" w:rsidP="009F7DB8">
            <w:pPr>
              <w:spacing w:before="120"/>
              <w:rPr>
                <w:rFonts w:ascii="Arial" w:hAnsi="Arial" w:cs="Arial"/>
                <w:b/>
                <w:sz w:val="16"/>
                <w:szCs w:val="18"/>
              </w:rPr>
            </w:pPr>
            <w:r w:rsidRPr="003D73C3">
              <w:rPr>
                <w:rFonts w:ascii="Arial" w:hAnsi="Arial" w:cs="Arial"/>
                <w:b/>
                <w:sz w:val="16"/>
                <w:szCs w:val="18"/>
              </w:rPr>
              <w:t>2016</w:t>
            </w:r>
          </w:p>
        </w:tc>
        <w:tc>
          <w:tcPr>
            <w:tcW w:w="2580" w:type="dxa"/>
            <w:vAlign w:val="center"/>
          </w:tcPr>
          <w:p w14:paraId="69B1A52D" w14:textId="593E45FA" w:rsidR="009664D5" w:rsidRPr="003D73C3" w:rsidRDefault="009664D5" w:rsidP="009F7DB8">
            <w:pPr>
              <w:spacing w:before="120"/>
              <w:jc w:val="center"/>
              <w:rPr>
                <w:rFonts w:ascii="Arial" w:hAnsi="Arial" w:cs="Arial"/>
                <w:sz w:val="16"/>
                <w:szCs w:val="18"/>
              </w:rPr>
            </w:pPr>
            <w:r w:rsidRPr="003D73C3">
              <w:rPr>
                <w:rFonts w:ascii="Arial" w:hAnsi="Arial" w:cs="Arial"/>
                <w:sz w:val="16"/>
                <w:szCs w:val="18"/>
              </w:rPr>
              <w:t>94,340</w:t>
            </w:r>
          </w:p>
        </w:tc>
        <w:tc>
          <w:tcPr>
            <w:tcW w:w="2851" w:type="dxa"/>
            <w:vAlign w:val="center"/>
          </w:tcPr>
          <w:p w14:paraId="5F1AAC1A" w14:textId="6C3C79AF" w:rsidR="009664D5" w:rsidRPr="003D73C3" w:rsidRDefault="00387BF7" w:rsidP="009F7DB8">
            <w:pPr>
              <w:spacing w:before="120"/>
              <w:jc w:val="center"/>
              <w:rPr>
                <w:rFonts w:ascii="Arial" w:hAnsi="Arial" w:cs="Arial"/>
                <w:sz w:val="16"/>
                <w:szCs w:val="18"/>
              </w:rPr>
            </w:pPr>
            <w:r w:rsidRPr="003D73C3">
              <w:rPr>
                <w:rFonts w:ascii="Arial" w:hAnsi="Arial" w:cs="Arial"/>
                <w:sz w:val="16"/>
                <w:szCs w:val="18"/>
              </w:rPr>
              <w:t>4</w:t>
            </w:r>
          </w:p>
        </w:tc>
        <w:tc>
          <w:tcPr>
            <w:tcW w:w="2718" w:type="dxa"/>
            <w:vAlign w:val="center"/>
          </w:tcPr>
          <w:p w14:paraId="1D494BD9" w14:textId="7CFF6116" w:rsidR="009664D5" w:rsidRPr="003D73C3" w:rsidRDefault="009664D5" w:rsidP="009F7DB8">
            <w:pPr>
              <w:spacing w:before="120"/>
              <w:jc w:val="center"/>
              <w:rPr>
                <w:rFonts w:ascii="Arial" w:hAnsi="Arial" w:cs="Arial"/>
                <w:sz w:val="16"/>
                <w:szCs w:val="18"/>
              </w:rPr>
            </w:pPr>
            <w:r w:rsidRPr="003D73C3">
              <w:rPr>
                <w:rFonts w:ascii="Arial" w:hAnsi="Arial" w:cs="Arial"/>
                <w:sz w:val="16"/>
                <w:szCs w:val="18"/>
              </w:rPr>
              <w:t>0.377</w:t>
            </w:r>
          </w:p>
        </w:tc>
      </w:tr>
      <w:tr w:rsidR="00C92FA3" w:rsidRPr="00BD431F" w14:paraId="519A9BF1" w14:textId="77777777" w:rsidTr="00E95BD6">
        <w:tc>
          <w:tcPr>
            <w:tcW w:w="912" w:type="dxa"/>
            <w:vAlign w:val="center"/>
          </w:tcPr>
          <w:p w14:paraId="0BC3B987" w14:textId="3ADA450D" w:rsidR="00C92FA3" w:rsidRPr="00C92FA3" w:rsidRDefault="00C92FA3" w:rsidP="009F7DB8">
            <w:pPr>
              <w:spacing w:before="120"/>
              <w:rPr>
                <w:rFonts w:ascii="Arial" w:hAnsi="Arial" w:cs="Arial"/>
                <w:b/>
                <w:sz w:val="16"/>
                <w:szCs w:val="18"/>
              </w:rPr>
            </w:pPr>
            <w:r>
              <w:rPr>
                <w:rFonts w:ascii="Arial" w:hAnsi="Arial" w:cs="Arial"/>
                <w:b/>
                <w:sz w:val="16"/>
                <w:szCs w:val="18"/>
              </w:rPr>
              <w:t>2020</w:t>
            </w:r>
          </w:p>
        </w:tc>
        <w:tc>
          <w:tcPr>
            <w:tcW w:w="2580" w:type="dxa"/>
            <w:vAlign w:val="center"/>
          </w:tcPr>
          <w:p w14:paraId="6EB12025" w14:textId="78B10BEA" w:rsidR="00C92FA3" w:rsidRPr="00C92FA3" w:rsidRDefault="00C92FA3" w:rsidP="009F7DB8">
            <w:pPr>
              <w:spacing w:before="120"/>
              <w:jc w:val="center"/>
              <w:rPr>
                <w:rFonts w:ascii="Arial" w:hAnsi="Arial" w:cs="Arial"/>
                <w:sz w:val="16"/>
                <w:szCs w:val="18"/>
              </w:rPr>
            </w:pPr>
            <w:r>
              <w:rPr>
                <w:rFonts w:ascii="Arial" w:hAnsi="Arial" w:cs="Arial"/>
                <w:sz w:val="16"/>
                <w:szCs w:val="18"/>
              </w:rPr>
              <w:t>85,630</w:t>
            </w:r>
          </w:p>
        </w:tc>
        <w:tc>
          <w:tcPr>
            <w:tcW w:w="2851" w:type="dxa"/>
            <w:vAlign w:val="center"/>
          </w:tcPr>
          <w:p w14:paraId="1C2B1CCF" w14:textId="63E3EC07" w:rsidR="00C92FA3" w:rsidRPr="00C92FA3" w:rsidRDefault="00C92FA3" w:rsidP="009F7DB8">
            <w:pPr>
              <w:spacing w:before="120"/>
              <w:jc w:val="center"/>
              <w:rPr>
                <w:rFonts w:ascii="Arial" w:hAnsi="Arial" w:cs="Arial"/>
                <w:sz w:val="16"/>
                <w:szCs w:val="18"/>
              </w:rPr>
            </w:pPr>
            <w:r>
              <w:rPr>
                <w:rFonts w:ascii="Arial" w:hAnsi="Arial" w:cs="Arial"/>
                <w:sz w:val="16"/>
                <w:szCs w:val="18"/>
              </w:rPr>
              <w:t>4</w:t>
            </w:r>
          </w:p>
        </w:tc>
        <w:tc>
          <w:tcPr>
            <w:tcW w:w="2718" w:type="dxa"/>
            <w:vAlign w:val="center"/>
          </w:tcPr>
          <w:p w14:paraId="3CFD044C" w14:textId="3E1C3E78" w:rsidR="00C92FA3" w:rsidRPr="00C92FA3" w:rsidRDefault="00C92FA3" w:rsidP="009F7DB8">
            <w:pPr>
              <w:spacing w:before="120"/>
              <w:jc w:val="center"/>
              <w:rPr>
                <w:rFonts w:ascii="Arial" w:hAnsi="Arial" w:cs="Arial"/>
                <w:sz w:val="16"/>
                <w:szCs w:val="18"/>
              </w:rPr>
            </w:pPr>
            <w:r>
              <w:rPr>
                <w:rFonts w:ascii="Arial" w:hAnsi="Arial" w:cs="Arial"/>
                <w:sz w:val="16"/>
                <w:szCs w:val="18"/>
              </w:rPr>
              <w:t>0.343</w:t>
            </w:r>
          </w:p>
        </w:tc>
      </w:tr>
    </w:tbl>
    <w:p w14:paraId="40596807" w14:textId="3BA3DD1E"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C92FA3">
        <w:rPr>
          <w:rFonts w:ascii="Arial" w:hAnsi="Arial" w:cs="Arial"/>
          <w:b/>
          <w:szCs w:val="18"/>
        </w:rPr>
        <w:t>2020</w:t>
      </w:r>
    </w:p>
    <w:p w14:paraId="40F8A8D6"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High (because it is based on national fuel data)</w:t>
      </w:r>
    </w:p>
    <w:p w14:paraId="7C45D966" w14:textId="63ADA006" w:rsidR="006761D2" w:rsidRPr="003D73C3" w:rsidRDefault="006761D2" w:rsidP="003E581C">
      <w:pPr>
        <w:tabs>
          <w:tab w:val="left" w:pos="1701"/>
        </w:tabs>
        <w:spacing w:line="300" w:lineRule="atLeast"/>
        <w:ind w:left="1701" w:hanging="1701"/>
        <w:jc w:val="both"/>
        <w:rPr>
          <w:rFonts w:eastAsia="Calibri"/>
          <w:szCs w:val="18"/>
        </w:rPr>
      </w:pPr>
      <w:r w:rsidRPr="003D73C3">
        <w:rPr>
          <w:szCs w:val="18"/>
        </w:rPr>
        <w:t xml:space="preserve">Emission factor: </w:t>
      </w:r>
      <w:r w:rsidRPr="003D73C3">
        <w:rPr>
          <w:szCs w:val="18"/>
        </w:rPr>
        <w:tab/>
        <w:t>Low (because it is based on the Toolkit default factor)</w:t>
      </w:r>
    </w:p>
    <w:p w14:paraId="1EB206A8" w14:textId="77777777" w:rsidR="006761D2" w:rsidRPr="003D73C3" w:rsidRDefault="006761D2" w:rsidP="00261F78">
      <w:pPr>
        <w:pStyle w:val="Heading2"/>
      </w:pPr>
      <w:bookmarkStart w:id="281" w:name="_Toc112768117"/>
      <w:r w:rsidRPr="003D73C3">
        <w:t>Summary for this category</w:t>
      </w:r>
      <w:bookmarkEnd w:id="281"/>
    </w:p>
    <w:p w14:paraId="2EB62463" w14:textId="5F687AC8" w:rsidR="006761D2" w:rsidRPr="003D73C3" w:rsidRDefault="006761D2" w:rsidP="006761D2">
      <w:pPr>
        <w:spacing w:line="300" w:lineRule="atLeast"/>
        <w:jc w:val="both"/>
        <w:rPr>
          <w:rFonts w:eastAsia="Calibri"/>
          <w:szCs w:val="22"/>
        </w:rPr>
      </w:pPr>
      <w:r w:rsidRPr="003D73C3">
        <w:rPr>
          <w:rFonts w:eastAsia="Calibri"/>
          <w:szCs w:val="22"/>
        </w:rPr>
        <w:t xml:space="preserve">The </w:t>
      </w:r>
      <w:r w:rsidR="00506F97" w:rsidRPr="003D73C3">
        <w:rPr>
          <w:rFonts w:eastAsia="Calibri"/>
          <w:szCs w:val="22"/>
        </w:rPr>
        <w:t>2016</w:t>
      </w:r>
      <w:r w:rsidRPr="003D73C3">
        <w:rPr>
          <w:rFonts w:eastAsia="Calibri"/>
          <w:szCs w:val="22"/>
        </w:rPr>
        <w:t xml:space="preserve"> release estimates for fuel use in transportation and stationary engines are summarised in Table 7-5, along with the revised comparative totals for </w:t>
      </w:r>
      <w:r w:rsidR="000B5092">
        <w:rPr>
          <w:rFonts w:eastAsia="Calibri"/>
          <w:szCs w:val="22"/>
        </w:rPr>
        <w:t>2012</w:t>
      </w:r>
      <w:r w:rsidR="000B5092" w:rsidRPr="003D73C3">
        <w:rPr>
          <w:rFonts w:eastAsia="Calibri"/>
          <w:szCs w:val="22"/>
        </w:rPr>
        <w:t xml:space="preserve"> </w:t>
      </w:r>
      <w:r w:rsidR="00773433" w:rsidRPr="003D73C3">
        <w:rPr>
          <w:rFonts w:eastAsia="Calibri"/>
          <w:szCs w:val="22"/>
        </w:rPr>
        <w:t>and</w:t>
      </w:r>
      <w:r w:rsidR="003D73C3">
        <w:rPr>
          <w:rFonts w:eastAsia="Calibri"/>
          <w:szCs w:val="22"/>
        </w:rPr>
        <w:t xml:space="preserve"> </w:t>
      </w:r>
      <w:r w:rsidR="000B5092">
        <w:rPr>
          <w:rFonts w:eastAsia="Calibri"/>
          <w:szCs w:val="22"/>
        </w:rPr>
        <w:t>2016</w:t>
      </w:r>
      <w:r w:rsidRPr="003D73C3">
        <w:rPr>
          <w:rFonts w:eastAsia="Calibri"/>
          <w:szCs w:val="22"/>
        </w:rPr>
        <w:t>.</w:t>
      </w:r>
    </w:p>
    <w:p w14:paraId="1C9EBD23" w14:textId="5AF5EBC6" w:rsidR="006761D2" w:rsidRDefault="006761D2" w:rsidP="006761D2">
      <w:pPr>
        <w:pStyle w:val="Caption"/>
        <w:jc w:val="left"/>
        <w:rPr>
          <w:rFonts w:cs="Arial"/>
        </w:rPr>
      </w:pPr>
      <w:bookmarkStart w:id="282" w:name="_Ref38610103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7</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5</w:t>
      </w:r>
      <w:r w:rsidRPr="003D73C3">
        <w:rPr>
          <w:rFonts w:cs="Arial"/>
        </w:rPr>
        <w:fldChar w:fldCharType="end"/>
      </w:r>
      <w:bookmarkEnd w:id="282"/>
      <w:r w:rsidRPr="003D73C3">
        <w:rPr>
          <w:rFonts w:cs="Arial"/>
        </w:rPr>
        <w:t>: Summary of the release estimates for transport</w:t>
      </w:r>
    </w:p>
    <w:p w14:paraId="576C2459" w14:textId="77777777" w:rsidR="001A01B0" w:rsidRPr="001A01B0" w:rsidRDefault="001A01B0" w:rsidP="001A01B0"/>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1A01B0" w:rsidRPr="00C92FA3" w14:paraId="1B3DC877" w14:textId="77777777" w:rsidTr="009D45FD">
        <w:tc>
          <w:tcPr>
            <w:tcW w:w="3119" w:type="dxa"/>
            <w:vMerge w:val="restart"/>
            <w:vAlign w:val="center"/>
          </w:tcPr>
          <w:p w14:paraId="6ABB3C9A" w14:textId="77777777" w:rsidR="001A01B0" w:rsidRPr="003D73C3" w:rsidRDefault="001A01B0" w:rsidP="009D45FD">
            <w:pPr>
              <w:spacing w:before="120"/>
              <w:rPr>
                <w:rFonts w:ascii="Arial" w:hAnsi="Arial" w:cs="Arial"/>
                <w:b/>
                <w:sz w:val="16"/>
                <w:szCs w:val="16"/>
              </w:rPr>
            </w:pPr>
            <w:r w:rsidRPr="003D73C3">
              <w:rPr>
                <w:rFonts w:ascii="Arial" w:hAnsi="Arial" w:cs="Arial"/>
                <w:b/>
                <w:sz w:val="16"/>
                <w:szCs w:val="16"/>
              </w:rPr>
              <w:t>Category</w:t>
            </w:r>
          </w:p>
        </w:tc>
        <w:tc>
          <w:tcPr>
            <w:tcW w:w="6095" w:type="dxa"/>
            <w:gridSpan w:val="5"/>
            <w:vAlign w:val="center"/>
          </w:tcPr>
          <w:p w14:paraId="2C10CAB8" w14:textId="77777777" w:rsidR="001A01B0" w:rsidRPr="003D73C3" w:rsidRDefault="001A01B0" w:rsidP="009D45FD">
            <w:pPr>
              <w:spacing w:before="120"/>
              <w:jc w:val="center"/>
              <w:rPr>
                <w:rFonts w:ascii="Arial" w:hAnsi="Arial" w:cs="Arial"/>
                <w:b/>
                <w:sz w:val="16"/>
                <w:szCs w:val="16"/>
              </w:rPr>
            </w:pPr>
            <w:r>
              <w:rPr>
                <w:rFonts w:ascii="Arial" w:hAnsi="Arial" w:cs="Arial"/>
                <w:b/>
                <w:sz w:val="16"/>
                <w:szCs w:val="16"/>
              </w:rPr>
              <w:t xml:space="preserve">2020 </w:t>
            </w:r>
            <w:r w:rsidRPr="003D73C3">
              <w:rPr>
                <w:rFonts w:ascii="Arial" w:hAnsi="Arial" w:cs="Arial"/>
                <w:b/>
                <w:sz w:val="16"/>
                <w:szCs w:val="16"/>
              </w:rPr>
              <w:t>dioxin releases (g TEQ/yr)</w:t>
            </w:r>
          </w:p>
        </w:tc>
      </w:tr>
      <w:tr w:rsidR="001A01B0" w:rsidRPr="00C92FA3" w14:paraId="31351225" w14:textId="77777777" w:rsidTr="009D45FD">
        <w:tc>
          <w:tcPr>
            <w:tcW w:w="3119" w:type="dxa"/>
            <w:vMerge/>
            <w:vAlign w:val="center"/>
          </w:tcPr>
          <w:p w14:paraId="2C404BFB" w14:textId="77777777" w:rsidR="001A01B0" w:rsidRPr="003D73C3" w:rsidRDefault="001A01B0" w:rsidP="009D45FD">
            <w:pPr>
              <w:spacing w:before="120"/>
              <w:rPr>
                <w:rFonts w:ascii="Arial" w:hAnsi="Arial" w:cs="Arial"/>
                <w:b/>
                <w:sz w:val="16"/>
                <w:szCs w:val="16"/>
              </w:rPr>
            </w:pPr>
          </w:p>
        </w:tc>
        <w:tc>
          <w:tcPr>
            <w:tcW w:w="1219" w:type="dxa"/>
            <w:vAlign w:val="center"/>
          </w:tcPr>
          <w:p w14:paraId="39AFB25A"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Air</w:t>
            </w:r>
          </w:p>
        </w:tc>
        <w:tc>
          <w:tcPr>
            <w:tcW w:w="1219" w:type="dxa"/>
            <w:vAlign w:val="center"/>
          </w:tcPr>
          <w:p w14:paraId="2459FC31"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Water</w:t>
            </w:r>
          </w:p>
        </w:tc>
        <w:tc>
          <w:tcPr>
            <w:tcW w:w="1219" w:type="dxa"/>
            <w:vAlign w:val="center"/>
          </w:tcPr>
          <w:p w14:paraId="2B2CA0F2"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Land</w:t>
            </w:r>
          </w:p>
        </w:tc>
        <w:tc>
          <w:tcPr>
            <w:tcW w:w="1219" w:type="dxa"/>
            <w:vAlign w:val="center"/>
          </w:tcPr>
          <w:p w14:paraId="6A271FC8"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Product</w:t>
            </w:r>
          </w:p>
        </w:tc>
        <w:tc>
          <w:tcPr>
            <w:tcW w:w="1219" w:type="dxa"/>
            <w:vAlign w:val="center"/>
          </w:tcPr>
          <w:p w14:paraId="79FB1A83"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Residue</w:t>
            </w:r>
          </w:p>
        </w:tc>
      </w:tr>
      <w:tr w:rsidR="001A01B0" w:rsidRPr="00C92FA3" w14:paraId="34A535C7" w14:textId="77777777" w:rsidTr="009D45FD">
        <w:tc>
          <w:tcPr>
            <w:tcW w:w="3119" w:type="dxa"/>
            <w:vAlign w:val="center"/>
          </w:tcPr>
          <w:p w14:paraId="5C05E756" w14:textId="77777777" w:rsidR="001A01B0" w:rsidRPr="003D73C3" w:rsidRDefault="001A01B0" w:rsidP="009D45FD">
            <w:pPr>
              <w:spacing w:before="120"/>
              <w:rPr>
                <w:rFonts w:ascii="Arial" w:hAnsi="Arial" w:cs="Arial"/>
                <w:sz w:val="16"/>
                <w:szCs w:val="16"/>
              </w:rPr>
            </w:pPr>
            <w:r w:rsidRPr="003D73C3">
              <w:rPr>
                <w:rFonts w:ascii="Arial" w:hAnsi="Arial" w:cs="Arial"/>
                <w:sz w:val="16"/>
                <w:szCs w:val="16"/>
              </w:rPr>
              <w:t>4-stroke engines</w:t>
            </w:r>
          </w:p>
        </w:tc>
        <w:tc>
          <w:tcPr>
            <w:tcW w:w="1219" w:type="dxa"/>
            <w:vAlign w:val="center"/>
          </w:tcPr>
          <w:p w14:paraId="6988BC89"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0.0124</w:t>
            </w:r>
          </w:p>
        </w:tc>
        <w:tc>
          <w:tcPr>
            <w:tcW w:w="1219" w:type="dxa"/>
            <w:vAlign w:val="center"/>
          </w:tcPr>
          <w:p w14:paraId="3DB5BBFF"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FF9F282"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32D9735E"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B2BA6A7"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r>
      <w:tr w:rsidR="001A01B0" w:rsidRPr="00C92FA3" w14:paraId="28C7A1C3" w14:textId="77777777" w:rsidTr="009D45FD">
        <w:tc>
          <w:tcPr>
            <w:tcW w:w="3119" w:type="dxa"/>
            <w:vAlign w:val="center"/>
          </w:tcPr>
          <w:p w14:paraId="410CD65B" w14:textId="77777777" w:rsidR="001A01B0" w:rsidRPr="003D73C3" w:rsidRDefault="001A01B0" w:rsidP="009D45FD">
            <w:pPr>
              <w:spacing w:before="120"/>
              <w:rPr>
                <w:rFonts w:ascii="Arial" w:hAnsi="Arial" w:cs="Arial"/>
                <w:sz w:val="16"/>
                <w:szCs w:val="16"/>
              </w:rPr>
            </w:pPr>
            <w:r w:rsidRPr="003D73C3">
              <w:rPr>
                <w:rFonts w:ascii="Arial" w:hAnsi="Arial" w:cs="Arial"/>
                <w:sz w:val="16"/>
                <w:szCs w:val="16"/>
              </w:rPr>
              <w:t>2-stroke engines</w:t>
            </w:r>
          </w:p>
        </w:tc>
        <w:tc>
          <w:tcPr>
            <w:tcW w:w="1219" w:type="dxa"/>
            <w:vAlign w:val="center"/>
          </w:tcPr>
          <w:p w14:paraId="24882A57" w14:textId="77777777" w:rsidR="001A01B0" w:rsidRPr="003D73C3" w:rsidRDefault="001A01B0" w:rsidP="009D45FD">
            <w:pPr>
              <w:spacing w:before="120"/>
              <w:jc w:val="center"/>
              <w:rPr>
                <w:rFonts w:ascii="Arial" w:hAnsi="Arial" w:cs="Arial"/>
                <w:sz w:val="16"/>
                <w:szCs w:val="16"/>
              </w:rPr>
            </w:pPr>
            <w:r>
              <w:rPr>
                <w:rFonts w:ascii="Arial" w:hAnsi="Arial" w:cs="Arial"/>
                <w:sz w:val="16"/>
                <w:szCs w:val="16"/>
              </w:rPr>
              <w:t>0.188</w:t>
            </w:r>
          </w:p>
        </w:tc>
        <w:tc>
          <w:tcPr>
            <w:tcW w:w="1219" w:type="dxa"/>
            <w:vAlign w:val="center"/>
          </w:tcPr>
          <w:p w14:paraId="16CD17CF"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5172F9F"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58AD547"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A2501EC"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r>
      <w:tr w:rsidR="001A01B0" w:rsidRPr="00C92FA3" w14:paraId="386F9CEE" w14:textId="77777777" w:rsidTr="009D45FD">
        <w:tc>
          <w:tcPr>
            <w:tcW w:w="3119" w:type="dxa"/>
            <w:vAlign w:val="center"/>
          </w:tcPr>
          <w:p w14:paraId="0D958651" w14:textId="77777777" w:rsidR="001A01B0" w:rsidRPr="003D73C3" w:rsidRDefault="001A01B0" w:rsidP="009D45FD">
            <w:pPr>
              <w:spacing w:before="120"/>
              <w:rPr>
                <w:rFonts w:ascii="Arial" w:hAnsi="Arial" w:cs="Arial"/>
                <w:sz w:val="16"/>
                <w:szCs w:val="16"/>
              </w:rPr>
            </w:pPr>
            <w:r w:rsidRPr="003D73C3">
              <w:rPr>
                <w:rFonts w:ascii="Arial" w:hAnsi="Arial" w:cs="Arial"/>
                <w:sz w:val="16"/>
                <w:szCs w:val="16"/>
              </w:rPr>
              <w:t>Diesel engines</w:t>
            </w:r>
          </w:p>
        </w:tc>
        <w:tc>
          <w:tcPr>
            <w:tcW w:w="1219" w:type="dxa"/>
            <w:vAlign w:val="center"/>
          </w:tcPr>
          <w:p w14:paraId="3C4E880D" w14:textId="77777777" w:rsidR="001A01B0" w:rsidRPr="003D73C3" w:rsidRDefault="001A01B0" w:rsidP="009D45FD">
            <w:pPr>
              <w:spacing w:before="120"/>
              <w:jc w:val="center"/>
              <w:rPr>
                <w:rFonts w:ascii="Arial" w:hAnsi="Arial" w:cs="Arial"/>
                <w:sz w:val="16"/>
                <w:szCs w:val="16"/>
              </w:rPr>
            </w:pPr>
            <w:r>
              <w:rPr>
                <w:rFonts w:ascii="Arial" w:hAnsi="Arial" w:cs="Arial"/>
                <w:sz w:val="16"/>
                <w:szCs w:val="16"/>
              </w:rPr>
              <w:t>0.285</w:t>
            </w:r>
          </w:p>
        </w:tc>
        <w:tc>
          <w:tcPr>
            <w:tcW w:w="1219" w:type="dxa"/>
            <w:vAlign w:val="center"/>
          </w:tcPr>
          <w:p w14:paraId="2BC61E29"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A7FD0A7"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447474A1"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42AB15C9" w14:textId="77777777" w:rsidR="001A01B0" w:rsidRPr="003D73C3" w:rsidRDefault="001A01B0" w:rsidP="009D45FD">
            <w:pPr>
              <w:spacing w:before="120"/>
              <w:jc w:val="center"/>
              <w:rPr>
                <w:rFonts w:ascii="Arial" w:hAnsi="Arial" w:cs="Arial"/>
                <w:sz w:val="16"/>
                <w:szCs w:val="16"/>
              </w:rPr>
            </w:pPr>
          </w:p>
        </w:tc>
      </w:tr>
      <w:tr w:rsidR="001A01B0" w:rsidRPr="00C92FA3" w14:paraId="1B18422C" w14:textId="77777777" w:rsidTr="009D45FD">
        <w:tc>
          <w:tcPr>
            <w:tcW w:w="3119" w:type="dxa"/>
            <w:vAlign w:val="center"/>
          </w:tcPr>
          <w:p w14:paraId="2CE4394B" w14:textId="77777777" w:rsidR="001A01B0" w:rsidRPr="003D73C3" w:rsidRDefault="001A01B0" w:rsidP="009D45FD">
            <w:pPr>
              <w:spacing w:before="120"/>
              <w:rPr>
                <w:rFonts w:ascii="Arial" w:hAnsi="Arial" w:cs="Arial"/>
                <w:sz w:val="16"/>
                <w:szCs w:val="16"/>
              </w:rPr>
            </w:pPr>
            <w:r w:rsidRPr="003D73C3">
              <w:rPr>
                <w:rFonts w:ascii="Arial" w:hAnsi="Arial" w:cs="Arial"/>
                <w:sz w:val="16"/>
                <w:szCs w:val="16"/>
              </w:rPr>
              <w:t>Heavy oil-fired engines</w:t>
            </w:r>
          </w:p>
        </w:tc>
        <w:tc>
          <w:tcPr>
            <w:tcW w:w="1219" w:type="dxa"/>
            <w:vAlign w:val="center"/>
          </w:tcPr>
          <w:p w14:paraId="4A76BC20" w14:textId="77777777" w:rsidR="001A01B0" w:rsidRPr="003D73C3" w:rsidRDefault="001A01B0" w:rsidP="009D45FD">
            <w:pPr>
              <w:spacing w:before="120"/>
              <w:jc w:val="center"/>
              <w:rPr>
                <w:rFonts w:ascii="Arial" w:hAnsi="Arial" w:cs="Arial"/>
                <w:sz w:val="16"/>
                <w:szCs w:val="16"/>
              </w:rPr>
            </w:pPr>
            <w:r>
              <w:rPr>
                <w:rFonts w:ascii="Arial" w:hAnsi="Arial" w:cs="Arial"/>
                <w:sz w:val="16"/>
                <w:szCs w:val="16"/>
              </w:rPr>
              <w:t>0.343</w:t>
            </w:r>
          </w:p>
        </w:tc>
        <w:tc>
          <w:tcPr>
            <w:tcW w:w="1219" w:type="dxa"/>
            <w:vAlign w:val="center"/>
          </w:tcPr>
          <w:p w14:paraId="481BF536"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39AED6F"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1993ACD8"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15A9523" w14:textId="77777777" w:rsidR="001A01B0" w:rsidRPr="003D73C3" w:rsidRDefault="001A01B0" w:rsidP="009D45FD">
            <w:pPr>
              <w:spacing w:before="120"/>
              <w:jc w:val="center"/>
              <w:rPr>
                <w:rFonts w:ascii="Arial" w:hAnsi="Arial" w:cs="Arial"/>
                <w:sz w:val="16"/>
                <w:szCs w:val="16"/>
              </w:rPr>
            </w:pPr>
            <w:r w:rsidRPr="003D73C3">
              <w:rPr>
                <w:rFonts w:ascii="Arial" w:hAnsi="Arial" w:cs="Arial"/>
                <w:sz w:val="16"/>
                <w:szCs w:val="16"/>
              </w:rPr>
              <w:t>-</w:t>
            </w:r>
          </w:p>
        </w:tc>
      </w:tr>
      <w:tr w:rsidR="001A01B0" w:rsidRPr="00C92FA3" w14:paraId="49BA6636" w14:textId="77777777" w:rsidTr="009D45FD">
        <w:tc>
          <w:tcPr>
            <w:tcW w:w="3119" w:type="dxa"/>
          </w:tcPr>
          <w:p w14:paraId="0CAF5F64" w14:textId="77777777" w:rsidR="001A01B0" w:rsidRPr="003D73C3" w:rsidRDefault="001A01B0" w:rsidP="009D45FD">
            <w:pPr>
              <w:spacing w:before="120"/>
              <w:jc w:val="both"/>
              <w:rPr>
                <w:rFonts w:ascii="Arial" w:hAnsi="Arial" w:cs="Arial"/>
                <w:b/>
                <w:sz w:val="16"/>
                <w:szCs w:val="16"/>
              </w:rPr>
            </w:pPr>
            <w:r>
              <w:rPr>
                <w:rFonts w:ascii="Arial" w:hAnsi="Arial" w:cs="Arial"/>
                <w:b/>
                <w:sz w:val="16"/>
                <w:szCs w:val="16"/>
              </w:rPr>
              <w:t xml:space="preserve">2012 </w:t>
            </w:r>
            <w:r w:rsidRPr="003D73C3">
              <w:rPr>
                <w:rFonts w:ascii="Arial" w:hAnsi="Arial" w:cs="Arial"/>
                <w:b/>
                <w:sz w:val="16"/>
                <w:szCs w:val="16"/>
              </w:rPr>
              <w:t>totals</w:t>
            </w:r>
          </w:p>
        </w:tc>
        <w:tc>
          <w:tcPr>
            <w:tcW w:w="1219" w:type="dxa"/>
            <w:vAlign w:val="center"/>
          </w:tcPr>
          <w:p w14:paraId="3EEB24CB" w14:textId="77777777" w:rsidR="001A01B0" w:rsidRPr="003D73C3" w:rsidRDefault="001A01B0" w:rsidP="009D45FD">
            <w:pPr>
              <w:spacing w:before="120"/>
              <w:jc w:val="center"/>
              <w:rPr>
                <w:rFonts w:ascii="Arial" w:hAnsi="Arial" w:cs="Arial"/>
                <w:b/>
                <w:sz w:val="16"/>
                <w:szCs w:val="16"/>
              </w:rPr>
            </w:pPr>
            <w:r>
              <w:rPr>
                <w:rFonts w:ascii="Arial" w:hAnsi="Arial" w:cs="Arial"/>
                <w:b/>
                <w:sz w:val="16"/>
                <w:szCs w:val="16"/>
              </w:rPr>
              <w:t>0.660</w:t>
            </w:r>
          </w:p>
        </w:tc>
        <w:tc>
          <w:tcPr>
            <w:tcW w:w="1219" w:type="dxa"/>
            <w:vAlign w:val="center"/>
          </w:tcPr>
          <w:p w14:paraId="5DEF52B1" w14:textId="77777777" w:rsidR="001A01B0" w:rsidRPr="003D73C3" w:rsidRDefault="001A01B0" w:rsidP="009D45FD">
            <w:pPr>
              <w:spacing w:before="120"/>
              <w:jc w:val="center"/>
              <w:rPr>
                <w:rFonts w:ascii="Arial" w:hAnsi="Arial" w:cs="Arial"/>
                <w:b/>
                <w:strike/>
                <w:sz w:val="16"/>
                <w:szCs w:val="16"/>
              </w:rPr>
            </w:pPr>
          </w:p>
        </w:tc>
        <w:tc>
          <w:tcPr>
            <w:tcW w:w="1219" w:type="dxa"/>
            <w:vAlign w:val="center"/>
          </w:tcPr>
          <w:p w14:paraId="41442D10" w14:textId="77777777" w:rsidR="001A01B0" w:rsidRPr="003D73C3" w:rsidRDefault="001A01B0" w:rsidP="009D45FD">
            <w:pPr>
              <w:spacing w:before="120"/>
              <w:jc w:val="center"/>
              <w:rPr>
                <w:rFonts w:ascii="Arial" w:hAnsi="Arial" w:cs="Arial"/>
                <w:b/>
                <w:strike/>
                <w:sz w:val="16"/>
                <w:szCs w:val="16"/>
              </w:rPr>
            </w:pPr>
          </w:p>
        </w:tc>
        <w:tc>
          <w:tcPr>
            <w:tcW w:w="1219" w:type="dxa"/>
            <w:vAlign w:val="center"/>
          </w:tcPr>
          <w:p w14:paraId="6F8193B4" w14:textId="77777777" w:rsidR="001A01B0" w:rsidRPr="003D73C3" w:rsidRDefault="001A01B0" w:rsidP="009D45FD">
            <w:pPr>
              <w:spacing w:before="120"/>
              <w:jc w:val="center"/>
              <w:rPr>
                <w:rFonts w:ascii="Arial" w:hAnsi="Arial" w:cs="Arial"/>
                <w:b/>
                <w:strike/>
                <w:sz w:val="16"/>
                <w:szCs w:val="16"/>
              </w:rPr>
            </w:pPr>
          </w:p>
        </w:tc>
        <w:tc>
          <w:tcPr>
            <w:tcW w:w="1219" w:type="dxa"/>
            <w:vAlign w:val="center"/>
          </w:tcPr>
          <w:p w14:paraId="590C58E0" w14:textId="77777777" w:rsidR="001A01B0" w:rsidRPr="003D73C3" w:rsidRDefault="001A01B0" w:rsidP="009D45FD">
            <w:pPr>
              <w:spacing w:before="120"/>
              <w:jc w:val="center"/>
              <w:rPr>
                <w:rFonts w:ascii="Arial" w:hAnsi="Arial" w:cs="Arial"/>
                <w:b/>
                <w:strike/>
                <w:sz w:val="16"/>
                <w:szCs w:val="16"/>
              </w:rPr>
            </w:pPr>
          </w:p>
        </w:tc>
      </w:tr>
      <w:tr w:rsidR="001A01B0" w:rsidRPr="00C92FA3" w14:paraId="0FCB65D9" w14:textId="77777777" w:rsidTr="009D45FD">
        <w:tc>
          <w:tcPr>
            <w:tcW w:w="3119" w:type="dxa"/>
          </w:tcPr>
          <w:p w14:paraId="0EF0017C" w14:textId="77777777" w:rsidR="001A01B0" w:rsidRPr="003D73C3" w:rsidRDefault="001A01B0" w:rsidP="009D45FD">
            <w:pPr>
              <w:spacing w:before="120"/>
              <w:jc w:val="both"/>
              <w:rPr>
                <w:rFonts w:ascii="Arial" w:hAnsi="Arial" w:cs="Arial"/>
                <w:b/>
                <w:sz w:val="16"/>
                <w:szCs w:val="16"/>
              </w:rPr>
            </w:pPr>
            <w:r>
              <w:rPr>
                <w:rFonts w:ascii="Arial" w:hAnsi="Arial" w:cs="Arial"/>
                <w:b/>
                <w:sz w:val="16"/>
                <w:szCs w:val="16"/>
              </w:rPr>
              <w:t xml:space="preserve">2016 </w:t>
            </w:r>
            <w:r w:rsidRPr="003D73C3">
              <w:rPr>
                <w:rFonts w:ascii="Arial" w:hAnsi="Arial" w:cs="Arial"/>
                <w:b/>
                <w:sz w:val="16"/>
                <w:szCs w:val="16"/>
              </w:rPr>
              <w:t>totals</w:t>
            </w:r>
          </w:p>
        </w:tc>
        <w:tc>
          <w:tcPr>
            <w:tcW w:w="1219" w:type="dxa"/>
          </w:tcPr>
          <w:p w14:paraId="287599B0" w14:textId="77777777" w:rsidR="001A01B0" w:rsidRPr="003D73C3" w:rsidRDefault="001A01B0" w:rsidP="009D45FD">
            <w:pPr>
              <w:spacing w:before="120"/>
              <w:jc w:val="center"/>
              <w:rPr>
                <w:rFonts w:ascii="Arial" w:hAnsi="Arial" w:cs="Arial"/>
                <w:b/>
                <w:sz w:val="16"/>
                <w:szCs w:val="16"/>
              </w:rPr>
            </w:pPr>
            <w:r>
              <w:rPr>
                <w:rFonts w:ascii="Arial" w:hAnsi="Arial" w:cs="Arial"/>
                <w:b/>
                <w:sz w:val="16"/>
                <w:szCs w:val="16"/>
              </w:rPr>
              <w:t>0.672</w:t>
            </w:r>
          </w:p>
        </w:tc>
        <w:tc>
          <w:tcPr>
            <w:tcW w:w="1219" w:type="dxa"/>
          </w:tcPr>
          <w:p w14:paraId="4295ABC9"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w:t>
            </w:r>
          </w:p>
        </w:tc>
        <w:tc>
          <w:tcPr>
            <w:tcW w:w="1219" w:type="dxa"/>
          </w:tcPr>
          <w:p w14:paraId="02EC165D"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w:t>
            </w:r>
          </w:p>
        </w:tc>
        <w:tc>
          <w:tcPr>
            <w:tcW w:w="1219" w:type="dxa"/>
          </w:tcPr>
          <w:p w14:paraId="3622A72E"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w:t>
            </w:r>
          </w:p>
        </w:tc>
        <w:tc>
          <w:tcPr>
            <w:tcW w:w="1219" w:type="dxa"/>
          </w:tcPr>
          <w:p w14:paraId="6A746ECC"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z w:val="16"/>
                <w:szCs w:val="16"/>
              </w:rPr>
              <w:t>-</w:t>
            </w:r>
          </w:p>
        </w:tc>
      </w:tr>
      <w:tr w:rsidR="001A01B0" w:rsidRPr="00AF1200" w14:paraId="0C885358" w14:textId="77777777" w:rsidTr="009D45FD">
        <w:tc>
          <w:tcPr>
            <w:tcW w:w="3119" w:type="dxa"/>
          </w:tcPr>
          <w:p w14:paraId="090EF23A" w14:textId="77777777" w:rsidR="001A01B0" w:rsidRPr="003D73C3" w:rsidRDefault="001A01B0" w:rsidP="009D45FD">
            <w:pPr>
              <w:spacing w:before="120"/>
              <w:jc w:val="both"/>
              <w:rPr>
                <w:rFonts w:ascii="Arial" w:hAnsi="Arial" w:cs="Arial"/>
                <w:b/>
                <w:sz w:val="16"/>
                <w:szCs w:val="16"/>
              </w:rPr>
            </w:pPr>
            <w:r>
              <w:rPr>
                <w:rFonts w:ascii="Arial" w:hAnsi="Arial" w:cs="Arial"/>
                <w:b/>
                <w:sz w:val="16"/>
                <w:szCs w:val="16"/>
              </w:rPr>
              <w:t xml:space="preserve">2020 </w:t>
            </w:r>
            <w:r w:rsidRPr="003D73C3">
              <w:rPr>
                <w:rFonts w:ascii="Arial" w:hAnsi="Arial" w:cs="Arial"/>
                <w:b/>
                <w:sz w:val="16"/>
                <w:szCs w:val="16"/>
              </w:rPr>
              <w:t>totals</w:t>
            </w:r>
          </w:p>
        </w:tc>
        <w:tc>
          <w:tcPr>
            <w:tcW w:w="1219" w:type="dxa"/>
            <w:vAlign w:val="center"/>
          </w:tcPr>
          <w:p w14:paraId="1D6F5DFC" w14:textId="77777777" w:rsidR="001A01B0" w:rsidRPr="003D73C3" w:rsidRDefault="001A01B0" w:rsidP="009D45FD">
            <w:pPr>
              <w:spacing w:before="120"/>
              <w:jc w:val="center"/>
              <w:rPr>
                <w:rFonts w:ascii="Arial" w:hAnsi="Arial" w:cs="Arial"/>
                <w:b/>
                <w:sz w:val="16"/>
                <w:szCs w:val="16"/>
              </w:rPr>
            </w:pPr>
            <w:r>
              <w:rPr>
                <w:rFonts w:ascii="Arial" w:hAnsi="Arial" w:cs="Arial"/>
                <w:b/>
                <w:sz w:val="16"/>
                <w:szCs w:val="16"/>
              </w:rPr>
              <w:t>0.828</w:t>
            </w:r>
          </w:p>
        </w:tc>
        <w:tc>
          <w:tcPr>
            <w:tcW w:w="1219" w:type="dxa"/>
            <w:vAlign w:val="center"/>
          </w:tcPr>
          <w:p w14:paraId="547547E4"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trike/>
                <w:sz w:val="16"/>
                <w:szCs w:val="16"/>
              </w:rPr>
              <w:t>-</w:t>
            </w:r>
          </w:p>
        </w:tc>
        <w:tc>
          <w:tcPr>
            <w:tcW w:w="1219" w:type="dxa"/>
            <w:vAlign w:val="center"/>
          </w:tcPr>
          <w:p w14:paraId="3253CA46"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trike/>
                <w:sz w:val="16"/>
                <w:szCs w:val="16"/>
              </w:rPr>
              <w:t>-</w:t>
            </w:r>
          </w:p>
        </w:tc>
        <w:tc>
          <w:tcPr>
            <w:tcW w:w="1219" w:type="dxa"/>
            <w:vAlign w:val="center"/>
          </w:tcPr>
          <w:p w14:paraId="5383AE1B"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trike/>
                <w:sz w:val="16"/>
                <w:szCs w:val="16"/>
              </w:rPr>
              <w:t>-</w:t>
            </w:r>
          </w:p>
        </w:tc>
        <w:tc>
          <w:tcPr>
            <w:tcW w:w="1219" w:type="dxa"/>
            <w:vAlign w:val="center"/>
          </w:tcPr>
          <w:p w14:paraId="7DBB1101" w14:textId="77777777" w:rsidR="001A01B0" w:rsidRPr="003D73C3" w:rsidRDefault="001A01B0" w:rsidP="009D45FD">
            <w:pPr>
              <w:spacing w:before="120"/>
              <w:jc w:val="center"/>
              <w:rPr>
                <w:rFonts w:ascii="Arial" w:hAnsi="Arial" w:cs="Arial"/>
                <w:b/>
                <w:sz w:val="16"/>
                <w:szCs w:val="16"/>
              </w:rPr>
            </w:pPr>
            <w:r w:rsidRPr="003D73C3">
              <w:rPr>
                <w:rFonts w:ascii="Arial" w:hAnsi="Arial" w:cs="Arial"/>
                <w:b/>
                <w:strike/>
                <w:sz w:val="16"/>
                <w:szCs w:val="16"/>
              </w:rPr>
              <w:t>-</w:t>
            </w:r>
          </w:p>
        </w:tc>
      </w:tr>
    </w:tbl>
    <w:p w14:paraId="26D760AD" w14:textId="63012540" w:rsidR="006761D2" w:rsidRPr="003D73C3" w:rsidRDefault="006761D2" w:rsidP="00261F78">
      <w:pPr>
        <w:pStyle w:val="Heading1"/>
      </w:pPr>
      <w:bookmarkStart w:id="283" w:name="_Toc112768118"/>
      <w:r w:rsidRPr="003D73C3">
        <w:lastRenderedPageBreak/>
        <w:t>Open burning processes</w:t>
      </w:r>
      <w:bookmarkEnd w:id="283"/>
    </w:p>
    <w:p w14:paraId="2FA48DD0" w14:textId="29A30246" w:rsidR="006761D2" w:rsidRPr="003D73C3" w:rsidRDefault="006761D2" w:rsidP="006761D2">
      <w:pPr>
        <w:spacing w:line="300" w:lineRule="atLeast"/>
        <w:jc w:val="both"/>
        <w:rPr>
          <w:szCs w:val="18"/>
        </w:rPr>
      </w:pPr>
      <w:r w:rsidRPr="003D73C3">
        <w:rPr>
          <w:szCs w:val="18"/>
        </w:rPr>
        <w:t xml:space="preserve">This category covers the following dioxin sources </w:t>
      </w:r>
      <w:r w:rsidR="003D73C3" w:rsidRPr="003D73C3">
        <w:rPr>
          <w:noProof/>
          <w:szCs w:val="18"/>
        </w:rPr>
        <w:t>(United Nations Environment Programme, 2013)</w:t>
      </w:r>
      <w:r w:rsidRPr="003D73C3">
        <w:rPr>
          <w:szCs w:val="18"/>
        </w:rPr>
        <w:t>:</w:t>
      </w:r>
    </w:p>
    <w:p w14:paraId="56E12A8B" w14:textId="77777777" w:rsidR="006761D2" w:rsidRPr="003D73C3" w:rsidRDefault="006761D2" w:rsidP="006761D2">
      <w:pPr>
        <w:spacing w:line="300" w:lineRule="atLeast"/>
        <w:ind w:left="720"/>
        <w:jc w:val="both"/>
        <w:rPr>
          <w:szCs w:val="18"/>
        </w:rPr>
      </w:pPr>
      <w:r w:rsidRPr="003D73C3">
        <w:rPr>
          <w:szCs w:val="18"/>
        </w:rPr>
        <w:t>6a</w:t>
      </w:r>
      <w:r w:rsidRPr="003D73C3">
        <w:rPr>
          <w:szCs w:val="18"/>
        </w:rPr>
        <w:tab/>
        <w:t>Biomass burning</w:t>
      </w:r>
    </w:p>
    <w:p w14:paraId="172A095D" w14:textId="77777777" w:rsidR="006761D2" w:rsidRPr="003D73C3" w:rsidRDefault="006761D2" w:rsidP="006761D2">
      <w:pPr>
        <w:spacing w:line="300" w:lineRule="atLeast"/>
        <w:ind w:left="720"/>
        <w:jc w:val="both"/>
        <w:rPr>
          <w:szCs w:val="18"/>
        </w:rPr>
      </w:pPr>
      <w:r w:rsidRPr="003D73C3">
        <w:rPr>
          <w:szCs w:val="18"/>
        </w:rPr>
        <w:t>6b</w:t>
      </w:r>
      <w:r w:rsidRPr="003D73C3">
        <w:rPr>
          <w:szCs w:val="18"/>
        </w:rPr>
        <w:tab/>
        <w:t>Waste burning and accidental fires</w:t>
      </w:r>
    </w:p>
    <w:p w14:paraId="42B5F9B8" w14:textId="3969B9CB" w:rsidR="006761D2" w:rsidRPr="003D73C3" w:rsidRDefault="24854215" w:rsidP="006761D2">
      <w:pPr>
        <w:spacing w:line="300" w:lineRule="atLeast"/>
        <w:jc w:val="both"/>
      </w:pPr>
      <w:r>
        <w:t>Open burning processes are usually characterised by the presence of mixtures of waste materials, with little or no control over the</w:t>
      </w:r>
      <w:r w:rsidR="37FE7599">
        <w:t>ir</w:t>
      </w:r>
      <w:r>
        <w:t xml:space="preserve"> condition (</w:t>
      </w:r>
      <w:r w:rsidR="00D4735F">
        <w:t>ie,</w:t>
      </w:r>
      <w:r>
        <w:t xml:space="preserve"> wet or dry)</w:t>
      </w:r>
      <w:r w:rsidR="37FE7599">
        <w:t xml:space="preserve"> </w:t>
      </w:r>
      <w:r>
        <w:t xml:space="preserve">and little or no control over the burning processes. As a result, there is often a high potential for dioxins to be formed </w:t>
      </w:r>
      <w:bookmarkStart w:id="284" w:name="_Int_2inozwzR"/>
      <w:proofErr w:type="gramStart"/>
      <w:r>
        <w:t>as a result of</w:t>
      </w:r>
      <w:bookmarkEnd w:id="284"/>
      <w:proofErr w:type="gramEnd"/>
      <w:r>
        <w:t xml:space="preserve"> incomplete combustion processes. Despite this, the potential for dioxin formation from the burning of clean biomass is </w:t>
      </w:r>
      <w:bookmarkStart w:id="285" w:name="_Int_DuQ8ZWSX"/>
      <w:r>
        <w:t>relatively low</w:t>
      </w:r>
      <w:bookmarkEnd w:id="285"/>
      <w:r>
        <w:t xml:space="preserve">, unless the material is contaminated with specific dioxin precursors, such as chlorinated phenoxy herbicides (see section 9). Also, it is much higher for waste burning and accidental fires because of the potential presence of chlorinated materials (eg some plastics, such as PVC) and catalytic metals, such as copper. </w:t>
      </w:r>
    </w:p>
    <w:p w14:paraId="5A39E5E1" w14:textId="77777777" w:rsidR="006761D2" w:rsidRPr="003D73C3" w:rsidRDefault="006761D2" w:rsidP="00261F78">
      <w:pPr>
        <w:pStyle w:val="Heading2"/>
      </w:pPr>
      <w:bookmarkStart w:id="286" w:name="_Toc112768119"/>
      <w:r w:rsidRPr="003D73C3">
        <w:t>Biomass burning</w:t>
      </w:r>
      <w:bookmarkEnd w:id="286"/>
      <w:r w:rsidRPr="003D73C3">
        <w:t xml:space="preserve"> </w:t>
      </w:r>
    </w:p>
    <w:p w14:paraId="7A34C100" w14:textId="7A4E2D3B" w:rsidR="006761D2" w:rsidRPr="003D73C3" w:rsidRDefault="006761D2" w:rsidP="006761D2">
      <w:pPr>
        <w:spacing w:line="300" w:lineRule="atLeast"/>
        <w:jc w:val="both"/>
        <w:rPr>
          <w:szCs w:val="18"/>
        </w:rPr>
      </w:pPr>
      <w:r w:rsidRPr="003D73C3">
        <w:rPr>
          <w:szCs w:val="18"/>
        </w:rPr>
        <w:t>. The category is divided into the following sub-categories:</w:t>
      </w:r>
    </w:p>
    <w:p w14:paraId="54DD1C27"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Agricultural residue burning</w:t>
      </w:r>
    </w:p>
    <w:p w14:paraId="418DE773"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Sugarcane burning</w:t>
      </w:r>
    </w:p>
    <w:p w14:paraId="7BF4F41A"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Forest fires</w:t>
      </w:r>
    </w:p>
    <w:p w14:paraId="7F4574AA"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Grassland and savannah fires</w:t>
      </w:r>
    </w:p>
    <w:p w14:paraId="26999B44" w14:textId="634AE05F" w:rsidR="006761D2" w:rsidRPr="003D73C3" w:rsidRDefault="24854215" w:rsidP="006761D2">
      <w:pPr>
        <w:spacing w:line="300" w:lineRule="atLeast"/>
        <w:jc w:val="both"/>
      </w:pPr>
      <w:r w:rsidRPr="0C34660A">
        <w:rPr>
          <w:lang w:val="en-US"/>
        </w:rPr>
        <w:t xml:space="preserve">The activity data for </w:t>
      </w:r>
      <w:bookmarkStart w:id="287" w:name="_Int_aba4UTFN"/>
      <w:proofErr w:type="gramStart"/>
      <w:r w:rsidRPr="0C34660A">
        <w:rPr>
          <w:lang w:val="en-US"/>
        </w:rPr>
        <w:t>all of</w:t>
      </w:r>
      <w:bookmarkEnd w:id="287"/>
      <w:proofErr w:type="gramEnd"/>
      <w:r w:rsidRPr="0C34660A">
        <w:rPr>
          <w:lang w:val="en-US"/>
        </w:rPr>
        <w:t xml:space="preserve"> these sources is taken from the annual greenhouse gas inventory reports produced by the Ministry for the Environment</w:t>
      </w:r>
      <w:r w:rsidR="4B7AE550" w:rsidRPr="0C34660A">
        <w:rPr>
          <w:lang w:val="en-US"/>
        </w:rPr>
        <w:t xml:space="preserve">. </w:t>
      </w:r>
      <w:r w:rsidR="486F2E70" w:rsidRPr="0C34660A">
        <w:rPr>
          <w:noProof/>
        </w:rPr>
        <w:t>(Ministry for the Environment, 2022)</w:t>
      </w:r>
      <w:r w:rsidRPr="0C34660A">
        <w:rPr>
          <w:lang w:val="en-US"/>
        </w:rPr>
        <w:t xml:space="preserve"> The activity rates for biomass burning show a significant amount of variation from year to year</w:t>
      </w:r>
      <w:r w:rsidR="37FE7599" w:rsidRPr="0C34660A">
        <w:rPr>
          <w:lang w:val="en-US"/>
        </w:rPr>
        <w:t xml:space="preserve">. Consequently, </w:t>
      </w:r>
      <w:r w:rsidR="4B7AE550" w:rsidRPr="0C34660A">
        <w:rPr>
          <w:lang w:val="en-US"/>
        </w:rPr>
        <w:t xml:space="preserve">the activity rates for </w:t>
      </w:r>
      <w:r w:rsidR="486F2E70" w:rsidRPr="0C34660A">
        <w:rPr>
          <w:lang w:val="en-US"/>
        </w:rPr>
        <w:t xml:space="preserve">2020 </w:t>
      </w:r>
      <w:r w:rsidRPr="0C34660A">
        <w:rPr>
          <w:lang w:val="en-US"/>
        </w:rPr>
        <w:t>will be based on the average data from the previous 3 years</w:t>
      </w:r>
      <w:r w:rsidR="00CC5CF8">
        <w:rPr>
          <w:lang w:val="en-US"/>
        </w:rPr>
        <w:t xml:space="preserve"> ie, </w:t>
      </w:r>
      <w:r w:rsidRPr="0C34660A">
        <w:rPr>
          <w:lang w:val="en-US"/>
        </w:rPr>
        <w:t>201</w:t>
      </w:r>
      <w:r w:rsidR="486F2E70" w:rsidRPr="0C34660A">
        <w:rPr>
          <w:lang w:val="en-US"/>
        </w:rPr>
        <w:t>8</w:t>
      </w:r>
      <w:r w:rsidRPr="0C34660A">
        <w:rPr>
          <w:lang w:val="en-US"/>
        </w:rPr>
        <w:t xml:space="preserve"> to</w:t>
      </w:r>
      <w:r w:rsidR="4B7AE550" w:rsidRPr="0C34660A">
        <w:rPr>
          <w:lang w:val="en-US"/>
        </w:rPr>
        <w:t xml:space="preserve"> </w:t>
      </w:r>
      <w:r w:rsidR="486F2E70" w:rsidRPr="0C34660A">
        <w:rPr>
          <w:lang w:val="en-US"/>
        </w:rPr>
        <w:t>2020</w:t>
      </w:r>
      <w:r w:rsidR="37FE7599" w:rsidRPr="0C34660A">
        <w:rPr>
          <w:lang w:val="en-US"/>
        </w:rPr>
        <w:t>, as was done for the previous dioxin inventories.</w:t>
      </w:r>
      <w:r w:rsidRPr="0C34660A">
        <w:rPr>
          <w:lang w:val="en-US"/>
        </w:rPr>
        <w:t xml:space="preserve"> </w:t>
      </w:r>
    </w:p>
    <w:p w14:paraId="6DE63CC4" w14:textId="77777777" w:rsidR="006761D2" w:rsidRPr="003D73C3" w:rsidRDefault="006761D2" w:rsidP="006761D2">
      <w:pPr>
        <w:pStyle w:val="Heading3"/>
      </w:pPr>
      <w:bookmarkStart w:id="288" w:name="_Toc112768120"/>
      <w:r w:rsidRPr="003D73C3">
        <w:t>Agricultural residue burning</w:t>
      </w:r>
      <w:bookmarkEnd w:id="288"/>
    </w:p>
    <w:p w14:paraId="34B62CD5" w14:textId="79CD37B5" w:rsidR="006761D2" w:rsidRPr="003D73C3" w:rsidRDefault="24854215" w:rsidP="0C34660A">
      <w:pPr>
        <w:spacing w:line="300" w:lineRule="atLeast"/>
        <w:jc w:val="both"/>
        <w:rPr>
          <w:lang w:val="en-US"/>
        </w:rPr>
      </w:pPr>
      <w:r w:rsidRPr="0C34660A">
        <w:rPr>
          <w:lang w:val="en-US"/>
        </w:rPr>
        <w:t xml:space="preserve">This source category covers the burning of crop residues in the fields where the crops were originally grown, usually as a land clearance activity prior to the planting of the next crop. This practice is used in New Zealand for barley, </w:t>
      </w:r>
      <w:bookmarkStart w:id="289" w:name="_Int_GWUnBXzY"/>
      <w:r w:rsidRPr="0C34660A">
        <w:rPr>
          <w:lang w:val="en-US"/>
        </w:rPr>
        <w:t>wheat,</w:t>
      </w:r>
      <w:bookmarkEnd w:id="289"/>
      <w:r w:rsidRPr="0C34660A">
        <w:rPr>
          <w:lang w:val="en-US"/>
        </w:rPr>
        <w:t xml:space="preserve"> and oats, but not for maize </w:t>
      </w:r>
      <w:r w:rsidR="486F2E70" w:rsidRPr="0C34660A">
        <w:rPr>
          <w:noProof/>
        </w:rPr>
        <w:t>(Ministry for the Environment, 2022)</w:t>
      </w:r>
      <w:r w:rsidRPr="0C34660A">
        <w:rPr>
          <w:lang w:val="en-US"/>
        </w:rPr>
        <w:t>. The total area of crop land burned is obtained through annual surveys carried out by Statistics New Zealand, and then converted to a mass basis using biomass density factors.</w:t>
      </w:r>
    </w:p>
    <w:p w14:paraId="4BE2A3FF" w14:textId="7985910B" w:rsidR="006761D2" w:rsidRPr="003D73C3" w:rsidRDefault="24854215" w:rsidP="006761D2">
      <w:pPr>
        <w:spacing w:line="300" w:lineRule="atLeast"/>
        <w:jc w:val="both"/>
      </w:pPr>
      <w:r>
        <w:t>The total mass of crop residues burned in New Zealand in 201</w:t>
      </w:r>
      <w:r w:rsidR="486F2E70">
        <w:t>8</w:t>
      </w:r>
      <w:r>
        <w:t>, 201</w:t>
      </w:r>
      <w:r w:rsidR="486F2E70">
        <w:t>9</w:t>
      </w:r>
      <w:r>
        <w:t xml:space="preserve"> and 20</w:t>
      </w:r>
      <w:r w:rsidR="486F2E70">
        <w:t>20</w:t>
      </w:r>
      <w:r>
        <w:t xml:space="preserve"> was </w:t>
      </w:r>
      <w:r w:rsidR="070B0B94">
        <w:t>221,250,</w:t>
      </w:r>
      <w:r>
        <w:t xml:space="preserve"> </w:t>
      </w:r>
      <w:r w:rsidR="070B0B94">
        <w:t xml:space="preserve">281,580 </w:t>
      </w:r>
      <w:r>
        <w:t>and 279,</w:t>
      </w:r>
      <w:r w:rsidR="070B0B94">
        <w:t xml:space="preserve">840 </w:t>
      </w:r>
      <w:r>
        <w:t xml:space="preserve">tonnes/year, respectively, which gives an annual average rate of </w:t>
      </w:r>
      <w:r w:rsidR="070B0B94">
        <w:t>260,890</w:t>
      </w:r>
      <w:r w:rsidR="32FE473F">
        <w:t xml:space="preserve"> </w:t>
      </w:r>
      <w:r>
        <w:t xml:space="preserve">tonnes/year. This average activity rate has been used for the </w:t>
      </w:r>
      <w:r w:rsidR="070B0B94">
        <w:t>2020</w:t>
      </w:r>
      <w:r>
        <w:t xml:space="preserve"> release estimates, coupled with the UNEP Toolkit factors for burning under </w:t>
      </w:r>
      <w:bookmarkStart w:id="290" w:name="_Int_b35Uo6y8"/>
      <w:r>
        <w:t>relatively favourable</w:t>
      </w:r>
      <w:bookmarkEnd w:id="290"/>
      <w:r>
        <w:t xml:space="preserve"> combustion conditions. The alternative Toolkit factors for burning under poor combustion conditions and in the presence of dioxin precursors, such as chlorinated pesticides, are not relevant to the New Zealand practices. The release estimates are shown in the table below, along with the corresponding estimates from the </w:t>
      </w:r>
      <w:r w:rsidR="0DE10357">
        <w:t xml:space="preserve">2012 and </w:t>
      </w:r>
      <w:r w:rsidR="070B0B94">
        <w:t>2016</w:t>
      </w:r>
      <w:r w:rsidR="32FE473F">
        <w:t xml:space="preserve"> </w:t>
      </w:r>
      <w:r>
        <w:t>inventor</w:t>
      </w:r>
      <w:r w:rsidR="0DE10357">
        <w:t>ies</w:t>
      </w:r>
      <w:r>
        <w:t>.</w:t>
      </w:r>
    </w:p>
    <w:p w14:paraId="50BA4574" w14:textId="77777777" w:rsidR="006761D2" w:rsidRPr="00AF1200" w:rsidRDefault="006761D2" w:rsidP="006761D2">
      <w:pPr>
        <w:spacing w:after="0"/>
        <w:rPr>
          <w:rFonts w:ascii="Arial" w:hAnsi="Arial" w:cs="Arial"/>
          <w:b/>
          <w:bCs/>
          <w:highlight w:val="yellow"/>
        </w:rPr>
      </w:pPr>
      <w:r w:rsidRPr="00AF1200">
        <w:rPr>
          <w:rFonts w:cs="Arial"/>
          <w:highlight w:val="yellow"/>
        </w:rPr>
        <w:br w:type="page"/>
      </w:r>
    </w:p>
    <w:p w14:paraId="1507487D" w14:textId="01F4A549" w:rsidR="006761D2" w:rsidRPr="003D73C3" w:rsidRDefault="006761D2" w:rsidP="006761D2">
      <w:pPr>
        <w:pStyle w:val="Caption"/>
        <w:jc w:val="left"/>
        <w:rPr>
          <w:rFonts w:cs="Arial"/>
          <w:szCs w:val="18"/>
        </w:rPr>
      </w:pPr>
      <w:r w:rsidRPr="003D73C3">
        <w:rPr>
          <w:rFonts w:cs="Arial"/>
        </w:rPr>
        <w:lastRenderedPageBreak/>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1</w:t>
      </w:r>
      <w:r w:rsidRPr="003D73C3">
        <w:rPr>
          <w:rFonts w:cs="Arial"/>
        </w:rPr>
        <w:fldChar w:fldCharType="end"/>
      </w:r>
      <w:r w:rsidRPr="003D73C3">
        <w:rPr>
          <w:rFonts w:cs="Arial"/>
        </w:rPr>
        <w:t>: Dioxin releases from agricultural residue burning</w:t>
      </w:r>
    </w:p>
    <w:tbl>
      <w:tblPr>
        <w:tblStyle w:val="TableGrid"/>
        <w:tblW w:w="0" w:type="auto"/>
        <w:tblLook w:val="04A0" w:firstRow="1" w:lastRow="0" w:firstColumn="1" w:lastColumn="0" w:noHBand="0" w:noVBand="1"/>
      </w:tblPr>
      <w:tblGrid>
        <w:gridCol w:w="926"/>
        <w:gridCol w:w="2572"/>
        <w:gridCol w:w="1405"/>
        <w:gridCol w:w="1420"/>
        <w:gridCol w:w="1343"/>
        <w:gridCol w:w="1395"/>
      </w:tblGrid>
      <w:tr w:rsidR="006761D2" w:rsidRPr="00B06717" w14:paraId="4748DEFD" w14:textId="77777777" w:rsidTr="0C34660A">
        <w:tc>
          <w:tcPr>
            <w:tcW w:w="926" w:type="dxa"/>
            <w:vMerge w:val="restart"/>
            <w:vAlign w:val="center"/>
          </w:tcPr>
          <w:p w14:paraId="5374929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72" w:type="dxa"/>
            <w:vMerge w:val="restart"/>
            <w:vAlign w:val="center"/>
          </w:tcPr>
          <w:p w14:paraId="3A297B82"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91" w:name="_Int_HQ20ZFjU"/>
            <w:r w:rsidRPr="0C34660A">
              <w:rPr>
                <w:rFonts w:ascii="Arial" w:hAnsi="Arial" w:cs="Arial"/>
                <w:b/>
                <w:bCs/>
                <w:sz w:val="16"/>
                <w:szCs w:val="16"/>
              </w:rPr>
              <w:t>tonnes</w:t>
            </w:r>
            <w:bookmarkEnd w:id="291"/>
            <w:r w:rsidRPr="0C34660A">
              <w:rPr>
                <w:rFonts w:ascii="Arial" w:hAnsi="Arial" w:cs="Arial"/>
                <w:b/>
                <w:bCs/>
                <w:sz w:val="16"/>
                <w:szCs w:val="16"/>
              </w:rPr>
              <w:t xml:space="preserve"> biomass burned/year)</w:t>
            </w:r>
          </w:p>
        </w:tc>
        <w:tc>
          <w:tcPr>
            <w:tcW w:w="2825" w:type="dxa"/>
            <w:gridSpan w:val="2"/>
            <w:vAlign w:val="center"/>
          </w:tcPr>
          <w:p w14:paraId="6474085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38" w:type="dxa"/>
            <w:gridSpan w:val="2"/>
            <w:vAlign w:val="center"/>
          </w:tcPr>
          <w:p w14:paraId="5270AA7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B06717" w14:paraId="1EE64048" w14:textId="77777777" w:rsidTr="0C34660A">
        <w:tc>
          <w:tcPr>
            <w:tcW w:w="926" w:type="dxa"/>
            <w:vMerge/>
          </w:tcPr>
          <w:p w14:paraId="519F737D" w14:textId="77777777" w:rsidR="006761D2" w:rsidRPr="003D73C3" w:rsidRDefault="006761D2" w:rsidP="009F7DB8">
            <w:pPr>
              <w:spacing w:before="120"/>
              <w:jc w:val="both"/>
              <w:rPr>
                <w:rFonts w:ascii="Arial" w:hAnsi="Arial" w:cs="Arial"/>
                <w:sz w:val="16"/>
                <w:szCs w:val="18"/>
              </w:rPr>
            </w:pPr>
          </w:p>
        </w:tc>
        <w:tc>
          <w:tcPr>
            <w:tcW w:w="2572" w:type="dxa"/>
            <w:vMerge/>
            <w:vAlign w:val="center"/>
          </w:tcPr>
          <w:p w14:paraId="6D1E6B9B" w14:textId="77777777" w:rsidR="006761D2" w:rsidRPr="003D73C3" w:rsidRDefault="006761D2" w:rsidP="009F7DB8">
            <w:pPr>
              <w:spacing w:before="120"/>
              <w:jc w:val="center"/>
              <w:rPr>
                <w:rFonts w:ascii="Arial" w:hAnsi="Arial" w:cs="Arial"/>
                <w:sz w:val="16"/>
                <w:szCs w:val="18"/>
              </w:rPr>
            </w:pPr>
          </w:p>
        </w:tc>
        <w:tc>
          <w:tcPr>
            <w:tcW w:w="1405" w:type="dxa"/>
            <w:vAlign w:val="center"/>
          </w:tcPr>
          <w:p w14:paraId="43131A6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20" w:type="dxa"/>
            <w:vAlign w:val="center"/>
          </w:tcPr>
          <w:p w14:paraId="4EE906C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3" w:type="dxa"/>
            <w:vAlign w:val="center"/>
          </w:tcPr>
          <w:p w14:paraId="5CB6224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5" w:type="dxa"/>
            <w:vAlign w:val="center"/>
          </w:tcPr>
          <w:p w14:paraId="524E3F7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380A55" w:rsidRPr="00B06717" w14:paraId="5C8EE1A6" w14:textId="77777777" w:rsidTr="0030171B">
        <w:tc>
          <w:tcPr>
            <w:tcW w:w="926" w:type="dxa"/>
            <w:vMerge w:val="restart"/>
            <w:vAlign w:val="center"/>
          </w:tcPr>
          <w:p w14:paraId="0CC98AFE" w14:textId="5435ABE0" w:rsidR="00380A55" w:rsidRDefault="00380A55" w:rsidP="00B06717">
            <w:pPr>
              <w:spacing w:before="120"/>
              <w:rPr>
                <w:rFonts w:ascii="Arial" w:hAnsi="Arial" w:cs="Arial"/>
                <w:b/>
                <w:color w:val="000000" w:themeColor="text1"/>
                <w:sz w:val="16"/>
                <w:szCs w:val="18"/>
              </w:rPr>
            </w:pPr>
            <w:r>
              <w:rPr>
                <w:rFonts w:ascii="Arial" w:hAnsi="Arial" w:cs="Arial"/>
                <w:b/>
                <w:color w:val="000000" w:themeColor="text1"/>
                <w:sz w:val="16"/>
                <w:szCs w:val="18"/>
              </w:rPr>
              <w:t>2012</w:t>
            </w:r>
          </w:p>
        </w:tc>
        <w:tc>
          <w:tcPr>
            <w:tcW w:w="2572" w:type="dxa"/>
            <w:vMerge w:val="restart"/>
            <w:vAlign w:val="center"/>
          </w:tcPr>
          <w:p w14:paraId="2AE5EDD8" w14:textId="3B834597" w:rsidR="00380A55" w:rsidRPr="003D73C3" w:rsidRDefault="00380A55" w:rsidP="00B06717">
            <w:pPr>
              <w:spacing w:before="120"/>
              <w:jc w:val="center"/>
              <w:rPr>
                <w:rFonts w:ascii="Arial" w:hAnsi="Arial" w:cs="Arial"/>
                <w:sz w:val="16"/>
                <w:szCs w:val="18"/>
              </w:rPr>
            </w:pPr>
            <w:r>
              <w:rPr>
                <w:rFonts w:ascii="Arial" w:hAnsi="Arial" w:cs="Arial"/>
                <w:sz w:val="16"/>
                <w:szCs w:val="18"/>
              </w:rPr>
              <w:t>288,274</w:t>
            </w:r>
          </w:p>
        </w:tc>
        <w:tc>
          <w:tcPr>
            <w:tcW w:w="1405" w:type="dxa"/>
            <w:vAlign w:val="center"/>
          </w:tcPr>
          <w:p w14:paraId="51E23A74" w14:textId="425FE854" w:rsidR="00380A55" w:rsidRPr="003D73C3" w:rsidRDefault="00380A55" w:rsidP="00B06717">
            <w:pPr>
              <w:spacing w:before="120"/>
              <w:jc w:val="center"/>
              <w:rPr>
                <w:rFonts w:ascii="Arial" w:hAnsi="Arial" w:cs="Arial"/>
                <w:sz w:val="16"/>
                <w:szCs w:val="18"/>
              </w:rPr>
            </w:pPr>
            <w:r>
              <w:rPr>
                <w:rFonts w:ascii="Arial" w:hAnsi="Arial" w:cs="Arial"/>
                <w:sz w:val="16"/>
                <w:szCs w:val="18"/>
              </w:rPr>
              <w:t>0.5</w:t>
            </w:r>
          </w:p>
        </w:tc>
        <w:tc>
          <w:tcPr>
            <w:tcW w:w="1420" w:type="dxa"/>
            <w:vAlign w:val="center"/>
          </w:tcPr>
          <w:p w14:paraId="6EE95CD0" w14:textId="77777777" w:rsidR="00380A55" w:rsidRPr="003D73C3" w:rsidRDefault="00380A55" w:rsidP="00B06717">
            <w:pPr>
              <w:spacing w:before="120"/>
              <w:jc w:val="center"/>
              <w:rPr>
                <w:rFonts w:ascii="Arial" w:hAnsi="Arial" w:cs="Arial"/>
                <w:sz w:val="16"/>
                <w:szCs w:val="18"/>
              </w:rPr>
            </w:pPr>
          </w:p>
        </w:tc>
        <w:tc>
          <w:tcPr>
            <w:tcW w:w="1343" w:type="dxa"/>
            <w:vAlign w:val="center"/>
          </w:tcPr>
          <w:p w14:paraId="099A8E41" w14:textId="0B5371E5" w:rsidR="00380A55" w:rsidRPr="003D73C3" w:rsidRDefault="00380A55" w:rsidP="00B06717">
            <w:pPr>
              <w:spacing w:before="120"/>
              <w:jc w:val="center"/>
              <w:rPr>
                <w:rFonts w:ascii="Arial" w:hAnsi="Arial" w:cs="Arial"/>
                <w:sz w:val="16"/>
                <w:szCs w:val="18"/>
              </w:rPr>
            </w:pPr>
            <w:r>
              <w:rPr>
                <w:rFonts w:ascii="Arial" w:hAnsi="Arial" w:cs="Arial"/>
                <w:sz w:val="16"/>
                <w:szCs w:val="18"/>
              </w:rPr>
              <w:t>0.144</w:t>
            </w:r>
          </w:p>
        </w:tc>
        <w:tc>
          <w:tcPr>
            <w:tcW w:w="1395" w:type="dxa"/>
            <w:vAlign w:val="center"/>
          </w:tcPr>
          <w:p w14:paraId="094FFC4E" w14:textId="77777777" w:rsidR="00380A55" w:rsidRPr="003D73C3" w:rsidRDefault="00380A55" w:rsidP="00B06717">
            <w:pPr>
              <w:spacing w:before="120"/>
              <w:jc w:val="center"/>
              <w:rPr>
                <w:rFonts w:ascii="Arial" w:hAnsi="Arial" w:cs="Arial"/>
                <w:sz w:val="16"/>
                <w:szCs w:val="18"/>
              </w:rPr>
            </w:pPr>
          </w:p>
        </w:tc>
      </w:tr>
      <w:tr w:rsidR="00380A55" w:rsidRPr="00B06717" w14:paraId="02CE3711" w14:textId="77777777" w:rsidTr="0030171B">
        <w:tc>
          <w:tcPr>
            <w:tcW w:w="926" w:type="dxa"/>
            <w:vMerge/>
            <w:vAlign w:val="center"/>
          </w:tcPr>
          <w:p w14:paraId="5B185F00" w14:textId="77777777" w:rsidR="00380A55" w:rsidRDefault="00380A55" w:rsidP="00B06717">
            <w:pPr>
              <w:spacing w:before="120"/>
              <w:rPr>
                <w:rFonts w:ascii="Arial" w:hAnsi="Arial" w:cs="Arial"/>
                <w:b/>
                <w:color w:val="000000" w:themeColor="text1"/>
                <w:sz w:val="16"/>
                <w:szCs w:val="18"/>
              </w:rPr>
            </w:pPr>
          </w:p>
        </w:tc>
        <w:tc>
          <w:tcPr>
            <w:tcW w:w="2572" w:type="dxa"/>
            <w:vMerge/>
            <w:vAlign w:val="center"/>
          </w:tcPr>
          <w:p w14:paraId="51016E72" w14:textId="77777777" w:rsidR="00380A55" w:rsidRPr="003D73C3" w:rsidRDefault="00380A55" w:rsidP="00B06717">
            <w:pPr>
              <w:spacing w:before="120"/>
              <w:jc w:val="center"/>
              <w:rPr>
                <w:rFonts w:ascii="Arial" w:hAnsi="Arial" w:cs="Arial"/>
                <w:sz w:val="16"/>
                <w:szCs w:val="18"/>
              </w:rPr>
            </w:pPr>
          </w:p>
        </w:tc>
        <w:tc>
          <w:tcPr>
            <w:tcW w:w="1405" w:type="dxa"/>
            <w:vAlign w:val="center"/>
          </w:tcPr>
          <w:p w14:paraId="3EF6F763" w14:textId="77777777" w:rsidR="00380A55" w:rsidRPr="003D73C3" w:rsidRDefault="00380A55" w:rsidP="00B06717">
            <w:pPr>
              <w:spacing w:before="120"/>
              <w:jc w:val="center"/>
              <w:rPr>
                <w:rFonts w:ascii="Arial" w:hAnsi="Arial" w:cs="Arial"/>
                <w:sz w:val="16"/>
                <w:szCs w:val="18"/>
              </w:rPr>
            </w:pPr>
          </w:p>
        </w:tc>
        <w:tc>
          <w:tcPr>
            <w:tcW w:w="1420" w:type="dxa"/>
            <w:vAlign w:val="center"/>
          </w:tcPr>
          <w:p w14:paraId="237D60FE" w14:textId="39A76318" w:rsidR="00380A55" w:rsidRPr="003D73C3" w:rsidRDefault="00380A55" w:rsidP="00B06717">
            <w:pPr>
              <w:spacing w:before="120"/>
              <w:jc w:val="center"/>
              <w:rPr>
                <w:rFonts w:ascii="Arial" w:hAnsi="Arial" w:cs="Arial"/>
                <w:sz w:val="16"/>
                <w:szCs w:val="18"/>
              </w:rPr>
            </w:pPr>
            <w:r>
              <w:rPr>
                <w:rFonts w:ascii="Arial" w:hAnsi="Arial" w:cs="Arial"/>
                <w:sz w:val="16"/>
                <w:szCs w:val="18"/>
              </w:rPr>
              <w:t>0.05</w:t>
            </w:r>
          </w:p>
        </w:tc>
        <w:tc>
          <w:tcPr>
            <w:tcW w:w="1343" w:type="dxa"/>
            <w:vAlign w:val="center"/>
          </w:tcPr>
          <w:p w14:paraId="1BFEA374" w14:textId="77777777" w:rsidR="00380A55" w:rsidRPr="003D73C3" w:rsidRDefault="00380A55" w:rsidP="00B06717">
            <w:pPr>
              <w:spacing w:before="120"/>
              <w:jc w:val="center"/>
              <w:rPr>
                <w:rFonts w:ascii="Arial" w:hAnsi="Arial" w:cs="Arial"/>
                <w:sz w:val="16"/>
                <w:szCs w:val="18"/>
              </w:rPr>
            </w:pPr>
          </w:p>
        </w:tc>
        <w:tc>
          <w:tcPr>
            <w:tcW w:w="1395" w:type="dxa"/>
            <w:vAlign w:val="center"/>
          </w:tcPr>
          <w:p w14:paraId="12D14EF1" w14:textId="1DCBF068" w:rsidR="00380A55" w:rsidRPr="003D73C3" w:rsidRDefault="00380A55" w:rsidP="00B06717">
            <w:pPr>
              <w:spacing w:before="120"/>
              <w:jc w:val="center"/>
              <w:rPr>
                <w:rFonts w:ascii="Arial" w:hAnsi="Arial" w:cs="Arial"/>
                <w:sz w:val="16"/>
                <w:szCs w:val="18"/>
              </w:rPr>
            </w:pPr>
            <w:r>
              <w:rPr>
                <w:rFonts w:ascii="Arial" w:hAnsi="Arial" w:cs="Arial"/>
                <w:sz w:val="16"/>
                <w:szCs w:val="18"/>
              </w:rPr>
              <w:t>0.0014</w:t>
            </w:r>
          </w:p>
        </w:tc>
      </w:tr>
      <w:tr w:rsidR="00191031" w:rsidRPr="00B06717" w14:paraId="3E00CD3D" w14:textId="77777777" w:rsidTr="0030171B">
        <w:tc>
          <w:tcPr>
            <w:tcW w:w="926" w:type="dxa"/>
            <w:vMerge w:val="restart"/>
            <w:vAlign w:val="center"/>
          </w:tcPr>
          <w:p w14:paraId="023CC188" w14:textId="79B9BF59" w:rsidR="00B06717" w:rsidRPr="003D73C3" w:rsidRDefault="00380A55" w:rsidP="00B06717">
            <w:pPr>
              <w:spacing w:before="120"/>
              <w:rPr>
                <w:rFonts w:ascii="Arial" w:hAnsi="Arial" w:cs="Arial"/>
                <w:b/>
                <w:sz w:val="16"/>
                <w:szCs w:val="18"/>
              </w:rPr>
            </w:pPr>
            <w:r>
              <w:rPr>
                <w:rFonts w:ascii="Arial" w:hAnsi="Arial" w:cs="Arial"/>
                <w:b/>
                <w:color w:val="000000" w:themeColor="text1"/>
                <w:sz w:val="16"/>
                <w:szCs w:val="18"/>
              </w:rPr>
              <w:t>2016</w:t>
            </w:r>
          </w:p>
        </w:tc>
        <w:tc>
          <w:tcPr>
            <w:tcW w:w="2572" w:type="dxa"/>
            <w:vMerge w:val="restart"/>
            <w:vAlign w:val="center"/>
          </w:tcPr>
          <w:p w14:paraId="6FD93ACC" w14:textId="7E7C8CD7"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290,417</w:t>
            </w:r>
          </w:p>
        </w:tc>
        <w:tc>
          <w:tcPr>
            <w:tcW w:w="1405" w:type="dxa"/>
            <w:vAlign w:val="center"/>
          </w:tcPr>
          <w:p w14:paraId="7BB18D62" w14:textId="0B33FD29"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0.5</w:t>
            </w:r>
          </w:p>
        </w:tc>
        <w:tc>
          <w:tcPr>
            <w:tcW w:w="1420" w:type="dxa"/>
            <w:vAlign w:val="center"/>
          </w:tcPr>
          <w:p w14:paraId="6589E14F" w14:textId="6483B47B"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w:t>
            </w:r>
          </w:p>
        </w:tc>
        <w:tc>
          <w:tcPr>
            <w:tcW w:w="1343" w:type="dxa"/>
            <w:vAlign w:val="center"/>
          </w:tcPr>
          <w:p w14:paraId="75958583" w14:textId="1634CA0D"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0.145</w:t>
            </w:r>
          </w:p>
        </w:tc>
        <w:tc>
          <w:tcPr>
            <w:tcW w:w="1395" w:type="dxa"/>
            <w:vAlign w:val="center"/>
          </w:tcPr>
          <w:p w14:paraId="042FEF6D" w14:textId="0219A14C"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w:t>
            </w:r>
          </w:p>
        </w:tc>
      </w:tr>
      <w:tr w:rsidR="00B06717" w:rsidRPr="00B06717" w14:paraId="2892C315" w14:textId="77777777" w:rsidTr="0C34660A">
        <w:tc>
          <w:tcPr>
            <w:tcW w:w="926" w:type="dxa"/>
            <w:vMerge/>
            <w:vAlign w:val="center"/>
          </w:tcPr>
          <w:p w14:paraId="3FCE702E" w14:textId="77777777" w:rsidR="00B06717" w:rsidRPr="003D73C3" w:rsidRDefault="00B06717" w:rsidP="00B06717">
            <w:pPr>
              <w:spacing w:before="120"/>
              <w:rPr>
                <w:rFonts w:ascii="Arial" w:hAnsi="Arial" w:cs="Arial"/>
                <w:b/>
                <w:sz w:val="16"/>
                <w:szCs w:val="18"/>
              </w:rPr>
            </w:pPr>
          </w:p>
        </w:tc>
        <w:tc>
          <w:tcPr>
            <w:tcW w:w="2572" w:type="dxa"/>
            <w:vMerge/>
            <w:vAlign w:val="center"/>
          </w:tcPr>
          <w:p w14:paraId="6DB27870" w14:textId="77777777" w:rsidR="00B06717" w:rsidRPr="003D73C3" w:rsidRDefault="00B06717" w:rsidP="00B06717">
            <w:pPr>
              <w:spacing w:before="120"/>
              <w:jc w:val="center"/>
              <w:rPr>
                <w:rFonts w:ascii="Arial" w:hAnsi="Arial" w:cs="Arial"/>
                <w:sz w:val="16"/>
                <w:szCs w:val="18"/>
              </w:rPr>
            </w:pPr>
          </w:p>
        </w:tc>
        <w:tc>
          <w:tcPr>
            <w:tcW w:w="1405" w:type="dxa"/>
            <w:vAlign w:val="center"/>
          </w:tcPr>
          <w:p w14:paraId="72C357D2" w14:textId="66604A1B"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w:t>
            </w:r>
          </w:p>
        </w:tc>
        <w:tc>
          <w:tcPr>
            <w:tcW w:w="1420" w:type="dxa"/>
            <w:vAlign w:val="center"/>
          </w:tcPr>
          <w:p w14:paraId="4B0D0C26" w14:textId="1707CF38"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0.05</w:t>
            </w:r>
          </w:p>
        </w:tc>
        <w:tc>
          <w:tcPr>
            <w:tcW w:w="1343" w:type="dxa"/>
            <w:vAlign w:val="center"/>
          </w:tcPr>
          <w:p w14:paraId="4E97E732" w14:textId="548668A2"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w:t>
            </w:r>
          </w:p>
        </w:tc>
        <w:tc>
          <w:tcPr>
            <w:tcW w:w="1395" w:type="dxa"/>
            <w:vAlign w:val="center"/>
          </w:tcPr>
          <w:p w14:paraId="348D3764" w14:textId="4368E8B1" w:rsidR="00B06717" w:rsidRPr="003D73C3" w:rsidRDefault="00B06717" w:rsidP="00B06717">
            <w:pPr>
              <w:spacing w:before="120"/>
              <w:jc w:val="center"/>
              <w:rPr>
                <w:rFonts w:ascii="Arial" w:hAnsi="Arial" w:cs="Arial"/>
                <w:sz w:val="16"/>
                <w:szCs w:val="18"/>
              </w:rPr>
            </w:pPr>
            <w:r w:rsidRPr="003D73C3">
              <w:rPr>
                <w:rFonts w:ascii="Arial" w:hAnsi="Arial" w:cs="Arial"/>
                <w:sz w:val="16"/>
                <w:szCs w:val="18"/>
              </w:rPr>
              <w:t>0.0145</w:t>
            </w:r>
          </w:p>
        </w:tc>
      </w:tr>
      <w:tr w:rsidR="006761D2" w:rsidRPr="00B06717" w14:paraId="55849D64" w14:textId="77777777" w:rsidTr="0C34660A">
        <w:tc>
          <w:tcPr>
            <w:tcW w:w="926" w:type="dxa"/>
            <w:vMerge w:val="restart"/>
            <w:vAlign w:val="center"/>
          </w:tcPr>
          <w:p w14:paraId="2152C89C" w14:textId="50788498" w:rsidR="006761D2" w:rsidRPr="003D73C3" w:rsidRDefault="00B06717" w:rsidP="009F7DB8">
            <w:pPr>
              <w:spacing w:before="120"/>
              <w:rPr>
                <w:rFonts w:ascii="Arial" w:hAnsi="Arial" w:cs="Arial"/>
                <w:b/>
                <w:sz w:val="16"/>
                <w:szCs w:val="18"/>
              </w:rPr>
            </w:pPr>
            <w:r w:rsidRPr="003D73C3">
              <w:rPr>
                <w:rFonts w:ascii="Arial" w:hAnsi="Arial" w:cs="Arial"/>
                <w:b/>
                <w:sz w:val="16"/>
                <w:szCs w:val="18"/>
              </w:rPr>
              <w:t>2020</w:t>
            </w:r>
          </w:p>
        </w:tc>
        <w:tc>
          <w:tcPr>
            <w:tcW w:w="2572" w:type="dxa"/>
            <w:vMerge w:val="restart"/>
            <w:vAlign w:val="center"/>
          </w:tcPr>
          <w:p w14:paraId="7FE6C330" w14:textId="2EDC6256" w:rsidR="006761D2" w:rsidRPr="003D73C3" w:rsidRDefault="00B06717" w:rsidP="009F7DB8">
            <w:pPr>
              <w:spacing w:before="120"/>
              <w:jc w:val="center"/>
              <w:rPr>
                <w:rFonts w:ascii="Arial" w:hAnsi="Arial" w:cs="Arial"/>
                <w:sz w:val="16"/>
                <w:szCs w:val="18"/>
              </w:rPr>
            </w:pPr>
            <w:r w:rsidRPr="003D73C3">
              <w:rPr>
                <w:rFonts w:ascii="Arial" w:hAnsi="Arial" w:cs="Arial"/>
                <w:sz w:val="16"/>
                <w:szCs w:val="18"/>
              </w:rPr>
              <w:t>260,890</w:t>
            </w:r>
          </w:p>
        </w:tc>
        <w:tc>
          <w:tcPr>
            <w:tcW w:w="1405" w:type="dxa"/>
            <w:vAlign w:val="center"/>
          </w:tcPr>
          <w:p w14:paraId="52DB0352" w14:textId="57B53882" w:rsidR="006761D2" w:rsidRPr="003D73C3" w:rsidRDefault="00B06717" w:rsidP="009F7DB8">
            <w:pPr>
              <w:spacing w:before="120"/>
              <w:jc w:val="center"/>
              <w:rPr>
                <w:rFonts w:ascii="Arial" w:hAnsi="Arial" w:cs="Arial"/>
                <w:sz w:val="16"/>
                <w:szCs w:val="18"/>
              </w:rPr>
            </w:pPr>
            <w:r w:rsidRPr="003D73C3">
              <w:rPr>
                <w:rFonts w:ascii="Arial" w:hAnsi="Arial" w:cs="Arial"/>
                <w:sz w:val="16"/>
                <w:szCs w:val="18"/>
              </w:rPr>
              <w:t>0.5</w:t>
            </w:r>
          </w:p>
        </w:tc>
        <w:tc>
          <w:tcPr>
            <w:tcW w:w="1420" w:type="dxa"/>
            <w:vAlign w:val="center"/>
          </w:tcPr>
          <w:p w14:paraId="371B366F" w14:textId="36300EF1" w:rsidR="006761D2" w:rsidRPr="003D73C3" w:rsidRDefault="006761D2" w:rsidP="009F7DB8">
            <w:pPr>
              <w:spacing w:before="120"/>
              <w:jc w:val="center"/>
              <w:rPr>
                <w:rFonts w:ascii="Arial" w:hAnsi="Arial" w:cs="Arial"/>
                <w:sz w:val="16"/>
                <w:szCs w:val="18"/>
              </w:rPr>
            </w:pPr>
          </w:p>
        </w:tc>
        <w:tc>
          <w:tcPr>
            <w:tcW w:w="1343" w:type="dxa"/>
            <w:vAlign w:val="center"/>
          </w:tcPr>
          <w:p w14:paraId="2A040B67" w14:textId="1D0F60D9" w:rsidR="006761D2" w:rsidRPr="003D73C3" w:rsidRDefault="00B06717" w:rsidP="009F7DB8">
            <w:pPr>
              <w:spacing w:before="120"/>
              <w:jc w:val="center"/>
              <w:rPr>
                <w:rFonts w:ascii="Arial" w:hAnsi="Arial" w:cs="Arial"/>
                <w:sz w:val="16"/>
                <w:szCs w:val="18"/>
              </w:rPr>
            </w:pPr>
            <w:r w:rsidRPr="003D73C3">
              <w:rPr>
                <w:rFonts w:ascii="Arial" w:hAnsi="Arial" w:cs="Arial"/>
                <w:sz w:val="16"/>
                <w:szCs w:val="18"/>
              </w:rPr>
              <w:t>0.130</w:t>
            </w:r>
          </w:p>
        </w:tc>
        <w:tc>
          <w:tcPr>
            <w:tcW w:w="1395" w:type="dxa"/>
            <w:vAlign w:val="center"/>
          </w:tcPr>
          <w:p w14:paraId="78364867" w14:textId="1DA4BCE0" w:rsidR="006761D2" w:rsidRPr="003D73C3" w:rsidRDefault="006761D2" w:rsidP="009F7DB8">
            <w:pPr>
              <w:spacing w:before="120"/>
              <w:jc w:val="center"/>
              <w:rPr>
                <w:rFonts w:ascii="Arial" w:hAnsi="Arial" w:cs="Arial"/>
                <w:sz w:val="16"/>
                <w:szCs w:val="18"/>
              </w:rPr>
            </w:pPr>
          </w:p>
        </w:tc>
      </w:tr>
      <w:tr w:rsidR="006761D2" w:rsidRPr="00AF1200" w14:paraId="264429D4" w14:textId="77777777" w:rsidTr="0C34660A">
        <w:tc>
          <w:tcPr>
            <w:tcW w:w="926" w:type="dxa"/>
            <w:vMerge/>
            <w:vAlign w:val="center"/>
          </w:tcPr>
          <w:p w14:paraId="5B96D679" w14:textId="77777777" w:rsidR="006761D2" w:rsidRPr="003D73C3" w:rsidRDefault="006761D2" w:rsidP="009F7DB8">
            <w:pPr>
              <w:spacing w:before="120"/>
              <w:rPr>
                <w:rFonts w:ascii="Arial" w:hAnsi="Arial" w:cs="Arial"/>
                <w:b/>
                <w:sz w:val="16"/>
                <w:szCs w:val="18"/>
              </w:rPr>
            </w:pPr>
          </w:p>
        </w:tc>
        <w:tc>
          <w:tcPr>
            <w:tcW w:w="2572" w:type="dxa"/>
            <w:vMerge/>
            <w:vAlign w:val="center"/>
          </w:tcPr>
          <w:p w14:paraId="44AED54B" w14:textId="77777777" w:rsidR="006761D2" w:rsidRPr="003D73C3" w:rsidRDefault="006761D2" w:rsidP="009F7DB8">
            <w:pPr>
              <w:spacing w:before="120"/>
              <w:jc w:val="center"/>
              <w:rPr>
                <w:rFonts w:ascii="Arial" w:hAnsi="Arial" w:cs="Arial"/>
                <w:sz w:val="16"/>
                <w:szCs w:val="18"/>
              </w:rPr>
            </w:pPr>
          </w:p>
        </w:tc>
        <w:tc>
          <w:tcPr>
            <w:tcW w:w="1405" w:type="dxa"/>
            <w:vAlign w:val="center"/>
          </w:tcPr>
          <w:p w14:paraId="02398953" w14:textId="5497BE92" w:rsidR="006761D2" w:rsidRPr="003D73C3" w:rsidRDefault="006761D2" w:rsidP="009F7DB8">
            <w:pPr>
              <w:spacing w:before="120"/>
              <w:jc w:val="center"/>
              <w:rPr>
                <w:rFonts w:ascii="Arial" w:hAnsi="Arial" w:cs="Arial"/>
                <w:sz w:val="16"/>
                <w:szCs w:val="18"/>
              </w:rPr>
            </w:pPr>
          </w:p>
        </w:tc>
        <w:tc>
          <w:tcPr>
            <w:tcW w:w="1420" w:type="dxa"/>
            <w:vAlign w:val="center"/>
          </w:tcPr>
          <w:p w14:paraId="7455D7EB" w14:textId="0A88042A" w:rsidR="006761D2" w:rsidRPr="003D73C3" w:rsidRDefault="00B06717" w:rsidP="009F7DB8">
            <w:pPr>
              <w:spacing w:before="120"/>
              <w:jc w:val="center"/>
              <w:rPr>
                <w:rFonts w:ascii="Arial" w:hAnsi="Arial" w:cs="Arial"/>
                <w:sz w:val="16"/>
                <w:szCs w:val="18"/>
              </w:rPr>
            </w:pPr>
            <w:r w:rsidRPr="003D73C3">
              <w:rPr>
                <w:rFonts w:ascii="Arial" w:hAnsi="Arial" w:cs="Arial"/>
                <w:sz w:val="16"/>
                <w:szCs w:val="18"/>
              </w:rPr>
              <w:t>0.05</w:t>
            </w:r>
          </w:p>
        </w:tc>
        <w:tc>
          <w:tcPr>
            <w:tcW w:w="1343" w:type="dxa"/>
            <w:vAlign w:val="center"/>
          </w:tcPr>
          <w:p w14:paraId="1C493701" w14:textId="1F146A58" w:rsidR="006761D2" w:rsidRPr="003D73C3" w:rsidRDefault="006761D2" w:rsidP="009F7DB8">
            <w:pPr>
              <w:spacing w:before="120"/>
              <w:jc w:val="center"/>
              <w:rPr>
                <w:rFonts w:ascii="Arial" w:hAnsi="Arial" w:cs="Arial"/>
                <w:sz w:val="16"/>
                <w:szCs w:val="18"/>
              </w:rPr>
            </w:pPr>
          </w:p>
        </w:tc>
        <w:tc>
          <w:tcPr>
            <w:tcW w:w="1395" w:type="dxa"/>
            <w:vAlign w:val="center"/>
          </w:tcPr>
          <w:p w14:paraId="3FCFE9AB" w14:textId="4FD93515" w:rsidR="006761D2" w:rsidRPr="003D73C3" w:rsidRDefault="00B06717" w:rsidP="009F7DB8">
            <w:pPr>
              <w:spacing w:before="120"/>
              <w:jc w:val="center"/>
              <w:rPr>
                <w:rFonts w:ascii="Arial" w:hAnsi="Arial" w:cs="Arial"/>
                <w:sz w:val="16"/>
                <w:szCs w:val="18"/>
              </w:rPr>
            </w:pPr>
            <w:r w:rsidRPr="003D73C3">
              <w:rPr>
                <w:rFonts w:ascii="Arial" w:hAnsi="Arial" w:cs="Arial"/>
                <w:sz w:val="16"/>
                <w:szCs w:val="18"/>
              </w:rPr>
              <w:t>0.0130</w:t>
            </w:r>
          </w:p>
        </w:tc>
      </w:tr>
    </w:tbl>
    <w:p w14:paraId="2005624A" w14:textId="79472A0F"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B06717" w:rsidRPr="003D73C3">
        <w:rPr>
          <w:rFonts w:ascii="Arial" w:hAnsi="Arial" w:cs="Arial"/>
          <w:b/>
          <w:szCs w:val="18"/>
        </w:rPr>
        <w:t>2020</w:t>
      </w:r>
    </w:p>
    <w:p w14:paraId="0998742C"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High (because they are based on the national greenhouse gas inventory data)</w:t>
      </w:r>
    </w:p>
    <w:p w14:paraId="38AD73CF"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they based on the Toolkit default factors)</w:t>
      </w:r>
    </w:p>
    <w:p w14:paraId="67F8734E" w14:textId="3A258134" w:rsidR="006761D2" w:rsidRPr="003D73C3" w:rsidRDefault="006761D2" w:rsidP="006761D2">
      <w:pPr>
        <w:pStyle w:val="Heading3"/>
      </w:pPr>
      <w:bookmarkStart w:id="292" w:name="_Toc112768121"/>
      <w:r w:rsidRPr="003D73C3">
        <w:t>Sugarcane burning</w:t>
      </w:r>
      <w:bookmarkEnd w:id="292"/>
    </w:p>
    <w:p w14:paraId="416C5FB6" w14:textId="7F25C3A6" w:rsidR="006761D2" w:rsidRPr="003D73C3" w:rsidRDefault="006761D2" w:rsidP="006761D2">
      <w:pPr>
        <w:spacing w:line="300" w:lineRule="atLeast"/>
        <w:jc w:val="both"/>
        <w:rPr>
          <w:szCs w:val="18"/>
        </w:rPr>
      </w:pPr>
      <w:r w:rsidRPr="003D73C3">
        <w:rPr>
          <w:szCs w:val="18"/>
        </w:rPr>
        <w:t>This source has not been assessed because there are no sugarcane plantations in New Zealand.</w:t>
      </w:r>
    </w:p>
    <w:p w14:paraId="75A0A3ED" w14:textId="77777777" w:rsidR="006761D2" w:rsidRPr="003D73C3" w:rsidRDefault="006761D2" w:rsidP="006761D2">
      <w:pPr>
        <w:pStyle w:val="Heading3"/>
      </w:pPr>
      <w:bookmarkStart w:id="293" w:name="_Toc112768122"/>
      <w:r w:rsidRPr="003D73C3">
        <w:t>Forest fires</w:t>
      </w:r>
      <w:bookmarkEnd w:id="293"/>
    </w:p>
    <w:p w14:paraId="2EBDC0FF" w14:textId="2796BD4C" w:rsidR="006761D2" w:rsidRPr="003D73C3" w:rsidRDefault="24854215" w:rsidP="0C34660A">
      <w:pPr>
        <w:spacing w:line="300" w:lineRule="atLeast"/>
        <w:jc w:val="both"/>
        <w:rPr>
          <w:lang w:val="en-US"/>
        </w:rPr>
      </w:pPr>
      <w:r w:rsidRPr="0C34660A">
        <w:rPr>
          <w:lang w:val="en-US"/>
        </w:rPr>
        <w:t xml:space="preserve">This source category covers wildfires and controlled burn-offs in forests. </w:t>
      </w:r>
      <w:bookmarkStart w:id="294" w:name="_Int_R1qCKRsP"/>
      <w:proofErr w:type="gramStart"/>
      <w:r w:rsidRPr="0C34660A">
        <w:rPr>
          <w:lang w:val="en-US"/>
        </w:rPr>
        <w:t>Both of these</w:t>
      </w:r>
      <w:bookmarkEnd w:id="294"/>
      <w:proofErr w:type="gramEnd"/>
      <w:r w:rsidRPr="0C34660A">
        <w:rPr>
          <w:lang w:val="en-US"/>
        </w:rPr>
        <w:t xml:space="preserve"> activities are addressed in the greenhouse gas inventory reports and estimates for the total area of forest land burned are obtained through surveys of forestry owners and data available from the National Rural Fire Authority. These are converted to a mass basis using a single biomass density factor for all forest types </w:t>
      </w:r>
      <w:r w:rsidR="5639CB8F" w:rsidRPr="0C34660A">
        <w:rPr>
          <w:noProof/>
        </w:rPr>
        <w:t>(Ministry for the Environment, 2022)</w:t>
      </w:r>
      <w:r w:rsidRPr="0C34660A">
        <w:rPr>
          <w:lang w:val="en-US"/>
        </w:rPr>
        <w:t>.</w:t>
      </w:r>
    </w:p>
    <w:p w14:paraId="1871C4E5" w14:textId="07497CBE" w:rsidR="006761D2" w:rsidRPr="003D73C3" w:rsidRDefault="006761D2" w:rsidP="00F500FE">
      <w:pPr>
        <w:spacing w:line="300" w:lineRule="atLeast"/>
        <w:jc w:val="both"/>
        <w:rPr>
          <w:rFonts w:ascii="Arial" w:hAnsi="Arial" w:cs="Arial"/>
          <w:b/>
          <w:bCs/>
        </w:rPr>
      </w:pPr>
      <w:r w:rsidRPr="003D73C3">
        <w:rPr>
          <w:szCs w:val="18"/>
          <w:lang w:val="en-US"/>
        </w:rPr>
        <w:t>The total mass of forest biomass burned in New Zealand in</w:t>
      </w:r>
      <w:r w:rsidR="00CB7A81" w:rsidRPr="003D73C3">
        <w:rPr>
          <w:szCs w:val="18"/>
          <w:lang w:val="en-US"/>
        </w:rPr>
        <w:t xml:space="preserve"> </w:t>
      </w:r>
      <w:r w:rsidR="00273705">
        <w:rPr>
          <w:szCs w:val="18"/>
          <w:lang w:val="en-US"/>
        </w:rPr>
        <w:t xml:space="preserve">2018, 2019 and 2020 </w:t>
      </w:r>
      <w:r w:rsidRPr="003D73C3">
        <w:rPr>
          <w:szCs w:val="18"/>
          <w:lang w:val="en-US"/>
        </w:rPr>
        <w:t>was</w:t>
      </w:r>
      <w:r w:rsidR="00273705">
        <w:rPr>
          <w:szCs w:val="18"/>
          <w:lang w:val="en-US"/>
        </w:rPr>
        <w:t xml:space="preserve"> 149,212, 473,983</w:t>
      </w:r>
      <w:r w:rsidR="003D73C3">
        <w:rPr>
          <w:szCs w:val="18"/>
          <w:lang w:val="en-US"/>
        </w:rPr>
        <w:t xml:space="preserve"> </w:t>
      </w:r>
      <w:r w:rsidRPr="003D73C3">
        <w:rPr>
          <w:szCs w:val="18"/>
          <w:lang w:val="en-US"/>
        </w:rPr>
        <w:t xml:space="preserve">and </w:t>
      </w:r>
      <w:r w:rsidR="00273705">
        <w:rPr>
          <w:szCs w:val="18"/>
          <w:lang w:val="en-US"/>
        </w:rPr>
        <w:t xml:space="preserve">517,529 </w:t>
      </w:r>
      <w:r w:rsidRPr="003D73C3">
        <w:rPr>
          <w:szCs w:val="18"/>
          <w:lang w:val="en-US"/>
        </w:rPr>
        <w:t xml:space="preserve">tonnes/year, respectively, which gives an average rate of </w:t>
      </w:r>
      <w:r w:rsidR="00273705">
        <w:rPr>
          <w:szCs w:val="18"/>
          <w:lang w:val="en-US"/>
        </w:rPr>
        <w:t xml:space="preserve">380,242 </w:t>
      </w:r>
      <w:r w:rsidRPr="003D73C3">
        <w:rPr>
          <w:szCs w:val="18"/>
          <w:lang w:val="en-US"/>
        </w:rPr>
        <w:t xml:space="preserve">tonnes/year. This activity rate has been used for the </w:t>
      </w:r>
      <w:r w:rsidR="00273705">
        <w:rPr>
          <w:szCs w:val="18"/>
          <w:lang w:val="en-US"/>
        </w:rPr>
        <w:t xml:space="preserve">2020 </w:t>
      </w:r>
      <w:r w:rsidRPr="003D73C3">
        <w:rPr>
          <w:szCs w:val="18"/>
          <w:lang w:val="en-US"/>
        </w:rPr>
        <w:t xml:space="preserve">release estimates, coupled with the UNEP Toolkit factors. The release estimates are shown in the table below, along with the corresponding estimates from the 2012 </w:t>
      </w:r>
      <w:r w:rsidR="00273705">
        <w:rPr>
          <w:szCs w:val="18"/>
          <w:lang w:val="en-US"/>
        </w:rPr>
        <w:t xml:space="preserve">and 2016 </w:t>
      </w:r>
      <w:r w:rsidRPr="003D73C3">
        <w:rPr>
          <w:szCs w:val="18"/>
          <w:lang w:val="en-US"/>
        </w:rPr>
        <w:t>inventor</w:t>
      </w:r>
      <w:r w:rsidR="00273705">
        <w:rPr>
          <w:szCs w:val="18"/>
          <w:lang w:val="en-US"/>
        </w:rPr>
        <w:t>ies</w:t>
      </w:r>
      <w:r w:rsidRPr="003D73C3">
        <w:rPr>
          <w:szCs w:val="18"/>
          <w:lang w:val="en-US"/>
        </w:rPr>
        <w:t>.</w:t>
      </w:r>
    </w:p>
    <w:p w14:paraId="5F9B4567" w14:textId="0A6BAF57"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2</w:t>
      </w:r>
      <w:r w:rsidRPr="003D73C3">
        <w:rPr>
          <w:rFonts w:cs="Arial"/>
        </w:rPr>
        <w:fldChar w:fldCharType="end"/>
      </w:r>
      <w:r w:rsidRPr="003D73C3">
        <w:rPr>
          <w:rFonts w:cs="Arial"/>
        </w:rPr>
        <w:t>: Dioxin releases from forest fires</w:t>
      </w:r>
    </w:p>
    <w:tbl>
      <w:tblPr>
        <w:tblStyle w:val="TableGrid"/>
        <w:tblW w:w="0" w:type="auto"/>
        <w:tblLook w:val="04A0" w:firstRow="1" w:lastRow="0" w:firstColumn="1" w:lastColumn="0" w:noHBand="0" w:noVBand="1"/>
      </w:tblPr>
      <w:tblGrid>
        <w:gridCol w:w="911"/>
        <w:gridCol w:w="2579"/>
        <w:gridCol w:w="1408"/>
        <w:gridCol w:w="1424"/>
        <w:gridCol w:w="1344"/>
        <w:gridCol w:w="1395"/>
      </w:tblGrid>
      <w:tr w:rsidR="006761D2" w:rsidRPr="00700E15" w14:paraId="60CF6D68" w14:textId="77777777" w:rsidTr="0030171B">
        <w:tc>
          <w:tcPr>
            <w:tcW w:w="911" w:type="dxa"/>
            <w:vMerge w:val="restart"/>
            <w:vAlign w:val="center"/>
          </w:tcPr>
          <w:p w14:paraId="62C273C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79" w:type="dxa"/>
            <w:vMerge w:val="restart"/>
            <w:vAlign w:val="center"/>
          </w:tcPr>
          <w:p w14:paraId="58E19B8C"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95" w:name="_Int_Ey3gzQDd"/>
            <w:r w:rsidRPr="0C34660A">
              <w:rPr>
                <w:rFonts w:ascii="Arial" w:hAnsi="Arial" w:cs="Arial"/>
                <w:b/>
                <w:bCs/>
                <w:sz w:val="16"/>
                <w:szCs w:val="16"/>
              </w:rPr>
              <w:t>tonnes</w:t>
            </w:r>
            <w:bookmarkEnd w:id="295"/>
            <w:r w:rsidRPr="0C34660A">
              <w:rPr>
                <w:rFonts w:ascii="Arial" w:hAnsi="Arial" w:cs="Arial"/>
                <w:b/>
                <w:bCs/>
                <w:sz w:val="16"/>
                <w:szCs w:val="16"/>
              </w:rPr>
              <w:t xml:space="preserve"> biomass burned/year)</w:t>
            </w:r>
          </w:p>
        </w:tc>
        <w:tc>
          <w:tcPr>
            <w:tcW w:w="2832" w:type="dxa"/>
            <w:gridSpan w:val="2"/>
            <w:vAlign w:val="center"/>
          </w:tcPr>
          <w:p w14:paraId="6219316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39" w:type="dxa"/>
            <w:gridSpan w:val="2"/>
            <w:vAlign w:val="center"/>
          </w:tcPr>
          <w:p w14:paraId="7B89640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700E15" w14:paraId="4DA73614" w14:textId="77777777" w:rsidTr="0030171B">
        <w:tc>
          <w:tcPr>
            <w:tcW w:w="911" w:type="dxa"/>
            <w:vMerge/>
          </w:tcPr>
          <w:p w14:paraId="10A51B35" w14:textId="77777777" w:rsidR="006761D2" w:rsidRPr="003D73C3" w:rsidRDefault="006761D2" w:rsidP="009F7DB8">
            <w:pPr>
              <w:spacing w:before="120"/>
              <w:jc w:val="both"/>
              <w:rPr>
                <w:rFonts w:ascii="Arial" w:hAnsi="Arial" w:cs="Arial"/>
                <w:sz w:val="16"/>
                <w:szCs w:val="18"/>
              </w:rPr>
            </w:pPr>
          </w:p>
        </w:tc>
        <w:tc>
          <w:tcPr>
            <w:tcW w:w="2579" w:type="dxa"/>
            <w:vMerge/>
            <w:vAlign w:val="center"/>
          </w:tcPr>
          <w:p w14:paraId="29116D5D" w14:textId="77777777" w:rsidR="006761D2" w:rsidRPr="003D73C3" w:rsidRDefault="006761D2" w:rsidP="009F7DB8">
            <w:pPr>
              <w:spacing w:before="120"/>
              <w:jc w:val="center"/>
              <w:rPr>
                <w:rFonts w:ascii="Arial" w:hAnsi="Arial" w:cs="Arial"/>
                <w:sz w:val="16"/>
                <w:szCs w:val="18"/>
              </w:rPr>
            </w:pPr>
          </w:p>
        </w:tc>
        <w:tc>
          <w:tcPr>
            <w:tcW w:w="1408" w:type="dxa"/>
            <w:vAlign w:val="center"/>
          </w:tcPr>
          <w:p w14:paraId="1C9D499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24" w:type="dxa"/>
            <w:vAlign w:val="center"/>
          </w:tcPr>
          <w:p w14:paraId="591D50F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4" w:type="dxa"/>
            <w:vAlign w:val="center"/>
          </w:tcPr>
          <w:p w14:paraId="54B8F50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5" w:type="dxa"/>
            <w:vAlign w:val="center"/>
          </w:tcPr>
          <w:p w14:paraId="569C850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C2139E" w:rsidRPr="00700E15" w14:paraId="248E5C83" w14:textId="77777777" w:rsidTr="0030171B">
        <w:tc>
          <w:tcPr>
            <w:tcW w:w="911" w:type="dxa"/>
            <w:vMerge w:val="restart"/>
            <w:vAlign w:val="center"/>
          </w:tcPr>
          <w:p w14:paraId="22D27861" w14:textId="204F83DB" w:rsidR="00C2139E" w:rsidRPr="003D73C3" w:rsidRDefault="00C2139E" w:rsidP="009F7DB8">
            <w:pPr>
              <w:spacing w:before="120"/>
              <w:rPr>
                <w:rFonts w:ascii="Arial" w:hAnsi="Arial" w:cs="Arial"/>
                <w:b/>
                <w:sz w:val="16"/>
                <w:szCs w:val="18"/>
              </w:rPr>
            </w:pPr>
            <w:r w:rsidRPr="003D73C3">
              <w:rPr>
                <w:rFonts w:ascii="Arial" w:hAnsi="Arial" w:cs="Arial"/>
                <w:b/>
                <w:sz w:val="16"/>
                <w:szCs w:val="18"/>
              </w:rPr>
              <w:t>2012</w:t>
            </w:r>
          </w:p>
        </w:tc>
        <w:tc>
          <w:tcPr>
            <w:tcW w:w="2579" w:type="dxa"/>
            <w:vMerge w:val="restart"/>
            <w:vAlign w:val="center"/>
          </w:tcPr>
          <w:p w14:paraId="7F60F647" w14:textId="25823549"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151,129</w:t>
            </w:r>
          </w:p>
        </w:tc>
        <w:tc>
          <w:tcPr>
            <w:tcW w:w="1408" w:type="dxa"/>
            <w:vAlign w:val="center"/>
          </w:tcPr>
          <w:p w14:paraId="45D50837" w14:textId="0F430B5D"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1</w:t>
            </w:r>
          </w:p>
        </w:tc>
        <w:tc>
          <w:tcPr>
            <w:tcW w:w="1424" w:type="dxa"/>
            <w:vAlign w:val="center"/>
          </w:tcPr>
          <w:p w14:paraId="18A8FA94" w14:textId="1A179A19"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44" w:type="dxa"/>
            <w:vAlign w:val="center"/>
          </w:tcPr>
          <w:p w14:paraId="25A1B604" w14:textId="167F641C"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0.151</w:t>
            </w:r>
          </w:p>
        </w:tc>
        <w:tc>
          <w:tcPr>
            <w:tcW w:w="1395" w:type="dxa"/>
            <w:vAlign w:val="center"/>
          </w:tcPr>
          <w:p w14:paraId="47D07E69" w14:textId="30305466"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r>
      <w:tr w:rsidR="00C2139E" w:rsidRPr="00700E15" w14:paraId="2F6E378A" w14:textId="77777777" w:rsidTr="0030171B">
        <w:tc>
          <w:tcPr>
            <w:tcW w:w="911" w:type="dxa"/>
            <w:vMerge/>
            <w:vAlign w:val="center"/>
          </w:tcPr>
          <w:p w14:paraId="047FC351" w14:textId="77777777" w:rsidR="00C2139E" w:rsidRPr="003D73C3" w:rsidRDefault="00C2139E" w:rsidP="009F7DB8">
            <w:pPr>
              <w:spacing w:before="120"/>
              <w:rPr>
                <w:rFonts w:ascii="Arial" w:hAnsi="Arial" w:cs="Arial"/>
                <w:b/>
                <w:sz w:val="16"/>
                <w:szCs w:val="18"/>
              </w:rPr>
            </w:pPr>
          </w:p>
        </w:tc>
        <w:tc>
          <w:tcPr>
            <w:tcW w:w="2579" w:type="dxa"/>
            <w:vMerge/>
            <w:vAlign w:val="center"/>
          </w:tcPr>
          <w:p w14:paraId="3474B6F8" w14:textId="77777777" w:rsidR="00C2139E" w:rsidRPr="003D73C3" w:rsidRDefault="00C2139E" w:rsidP="009F7DB8">
            <w:pPr>
              <w:spacing w:before="120"/>
              <w:jc w:val="center"/>
              <w:rPr>
                <w:rFonts w:ascii="Arial" w:hAnsi="Arial" w:cs="Arial"/>
                <w:sz w:val="16"/>
                <w:szCs w:val="18"/>
              </w:rPr>
            </w:pPr>
          </w:p>
        </w:tc>
        <w:tc>
          <w:tcPr>
            <w:tcW w:w="1408" w:type="dxa"/>
            <w:vAlign w:val="center"/>
          </w:tcPr>
          <w:p w14:paraId="7C9C18F0" w14:textId="492298CF"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424" w:type="dxa"/>
            <w:vAlign w:val="center"/>
          </w:tcPr>
          <w:p w14:paraId="0B75AF05" w14:textId="4F4D092D"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0.15</w:t>
            </w:r>
          </w:p>
        </w:tc>
        <w:tc>
          <w:tcPr>
            <w:tcW w:w="1344" w:type="dxa"/>
            <w:vAlign w:val="center"/>
          </w:tcPr>
          <w:p w14:paraId="3CC801A6" w14:textId="5965E43B"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95" w:type="dxa"/>
            <w:vAlign w:val="center"/>
          </w:tcPr>
          <w:p w14:paraId="5FF404EF" w14:textId="34F17FF4"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0.023</w:t>
            </w:r>
          </w:p>
        </w:tc>
      </w:tr>
      <w:tr w:rsidR="00C2139E" w:rsidRPr="00700E15" w14:paraId="20C369D3" w14:textId="77777777" w:rsidTr="0030171B">
        <w:tc>
          <w:tcPr>
            <w:tcW w:w="911" w:type="dxa"/>
            <w:vMerge w:val="restart"/>
            <w:vAlign w:val="center"/>
          </w:tcPr>
          <w:p w14:paraId="3255867F" w14:textId="2FC68949" w:rsidR="00C2139E" w:rsidRPr="003D73C3" w:rsidRDefault="00C2139E" w:rsidP="009F7DB8">
            <w:pPr>
              <w:spacing w:before="120"/>
              <w:rPr>
                <w:rFonts w:ascii="Arial" w:hAnsi="Arial" w:cs="Arial"/>
                <w:b/>
                <w:sz w:val="16"/>
                <w:szCs w:val="18"/>
              </w:rPr>
            </w:pPr>
            <w:r w:rsidRPr="003D73C3">
              <w:rPr>
                <w:rFonts w:ascii="Arial" w:hAnsi="Arial" w:cs="Arial"/>
                <w:b/>
                <w:sz w:val="16"/>
                <w:szCs w:val="18"/>
              </w:rPr>
              <w:t>2016</w:t>
            </w:r>
          </w:p>
        </w:tc>
        <w:tc>
          <w:tcPr>
            <w:tcW w:w="2579" w:type="dxa"/>
            <w:vMerge w:val="restart"/>
            <w:vAlign w:val="center"/>
          </w:tcPr>
          <w:p w14:paraId="1615760E" w14:textId="6E8D8098"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204,953</w:t>
            </w:r>
          </w:p>
        </w:tc>
        <w:tc>
          <w:tcPr>
            <w:tcW w:w="1408" w:type="dxa"/>
            <w:vAlign w:val="center"/>
          </w:tcPr>
          <w:p w14:paraId="505EA83D" w14:textId="458B4792"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1</w:t>
            </w:r>
          </w:p>
        </w:tc>
        <w:tc>
          <w:tcPr>
            <w:tcW w:w="1424" w:type="dxa"/>
            <w:vAlign w:val="center"/>
          </w:tcPr>
          <w:p w14:paraId="5A690BFE" w14:textId="0B458BBA"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44" w:type="dxa"/>
            <w:vAlign w:val="center"/>
          </w:tcPr>
          <w:p w14:paraId="0AFDF554" w14:textId="64950B01"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0.205</w:t>
            </w:r>
          </w:p>
        </w:tc>
        <w:tc>
          <w:tcPr>
            <w:tcW w:w="1395" w:type="dxa"/>
            <w:vAlign w:val="center"/>
          </w:tcPr>
          <w:p w14:paraId="4BB95A20" w14:textId="44D410CF"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r>
      <w:tr w:rsidR="00C2139E" w:rsidRPr="00700E15" w14:paraId="72749153" w14:textId="77777777" w:rsidTr="0030171B">
        <w:tc>
          <w:tcPr>
            <w:tcW w:w="911" w:type="dxa"/>
            <w:vMerge/>
            <w:vAlign w:val="center"/>
          </w:tcPr>
          <w:p w14:paraId="03BF8239" w14:textId="77777777" w:rsidR="00C2139E" w:rsidRPr="003D73C3" w:rsidRDefault="00C2139E" w:rsidP="009F7DB8">
            <w:pPr>
              <w:spacing w:before="120"/>
              <w:rPr>
                <w:rFonts w:ascii="Arial" w:hAnsi="Arial" w:cs="Arial"/>
                <w:b/>
                <w:sz w:val="16"/>
                <w:szCs w:val="18"/>
              </w:rPr>
            </w:pPr>
          </w:p>
        </w:tc>
        <w:tc>
          <w:tcPr>
            <w:tcW w:w="2579" w:type="dxa"/>
            <w:vMerge/>
            <w:vAlign w:val="center"/>
          </w:tcPr>
          <w:p w14:paraId="64F36B85" w14:textId="77777777" w:rsidR="00C2139E" w:rsidRPr="003D73C3" w:rsidRDefault="00C2139E" w:rsidP="009F7DB8">
            <w:pPr>
              <w:spacing w:before="120"/>
              <w:jc w:val="center"/>
              <w:rPr>
                <w:rFonts w:ascii="Arial" w:hAnsi="Arial" w:cs="Arial"/>
                <w:sz w:val="16"/>
                <w:szCs w:val="18"/>
              </w:rPr>
            </w:pPr>
          </w:p>
        </w:tc>
        <w:tc>
          <w:tcPr>
            <w:tcW w:w="1408" w:type="dxa"/>
            <w:vAlign w:val="center"/>
          </w:tcPr>
          <w:p w14:paraId="6970AA9A" w14:textId="1695C12C"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424" w:type="dxa"/>
            <w:vAlign w:val="center"/>
          </w:tcPr>
          <w:p w14:paraId="224DB542" w14:textId="0A208503"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0.15</w:t>
            </w:r>
          </w:p>
        </w:tc>
        <w:tc>
          <w:tcPr>
            <w:tcW w:w="1344" w:type="dxa"/>
            <w:vAlign w:val="center"/>
          </w:tcPr>
          <w:p w14:paraId="1A2F5A41" w14:textId="1C9B7745"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95" w:type="dxa"/>
            <w:vAlign w:val="center"/>
          </w:tcPr>
          <w:p w14:paraId="25A628B6" w14:textId="133B47DE"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0.0307</w:t>
            </w:r>
          </w:p>
        </w:tc>
      </w:tr>
      <w:tr w:rsidR="00273705" w:rsidRPr="00700E15" w14:paraId="5F247429" w14:textId="77777777" w:rsidTr="00E95BD6">
        <w:tc>
          <w:tcPr>
            <w:tcW w:w="911" w:type="dxa"/>
            <w:vMerge w:val="restart"/>
            <w:vAlign w:val="center"/>
          </w:tcPr>
          <w:p w14:paraId="754F0096" w14:textId="41005C5C" w:rsidR="00273705" w:rsidRPr="00273705" w:rsidRDefault="00273705" w:rsidP="009F7DB8">
            <w:pPr>
              <w:spacing w:before="120"/>
              <w:rPr>
                <w:rFonts w:ascii="Arial" w:hAnsi="Arial" w:cs="Arial"/>
                <w:b/>
                <w:sz w:val="16"/>
                <w:szCs w:val="18"/>
              </w:rPr>
            </w:pPr>
            <w:r>
              <w:rPr>
                <w:rFonts w:ascii="Arial" w:hAnsi="Arial" w:cs="Arial"/>
                <w:b/>
                <w:sz w:val="16"/>
                <w:szCs w:val="18"/>
              </w:rPr>
              <w:t>2020</w:t>
            </w:r>
          </w:p>
        </w:tc>
        <w:tc>
          <w:tcPr>
            <w:tcW w:w="2579" w:type="dxa"/>
            <w:vMerge w:val="restart"/>
            <w:vAlign w:val="center"/>
          </w:tcPr>
          <w:p w14:paraId="72D67D9D" w14:textId="3B298BF8" w:rsidR="00273705" w:rsidRPr="00273705" w:rsidRDefault="00273705" w:rsidP="009F7DB8">
            <w:pPr>
              <w:spacing w:before="120"/>
              <w:jc w:val="center"/>
              <w:rPr>
                <w:rFonts w:ascii="Arial" w:hAnsi="Arial" w:cs="Arial"/>
                <w:sz w:val="16"/>
                <w:szCs w:val="18"/>
              </w:rPr>
            </w:pPr>
            <w:r>
              <w:rPr>
                <w:rFonts w:ascii="Arial" w:hAnsi="Arial" w:cs="Arial"/>
                <w:sz w:val="16"/>
                <w:szCs w:val="18"/>
              </w:rPr>
              <w:t>380,242</w:t>
            </w:r>
          </w:p>
        </w:tc>
        <w:tc>
          <w:tcPr>
            <w:tcW w:w="1408" w:type="dxa"/>
            <w:vAlign w:val="center"/>
          </w:tcPr>
          <w:p w14:paraId="299DEB72" w14:textId="7B32DF0E" w:rsidR="00273705" w:rsidRPr="00273705" w:rsidRDefault="00273705" w:rsidP="009F7DB8">
            <w:pPr>
              <w:spacing w:before="120"/>
              <w:jc w:val="center"/>
              <w:rPr>
                <w:rFonts w:ascii="Arial" w:hAnsi="Arial" w:cs="Arial"/>
                <w:sz w:val="16"/>
                <w:szCs w:val="18"/>
              </w:rPr>
            </w:pPr>
            <w:r>
              <w:rPr>
                <w:rFonts w:ascii="Arial" w:hAnsi="Arial" w:cs="Arial"/>
                <w:sz w:val="16"/>
                <w:szCs w:val="18"/>
              </w:rPr>
              <w:t>1</w:t>
            </w:r>
          </w:p>
        </w:tc>
        <w:tc>
          <w:tcPr>
            <w:tcW w:w="1424" w:type="dxa"/>
            <w:vAlign w:val="center"/>
          </w:tcPr>
          <w:p w14:paraId="2A5E2E2F" w14:textId="77777777" w:rsidR="00273705" w:rsidRPr="00273705" w:rsidRDefault="00273705" w:rsidP="009F7DB8">
            <w:pPr>
              <w:spacing w:before="120"/>
              <w:jc w:val="center"/>
              <w:rPr>
                <w:rFonts w:ascii="Arial" w:hAnsi="Arial" w:cs="Arial"/>
                <w:sz w:val="16"/>
                <w:szCs w:val="18"/>
              </w:rPr>
            </w:pPr>
          </w:p>
        </w:tc>
        <w:tc>
          <w:tcPr>
            <w:tcW w:w="1344" w:type="dxa"/>
            <w:vAlign w:val="center"/>
          </w:tcPr>
          <w:p w14:paraId="7A1E9CA2" w14:textId="1198299E" w:rsidR="00273705" w:rsidRPr="00273705" w:rsidRDefault="00B46B48" w:rsidP="009F7DB8">
            <w:pPr>
              <w:spacing w:before="120"/>
              <w:jc w:val="center"/>
              <w:rPr>
                <w:rFonts w:ascii="Arial" w:hAnsi="Arial" w:cs="Arial"/>
                <w:sz w:val="16"/>
                <w:szCs w:val="18"/>
              </w:rPr>
            </w:pPr>
            <w:r>
              <w:rPr>
                <w:rFonts w:ascii="Arial" w:hAnsi="Arial" w:cs="Arial"/>
                <w:sz w:val="16"/>
                <w:szCs w:val="18"/>
              </w:rPr>
              <w:t>0.380</w:t>
            </w:r>
          </w:p>
        </w:tc>
        <w:tc>
          <w:tcPr>
            <w:tcW w:w="1395" w:type="dxa"/>
            <w:vAlign w:val="center"/>
          </w:tcPr>
          <w:p w14:paraId="036BF1B6" w14:textId="77777777" w:rsidR="00273705" w:rsidRPr="00273705" w:rsidRDefault="00273705" w:rsidP="009F7DB8">
            <w:pPr>
              <w:spacing w:before="120"/>
              <w:jc w:val="center"/>
              <w:rPr>
                <w:rFonts w:ascii="Arial" w:hAnsi="Arial" w:cs="Arial"/>
                <w:sz w:val="16"/>
                <w:szCs w:val="18"/>
              </w:rPr>
            </w:pPr>
          </w:p>
        </w:tc>
      </w:tr>
      <w:tr w:rsidR="00273705" w:rsidRPr="00700E15" w14:paraId="56336911" w14:textId="77777777" w:rsidTr="00E95BD6">
        <w:tc>
          <w:tcPr>
            <w:tcW w:w="911" w:type="dxa"/>
            <w:vMerge/>
            <w:vAlign w:val="center"/>
          </w:tcPr>
          <w:p w14:paraId="4D176F1D" w14:textId="77777777" w:rsidR="00273705" w:rsidRPr="00273705" w:rsidRDefault="00273705" w:rsidP="009F7DB8">
            <w:pPr>
              <w:spacing w:before="120"/>
              <w:rPr>
                <w:rFonts w:ascii="Arial" w:hAnsi="Arial" w:cs="Arial"/>
                <w:b/>
                <w:sz w:val="16"/>
                <w:szCs w:val="18"/>
              </w:rPr>
            </w:pPr>
          </w:p>
        </w:tc>
        <w:tc>
          <w:tcPr>
            <w:tcW w:w="2579" w:type="dxa"/>
            <w:vMerge/>
            <w:vAlign w:val="center"/>
          </w:tcPr>
          <w:p w14:paraId="170E853A" w14:textId="77777777" w:rsidR="00273705" w:rsidRPr="00273705" w:rsidRDefault="00273705" w:rsidP="009F7DB8">
            <w:pPr>
              <w:spacing w:before="120"/>
              <w:jc w:val="center"/>
              <w:rPr>
                <w:rFonts w:ascii="Arial" w:hAnsi="Arial" w:cs="Arial"/>
                <w:sz w:val="16"/>
                <w:szCs w:val="18"/>
              </w:rPr>
            </w:pPr>
          </w:p>
        </w:tc>
        <w:tc>
          <w:tcPr>
            <w:tcW w:w="1408" w:type="dxa"/>
            <w:vAlign w:val="center"/>
          </w:tcPr>
          <w:p w14:paraId="2319C5CF" w14:textId="77777777" w:rsidR="00273705" w:rsidRPr="00273705" w:rsidRDefault="00273705" w:rsidP="009F7DB8">
            <w:pPr>
              <w:spacing w:before="120"/>
              <w:jc w:val="center"/>
              <w:rPr>
                <w:rFonts w:ascii="Arial" w:hAnsi="Arial" w:cs="Arial"/>
                <w:sz w:val="16"/>
                <w:szCs w:val="18"/>
              </w:rPr>
            </w:pPr>
          </w:p>
        </w:tc>
        <w:tc>
          <w:tcPr>
            <w:tcW w:w="1424" w:type="dxa"/>
            <w:vAlign w:val="center"/>
          </w:tcPr>
          <w:p w14:paraId="2EC65178" w14:textId="7C383B11" w:rsidR="00273705" w:rsidRPr="00273705" w:rsidRDefault="00273705" w:rsidP="009F7DB8">
            <w:pPr>
              <w:spacing w:before="120"/>
              <w:jc w:val="center"/>
              <w:rPr>
                <w:rFonts w:ascii="Arial" w:hAnsi="Arial" w:cs="Arial"/>
                <w:sz w:val="16"/>
                <w:szCs w:val="18"/>
              </w:rPr>
            </w:pPr>
            <w:r>
              <w:rPr>
                <w:rFonts w:ascii="Arial" w:hAnsi="Arial" w:cs="Arial"/>
                <w:sz w:val="16"/>
                <w:szCs w:val="18"/>
              </w:rPr>
              <w:t>0.15</w:t>
            </w:r>
          </w:p>
        </w:tc>
        <w:tc>
          <w:tcPr>
            <w:tcW w:w="1344" w:type="dxa"/>
            <w:vAlign w:val="center"/>
          </w:tcPr>
          <w:p w14:paraId="09303613" w14:textId="77777777" w:rsidR="00273705" w:rsidRPr="00273705" w:rsidRDefault="00273705" w:rsidP="009F7DB8">
            <w:pPr>
              <w:spacing w:before="120"/>
              <w:jc w:val="center"/>
              <w:rPr>
                <w:rFonts w:ascii="Arial" w:hAnsi="Arial" w:cs="Arial"/>
                <w:sz w:val="16"/>
                <w:szCs w:val="18"/>
              </w:rPr>
            </w:pPr>
          </w:p>
        </w:tc>
        <w:tc>
          <w:tcPr>
            <w:tcW w:w="1395" w:type="dxa"/>
            <w:vAlign w:val="center"/>
          </w:tcPr>
          <w:p w14:paraId="19972356" w14:textId="5671EB78" w:rsidR="00273705" w:rsidRPr="00273705" w:rsidRDefault="00B46B48" w:rsidP="009F7DB8">
            <w:pPr>
              <w:spacing w:before="120"/>
              <w:jc w:val="center"/>
              <w:rPr>
                <w:rFonts w:ascii="Arial" w:hAnsi="Arial" w:cs="Arial"/>
                <w:sz w:val="16"/>
                <w:szCs w:val="18"/>
              </w:rPr>
            </w:pPr>
            <w:r>
              <w:rPr>
                <w:rFonts w:ascii="Arial" w:hAnsi="Arial" w:cs="Arial"/>
                <w:sz w:val="16"/>
                <w:szCs w:val="18"/>
              </w:rPr>
              <w:t>0.057</w:t>
            </w:r>
          </w:p>
        </w:tc>
      </w:tr>
    </w:tbl>
    <w:p w14:paraId="7CF81ABB" w14:textId="01685C1C"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lastRenderedPageBreak/>
        <w:t xml:space="preserve">Certainty assessment for </w:t>
      </w:r>
      <w:r w:rsidR="00B46B48">
        <w:rPr>
          <w:rFonts w:ascii="Arial" w:hAnsi="Arial" w:cs="Arial"/>
          <w:b/>
          <w:szCs w:val="18"/>
        </w:rPr>
        <w:t>2020</w:t>
      </w:r>
    </w:p>
    <w:p w14:paraId="55266242"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Medium (because they are based on the national greenhouse gas inventory data)</w:t>
      </w:r>
    </w:p>
    <w:p w14:paraId="3C944E3A"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they based on the Toolkit default factors)</w:t>
      </w:r>
    </w:p>
    <w:p w14:paraId="6EF96818" w14:textId="3475DC4A" w:rsidR="006761D2" w:rsidRPr="003D73C3" w:rsidRDefault="00C2139E" w:rsidP="006761D2">
      <w:pPr>
        <w:pStyle w:val="Heading3"/>
      </w:pPr>
      <w:r w:rsidRPr="003D73C3" w:rsidDel="001661AE">
        <w:rPr>
          <w:szCs w:val="18"/>
        </w:rPr>
        <w:t xml:space="preserve"> </w:t>
      </w:r>
      <w:bookmarkStart w:id="296" w:name="_Toc112768123"/>
      <w:r w:rsidR="006761D2" w:rsidRPr="003D73C3">
        <w:t>Grassland and savannah fires</w:t>
      </w:r>
      <w:bookmarkEnd w:id="296"/>
    </w:p>
    <w:p w14:paraId="711B498A" w14:textId="062C7E3A" w:rsidR="006761D2" w:rsidRPr="003D73C3" w:rsidRDefault="006761D2" w:rsidP="006761D2">
      <w:pPr>
        <w:spacing w:line="300" w:lineRule="atLeast"/>
        <w:jc w:val="both"/>
        <w:rPr>
          <w:szCs w:val="18"/>
          <w:lang w:val="en-US"/>
        </w:rPr>
      </w:pPr>
      <w:r w:rsidRPr="003D73C3">
        <w:rPr>
          <w:szCs w:val="18"/>
          <w:lang w:val="en-US"/>
        </w:rPr>
        <w:t xml:space="preserve">This source category covers both controlled and accidental burning of grassland and savannah. In New Zealand, the savannah category is used for land covered in tussock. The total area of grassland and savannah burned is obtained through national information on changes in land-use and data from the National Rural Fire Authority. These are converted to a mass basis using biomass density factors </w:t>
      </w:r>
      <w:r w:rsidR="00B46B48" w:rsidRPr="003D73C3">
        <w:rPr>
          <w:noProof/>
          <w:szCs w:val="18"/>
        </w:rPr>
        <w:t>(Ministry for the Environment,</w:t>
      </w:r>
      <w:r w:rsidR="00B46B48">
        <w:rPr>
          <w:noProof/>
          <w:szCs w:val="18"/>
        </w:rPr>
        <w:t xml:space="preserve"> 2022</w:t>
      </w:r>
      <w:r w:rsidR="00B46B48" w:rsidRPr="003D73C3">
        <w:rPr>
          <w:noProof/>
          <w:szCs w:val="18"/>
        </w:rPr>
        <w:t>)</w:t>
      </w:r>
      <w:r w:rsidRPr="003D73C3">
        <w:rPr>
          <w:szCs w:val="18"/>
          <w:lang w:val="en-US"/>
        </w:rPr>
        <w:t>.</w:t>
      </w:r>
    </w:p>
    <w:p w14:paraId="3EE137D5" w14:textId="318B92E0" w:rsidR="006761D2" w:rsidRPr="003D73C3" w:rsidRDefault="006761D2" w:rsidP="006761D2">
      <w:pPr>
        <w:spacing w:line="300" w:lineRule="atLeast"/>
        <w:jc w:val="both"/>
        <w:rPr>
          <w:szCs w:val="18"/>
          <w:lang w:val="en-US"/>
        </w:rPr>
      </w:pPr>
      <w:r w:rsidRPr="003D73C3">
        <w:rPr>
          <w:szCs w:val="18"/>
          <w:lang w:val="en-US"/>
        </w:rPr>
        <w:t>The total mass of grassland and savannah material burned in New Zealand in</w:t>
      </w:r>
      <w:r w:rsidR="00380A55">
        <w:rPr>
          <w:szCs w:val="18"/>
          <w:lang w:val="en-US"/>
        </w:rPr>
        <w:t xml:space="preserve"> </w:t>
      </w:r>
      <w:r w:rsidR="0087112E">
        <w:rPr>
          <w:szCs w:val="18"/>
          <w:lang w:val="en-US"/>
        </w:rPr>
        <w:t>2018</w:t>
      </w:r>
      <w:r w:rsidRPr="003D73C3">
        <w:rPr>
          <w:szCs w:val="18"/>
          <w:lang w:val="en-US"/>
        </w:rPr>
        <w:t xml:space="preserve">, </w:t>
      </w:r>
      <w:r w:rsidR="0087112E">
        <w:rPr>
          <w:szCs w:val="18"/>
          <w:lang w:val="en-US"/>
        </w:rPr>
        <w:t>2019</w:t>
      </w:r>
      <w:r w:rsidRPr="003D73C3">
        <w:rPr>
          <w:szCs w:val="18"/>
          <w:lang w:val="en-US"/>
        </w:rPr>
        <w:t xml:space="preserve"> and </w:t>
      </w:r>
      <w:r w:rsidR="0087112E">
        <w:rPr>
          <w:szCs w:val="18"/>
          <w:lang w:val="en-US"/>
        </w:rPr>
        <w:t>2020</w:t>
      </w:r>
      <w:r w:rsidRPr="003D73C3">
        <w:rPr>
          <w:szCs w:val="18"/>
          <w:lang w:val="en-US"/>
        </w:rPr>
        <w:t xml:space="preserve"> was</w:t>
      </w:r>
      <w:r w:rsidR="0087112E">
        <w:rPr>
          <w:szCs w:val="18"/>
          <w:lang w:val="en-US"/>
        </w:rPr>
        <w:t xml:space="preserve"> 417,288</w:t>
      </w:r>
      <w:r w:rsidRPr="003D73C3">
        <w:rPr>
          <w:szCs w:val="18"/>
          <w:lang w:val="en-US"/>
        </w:rPr>
        <w:t xml:space="preserve">, </w:t>
      </w:r>
      <w:r w:rsidR="0087112E">
        <w:rPr>
          <w:szCs w:val="18"/>
          <w:lang w:val="en-US"/>
        </w:rPr>
        <w:t>326,730</w:t>
      </w:r>
      <w:r w:rsidRPr="003D73C3">
        <w:rPr>
          <w:szCs w:val="18"/>
          <w:lang w:val="en-US"/>
        </w:rPr>
        <w:t xml:space="preserve"> and </w:t>
      </w:r>
      <w:r w:rsidR="0087112E">
        <w:rPr>
          <w:szCs w:val="18"/>
          <w:lang w:val="en-US"/>
        </w:rPr>
        <w:t>281,888</w:t>
      </w:r>
      <w:r w:rsidRPr="003D73C3">
        <w:rPr>
          <w:szCs w:val="18"/>
          <w:lang w:val="en-US"/>
        </w:rPr>
        <w:t xml:space="preserve"> tonnes/year, respectively, which gives an average rate of </w:t>
      </w:r>
      <w:r w:rsidR="0087112E">
        <w:rPr>
          <w:szCs w:val="18"/>
          <w:lang w:val="en-US"/>
        </w:rPr>
        <w:t xml:space="preserve">341,969 </w:t>
      </w:r>
      <w:r w:rsidRPr="003D73C3">
        <w:rPr>
          <w:szCs w:val="18"/>
          <w:lang w:val="en-US"/>
        </w:rPr>
        <w:t xml:space="preserve">tonnes/year. This activity rate has been used for the </w:t>
      </w:r>
      <w:r w:rsidR="0087112E">
        <w:rPr>
          <w:szCs w:val="18"/>
          <w:lang w:val="en-US"/>
        </w:rPr>
        <w:t>2020</w:t>
      </w:r>
      <w:r w:rsidR="00CB7A81" w:rsidRPr="003D73C3">
        <w:rPr>
          <w:szCs w:val="18"/>
          <w:lang w:val="en-US"/>
        </w:rPr>
        <w:t xml:space="preserve"> </w:t>
      </w:r>
      <w:r w:rsidRPr="003D73C3">
        <w:rPr>
          <w:szCs w:val="18"/>
          <w:lang w:val="en-US"/>
        </w:rPr>
        <w:t xml:space="preserve">release estimates, coupled with the UNEP Toolkit factors. The release estimates are shown in the table below, along with the corresponding estimates from the 2012 </w:t>
      </w:r>
      <w:r w:rsidR="0087112E">
        <w:rPr>
          <w:szCs w:val="18"/>
          <w:lang w:val="en-US"/>
        </w:rPr>
        <w:t xml:space="preserve">and 2016 </w:t>
      </w:r>
      <w:r w:rsidRPr="003D73C3">
        <w:rPr>
          <w:szCs w:val="18"/>
          <w:lang w:val="en-US"/>
        </w:rPr>
        <w:t>inventor</w:t>
      </w:r>
      <w:r w:rsidR="0087112E">
        <w:rPr>
          <w:szCs w:val="18"/>
          <w:lang w:val="en-US"/>
        </w:rPr>
        <w:t>ies</w:t>
      </w:r>
      <w:r w:rsidRPr="003D73C3">
        <w:rPr>
          <w:szCs w:val="18"/>
          <w:lang w:val="en-US"/>
        </w:rPr>
        <w:t>.</w:t>
      </w:r>
    </w:p>
    <w:p w14:paraId="6127B43A" w14:textId="3EE6AFE4"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87112E">
        <w:rPr>
          <w:rFonts w:ascii="Arial" w:hAnsi="Arial" w:cs="Arial"/>
          <w:b/>
          <w:szCs w:val="18"/>
        </w:rPr>
        <w:t>2020</w:t>
      </w:r>
    </w:p>
    <w:p w14:paraId="4B3A0AB5"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Medium (because they are based on the national greenhouse gas inventory data)</w:t>
      </w:r>
    </w:p>
    <w:p w14:paraId="48959C40" w14:textId="333090F8" w:rsidR="006761D2" w:rsidRPr="003D73C3" w:rsidRDefault="006761D2" w:rsidP="003E581C">
      <w:pPr>
        <w:tabs>
          <w:tab w:val="left" w:pos="1701"/>
        </w:tabs>
        <w:spacing w:line="300" w:lineRule="atLeast"/>
        <w:ind w:left="1701" w:hanging="1701"/>
        <w:jc w:val="both"/>
        <w:rPr>
          <w:rFonts w:ascii="Arial" w:hAnsi="Arial" w:cs="Arial"/>
          <w:b/>
          <w:bCs/>
        </w:rPr>
      </w:pPr>
      <w:r w:rsidRPr="003D73C3">
        <w:rPr>
          <w:szCs w:val="18"/>
        </w:rPr>
        <w:t xml:space="preserve">Emission factor: </w:t>
      </w:r>
      <w:r w:rsidRPr="003D73C3">
        <w:rPr>
          <w:szCs w:val="18"/>
        </w:rPr>
        <w:tab/>
        <w:t>Low (because they based on the Toolkit default factors)</w:t>
      </w:r>
    </w:p>
    <w:p w14:paraId="2E982961" w14:textId="1180CC6C"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r w:rsidRPr="003D73C3">
        <w:rPr>
          <w:rFonts w:cs="Arial"/>
        </w:rPr>
        <w:t>: Dioxin releases from grassland and savannah fires</w:t>
      </w:r>
    </w:p>
    <w:tbl>
      <w:tblPr>
        <w:tblStyle w:val="TableGrid"/>
        <w:tblW w:w="0" w:type="auto"/>
        <w:tblLook w:val="04A0" w:firstRow="1" w:lastRow="0" w:firstColumn="1" w:lastColumn="0" w:noHBand="0" w:noVBand="1"/>
      </w:tblPr>
      <w:tblGrid>
        <w:gridCol w:w="910"/>
        <w:gridCol w:w="2578"/>
        <w:gridCol w:w="1410"/>
        <w:gridCol w:w="1424"/>
        <w:gridCol w:w="1344"/>
        <w:gridCol w:w="1395"/>
      </w:tblGrid>
      <w:tr w:rsidR="006761D2" w:rsidRPr="00B46B48" w14:paraId="33B0A3F4" w14:textId="77777777" w:rsidTr="0030171B">
        <w:tc>
          <w:tcPr>
            <w:tcW w:w="910" w:type="dxa"/>
            <w:vMerge w:val="restart"/>
            <w:vAlign w:val="center"/>
          </w:tcPr>
          <w:p w14:paraId="1E7837D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78" w:type="dxa"/>
            <w:vMerge w:val="restart"/>
            <w:vAlign w:val="center"/>
          </w:tcPr>
          <w:p w14:paraId="05023501"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297" w:name="_Int_EFni5JTg"/>
            <w:r w:rsidRPr="0C34660A">
              <w:rPr>
                <w:rFonts w:ascii="Arial" w:hAnsi="Arial" w:cs="Arial"/>
                <w:b/>
                <w:bCs/>
                <w:sz w:val="16"/>
                <w:szCs w:val="16"/>
              </w:rPr>
              <w:t>tonnes</w:t>
            </w:r>
            <w:bookmarkEnd w:id="297"/>
            <w:r w:rsidRPr="0C34660A">
              <w:rPr>
                <w:rFonts w:ascii="Arial" w:hAnsi="Arial" w:cs="Arial"/>
                <w:b/>
                <w:bCs/>
                <w:sz w:val="16"/>
                <w:szCs w:val="16"/>
              </w:rPr>
              <w:t xml:space="preserve"> biomass burned/year)</w:t>
            </w:r>
          </w:p>
        </w:tc>
        <w:tc>
          <w:tcPr>
            <w:tcW w:w="2834" w:type="dxa"/>
            <w:gridSpan w:val="2"/>
            <w:vAlign w:val="center"/>
          </w:tcPr>
          <w:p w14:paraId="40B8264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39" w:type="dxa"/>
            <w:gridSpan w:val="2"/>
            <w:vAlign w:val="center"/>
          </w:tcPr>
          <w:p w14:paraId="73A247F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B46B48" w14:paraId="31199C99" w14:textId="77777777" w:rsidTr="00E95BD6">
        <w:tc>
          <w:tcPr>
            <w:tcW w:w="910" w:type="dxa"/>
            <w:vMerge/>
          </w:tcPr>
          <w:p w14:paraId="1A8EA8D3" w14:textId="77777777" w:rsidR="006761D2" w:rsidRPr="003D73C3" w:rsidRDefault="006761D2" w:rsidP="009F7DB8">
            <w:pPr>
              <w:spacing w:before="120"/>
              <w:jc w:val="both"/>
              <w:rPr>
                <w:rFonts w:ascii="Arial" w:hAnsi="Arial" w:cs="Arial"/>
                <w:sz w:val="16"/>
                <w:szCs w:val="18"/>
              </w:rPr>
            </w:pPr>
          </w:p>
        </w:tc>
        <w:tc>
          <w:tcPr>
            <w:tcW w:w="2578" w:type="dxa"/>
            <w:vMerge/>
            <w:vAlign w:val="center"/>
          </w:tcPr>
          <w:p w14:paraId="6DEF70AE" w14:textId="77777777" w:rsidR="006761D2" w:rsidRPr="003D73C3" w:rsidRDefault="006761D2" w:rsidP="009F7DB8">
            <w:pPr>
              <w:spacing w:before="120"/>
              <w:jc w:val="center"/>
              <w:rPr>
                <w:rFonts w:ascii="Arial" w:hAnsi="Arial" w:cs="Arial"/>
                <w:sz w:val="16"/>
                <w:szCs w:val="18"/>
              </w:rPr>
            </w:pPr>
          </w:p>
        </w:tc>
        <w:tc>
          <w:tcPr>
            <w:tcW w:w="1410" w:type="dxa"/>
            <w:vAlign w:val="center"/>
          </w:tcPr>
          <w:p w14:paraId="15C2AEB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24" w:type="dxa"/>
            <w:vAlign w:val="center"/>
          </w:tcPr>
          <w:p w14:paraId="68B62EF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4" w:type="dxa"/>
            <w:vAlign w:val="center"/>
          </w:tcPr>
          <w:p w14:paraId="3033F32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5" w:type="dxa"/>
            <w:vAlign w:val="center"/>
          </w:tcPr>
          <w:p w14:paraId="5403CE9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C2139E" w:rsidRPr="00B46B48" w14:paraId="10F1FD1D" w14:textId="77777777" w:rsidTr="00E95BD6">
        <w:tc>
          <w:tcPr>
            <w:tcW w:w="910" w:type="dxa"/>
            <w:vMerge w:val="restart"/>
            <w:vAlign w:val="center"/>
          </w:tcPr>
          <w:p w14:paraId="3E996B54" w14:textId="36434C87" w:rsidR="00C2139E" w:rsidRPr="003D73C3" w:rsidRDefault="00C2139E" w:rsidP="009F7DB8">
            <w:pPr>
              <w:spacing w:before="120"/>
              <w:rPr>
                <w:rFonts w:ascii="Arial" w:hAnsi="Arial" w:cs="Arial"/>
                <w:b/>
                <w:sz w:val="16"/>
                <w:szCs w:val="18"/>
              </w:rPr>
            </w:pPr>
            <w:r w:rsidRPr="003D73C3">
              <w:rPr>
                <w:rFonts w:ascii="Arial" w:hAnsi="Arial" w:cs="Arial"/>
                <w:b/>
                <w:sz w:val="16"/>
                <w:szCs w:val="18"/>
              </w:rPr>
              <w:t>2012</w:t>
            </w:r>
          </w:p>
        </w:tc>
        <w:tc>
          <w:tcPr>
            <w:tcW w:w="2578" w:type="dxa"/>
            <w:vMerge w:val="restart"/>
            <w:vAlign w:val="center"/>
          </w:tcPr>
          <w:p w14:paraId="1EB755E0" w14:textId="4EDBAA70"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378,763</w:t>
            </w:r>
          </w:p>
        </w:tc>
        <w:tc>
          <w:tcPr>
            <w:tcW w:w="1410" w:type="dxa"/>
            <w:vAlign w:val="center"/>
          </w:tcPr>
          <w:p w14:paraId="7A663C7A" w14:textId="5C266AE5"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0.5</w:t>
            </w:r>
          </w:p>
        </w:tc>
        <w:tc>
          <w:tcPr>
            <w:tcW w:w="1424" w:type="dxa"/>
            <w:vAlign w:val="center"/>
          </w:tcPr>
          <w:p w14:paraId="3F2B06D0" w14:textId="48DFB5B9"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44" w:type="dxa"/>
            <w:vAlign w:val="center"/>
          </w:tcPr>
          <w:p w14:paraId="70B12204" w14:textId="494B4E93"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0.189</w:t>
            </w:r>
          </w:p>
        </w:tc>
        <w:tc>
          <w:tcPr>
            <w:tcW w:w="1395" w:type="dxa"/>
            <w:vAlign w:val="center"/>
          </w:tcPr>
          <w:p w14:paraId="5672E618" w14:textId="69124B78"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r>
      <w:tr w:rsidR="00C2139E" w:rsidRPr="00B46B48" w14:paraId="1DA547C0" w14:textId="77777777" w:rsidTr="00E95BD6">
        <w:tc>
          <w:tcPr>
            <w:tcW w:w="910" w:type="dxa"/>
            <w:vMerge/>
            <w:vAlign w:val="center"/>
          </w:tcPr>
          <w:p w14:paraId="2E880592" w14:textId="77777777" w:rsidR="00C2139E" w:rsidRPr="003D73C3" w:rsidRDefault="00C2139E" w:rsidP="009F7DB8">
            <w:pPr>
              <w:spacing w:before="120"/>
              <w:rPr>
                <w:rFonts w:ascii="Arial" w:hAnsi="Arial" w:cs="Arial"/>
                <w:b/>
                <w:sz w:val="16"/>
                <w:szCs w:val="18"/>
              </w:rPr>
            </w:pPr>
          </w:p>
        </w:tc>
        <w:tc>
          <w:tcPr>
            <w:tcW w:w="2578" w:type="dxa"/>
            <w:vMerge/>
            <w:vAlign w:val="center"/>
          </w:tcPr>
          <w:p w14:paraId="334A892F" w14:textId="77777777" w:rsidR="00C2139E" w:rsidRPr="003D73C3" w:rsidRDefault="00C2139E" w:rsidP="009F7DB8">
            <w:pPr>
              <w:spacing w:before="120"/>
              <w:jc w:val="center"/>
              <w:rPr>
                <w:rFonts w:ascii="Arial" w:hAnsi="Arial" w:cs="Arial"/>
                <w:sz w:val="16"/>
                <w:szCs w:val="18"/>
              </w:rPr>
            </w:pPr>
          </w:p>
        </w:tc>
        <w:tc>
          <w:tcPr>
            <w:tcW w:w="1410" w:type="dxa"/>
            <w:vAlign w:val="center"/>
          </w:tcPr>
          <w:p w14:paraId="4D7D8D11" w14:textId="7DE63446"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424" w:type="dxa"/>
            <w:vAlign w:val="center"/>
          </w:tcPr>
          <w:p w14:paraId="64999978" w14:textId="03706109"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0.15</w:t>
            </w:r>
          </w:p>
        </w:tc>
        <w:tc>
          <w:tcPr>
            <w:tcW w:w="1344" w:type="dxa"/>
            <w:vAlign w:val="center"/>
          </w:tcPr>
          <w:p w14:paraId="73A177B1" w14:textId="094756A3"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95" w:type="dxa"/>
            <w:vAlign w:val="center"/>
          </w:tcPr>
          <w:p w14:paraId="1479BF1C" w14:textId="10D35FD1"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0.057</w:t>
            </w:r>
          </w:p>
        </w:tc>
      </w:tr>
      <w:tr w:rsidR="00C2139E" w:rsidRPr="00AF1200" w14:paraId="2E2E41F2" w14:textId="77777777" w:rsidTr="00E95BD6">
        <w:tc>
          <w:tcPr>
            <w:tcW w:w="910" w:type="dxa"/>
            <w:vMerge w:val="restart"/>
            <w:vAlign w:val="center"/>
          </w:tcPr>
          <w:p w14:paraId="68BE5B87" w14:textId="180F9C09" w:rsidR="00C2139E" w:rsidRPr="003D73C3" w:rsidRDefault="00C2139E" w:rsidP="009F7DB8">
            <w:pPr>
              <w:spacing w:before="120"/>
              <w:rPr>
                <w:rFonts w:ascii="Arial" w:hAnsi="Arial" w:cs="Arial"/>
                <w:b/>
                <w:sz w:val="16"/>
                <w:szCs w:val="18"/>
              </w:rPr>
            </w:pPr>
            <w:r w:rsidRPr="003D73C3">
              <w:rPr>
                <w:rFonts w:ascii="Arial" w:hAnsi="Arial" w:cs="Arial"/>
                <w:b/>
                <w:sz w:val="16"/>
                <w:szCs w:val="18"/>
              </w:rPr>
              <w:t>2016</w:t>
            </w:r>
          </w:p>
        </w:tc>
        <w:tc>
          <w:tcPr>
            <w:tcW w:w="2578" w:type="dxa"/>
            <w:vMerge w:val="restart"/>
            <w:vAlign w:val="center"/>
          </w:tcPr>
          <w:p w14:paraId="69CA2E85" w14:textId="29E1C735"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328,541</w:t>
            </w:r>
          </w:p>
        </w:tc>
        <w:tc>
          <w:tcPr>
            <w:tcW w:w="1410" w:type="dxa"/>
            <w:vAlign w:val="center"/>
          </w:tcPr>
          <w:p w14:paraId="0C67946A" w14:textId="55A41019"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0.5</w:t>
            </w:r>
          </w:p>
        </w:tc>
        <w:tc>
          <w:tcPr>
            <w:tcW w:w="1424" w:type="dxa"/>
            <w:vAlign w:val="center"/>
          </w:tcPr>
          <w:p w14:paraId="7CB54FCA" w14:textId="120A72BD"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44" w:type="dxa"/>
            <w:vAlign w:val="center"/>
          </w:tcPr>
          <w:p w14:paraId="52C2FBCE" w14:textId="35E08677"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0.164</w:t>
            </w:r>
          </w:p>
        </w:tc>
        <w:tc>
          <w:tcPr>
            <w:tcW w:w="1395" w:type="dxa"/>
            <w:vAlign w:val="center"/>
          </w:tcPr>
          <w:p w14:paraId="1D42FE9B" w14:textId="019359DA"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r>
      <w:tr w:rsidR="00C2139E" w:rsidRPr="00AF1200" w14:paraId="65C81E5C" w14:textId="77777777" w:rsidTr="00E95BD6">
        <w:tc>
          <w:tcPr>
            <w:tcW w:w="910" w:type="dxa"/>
            <w:vMerge/>
            <w:vAlign w:val="center"/>
          </w:tcPr>
          <w:p w14:paraId="3FA4BF40" w14:textId="77777777" w:rsidR="00C2139E" w:rsidRPr="00AF1200" w:rsidRDefault="00C2139E" w:rsidP="009F7DB8">
            <w:pPr>
              <w:spacing w:before="120"/>
              <w:rPr>
                <w:rFonts w:ascii="Arial" w:hAnsi="Arial" w:cs="Arial"/>
                <w:b/>
                <w:sz w:val="16"/>
                <w:szCs w:val="18"/>
                <w:highlight w:val="yellow"/>
              </w:rPr>
            </w:pPr>
          </w:p>
        </w:tc>
        <w:tc>
          <w:tcPr>
            <w:tcW w:w="2578" w:type="dxa"/>
            <w:vMerge/>
            <w:vAlign w:val="center"/>
          </w:tcPr>
          <w:p w14:paraId="2E49C807" w14:textId="77777777" w:rsidR="00C2139E" w:rsidRPr="00AF1200" w:rsidRDefault="00C2139E" w:rsidP="009F7DB8">
            <w:pPr>
              <w:spacing w:before="120"/>
              <w:jc w:val="center"/>
              <w:rPr>
                <w:rFonts w:ascii="Arial" w:hAnsi="Arial" w:cs="Arial"/>
                <w:sz w:val="16"/>
                <w:szCs w:val="18"/>
                <w:highlight w:val="yellow"/>
              </w:rPr>
            </w:pPr>
          </w:p>
        </w:tc>
        <w:tc>
          <w:tcPr>
            <w:tcW w:w="1410" w:type="dxa"/>
            <w:vAlign w:val="center"/>
          </w:tcPr>
          <w:p w14:paraId="5F8B7CD9" w14:textId="0CEAB2C6"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424" w:type="dxa"/>
            <w:vAlign w:val="center"/>
          </w:tcPr>
          <w:p w14:paraId="0541758A" w14:textId="22D920B6"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0.15</w:t>
            </w:r>
          </w:p>
        </w:tc>
        <w:tc>
          <w:tcPr>
            <w:tcW w:w="1344" w:type="dxa"/>
            <w:vAlign w:val="center"/>
          </w:tcPr>
          <w:p w14:paraId="3B46E768" w14:textId="7EC8AFBB"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w:t>
            </w:r>
          </w:p>
        </w:tc>
        <w:tc>
          <w:tcPr>
            <w:tcW w:w="1395" w:type="dxa"/>
            <w:vAlign w:val="center"/>
          </w:tcPr>
          <w:p w14:paraId="2A284412" w14:textId="740A97AC" w:rsidR="00C2139E" w:rsidRPr="003D73C3" w:rsidRDefault="00C2139E" w:rsidP="009F7DB8">
            <w:pPr>
              <w:spacing w:before="120"/>
              <w:jc w:val="center"/>
              <w:rPr>
                <w:rFonts w:ascii="Arial" w:hAnsi="Arial" w:cs="Arial"/>
                <w:sz w:val="16"/>
                <w:szCs w:val="18"/>
              </w:rPr>
            </w:pPr>
            <w:r w:rsidRPr="003D73C3">
              <w:rPr>
                <w:rFonts w:ascii="Arial" w:hAnsi="Arial" w:cs="Arial"/>
                <w:sz w:val="16"/>
                <w:szCs w:val="18"/>
              </w:rPr>
              <w:t>0.0493</w:t>
            </w:r>
          </w:p>
        </w:tc>
      </w:tr>
      <w:tr w:rsidR="0087112E" w:rsidRPr="00AF1200" w14:paraId="237A5791" w14:textId="77777777" w:rsidTr="00E95BD6">
        <w:tc>
          <w:tcPr>
            <w:tcW w:w="910" w:type="dxa"/>
            <w:vMerge w:val="restart"/>
            <w:vAlign w:val="center"/>
          </w:tcPr>
          <w:p w14:paraId="36431EFE" w14:textId="03CFCEA3" w:rsidR="0087112E" w:rsidRPr="003D73C3" w:rsidRDefault="0087112E" w:rsidP="009F7DB8">
            <w:pPr>
              <w:spacing w:before="120"/>
              <w:rPr>
                <w:rFonts w:ascii="Arial" w:hAnsi="Arial" w:cs="Arial"/>
                <w:b/>
                <w:sz w:val="16"/>
                <w:szCs w:val="18"/>
              </w:rPr>
            </w:pPr>
            <w:r w:rsidRPr="003D73C3">
              <w:rPr>
                <w:rFonts w:ascii="Arial" w:hAnsi="Arial" w:cs="Arial"/>
                <w:b/>
                <w:sz w:val="16"/>
                <w:szCs w:val="18"/>
              </w:rPr>
              <w:t>2020</w:t>
            </w:r>
          </w:p>
        </w:tc>
        <w:tc>
          <w:tcPr>
            <w:tcW w:w="2578" w:type="dxa"/>
            <w:vMerge w:val="restart"/>
            <w:vAlign w:val="center"/>
          </w:tcPr>
          <w:p w14:paraId="4808CDF0" w14:textId="38CA667E" w:rsidR="0087112E" w:rsidRPr="003D73C3" w:rsidRDefault="001514A2" w:rsidP="009F7DB8">
            <w:pPr>
              <w:spacing w:before="120"/>
              <w:jc w:val="center"/>
              <w:rPr>
                <w:rFonts w:ascii="Arial" w:hAnsi="Arial" w:cs="Arial"/>
                <w:sz w:val="16"/>
                <w:szCs w:val="18"/>
              </w:rPr>
            </w:pPr>
            <w:r w:rsidRPr="003D73C3">
              <w:rPr>
                <w:rFonts w:ascii="Arial" w:hAnsi="Arial" w:cs="Arial"/>
                <w:sz w:val="16"/>
                <w:szCs w:val="18"/>
              </w:rPr>
              <w:t>341,969</w:t>
            </w:r>
          </w:p>
        </w:tc>
        <w:tc>
          <w:tcPr>
            <w:tcW w:w="1410" w:type="dxa"/>
            <w:vAlign w:val="center"/>
          </w:tcPr>
          <w:p w14:paraId="14D15DF6" w14:textId="71F78B44" w:rsidR="0087112E" w:rsidRPr="0087112E" w:rsidRDefault="001514A2" w:rsidP="009F7DB8">
            <w:pPr>
              <w:spacing w:before="120"/>
              <w:jc w:val="center"/>
              <w:rPr>
                <w:rFonts w:ascii="Arial" w:hAnsi="Arial" w:cs="Arial"/>
                <w:sz w:val="16"/>
                <w:szCs w:val="18"/>
              </w:rPr>
            </w:pPr>
            <w:r>
              <w:rPr>
                <w:rFonts w:ascii="Arial" w:hAnsi="Arial" w:cs="Arial"/>
                <w:sz w:val="16"/>
                <w:szCs w:val="18"/>
              </w:rPr>
              <w:t>0.5</w:t>
            </w:r>
          </w:p>
        </w:tc>
        <w:tc>
          <w:tcPr>
            <w:tcW w:w="1424" w:type="dxa"/>
            <w:vAlign w:val="center"/>
          </w:tcPr>
          <w:p w14:paraId="3F0E5DD1" w14:textId="77777777" w:rsidR="0087112E" w:rsidRPr="0087112E" w:rsidRDefault="0087112E" w:rsidP="009F7DB8">
            <w:pPr>
              <w:spacing w:before="120"/>
              <w:jc w:val="center"/>
              <w:rPr>
                <w:rFonts w:ascii="Arial" w:hAnsi="Arial" w:cs="Arial"/>
                <w:sz w:val="16"/>
                <w:szCs w:val="18"/>
              </w:rPr>
            </w:pPr>
          </w:p>
        </w:tc>
        <w:tc>
          <w:tcPr>
            <w:tcW w:w="1344" w:type="dxa"/>
            <w:vAlign w:val="center"/>
          </w:tcPr>
          <w:p w14:paraId="2531DE4A" w14:textId="3097AB5B" w:rsidR="0087112E" w:rsidRPr="0087112E" w:rsidRDefault="001514A2" w:rsidP="009F7DB8">
            <w:pPr>
              <w:spacing w:before="120"/>
              <w:jc w:val="center"/>
              <w:rPr>
                <w:rFonts w:ascii="Arial" w:hAnsi="Arial" w:cs="Arial"/>
                <w:sz w:val="16"/>
                <w:szCs w:val="18"/>
              </w:rPr>
            </w:pPr>
            <w:r>
              <w:rPr>
                <w:rFonts w:ascii="Arial" w:hAnsi="Arial" w:cs="Arial"/>
                <w:sz w:val="16"/>
                <w:szCs w:val="18"/>
              </w:rPr>
              <w:t>0.171</w:t>
            </w:r>
          </w:p>
        </w:tc>
        <w:tc>
          <w:tcPr>
            <w:tcW w:w="1395" w:type="dxa"/>
            <w:vAlign w:val="center"/>
          </w:tcPr>
          <w:p w14:paraId="05297BAD" w14:textId="77777777" w:rsidR="0087112E" w:rsidRPr="0087112E" w:rsidRDefault="0087112E" w:rsidP="009F7DB8">
            <w:pPr>
              <w:spacing w:before="120"/>
              <w:jc w:val="center"/>
              <w:rPr>
                <w:rFonts w:ascii="Arial" w:hAnsi="Arial" w:cs="Arial"/>
                <w:sz w:val="16"/>
                <w:szCs w:val="18"/>
              </w:rPr>
            </w:pPr>
          </w:p>
        </w:tc>
      </w:tr>
      <w:tr w:rsidR="0087112E" w:rsidRPr="00AF1200" w14:paraId="43DDFA8E" w14:textId="77777777" w:rsidTr="00E95BD6">
        <w:tc>
          <w:tcPr>
            <w:tcW w:w="910" w:type="dxa"/>
            <w:vMerge/>
            <w:vAlign w:val="center"/>
          </w:tcPr>
          <w:p w14:paraId="27CE7E06" w14:textId="77777777" w:rsidR="0087112E" w:rsidRPr="00AF1200" w:rsidRDefault="0087112E" w:rsidP="009F7DB8">
            <w:pPr>
              <w:spacing w:before="120"/>
              <w:rPr>
                <w:rFonts w:ascii="Arial" w:hAnsi="Arial" w:cs="Arial"/>
                <w:b/>
                <w:sz w:val="16"/>
                <w:szCs w:val="18"/>
                <w:highlight w:val="yellow"/>
              </w:rPr>
            </w:pPr>
          </w:p>
        </w:tc>
        <w:tc>
          <w:tcPr>
            <w:tcW w:w="2578" w:type="dxa"/>
            <w:vMerge/>
            <w:vAlign w:val="center"/>
          </w:tcPr>
          <w:p w14:paraId="37C566D9" w14:textId="77777777" w:rsidR="0087112E" w:rsidRPr="00AF1200" w:rsidRDefault="0087112E" w:rsidP="009F7DB8">
            <w:pPr>
              <w:spacing w:before="120"/>
              <w:jc w:val="center"/>
              <w:rPr>
                <w:rFonts w:ascii="Arial" w:hAnsi="Arial" w:cs="Arial"/>
                <w:sz w:val="16"/>
                <w:szCs w:val="18"/>
                <w:highlight w:val="yellow"/>
              </w:rPr>
            </w:pPr>
          </w:p>
        </w:tc>
        <w:tc>
          <w:tcPr>
            <w:tcW w:w="1410" w:type="dxa"/>
            <w:vAlign w:val="center"/>
          </w:tcPr>
          <w:p w14:paraId="2B07754A" w14:textId="77777777" w:rsidR="0087112E" w:rsidRPr="0087112E" w:rsidRDefault="0087112E" w:rsidP="009F7DB8">
            <w:pPr>
              <w:spacing w:before="120"/>
              <w:jc w:val="center"/>
              <w:rPr>
                <w:rFonts w:ascii="Arial" w:hAnsi="Arial" w:cs="Arial"/>
                <w:sz w:val="16"/>
                <w:szCs w:val="18"/>
              </w:rPr>
            </w:pPr>
          </w:p>
        </w:tc>
        <w:tc>
          <w:tcPr>
            <w:tcW w:w="1424" w:type="dxa"/>
            <w:vAlign w:val="center"/>
          </w:tcPr>
          <w:p w14:paraId="582B6548" w14:textId="4F8FCFD3" w:rsidR="0087112E" w:rsidRPr="0087112E" w:rsidRDefault="001514A2" w:rsidP="009F7DB8">
            <w:pPr>
              <w:spacing w:before="120"/>
              <w:jc w:val="center"/>
              <w:rPr>
                <w:rFonts w:ascii="Arial" w:hAnsi="Arial" w:cs="Arial"/>
                <w:sz w:val="16"/>
                <w:szCs w:val="18"/>
              </w:rPr>
            </w:pPr>
            <w:r>
              <w:rPr>
                <w:rFonts w:ascii="Arial" w:hAnsi="Arial" w:cs="Arial"/>
                <w:sz w:val="16"/>
                <w:szCs w:val="18"/>
              </w:rPr>
              <w:t>0.15</w:t>
            </w:r>
          </w:p>
        </w:tc>
        <w:tc>
          <w:tcPr>
            <w:tcW w:w="1344" w:type="dxa"/>
            <w:vAlign w:val="center"/>
          </w:tcPr>
          <w:p w14:paraId="13D96D5A" w14:textId="77777777" w:rsidR="0087112E" w:rsidRPr="0087112E" w:rsidRDefault="0087112E" w:rsidP="009F7DB8">
            <w:pPr>
              <w:spacing w:before="120"/>
              <w:jc w:val="center"/>
              <w:rPr>
                <w:rFonts w:ascii="Arial" w:hAnsi="Arial" w:cs="Arial"/>
                <w:sz w:val="16"/>
                <w:szCs w:val="18"/>
              </w:rPr>
            </w:pPr>
          </w:p>
        </w:tc>
        <w:tc>
          <w:tcPr>
            <w:tcW w:w="1395" w:type="dxa"/>
            <w:vAlign w:val="center"/>
          </w:tcPr>
          <w:p w14:paraId="1744C248" w14:textId="331931A4" w:rsidR="0087112E" w:rsidRPr="0087112E" w:rsidRDefault="001514A2" w:rsidP="009F7DB8">
            <w:pPr>
              <w:spacing w:before="120"/>
              <w:jc w:val="center"/>
              <w:rPr>
                <w:rFonts w:ascii="Arial" w:hAnsi="Arial" w:cs="Arial"/>
                <w:sz w:val="16"/>
                <w:szCs w:val="18"/>
              </w:rPr>
            </w:pPr>
            <w:r>
              <w:rPr>
                <w:rFonts w:ascii="Arial" w:hAnsi="Arial" w:cs="Arial"/>
                <w:sz w:val="16"/>
                <w:szCs w:val="18"/>
              </w:rPr>
              <w:t>0.0513</w:t>
            </w:r>
          </w:p>
        </w:tc>
      </w:tr>
    </w:tbl>
    <w:p w14:paraId="5E19F35D" w14:textId="37FA9169" w:rsidR="006761D2" w:rsidRPr="003D73C3" w:rsidRDefault="00C2139E" w:rsidP="00261F78">
      <w:pPr>
        <w:pStyle w:val="Heading2"/>
      </w:pPr>
      <w:r w:rsidRPr="003D73C3" w:rsidDel="00635125">
        <w:rPr>
          <w:szCs w:val="18"/>
        </w:rPr>
        <w:t xml:space="preserve"> </w:t>
      </w:r>
      <w:bookmarkStart w:id="298" w:name="_Toc112768124"/>
      <w:r w:rsidR="006761D2" w:rsidRPr="003D73C3">
        <w:t>Waste burning and accidental fires</w:t>
      </w:r>
      <w:bookmarkEnd w:id="298"/>
    </w:p>
    <w:p w14:paraId="249A2349" w14:textId="28F6CE4B" w:rsidR="006761D2" w:rsidRPr="003D73C3" w:rsidRDefault="006761D2" w:rsidP="006761D2">
      <w:pPr>
        <w:spacing w:line="300" w:lineRule="atLeast"/>
        <w:jc w:val="both"/>
        <w:rPr>
          <w:szCs w:val="18"/>
        </w:rPr>
      </w:pPr>
      <w:r w:rsidRPr="003D73C3">
        <w:rPr>
          <w:szCs w:val="18"/>
        </w:rPr>
        <w:t>The category is divided into the following sub-categories:</w:t>
      </w:r>
    </w:p>
    <w:p w14:paraId="48485B98"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Fires at waste dumps</w:t>
      </w:r>
    </w:p>
    <w:p w14:paraId="1AEEB947"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Accidental fires in houses, factories</w:t>
      </w:r>
    </w:p>
    <w:p w14:paraId="53469137"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Open burning of domestic waste</w:t>
      </w:r>
    </w:p>
    <w:p w14:paraId="553DBC34"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Accidental fires in vehicles</w:t>
      </w:r>
    </w:p>
    <w:p w14:paraId="3C69ECD5" w14:textId="77777777" w:rsidR="006761D2" w:rsidRPr="003D73C3" w:rsidRDefault="006761D2" w:rsidP="006761D2">
      <w:pPr>
        <w:numPr>
          <w:ilvl w:val="0"/>
          <w:numId w:val="15"/>
        </w:numPr>
        <w:spacing w:line="300" w:lineRule="atLeast"/>
        <w:ind w:left="1560" w:hanging="851"/>
        <w:jc w:val="both"/>
        <w:rPr>
          <w:szCs w:val="18"/>
        </w:rPr>
      </w:pPr>
      <w:r w:rsidRPr="003D73C3">
        <w:rPr>
          <w:szCs w:val="18"/>
        </w:rPr>
        <w:t>Open burning of wood (construction/ demolition)</w:t>
      </w:r>
    </w:p>
    <w:p w14:paraId="66ADAC3A" w14:textId="77777777" w:rsidR="00FA2DC6" w:rsidRDefault="00FA2DC6">
      <w:pPr>
        <w:spacing w:after="0"/>
        <w:rPr>
          <w:rFonts w:ascii="Arial" w:hAnsi="Arial"/>
          <w:b/>
          <w:sz w:val="22"/>
        </w:rPr>
      </w:pPr>
      <w:r>
        <w:br w:type="page"/>
      </w:r>
    </w:p>
    <w:p w14:paraId="46AF8E55" w14:textId="39CF744E" w:rsidR="006761D2" w:rsidRPr="003D73C3" w:rsidRDefault="006761D2" w:rsidP="006761D2">
      <w:pPr>
        <w:pStyle w:val="Heading3"/>
      </w:pPr>
      <w:bookmarkStart w:id="299" w:name="_Toc112768125"/>
      <w:r w:rsidRPr="003D73C3">
        <w:lastRenderedPageBreak/>
        <w:t>Fires at waste dumps</w:t>
      </w:r>
      <w:bookmarkEnd w:id="299"/>
    </w:p>
    <w:p w14:paraId="57F41C62" w14:textId="697918A2" w:rsidR="006761D2" w:rsidRPr="003D73C3" w:rsidRDefault="006761D2" w:rsidP="006761D2">
      <w:pPr>
        <w:spacing w:line="300" w:lineRule="atLeast"/>
        <w:jc w:val="both"/>
        <w:rPr>
          <w:szCs w:val="18"/>
        </w:rPr>
      </w:pPr>
      <w:r w:rsidRPr="003D73C3">
        <w:rPr>
          <w:szCs w:val="18"/>
        </w:rPr>
        <w:t xml:space="preserve">Landfill fires were identified in the first dioxin inventory as New Zealand’s most significant source of dioxin releases to air </w:t>
      </w:r>
      <w:sdt>
        <w:sdtPr>
          <w:rPr>
            <w:szCs w:val="18"/>
          </w:rPr>
          <w:id w:val="6871678"/>
          <w:citation/>
        </w:sdtPr>
        <w:sdtEndPr/>
        <w:sdtContent>
          <w:r w:rsidRPr="003D73C3">
            <w:rPr>
              <w:szCs w:val="18"/>
            </w:rPr>
            <w:fldChar w:fldCharType="begin"/>
          </w:r>
          <w:r w:rsidRPr="003D73C3">
            <w:rPr>
              <w:szCs w:val="18"/>
            </w:rPr>
            <w:instrText xml:space="preserve">CITATION MfE00 \l 5129 </w:instrText>
          </w:r>
          <w:r w:rsidRPr="003D73C3">
            <w:rPr>
              <w:szCs w:val="18"/>
            </w:rPr>
            <w:fldChar w:fldCharType="separate"/>
          </w:r>
          <w:r w:rsidR="00F1175E" w:rsidRPr="003D73C3">
            <w:rPr>
              <w:noProof/>
              <w:szCs w:val="18"/>
            </w:rPr>
            <w:t>(Ministry for the Environment, 2000)</w:t>
          </w:r>
          <w:r w:rsidRPr="003D73C3">
            <w:rPr>
              <w:szCs w:val="18"/>
            </w:rPr>
            <w:fldChar w:fldCharType="end"/>
          </w:r>
        </w:sdtContent>
      </w:sdt>
      <w:r w:rsidRPr="003D73C3">
        <w:rPr>
          <w:szCs w:val="18"/>
        </w:rPr>
        <w:t xml:space="preserve">. In response to this, the deliberate lighting of fires and burning of wastes at landfills was banned under the </w:t>
      </w:r>
      <w:r w:rsidRPr="003D73C3">
        <w:rPr>
          <w:i/>
          <w:szCs w:val="18"/>
        </w:rPr>
        <w:t>Resource Management (National Environmental Standards Relating to Certain Air Pollutants, Dioxins and Other Toxics) Regulations 2004</w:t>
      </w:r>
      <w:r w:rsidRPr="003D73C3">
        <w:rPr>
          <w:szCs w:val="18"/>
        </w:rPr>
        <w:t xml:space="preserve">. </w:t>
      </w:r>
    </w:p>
    <w:p w14:paraId="4AF1BCB5" w14:textId="3C424707" w:rsidR="006761D2" w:rsidRPr="003D73C3" w:rsidRDefault="00691075" w:rsidP="006761D2">
      <w:pPr>
        <w:spacing w:line="300" w:lineRule="atLeast"/>
        <w:jc w:val="both"/>
        <w:rPr>
          <w:szCs w:val="18"/>
        </w:rPr>
      </w:pPr>
      <w:r w:rsidRPr="003D73C3">
        <w:rPr>
          <w:szCs w:val="18"/>
        </w:rPr>
        <w:t xml:space="preserve">Previous inventories have shown a general decline in the number of landfill fires from </w:t>
      </w:r>
      <w:r w:rsidR="006761D2" w:rsidRPr="003D73C3">
        <w:rPr>
          <w:szCs w:val="18"/>
        </w:rPr>
        <w:t>274 fires in 1998, 50 fires in 2008</w:t>
      </w:r>
      <w:r w:rsidRPr="003D73C3">
        <w:rPr>
          <w:szCs w:val="18"/>
        </w:rPr>
        <w:t xml:space="preserve">, </w:t>
      </w:r>
      <w:r w:rsidR="006706B5" w:rsidRPr="003D73C3">
        <w:rPr>
          <w:szCs w:val="18"/>
        </w:rPr>
        <w:t>28 fires in 2012</w:t>
      </w:r>
      <w:r w:rsidRPr="003D73C3">
        <w:rPr>
          <w:szCs w:val="18"/>
        </w:rPr>
        <w:t xml:space="preserve"> and 27 fires in 2016.</w:t>
      </w:r>
      <w:r w:rsidR="006761D2" w:rsidRPr="003D73C3">
        <w:rPr>
          <w:szCs w:val="18"/>
        </w:rPr>
        <w:t xml:space="preserve"> These estimates were based on fire incident data published by the NZ Fire Services</w:t>
      </w:r>
      <w:r w:rsidR="00DD26F7" w:rsidRPr="003D73C3">
        <w:rPr>
          <w:szCs w:val="18"/>
        </w:rPr>
        <w:t xml:space="preserve">, now known as Fire and Emergency New Zealand (FENZ). </w:t>
      </w:r>
      <w:r w:rsidR="00EB5E41" w:rsidRPr="003D73C3">
        <w:rPr>
          <w:szCs w:val="18"/>
        </w:rPr>
        <w:t>The land</w:t>
      </w:r>
      <w:r w:rsidR="007B74DA" w:rsidRPr="003D73C3">
        <w:rPr>
          <w:szCs w:val="18"/>
        </w:rPr>
        <w:t xml:space="preserve">fill fire estimate for </w:t>
      </w:r>
      <w:r w:rsidR="00271843" w:rsidRPr="003D73C3">
        <w:rPr>
          <w:szCs w:val="18"/>
        </w:rPr>
        <w:t xml:space="preserve">2020 </w:t>
      </w:r>
      <w:r w:rsidR="007B74DA" w:rsidRPr="003D73C3">
        <w:rPr>
          <w:szCs w:val="18"/>
        </w:rPr>
        <w:t xml:space="preserve">based on FENZ data </w:t>
      </w:r>
      <w:r w:rsidR="000B6688" w:rsidRPr="003D73C3">
        <w:rPr>
          <w:szCs w:val="18"/>
        </w:rPr>
        <w:t xml:space="preserve">supplied </w:t>
      </w:r>
      <w:r w:rsidR="007B74DA" w:rsidRPr="003D73C3">
        <w:rPr>
          <w:szCs w:val="18"/>
        </w:rPr>
        <w:t xml:space="preserve">is </w:t>
      </w:r>
      <w:r w:rsidR="00271843" w:rsidRPr="003D73C3">
        <w:rPr>
          <w:szCs w:val="18"/>
        </w:rPr>
        <w:t>81</w:t>
      </w:r>
      <w:r w:rsidR="007B74DA" w:rsidRPr="003D73C3">
        <w:rPr>
          <w:szCs w:val="18"/>
        </w:rPr>
        <w:t xml:space="preserve"> </w:t>
      </w:r>
      <w:r w:rsidR="00027A89" w:rsidRPr="003D73C3">
        <w:rPr>
          <w:szCs w:val="18"/>
        </w:rPr>
        <w:t>(Official Information Request OIA2022 – 00008550)</w:t>
      </w:r>
      <w:r w:rsidR="007B74DA" w:rsidRPr="003D73C3">
        <w:rPr>
          <w:szCs w:val="18"/>
        </w:rPr>
        <w:t>.</w:t>
      </w:r>
    </w:p>
    <w:p w14:paraId="7D8D8EFD" w14:textId="78606F12" w:rsidR="006761D2" w:rsidRPr="003D73C3" w:rsidRDefault="00817EB8" w:rsidP="006761D2">
      <w:pPr>
        <w:spacing w:line="300" w:lineRule="atLeast"/>
        <w:jc w:val="both"/>
        <w:rPr>
          <w:szCs w:val="18"/>
        </w:rPr>
      </w:pPr>
      <w:r w:rsidRPr="003D73C3">
        <w:rPr>
          <w:szCs w:val="18"/>
        </w:rPr>
        <w:t>T</w:t>
      </w:r>
      <w:r w:rsidR="00DD26F7" w:rsidRPr="003D73C3">
        <w:rPr>
          <w:szCs w:val="18"/>
        </w:rPr>
        <w:t>he previous</w:t>
      </w:r>
      <w:r w:rsidRPr="003D73C3">
        <w:rPr>
          <w:szCs w:val="18"/>
        </w:rPr>
        <w:t xml:space="preserve"> inventories assumed</w:t>
      </w:r>
      <w:r w:rsidR="00DD26F7" w:rsidRPr="003D73C3">
        <w:rPr>
          <w:szCs w:val="18"/>
        </w:rPr>
        <w:t xml:space="preserve"> </w:t>
      </w:r>
      <w:r w:rsidR="006761D2" w:rsidRPr="003D73C3">
        <w:rPr>
          <w:szCs w:val="18"/>
        </w:rPr>
        <w:t>an average waste quantity of 45 tonnes of waste per fire</w:t>
      </w:r>
      <w:r w:rsidRPr="003D73C3">
        <w:rPr>
          <w:szCs w:val="18"/>
        </w:rPr>
        <w:t xml:space="preserve"> which has been retained</w:t>
      </w:r>
      <w:r w:rsidR="006761D2" w:rsidRPr="003D73C3">
        <w:rPr>
          <w:szCs w:val="18"/>
        </w:rPr>
        <w:t>.</w:t>
      </w:r>
      <w:r w:rsidRPr="003D73C3">
        <w:rPr>
          <w:szCs w:val="18"/>
        </w:rPr>
        <w:t xml:space="preserve"> The </w:t>
      </w:r>
      <w:r w:rsidR="006761D2" w:rsidRPr="003D73C3">
        <w:rPr>
          <w:szCs w:val="18"/>
        </w:rPr>
        <w:t>Toolkit r</w:t>
      </w:r>
      <w:r w:rsidRPr="003D73C3">
        <w:rPr>
          <w:szCs w:val="18"/>
        </w:rPr>
        <w:t>ecommends a factor of</w:t>
      </w:r>
      <w:r w:rsidR="006761D2" w:rsidRPr="003D73C3">
        <w:rPr>
          <w:szCs w:val="18"/>
        </w:rPr>
        <w:t xml:space="preserve"> 300 µg TEQ per tonne for relea</w:t>
      </w:r>
      <w:r w:rsidRPr="003D73C3">
        <w:rPr>
          <w:szCs w:val="18"/>
        </w:rPr>
        <w:t xml:space="preserve">ses to air, and </w:t>
      </w:r>
      <w:r w:rsidR="006761D2" w:rsidRPr="003D73C3">
        <w:rPr>
          <w:szCs w:val="18"/>
        </w:rPr>
        <w:t>10 µg TEQ per tonne for releases to land (1 µg TEQ/tonne = 1 x 10</w:t>
      </w:r>
      <w:r w:rsidR="006761D2" w:rsidRPr="003D73C3">
        <w:rPr>
          <w:szCs w:val="18"/>
          <w:vertAlign w:val="superscript"/>
        </w:rPr>
        <w:t>-6</w:t>
      </w:r>
      <w:r w:rsidR="006761D2" w:rsidRPr="003D73C3">
        <w:rPr>
          <w:szCs w:val="18"/>
        </w:rPr>
        <w:t xml:space="preserve"> g TEQ/tonne)</w:t>
      </w:r>
      <w:r w:rsidR="00AC1E84" w:rsidRPr="003D73C3">
        <w:rPr>
          <w:noProof/>
          <w:szCs w:val="18"/>
        </w:rPr>
        <w:t xml:space="preserve"> (United Nations Environment Programme, 2013)</w:t>
      </w:r>
      <w:r w:rsidRPr="003D73C3">
        <w:rPr>
          <w:szCs w:val="18"/>
        </w:rPr>
        <w:t>. R</w:t>
      </w:r>
      <w:r w:rsidR="006761D2" w:rsidRPr="003D73C3">
        <w:rPr>
          <w:szCs w:val="18"/>
        </w:rPr>
        <w:t xml:space="preserve">elease estimates </w:t>
      </w:r>
      <w:r w:rsidR="008646B3">
        <w:rPr>
          <w:szCs w:val="18"/>
        </w:rPr>
        <w:t xml:space="preserve">for </w:t>
      </w:r>
      <w:r w:rsidRPr="003D73C3">
        <w:rPr>
          <w:szCs w:val="18"/>
        </w:rPr>
        <w:t>20</w:t>
      </w:r>
      <w:r w:rsidR="008646B3">
        <w:rPr>
          <w:szCs w:val="18"/>
        </w:rPr>
        <w:t>20</w:t>
      </w:r>
      <w:r w:rsidR="00862742" w:rsidRPr="003D73C3">
        <w:rPr>
          <w:szCs w:val="18"/>
        </w:rPr>
        <w:t xml:space="preserve"> are shown in Table 8-4 along with 2012 </w:t>
      </w:r>
      <w:r w:rsidR="008646B3">
        <w:rPr>
          <w:szCs w:val="18"/>
        </w:rPr>
        <w:t xml:space="preserve">and 2016 </w:t>
      </w:r>
      <w:r w:rsidR="00862742" w:rsidRPr="003D73C3">
        <w:rPr>
          <w:szCs w:val="18"/>
        </w:rPr>
        <w:t>estimates from the previous inventor</w:t>
      </w:r>
      <w:r w:rsidR="008646B3">
        <w:rPr>
          <w:szCs w:val="18"/>
        </w:rPr>
        <w:t>ies.</w:t>
      </w:r>
    </w:p>
    <w:p w14:paraId="3AB3727A" w14:textId="0B3CCD81"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4</w:t>
      </w:r>
      <w:r w:rsidRPr="003D73C3">
        <w:rPr>
          <w:rFonts w:cs="Arial"/>
        </w:rPr>
        <w:fldChar w:fldCharType="end"/>
      </w:r>
      <w:r w:rsidRPr="003D73C3">
        <w:rPr>
          <w:rFonts w:cs="Arial"/>
        </w:rPr>
        <w:t>: Dioxin releases from waste dump fires</w:t>
      </w:r>
    </w:p>
    <w:tbl>
      <w:tblPr>
        <w:tblStyle w:val="TableGrid"/>
        <w:tblW w:w="0" w:type="auto"/>
        <w:tblLook w:val="04A0" w:firstRow="1" w:lastRow="0" w:firstColumn="1" w:lastColumn="0" w:noHBand="0" w:noVBand="1"/>
      </w:tblPr>
      <w:tblGrid>
        <w:gridCol w:w="927"/>
        <w:gridCol w:w="2569"/>
        <w:gridCol w:w="1411"/>
        <w:gridCol w:w="1416"/>
        <w:gridCol w:w="1342"/>
        <w:gridCol w:w="1396"/>
      </w:tblGrid>
      <w:tr w:rsidR="006761D2" w:rsidRPr="00AC1E84" w14:paraId="06422241" w14:textId="77777777" w:rsidTr="0C34660A">
        <w:tc>
          <w:tcPr>
            <w:tcW w:w="927" w:type="dxa"/>
            <w:vMerge w:val="restart"/>
            <w:vAlign w:val="center"/>
          </w:tcPr>
          <w:p w14:paraId="113B81D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69" w:type="dxa"/>
            <w:vMerge w:val="restart"/>
            <w:vAlign w:val="center"/>
          </w:tcPr>
          <w:p w14:paraId="32F0246A"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300" w:name="_Int_H5yBtRv3"/>
            <w:r w:rsidRPr="0C34660A">
              <w:rPr>
                <w:rFonts w:ascii="Arial" w:hAnsi="Arial" w:cs="Arial"/>
                <w:b/>
                <w:bCs/>
                <w:sz w:val="16"/>
                <w:szCs w:val="16"/>
              </w:rPr>
              <w:t>tonnes</w:t>
            </w:r>
            <w:bookmarkEnd w:id="300"/>
            <w:r w:rsidRPr="0C34660A">
              <w:rPr>
                <w:rFonts w:ascii="Arial" w:hAnsi="Arial" w:cs="Arial"/>
                <w:b/>
                <w:bCs/>
                <w:sz w:val="16"/>
                <w:szCs w:val="16"/>
              </w:rPr>
              <w:t xml:space="preserve"> of waste burned/year)</w:t>
            </w:r>
          </w:p>
        </w:tc>
        <w:tc>
          <w:tcPr>
            <w:tcW w:w="2827" w:type="dxa"/>
            <w:gridSpan w:val="2"/>
            <w:vAlign w:val="center"/>
          </w:tcPr>
          <w:p w14:paraId="41B1C92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38" w:type="dxa"/>
            <w:gridSpan w:val="2"/>
            <w:vAlign w:val="center"/>
          </w:tcPr>
          <w:p w14:paraId="5C7EC46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AC1E84" w14:paraId="6ACC3A7E" w14:textId="77777777" w:rsidTr="00E95BD6">
        <w:tc>
          <w:tcPr>
            <w:tcW w:w="927" w:type="dxa"/>
            <w:vMerge/>
          </w:tcPr>
          <w:p w14:paraId="3228C1E0" w14:textId="77777777" w:rsidR="006761D2" w:rsidRPr="003D73C3" w:rsidRDefault="006761D2" w:rsidP="009F7DB8">
            <w:pPr>
              <w:spacing w:before="120"/>
              <w:jc w:val="both"/>
              <w:rPr>
                <w:rFonts w:ascii="Arial" w:hAnsi="Arial" w:cs="Arial"/>
                <w:sz w:val="16"/>
                <w:szCs w:val="18"/>
              </w:rPr>
            </w:pPr>
          </w:p>
        </w:tc>
        <w:tc>
          <w:tcPr>
            <w:tcW w:w="2569" w:type="dxa"/>
            <w:vMerge/>
            <w:vAlign w:val="center"/>
          </w:tcPr>
          <w:p w14:paraId="60A272EF" w14:textId="77777777" w:rsidR="006761D2" w:rsidRPr="003D73C3" w:rsidRDefault="006761D2" w:rsidP="009F7DB8">
            <w:pPr>
              <w:spacing w:before="120"/>
              <w:jc w:val="center"/>
              <w:rPr>
                <w:rFonts w:ascii="Arial" w:hAnsi="Arial" w:cs="Arial"/>
                <w:sz w:val="16"/>
                <w:szCs w:val="18"/>
              </w:rPr>
            </w:pPr>
          </w:p>
        </w:tc>
        <w:tc>
          <w:tcPr>
            <w:tcW w:w="1411" w:type="dxa"/>
            <w:vAlign w:val="center"/>
          </w:tcPr>
          <w:p w14:paraId="53201C6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16" w:type="dxa"/>
            <w:vAlign w:val="center"/>
          </w:tcPr>
          <w:p w14:paraId="11EDA21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2" w:type="dxa"/>
            <w:vAlign w:val="center"/>
          </w:tcPr>
          <w:p w14:paraId="6470E31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6" w:type="dxa"/>
            <w:vAlign w:val="center"/>
          </w:tcPr>
          <w:p w14:paraId="59C4B7C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AA4F49" w:rsidRPr="00AC1E84" w14:paraId="0F9E9338" w14:textId="77777777" w:rsidTr="00E95BD6">
        <w:tc>
          <w:tcPr>
            <w:tcW w:w="927" w:type="dxa"/>
            <w:vMerge w:val="restart"/>
            <w:vAlign w:val="center"/>
          </w:tcPr>
          <w:p w14:paraId="39D2B7B4" w14:textId="38CE87B0" w:rsidR="00AA4F49" w:rsidRPr="003D73C3" w:rsidRDefault="00AA4F49" w:rsidP="00AC1E84">
            <w:pPr>
              <w:spacing w:before="120"/>
              <w:rPr>
                <w:rFonts w:ascii="Arial" w:hAnsi="Arial" w:cs="Arial"/>
                <w:b/>
                <w:sz w:val="16"/>
                <w:szCs w:val="18"/>
              </w:rPr>
            </w:pPr>
            <w:r>
              <w:rPr>
                <w:rFonts w:ascii="Arial" w:hAnsi="Arial" w:cs="Arial"/>
                <w:b/>
                <w:sz w:val="16"/>
                <w:szCs w:val="18"/>
              </w:rPr>
              <w:t>2012</w:t>
            </w:r>
          </w:p>
        </w:tc>
        <w:tc>
          <w:tcPr>
            <w:tcW w:w="2569" w:type="dxa"/>
            <w:vMerge w:val="restart"/>
            <w:vAlign w:val="center"/>
          </w:tcPr>
          <w:p w14:paraId="63DE4024" w14:textId="605FF3DD" w:rsidR="00AA4F49" w:rsidRPr="003D73C3" w:rsidRDefault="00AA4F49" w:rsidP="00AC1E84">
            <w:pPr>
              <w:spacing w:before="120"/>
              <w:jc w:val="center"/>
              <w:rPr>
                <w:rFonts w:ascii="Arial" w:hAnsi="Arial" w:cs="Arial"/>
                <w:sz w:val="16"/>
                <w:szCs w:val="18"/>
              </w:rPr>
            </w:pPr>
            <w:r>
              <w:rPr>
                <w:rFonts w:ascii="Arial" w:hAnsi="Arial" w:cs="Arial"/>
                <w:sz w:val="16"/>
                <w:szCs w:val="18"/>
              </w:rPr>
              <w:t>1260</w:t>
            </w:r>
          </w:p>
        </w:tc>
        <w:tc>
          <w:tcPr>
            <w:tcW w:w="1411" w:type="dxa"/>
            <w:vAlign w:val="center"/>
          </w:tcPr>
          <w:p w14:paraId="604F976B" w14:textId="41A4B840" w:rsidR="00AA4F49" w:rsidRPr="003D73C3" w:rsidRDefault="00AA4F49" w:rsidP="00AC1E84">
            <w:pPr>
              <w:spacing w:before="120"/>
              <w:jc w:val="center"/>
              <w:rPr>
                <w:rFonts w:ascii="Arial" w:hAnsi="Arial" w:cs="Arial"/>
                <w:sz w:val="16"/>
                <w:szCs w:val="18"/>
              </w:rPr>
            </w:pPr>
            <w:r>
              <w:rPr>
                <w:rFonts w:ascii="Arial" w:hAnsi="Arial" w:cs="Arial"/>
                <w:sz w:val="16"/>
                <w:szCs w:val="18"/>
              </w:rPr>
              <w:t>300</w:t>
            </w:r>
          </w:p>
        </w:tc>
        <w:tc>
          <w:tcPr>
            <w:tcW w:w="1416" w:type="dxa"/>
            <w:vAlign w:val="center"/>
          </w:tcPr>
          <w:p w14:paraId="6870C4C0" w14:textId="77777777" w:rsidR="00AA4F49" w:rsidRPr="003D73C3" w:rsidRDefault="00AA4F49" w:rsidP="00AC1E84">
            <w:pPr>
              <w:spacing w:before="120"/>
              <w:jc w:val="center"/>
              <w:rPr>
                <w:rFonts w:ascii="Arial" w:hAnsi="Arial" w:cs="Arial"/>
                <w:sz w:val="16"/>
                <w:szCs w:val="18"/>
              </w:rPr>
            </w:pPr>
          </w:p>
        </w:tc>
        <w:tc>
          <w:tcPr>
            <w:tcW w:w="1342" w:type="dxa"/>
            <w:vAlign w:val="center"/>
          </w:tcPr>
          <w:p w14:paraId="4938F4A2" w14:textId="3A9C94FB" w:rsidR="00AA4F49" w:rsidRPr="003D73C3" w:rsidRDefault="00AA4F49" w:rsidP="00AC1E84">
            <w:pPr>
              <w:spacing w:before="120"/>
              <w:jc w:val="center"/>
              <w:rPr>
                <w:rFonts w:ascii="Arial" w:hAnsi="Arial" w:cs="Arial"/>
                <w:sz w:val="16"/>
                <w:szCs w:val="18"/>
              </w:rPr>
            </w:pPr>
            <w:r>
              <w:rPr>
                <w:rFonts w:ascii="Arial" w:hAnsi="Arial" w:cs="Arial"/>
                <w:sz w:val="16"/>
                <w:szCs w:val="18"/>
              </w:rPr>
              <w:t>0.378</w:t>
            </w:r>
          </w:p>
        </w:tc>
        <w:tc>
          <w:tcPr>
            <w:tcW w:w="1396" w:type="dxa"/>
            <w:vAlign w:val="center"/>
          </w:tcPr>
          <w:p w14:paraId="290DC07F" w14:textId="77777777" w:rsidR="00AA4F49" w:rsidRPr="003D73C3" w:rsidRDefault="00AA4F49" w:rsidP="00AC1E84">
            <w:pPr>
              <w:spacing w:before="120"/>
              <w:jc w:val="center"/>
              <w:rPr>
                <w:rFonts w:ascii="Arial" w:hAnsi="Arial" w:cs="Arial"/>
                <w:sz w:val="16"/>
                <w:szCs w:val="18"/>
              </w:rPr>
            </w:pPr>
          </w:p>
        </w:tc>
      </w:tr>
      <w:tr w:rsidR="00AA4F49" w:rsidRPr="00AC1E84" w14:paraId="6E9FD093" w14:textId="77777777" w:rsidTr="00E95BD6">
        <w:tc>
          <w:tcPr>
            <w:tcW w:w="927" w:type="dxa"/>
            <w:vMerge/>
            <w:vAlign w:val="center"/>
          </w:tcPr>
          <w:p w14:paraId="44AC6919" w14:textId="77777777" w:rsidR="00AA4F49" w:rsidRPr="003D73C3" w:rsidRDefault="00AA4F49" w:rsidP="00AC1E84">
            <w:pPr>
              <w:spacing w:before="120"/>
              <w:rPr>
                <w:rFonts w:ascii="Arial" w:hAnsi="Arial" w:cs="Arial"/>
                <w:b/>
                <w:sz w:val="16"/>
                <w:szCs w:val="18"/>
              </w:rPr>
            </w:pPr>
          </w:p>
        </w:tc>
        <w:tc>
          <w:tcPr>
            <w:tcW w:w="2569" w:type="dxa"/>
            <w:vMerge/>
            <w:vAlign w:val="center"/>
          </w:tcPr>
          <w:p w14:paraId="2548C411" w14:textId="77777777" w:rsidR="00AA4F49" w:rsidRPr="003D73C3" w:rsidRDefault="00AA4F49" w:rsidP="00AC1E84">
            <w:pPr>
              <w:spacing w:before="120"/>
              <w:jc w:val="center"/>
              <w:rPr>
                <w:rFonts w:ascii="Arial" w:hAnsi="Arial" w:cs="Arial"/>
                <w:sz w:val="16"/>
                <w:szCs w:val="18"/>
              </w:rPr>
            </w:pPr>
          </w:p>
        </w:tc>
        <w:tc>
          <w:tcPr>
            <w:tcW w:w="1411" w:type="dxa"/>
            <w:vAlign w:val="center"/>
          </w:tcPr>
          <w:p w14:paraId="73968DCC" w14:textId="77777777" w:rsidR="00AA4F49" w:rsidRPr="003D73C3" w:rsidRDefault="00AA4F49" w:rsidP="00AC1E84">
            <w:pPr>
              <w:spacing w:before="120"/>
              <w:jc w:val="center"/>
              <w:rPr>
                <w:rFonts w:ascii="Arial" w:hAnsi="Arial" w:cs="Arial"/>
                <w:sz w:val="16"/>
                <w:szCs w:val="18"/>
              </w:rPr>
            </w:pPr>
          </w:p>
        </w:tc>
        <w:tc>
          <w:tcPr>
            <w:tcW w:w="1416" w:type="dxa"/>
            <w:vAlign w:val="center"/>
          </w:tcPr>
          <w:p w14:paraId="71CAD234" w14:textId="01921B4D" w:rsidR="00AA4F49" w:rsidRPr="003D73C3" w:rsidRDefault="00AA4F49" w:rsidP="00AC1E84">
            <w:pPr>
              <w:spacing w:before="120"/>
              <w:jc w:val="center"/>
              <w:rPr>
                <w:rFonts w:ascii="Arial" w:hAnsi="Arial" w:cs="Arial"/>
                <w:sz w:val="16"/>
                <w:szCs w:val="18"/>
              </w:rPr>
            </w:pPr>
            <w:r>
              <w:rPr>
                <w:rFonts w:ascii="Arial" w:hAnsi="Arial" w:cs="Arial"/>
                <w:sz w:val="16"/>
                <w:szCs w:val="18"/>
              </w:rPr>
              <w:t>10</w:t>
            </w:r>
          </w:p>
        </w:tc>
        <w:tc>
          <w:tcPr>
            <w:tcW w:w="1342" w:type="dxa"/>
            <w:vAlign w:val="center"/>
          </w:tcPr>
          <w:p w14:paraId="0CEF01EA" w14:textId="77777777" w:rsidR="00AA4F49" w:rsidRPr="003D73C3" w:rsidRDefault="00AA4F49" w:rsidP="00AC1E84">
            <w:pPr>
              <w:spacing w:before="120"/>
              <w:jc w:val="center"/>
              <w:rPr>
                <w:rFonts w:ascii="Arial" w:hAnsi="Arial" w:cs="Arial"/>
                <w:sz w:val="16"/>
                <w:szCs w:val="18"/>
              </w:rPr>
            </w:pPr>
          </w:p>
        </w:tc>
        <w:tc>
          <w:tcPr>
            <w:tcW w:w="1396" w:type="dxa"/>
            <w:vAlign w:val="center"/>
          </w:tcPr>
          <w:p w14:paraId="48292C93" w14:textId="08B7D296" w:rsidR="00AA4F49" w:rsidRPr="003D73C3" w:rsidRDefault="00AA4F49" w:rsidP="00AC1E84">
            <w:pPr>
              <w:spacing w:before="120"/>
              <w:jc w:val="center"/>
              <w:rPr>
                <w:rFonts w:ascii="Arial" w:hAnsi="Arial" w:cs="Arial"/>
                <w:sz w:val="16"/>
                <w:szCs w:val="18"/>
              </w:rPr>
            </w:pPr>
            <w:r>
              <w:rPr>
                <w:rFonts w:ascii="Arial" w:hAnsi="Arial" w:cs="Arial"/>
                <w:sz w:val="16"/>
                <w:szCs w:val="18"/>
              </w:rPr>
              <w:t>0.0126</w:t>
            </w:r>
          </w:p>
        </w:tc>
      </w:tr>
      <w:tr w:rsidR="00191031" w:rsidRPr="00AC1E84" w14:paraId="0F839E9C" w14:textId="77777777" w:rsidTr="00E95BD6">
        <w:tc>
          <w:tcPr>
            <w:tcW w:w="927" w:type="dxa"/>
            <w:vMerge w:val="restart"/>
            <w:vAlign w:val="center"/>
          </w:tcPr>
          <w:p w14:paraId="72538BED" w14:textId="718ACEF6" w:rsidR="00AC1E84" w:rsidRPr="003D73C3" w:rsidRDefault="00AA4F49" w:rsidP="00AC1E84">
            <w:pPr>
              <w:spacing w:before="120"/>
              <w:rPr>
                <w:rFonts w:ascii="Arial" w:hAnsi="Arial" w:cs="Arial"/>
                <w:b/>
                <w:sz w:val="16"/>
                <w:szCs w:val="18"/>
              </w:rPr>
            </w:pPr>
            <w:r>
              <w:rPr>
                <w:rFonts w:ascii="Arial" w:hAnsi="Arial" w:cs="Arial"/>
                <w:b/>
                <w:sz w:val="16"/>
                <w:szCs w:val="18"/>
              </w:rPr>
              <w:t>2016</w:t>
            </w:r>
          </w:p>
        </w:tc>
        <w:tc>
          <w:tcPr>
            <w:tcW w:w="2569" w:type="dxa"/>
            <w:vMerge w:val="restart"/>
            <w:vAlign w:val="center"/>
          </w:tcPr>
          <w:p w14:paraId="0A2BEE19" w14:textId="00580827" w:rsidR="00AC1E84" w:rsidRPr="003D73C3" w:rsidRDefault="00AC1E84" w:rsidP="00AC1E84">
            <w:pPr>
              <w:spacing w:before="120"/>
              <w:jc w:val="center"/>
              <w:rPr>
                <w:rFonts w:ascii="Arial" w:hAnsi="Arial" w:cs="Arial"/>
                <w:sz w:val="16"/>
                <w:szCs w:val="18"/>
              </w:rPr>
            </w:pPr>
            <w:r w:rsidRPr="003D73C3">
              <w:rPr>
                <w:rFonts w:ascii="Arial" w:hAnsi="Arial" w:cs="Arial"/>
                <w:sz w:val="16"/>
                <w:szCs w:val="18"/>
              </w:rPr>
              <w:t>1215</w:t>
            </w:r>
          </w:p>
        </w:tc>
        <w:tc>
          <w:tcPr>
            <w:tcW w:w="1411" w:type="dxa"/>
            <w:vAlign w:val="center"/>
          </w:tcPr>
          <w:p w14:paraId="5259F73E" w14:textId="4C3D7B96" w:rsidR="00AC1E84" w:rsidRPr="003D73C3" w:rsidRDefault="00AC1E84" w:rsidP="00AC1E84">
            <w:pPr>
              <w:spacing w:before="120"/>
              <w:jc w:val="center"/>
              <w:rPr>
                <w:rFonts w:ascii="Arial" w:hAnsi="Arial" w:cs="Arial"/>
                <w:sz w:val="16"/>
                <w:szCs w:val="18"/>
              </w:rPr>
            </w:pPr>
            <w:r w:rsidRPr="003D73C3">
              <w:rPr>
                <w:rFonts w:ascii="Arial" w:hAnsi="Arial" w:cs="Arial"/>
                <w:sz w:val="16"/>
                <w:szCs w:val="18"/>
              </w:rPr>
              <w:t>300</w:t>
            </w:r>
          </w:p>
        </w:tc>
        <w:tc>
          <w:tcPr>
            <w:tcW w:w="1416" w:type="dxa"/>
            <w:vAlign w:val="center"/>
          </w:tcPr>
          <w:p w14:paraId="606EEE46" w14:textId="697720D4" w:rsidR="00AC1E84" w:rsidRPr="003D73C3" w:rsidRDefault="00AC1E84" w:rsidP="00AC1E84">
            <w:pPr>
              <w:spacing w:before="120"/>
              <w:jc w:val="center"/>
              <w:rPr>
                <w:rFonts w:ascii="Arial" w:hAnsi="Arial" w:cs="Arial"/>
                <w:sz w:val="16"/>
                <w:szCs w:val="18"/>
              </w:rPr>
            </w:pPr>
          </w:p>
        </w:tc>
        <w:tc>
          <w:tcPr>
            <w:tcW w:w="1342" w:type="dxa"/>
            <w:vAlign w:val="center"/>
          </w:tcPr>
          <w:p w14:paraId="1AB7CAB9" w14:textId="1A33418E" w:rsidR="00AC1E84" w:rsidRPr="003D73C3" w:rsidRDefault="00AC1E84" w:rsidP="00AC1E84">
            <w:pPr>
              <w:spacing w:before="120"/>
              <w:jc w:val="center"/>
              <w:rPr>
                <w:rFonts w:ascii="Arial" w:hAnsi="Arial" w:cs="Arial"/>
                <w:sz w:val="16"/>
                <w:szCs w:val="18"/>
              </w:rPr>
            </w:pPr>
            <w:r w:rsidRPr="003D73C3">
              <w:rPr>
                <w:rFonts w:ascii="Arial" w:hAnsi="Arial" w:cs="Arial"/>
                <w:sz w:val="16"/>
                <w:szCs w:val="18"/>
              </w:rPr>
              <w:t>0.365</w:t>
            </w:r>
          </w:p>
        </w:tc>
        <w:tc>
          <w:tcPr>
            <w:tcW w:w="1396" w:type="dxa"/>
            <w:vAlign w:val="center"/>
          </w:tcPr>
          <w:p w14:paraId="17E8E623" w14:textId="6B84D52D" w:rsidR="00AC1E84" w:rsidRPr="003D73C3" w:rsidRDefault="00AC1E84" w:rsidP="00AC1E84">
            <w:pPr>
              <w:spacing w:before="120"/>
              <w:jc w:val="center"/>
              <w:rPr>
                <w:rFonts w:ascii="Arial" w:hAnsi="Arial" w:cs="Arial"/>
                <w:sz w:val="16"/>
                <w:szCs w:val="18"/>
              </w:rPr>
            </w:pPr>
          </w:p>
        </w:tc>
      </w:tr>
      <w:tr w:rsidR="00AC1E84" w:rsidRPr="00AC1E84" w14:paraId="439D02C9" w14:textId="77777777" w:rsidTr="00E95BD6">
        <w:tc>
          <w:tcPr>
            <w:tcW w:w="927" w:type="dxa"/>
            <w:vMerge/>
            <w:vAlign w:val="center"/>
          </w:tcPr>
          <w:p w14:paraId="6FDE7F0D" w14:textId="77777777" w:rsidR="00AC1E84" w:rsidRPr="003D73C3" w:rsidRDefault="00AC1E84" w:rsidP="00AC1E84">
            <w:pPr>
              <w:spacing w:before="120"/>
              <w:rPr>
                <w:rFonts w:ascii="Arial" w:hAnsi="Arial" w:cs="Arial"/>
                <w:b/>
                <w:sz w:val="16"/>
                <w:szCs w:val="18"/>
              </w:rPr>
            </w:pPr>
          </w:p>
        </w:tc>
        <w:tc>
          <w:tcPr>
            <w:tcW w:w="2569" w:type="dxa"/>
            <w:vMerge/>
            <w:vAlign w:val="center"/>
          </w:tcPr>
          <w:p w14:paraId="45BD0C7C" w14:textId="77777777" w:rsidR="00AC1E84" w:rsidRPr="003D73C3" w:rsidRDefault="00AC1E84" w:rsidP="00AC1E84">
            <w:pPr>
              <w:spacing w:before="120"/>
              <w:jc w:val="center"/>
              <w:rPr>
                <w:rFonts w:ascii="Arial" w:hAnsi="Arial" w:cs="Arial"/>
                <w:sz w:val="16"/>
                <w:szCs w:val="18"/>
              </w:rPr>
            </w:pPr>
          </w:p>
        </w:tc>
        <w:tc>
          <w:tcPr>
            <w:tcW w:w="1411" w:type="dxa"/>
            <w:vAlign w:val="center"/>
          </w:tcPr>
          <w:p w14:paraId="0094C725" w14:textId="5F23C624" w:rsidR="00AC1E84" w:rsidRPr="003D73C3" w:rsidRDefault="00AC1E84" w:rsidP="00AC1E84">
            <w:pPr>
              <w:spacing w:before="120"/>
              <w:jc w:val="center"/>
              <w:rPr>
                <w:rFonts w:ascii="Arial" w:hAnsi="Arial" w:cs="Arial"/>
                <w:sz w:val="16"/>
                <w:szCs w:val="18"/>
              </w:rPr>
            </w:pPr>
          </w:p>
        </w:tc>
        <w:tc>
          <w:tcPr>
            <w:tcW w:w="1416" w:type="dxa"/>
            <w:vAlign w:val="center"/>
          </w:tcPr>
          <w:p w14:paraId="66A87E9A" w14:textId="70DC039F" w:rsidR="00AC1E84" w:rsidRPr="003D73C3" w:rsidRDefault="00AC1E84" w:rsidP="00AC1E84">
            <w:pPr>
              <w:spacing w:before="120"/>
              <w:jc w:val="center"/>
              <w:rPr>
                <w:rFonts w:ascii="Arial" w:hAnsi="Arial" w:cs="Arial"/>
                <w:sz w:val="16"/>
                <w:szCs w:val="18"/>
              </w:rPr>
            </w:pPr>
            <w:r w:rsidRPr="003D73C3">
              <w:rPr>
                <w:rFonts w:ascii="Arial" w:hAnsi="Arial" w:cs="Arial"/>
                <w:sz w:val="16"/>
                <w:szCs w:val="18"/>
              </w:rPr>
              <w:t>10</w:t>
            </w:r>
          </w:p>
        </w:tc>
        <w:tc>
          <w:tcPr>
            <w:tcW w:w="1342" w:type="dxa"/>
            <w:vAlign w:val="center"/>
          </w:tcPr>
          <w:p w14:paraId="690DC192" w14:textId="4383DC34" w:rsidR="00AC1E84" w:rsidRPr="003D73C3" w:rsidRDefault="00AC1E84" w:rsidP="00AC1E84">
            <w:pPr>
              <w:spacing w:before="120"/>
              <w:jc w:val="center"/>
              <w:rPr>
                <w:rFonts w:ascii="Arial" w:hAnsi="Arial" w:cs="Arial"/>
                <w:sz w:val="16"/>
                <w:szCs w:val="18"/>
              </w:rPr>
            </w:pPr>
          </w:p>
        </w:tc>
        <w:tc>
          <w:tcPr>
            <w:tcW w:w="1396" w:type="dxa"/>
            <w:vAlign w:val="center"/>
          </w:tcPr>
          <w:p w14:paraId="4FC7EB5C" w14:textId="47B9E643" w:rsidR="00AC1E84" w:rsidRPr="003D73C3" w:rsidRDefault="00AC1E84" w:rsidP="00AC1E84">
            <w:pPr>
              <w:spacing w:before="120"/>
              <w:jc w:val="center"/>
              <w:rPr>
                <w:rFonts w:ascii="Arial" w:hAnsi="Arial" w:cs="Arial"/>
                <w:sz w:val="16"/>
                <w:szCs w:val="18"/>
              </w:rPr>
            </w:pPr>
            <w:r w:rsidRPr="003D73C3">
              <w:rPr>
                <w:rFonts w:ascii="Arial" w:hAnsi="Arial" w:cs="Arial"/>
                <w:sz w:val="16"/>
                <w:szCs w:val="18"/>
              </w:rPr>
              <w:t>0.0122</w:t>
            </w:r>
          </w:p>
        </w:tc>
      </w:tr>
      <w:tr w:rsidR="006761D2" w:rsidRPr="00AC1E84" w14:paraId="4371C45D" w14:textId="77777777" w:rsidTr="00E95BD6">
        <w:tc>
          <w:tcPr>
            <w:tcW w:w="927" w:type="dxa"/>
            <w:vMerge w:val="restart"/>
            <w:vAlign w:val="center"/>
          </w:tcPr>
          <w:p w14:paraId="7980B51A" w14:textId="6AEAF3D6" w:rsidR="006761D2" w:rsidRPr="003D73C3" w:rsidRDefault="00AC1E84" w:rsidP="009F7DB8">
            <w:pPr>
              <w:spacing w:before="120"/>
              <w:rPr>
                <w:rFonts w:ascii="Arial" w:hAnsi="Arial" w:cs="Arial"/>
                <w:b/>
                <w:sz w:val="16"/>
                <w:szCs w:val="18"/>
              </w:rPr>
            </w:pPr>
            <w:r w:rsidRPr="003D73C3">
              <w:rPr>
                <w:rFonts w:ascii="Arial" w:hAnsi="Arial" w:cs="Arial"/>
                <w:b/>
                <w:sz w:val="16"/>
                <w:szCs w:val="18"/>
              </w:rPr>
              <w:t>2020</w:t>
            </w:r>
          </w:p>
        </w:tc>
        <w:tc>
          <w:tcPr>
            <w:tcW w:w="2569" w:type="dxa"/>
            <w:vMerge w:val="restart"/>
            <w:vAlign w:val="center"/>
          </w:tcPr>
          <w:p w14:paraId="59B0AFB6" w14:textId="6BDC73BF" w:rsidR="006761D2" w:rsidRPr="003D73C3" w:rsidRDefault="00AC1E84" w:rsidP="009F7DB8">
            <w:pPr>
              <w:spacing w:before="120"/>
              <w:jc w:val="center"/>
              <w:rPr>
                <w:rFonts w:ascii="Arial" w:hAnsi="Arial" w:cs="Arial"/>
                <w:sz w:val="16"/>
                <w:szCs w:val="18"/>
              </w:rPr>
            </w:pPr>
            <w:r w:rsidRPr="003D73C3">
              <w:rPr>
                <w:rFonts w:ascii="Arial" w:hAnsi="Arial" w:cs="Arial"/>
                <w:sz w:val="16"/>
                <w:szCs w:val="18"/>
              </w:rPr>
              <w:t>3645</w:t>
            </w:r>
          </w:p>
        </w:tc>
        <w:tc>
          <w:tcPr>
            <w:tcW w:w="1411" w:type="dxa"/>
            <w:vAlign w:val="center"/>
          </w:tcPr>
          <w:p w14:paraId="6A51D053" w14:textId="5C817A05" w:rsidR="006761D2" w:rsidRPr="003D73C3" w:rsidRDefault="00AC1E84" w:rsidP="009F7DB8">
            <w:pPr>
              <w:spacing w:before="120"/>
              <w:jc w:val="center"/>
              <w:rPr>
                <w:rFonts w:ascii="Arial" w:hAnsi="Arial" w:cs="Arial"/>
                <w:sz w:val="16"/>
                <w:szCs w:val="18"/>
              </w:rPr>
            </w:pPr>
            <w:r w:rsidRPr="003D73C3">
              <w:rPr>
                <w:rFonts w:ascii="Arial" w:hAnsi="Arial" w:cs="Arial"/>
                <w:sz w:val="16"/>
                <w:szCs w:val="18"/>
              </w:rPr>
              <w:t>300</w:t>
            </w:r>
          </w:p>
        </w:tc>
        <w:tc>
          <w:tcPr>
            <w:tcW w:w="1416" w:type="dxa"/>
            <w:vAlign w:val="center"/>
          </w:tcPr>
          <w:p w14:paraId="5FB1FFFA" w14:textId="23977E68" w:rsidR="006761D2" w:rsidRPr="003D73C3" w:rsidRDefault="006761D2" w:rsidP="009F7DB8">
            <w:pPr>
              <w:spacing w:before="120"/>
              <w:jc w:val="center"/>
              <w:rPr>
                <w:rFonts w:ascii="Arial" w:hAnsi="Arial" w:cs="Arial"/>
                <w:sz w:val="16"/>
                <w:szCs w:val="18"/>
              </w:rPr>
            </w:pPr>
          </w:p>
        </w:tc>
        <w:tc>
          <w:tcPr>
            <w:tcW w:w="1342" w:type="dxa"/>
            <w:vAlign w:val="center"/>
          </w:tcPr>
          <w:p w14:paraId="4AB61560" w14:textId="56928109" w:rsidR="006761D2" w:rsidRPr="003D73C3" w:rsidRDefault="00AC1E84" w:rsidP="009F7DB8">
            <w:pPr>
              <w:spacing w:before="120"/>
              <w:jc w:val="center"/>
              <w:rPr>
                <w:rFonts w:ascii="Arial" w:hAnsi="Arial" w:cs="Arial"/>
                <w:sz w:val="16"/>
                <w:szCs w:val="18"/>
              </w:rPr>
            </w:pPr>
            <w:r w:rsidRPr="003D73C3">
              <w:rPr>
                <w:rFonts w:ascii="Arial" w:hAnsi="Arial" w:cs="Arial"/>
                <w:sz w:val="16"/>
                <w:szCs w:val="18"/>
              </w:rPr>
              <w:t>1.094</w:t>
            </w:r>
          </w:p>
        </w:tc>
        <w:tc>
          <w:tcPr>
            <w:tcW w:w="1396" w:type="dxa"/>
            <w:vAlign w:val="center"/>
          </w:tcPr>
          <w:p w14:paraId="465EF1DF" w14:textId="76570397" w:rsidR="006761D2" w:rsidRPr="003D73C3" w:rsidRDefault="006761D2" w:rsidP="009F7DB8">
            <w:pPr>
              <w:spacing w:before="120"/>
              <w:jc w:val="center"/>
              <w:rPr>
                <w:rFonts w:ascii="Arial" w:hAnsi="Arial" w:cs="Arial"/>
                <w:sz w:val="16"/>
                <w:szCs w:val="18"/>
              </w:rPr>
            </w:pPr>
          </w:p>
        </w:tc>
      </w:tr>
      <w:tr w:rsidR="006761D2" w:rsidRPr="00AC1E84" w14:paraId="18A6CB5F" w14:textId="77777777" w:rsidTr="00E95BD6">
        <w:tc>
          <w:tcPr>
            <w:tcW w:w="927" w:type="dxa"/>
            <w:vMerge/>
            <w:vAlign w:val="center"/>
          </w:tcPr>
          <w:p w14:paraId="7E870124" w14:textId="77777777" w:rsidR="006761D2" w:rsidRPr="003D73C3" w:rsidRDefault="006761D2" w:rsidP="009F7DB8">
            <w:pPr>
              <w:spacing w:before="120"/>
              <w:rPr>
                <w:rFonts w:ascii="Arial" w:hAnsi="Arial" w:cs="Arial"/>
                <w:b/>
                <w:sz w:val="16"/>
                <w:szCs w:val="18"/>
              </w:rPr>
            </w:pPr>
          </w:p>
        </w:tc>
        <w:tc>
          <w:tcPr>
            <w:tcW w:w="2569" w:type="dxa"/>
            <w:vMerge/>
            <w:vAlign w:val="center"/>
          </w:tcPr>
          <w:p w14:paraId="1C43CEB9" w14:textId="77777777" w:rsidR="006761D2" w:rsidRPr="003D73C3" w:rsidRDefault="006761D2" w:rsidP="009F7DB8">
            <w:pPr>
              <w:spacing w:before="120"/>
              <w:jc w:val="center"/>
              <w:rPr>
                <w:rFonts w:ascii="Arial" w:hAnsi="Arial" w:cs="Arial"/>
                <w:sz w:val="16"/>
                <w:szCs w:val="18"/>
              </w:rPr>
            </w:pPr>
          </w:p>
        </w:tc>
        <w:tc>
          <w:tcPr>
            <w:tcW w:w="1411" w:type="dxa"/>
            <w:vAlign w:val="center"/>
          </w:tcPr>
          <w:p w14:paraId="705E406F" w14:textId="25949A4F" w:rsidR="006761D2" w:rsidRPr="003D73C3" w:rsidRDefault="006761D2" w:rsidP="009F7DB8">
            <w:pPr>
              <w:spacing w:before="120"/>
              <w:jc w:val="center"/>
              <w:rPr>
                <w:rFonts w:ascii="Arial" w:hAnsi="Arial" w:cs="Arial"/>
                <w:sz w:val="16"/>
                <w:szCs w:val="18"/>
              </w:rPr>
            </w:pPr>
          </w:p>
        </w:tc>
        <w:tc>
          <w:tcPr>
            <w:tcW w:w="1416" w:type="dxa"/>
            <w:vAlign w:val="center"/>
          </w:tcPr>
          <w:p w14:paraId="6ADAC920" w14:textId="2457897C" w:rsidR="006761D2" w:rsidRPr="003D73C3" w:rsidRDefault="00AC1E84" w:rsidP="009F7DB8">
            <w:pPr>
              <w:spacing w:before="120"/>
              <w:jc w:val="center"/>
              <w:rPr>
                <w:rFonts w:ascii="Arial" w:hAnsi="Arial" w:cs="Arial"/>
                <w:sz w:val="16"/>
                <w:szCs w:val="18"/>
              </w:rPr>
            </w:pPr>
            <w:r w:rsidRPr="003D73C3">
              <w:rPr>
                <w:rFonts w:ascii="Arial" w:hAnsi="Arial" w:cs="Arial"/>
                <w:sz w:val="16"/>
                <w:szCs w:val="18"/>
              </w:rPr>
              <w:t>10</w:t>
            </w:r>
          </w:p>
        </w:tc>
        <w:tc>
          <w:tcPr>
            <w:tcW w:w="1342" w:type="dxa"/>
            <w:vAlign w:val="center"/>
          </w:tcPr>
          <w:p w14:paraId="6662B28E" w14:textId="58A7697B" w:rsidR="006761D2" w:rsidRPr="003D73C3" w:rsidRDefault="006761D2" w:rsidP="009F7DB8">
            <w:pPr>
              <w:spacing w:before="120"/>
              <w:jc w:val="center"/>
              <w:rPr>
                <w:rFonts w:ascii="Arial" w:hAnsi="Arial" w:cs="Arial"/>
                <w:sz w:val="16"/>
                <w:szCs w:val="18"/>
              </w:rPr>
            </w:pPr>
          </w:p>
        </w:tc>
        <w:tc>
          <w:tcPr>
            <w:tcW w:w="1396" w:type="dxa"/>
            <w:vAlign w:val="center"/>
          </w:tcPr>
          <w:p w14:paraId="7368DB02" w14:textId="73B3CAE0" w:rsidR="006761D2" w:rsidRPr="003D73C3" w:rsidRDefault="00AC1E84" w:rsidP="009F7DB8">
            <w:pPr>
              <w:spacing w:before="120"/>
              <w:jc w:val="center"/>
              <w:rPr>
                <w:rFonts w:ascii="Arial" w:hAnsi="Arial" w:cs="Arial"/>
                <w:sz w:val="16"/>
                <w:szCs w:val="18"/>
              </w:rPr>
            </w:pPr>
            <w:r w:rsidRPr="003D73C3">
              <w:rPr>
                <w:rFonts w:ascii="Arial" w:hAnsi="Arial" w:cs="Arial"/>
                <w:sz w:val="16"/>
                <w:szCs w:val="18"/>
              </w:rPr>
              <w:t>0.0364</w:t>
            </w:r>
          </w:p>
        </w:tc>
      </w:tr>
    </w:tbl>
    <w:p w14:paraId="51D4C7B7" w14:textId="623B1F08" w:rsidR="006761D2" w:rsidRPr="003D73C3" w:rsidRDefault="006761D2" w:rsidP="006761D2">
      <w:pPr>
        <w:tabs>
          <w:tab w:val="left" w:pos="2760"/>
        </w:tabs>
        <w:spacing w:before="240" w:line="300" w:lineRule="atLeast"/>
        <w:jc w:val="both"/>
        <w:rPr>
          <w:rFonts w:ascii="Arial" w:hAnsi="Arial" w:cs="Arial"/>
          <w:b/>
          <w:szCs w:val="18"/>
        </w:rPr>
      </w:pPr>
      <w:r w:rsidRPr="003D73C3">
        <w:rPr>
          <w:rFonts w:ascii="Arial" w:hAnsi="Arial" w:cs="Arial"/>
          <w:b/>
          <w:szCs w:val="18"/>
        </w:rPr>
        <w:t xml:space="preserve">Certainty assessment for </w:t>
      </w:r>
      <w:r w:rsidR="00AC1E84" w:rsidRPr="003D73C3">
        <w:rPr>
          <w:rFonts w:ascii="Arial" w:hAnsi="Arial" w:cs="Arial"/>
          <w:b/>
          <w:szCs w:val="18"/>
        </w:rPr>
        <w:t>2020</w:t>
      </w:r>
    </w:p>
    <w:p w14:paraId="6AFE86E7"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Low (because it based on national fire statistics but coupled with a highly uncertain conversion factor for the mass of material burned)</w:t>
      </w:r>
    </w:p>
    <w:p w14:paraId="418A3A70"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factors: </w:t>
      </w:r>
      <w:r w:rsidRPr="003D73C3">
        <w:rPr>
          <w:szCs w:val="18"/>
        </w:rPr>
        <w:tab/>
        <w:t>Low (because they are based on the Toolkit default factors)</w:t>
      </w:r>
    </w:p>
    <w:p w14:paraId="3ED26A3E" w14:textId="77777777" w:rsidR="006761D2" w:rsidRPr="003D73C3" w:rsidRDefault="006761D2" w:rsidP="006761D2">
      <w:pPr>
        <w:pStyle w:val="Heading3"/>
      </w:pPr>
      <w:bookmarkStart w:id="301" w:name="_Toc112768126"/>
      <w:r w:rsidRPr="003D73C3">
        <w:t>Accidental fires in houses, factories</w:t>
      </w:r>
      <w:bookmarkEnd w:id="301"/>
    </w:p>
    <w:p w14:paraId="2942B221" w14:textId="7A8A8524" w:rsidR="006761D2" w:rsidRPr="003D73C3" w:rsidRDefault="006761D2" w:rsidP="006761D2">
      <w:pPr>
        <w:spacing w:line="300" w:lineRule="atLeast"/>
        <w:jc w:val="both"/>
        <w:rPr>
          <w:szCs w:val="18"/>
        </w:rPr>
      </w:pPr>
      <w:r w:rsidRPr="003D73C3">
        <w:rPr>
          <w:szCs w:val="18"/>
        </w:rPr>
        <w:t xml:space="preserve">The release estimates for the previous dioxin inventories were based on New Zealand Fire Service </w:t>
      </w:r>
      <w:r w:rsidR="00AC1E84" w:rsidRPr="003D73C3">
        <w:rPr>
          <w:szCs w:val="18"/>
        </w:rPr>
        <w:t>(now Fire and Emergency New Zealand</w:t>
      </w:r>
      <w:r w:rsidR="008646B3">
        <w:rPr>
          <w:szCs w:val="18"/>
        </w:rPr>
        <w:t>, FENZ</w:t>
      </w:r>
      <w:r w:rsidR="00AC1E84" w:rsidRPr="003D73C3">
        <w:rPr>
          <w:szCs w:val="18"/>
        </w:rPr>
        <w:t xml:space="preserve">) </w:t>
      </w:r>
      <w:r w:rsidRPr="003D73C3">
        <w:rPr>
          <w:szCs w:val="18"/>
        </w:rPr>
        <w:t>statistics for the numbers of structure fires attended each year. The quantities of materials involved in the fires were estimated using an approximate size distribution, which was first presented in the 2000 Inventory Report, and subsequently modified for the 2008</w:t>
      </w:r>
      <w:r w:rsidR="001A0620" w:rsidRPr="003D73C3">
        <w:rPr>
          <w:szCs w:val="18"/>
        </w:rPr>
        <w:t xml:space="preserve">, </w:t>
      </w:r>
      <w:r w:rsidR="00B77EC7" w:rsidRPr="003D73C3">
        <w:rPr>
          <w:szCs w:val="18"/>
        </w:rPr>
        <w:t xml:space="preserve">2012 </w:t>
      </w:r>
      <w:r w:rsidR="00AC1E84" w:rsidRPr="003D73C3">
        <w:rPr>
          <w:szCs w:val="18"/>
        </w:rPr>
        <w:t xml:space="preserve">and 2016 </w:t>
      </w:r>
      <w:r w:rsidRPr="003D73C3">
        <w:rPr>
          <w:szCs w:val="18"/>
        </w:rPr>
        <w:t>Inventor</w:t>
      </w:r>
      <w:r w:rsidR="00B77EC7" w:rsidRPr="003D73C3">
        <w:rPr>
          <w:szCs w:val="18"/>
        </w:rPr>
        <w:t>ies</w:t>
      </w:r>
      <w:r w:rsidRPr="003D73C3">
        <w:rPr>
          <w:szCs w:val="18"/>
        </w:rPr>
        <w:t>. Th</w:t>
      </w:r>
      <w:r w:rsidR="00AC1E84" w:rsidRPr="003D73C3">
        <w:rPr>
          <w:szCs w:val="18"/>
        </w:rPr>
        <w:t>is</w:t>
      </w:r>
      <w:r w:rsidRPr="003D73C3">
        <w:rPr>
          <w:szCs w:val="18"/>
        </w:rPr>
        <w:t xml:space="preserve"> approach has also been applied to the current estimates. </w:t>
      </w:r>
    </w:p>
    <w:p w14:paraId="7EB85B26" w14:textId="1D74DA64" w:rsidR="006761D2" w:rsidRPr="003D73C3" w:rsidRDefault="24854215" w:rsidP="006761D2">
      <w:pPr>
        <w:spacing w:line="300" w:lineRule="atLeast"/>
        <w:jc w:val="both"/>
      </w:pPr>
      <w:r>
        <w:t xml:space="preserve">Annual fire incident data </w:t>
      </w:r>
      <w:r w:rsidR="13F6BF55">
        <w:t xml:space="preserve">for </w:t>
      </w:r>
      <w:r w:rsidR="009FB5C9">
        <w:t xml:space="preserve">structure fires in </w:t>
      </w:r>
      <w:r w:rsidR="13F6BF55">
        <w:t xml:space="preserve">2020 </w:t>
      </w:r>
      <w:r>
        <w:t xml:space="preserve">has been obtained from </w:t>
      </w:r>
      <w:r w:rsidR="009FB5C9">
        <w:t>FENZ with a total of 5418 fires recorded</w:t>
      </w:r>
      <w:r w:rsidR="64F0DDC3">
        <w:t xml:space="preserve"> </w:t>
      </w:r>
      <w:r w:rsidR="54EC6645">
        <w:t>(Official Information Request OIA2022 – 00008550)</w:t>
      </w:r>
      <w:r w:rsidR="009FB5C9">
        <w:t>.</w:t>
      </w:r>
      <w:r w:rsidR="64F0DDC3">
        <w:t xml:space="preserve"> </w:t>
      </w:r>
      <w:r w:rsidR="1DA63085">
        <w:t>However, for this inventory information on the severity of the fire has also been obtained and the 2,422 fires involving no damage has been subtracted from this total</w:t>
      </w:r>
      <w:r w:rsidR="04C20BB9">
        <w:t>,</w:t>
      </w:r>
      <w:r w:rsidR="1DA63085">
        <w:t xml:space="preserve"> to give 1996 fires where damage did occur.</w:t>
      </w:r>
    </w:p>
    <w:p w14:paraId="4377D3A0" w14:textId="63C0046B" w:rsidR="00572488" w:rsidRDefault="006761D2" w:rsidP="003D73C3">
      <w:pPr>
        <w:spacing w:line="300" w:lineRule="atLeast"/>
        <w:jc w:val="both"/>
        <w:rPr>
          <w:rFonts w:ascii="Arial" w:hAnsi="Arial" w:cs="Arial"/>
          <w:b/>
          <w:bCs/>
          <w:highlight w:val="yellow"/>
        </w:rPr>
      </w:pPr>
      <w:r w:rsidRPr="003D73C3">
        <w:rPr>
          <w:szCs w:val="18"/>
        </w:rPr>
        <w:lastRenderedPageBreak/>
        <w:t xml:space="preserve">Applying the mass calculation methodology gives a total quantity of </w:t>
      </w:r>
      <w:r w:rsidR="008646B3">
        <w:rPr>
          <w:szCs w:val="18"/>
        </w:rPr>
        <w:t>655.8</w:t>
      </w:r>
      <w:r w:rsidR="00572488" w:rsidRPr="003D73C3">
        <w:rPr>
          <w:szCs w:val="18"/>
        </w:rPr>
        <w:t xml:space="preserve"> </w:t>
      </w:r>
      <w:r w:rsidRPr="003D73C3">
        <w:rPr>
          <w:szCs w:val="18"/>
        </w:rPr>
        <w:t>tonnes for material consumed by fire in</w:t>
      </w:r>
      <w:r w:rsidR="008646B3">
        <w:rPr>
          <w:szCs w:val="18"/>
        </w:rPr>
        <w:t xml:space="preserve"> 2020</w:t>
      </w:r>
      <w:r w:rsidRPr="003D73C3">
        <w:rPr>
          <w:szCs w:val="18"/>
        </w:rPr>
        <w:t xml:space="preserve">. The UNEP Toolkit gives default factors of 400 µg TEQ per tonne for dioxin releases to both air and land </w:t>
      </w:r>
      <w:r w:rsidRPr="003D73C3">
        <w:rPr>
          <w:szCs w:val="18"/>
          <w:lang w:val="en-US"/>
        </w:rPr>
        <w:t>(400 x 10</w:t>
      </w:r>
      <w:r w:rsidRPr="003D73C3">
        <w:rPr>
          <w:szCs w:val="18"/>
          <w:vertAlign w:val="superscript"/>
          <w:lang w:val="en-US"/>
        </w:rPr>
        <w:t>-6</w:t>
      </w:r>
      <w:r w:rsidRPr="003D73C3">
        <w:rPr>
          <w:szCs w:val="18"/>
          <w:lang w:val="en-US"/>
        </w:rPr>
        <w:t xml:space="preserve"> g TEQ/tonne)</w:t>
      </w:r>
      <w:r w:rsidRPr="003D73C3">
        <w:rPr>
          <w:szCs w:val="18"/>
        </w:rPr>
        <w:t>. These factors have been used for the current release estimates, which are shown in</w:t>
      </w:r>
      <w:r w:rsidR="00862742" w:rsidRPr="003D73C3">
        <w:rPr>
          <w:szCs w:val="18"/>
        </w:rPr>
        <w:t xml:space="preserve"> Table 8-5</w:t>
      </w:r>
      <w:r w:rsidRPr="003D73C3">
        <w:rPr>
          <w:szCs w:val="18"/>
        </w:rPr>
        <w:t xml:space="preserve">, along with the corresponding estimates made in the </w:t>
      </w:r>
      <w:r w:rsidR="006D6CEA">
        <w:rPr>
          <w:szCs w:val="18"/>
        </w:rPr>
        <w:t xml:space="preserve">2012 and </w:t>
      </w:r>
      <w:r w:rsidR="00173D1D" w:rsidRPr="003D73C3">
        <w:rPr>
          <w:szCs w:val="18"/>
        </w:rPr>
        <w:t>20</w:t>
      </w:r>
      <w:r w:rsidR="00572488" w:rsidRPr="003D73C3">
        <w:rPr>
          <w:szCs w:val="18"/>
        </w:rPr>
        <w:t>16</w:t>
      </w:r>
      <w:r w:rsidR="00173D1D" w:rsidRPr="003D73C3">
        <w:rPr>
          <w:szCs w:val="18"/>
        </w:rPr>
        <w:t xml:space="preserve"> </w:t>
      </w:r>
      <w:r w:rsidRPr="003D73C3">
        <w:rPr>
          <w:szCs w:val="18"/>
        </w:rPr>
        <w:t>Inventor</w:t>
      </w:r>
      <w:r w:rsidR="006D6CEA">
        <w:rPr>
          <w:szCs w:val="18"/>
        </w:rPr>
        <w:t>ies</w:t>
      </w:r>
      <w:r w:rsidRPr="003D73C3">
        <w:rPr>
          <w:szCs w:val="18"/>
        </w:rPr>
        <w:t>.</w:t>
      </w:r>
      <w:bookmarkStart w:id="302" w:name="_Ref359765791"/>
      <w:bookmarkStart w:id="303" w:name="_Ref359765784"/>
    </w:p>
    <w:p w14:paraId="64D07B83" w14:textId="77777777" w:rsidR="00011636" w:rsidRPr="00AF1200" w:rsidRDefault="00011636" w:rsidP="006761D2">
      <w:pPr>
        <w:pStyle w:val="Caption"/>
        <w:jc w:val="left"/>
        <w:rPr>
          <w:rFonts w:cs="Arial"/>
          <w:highlight w:val="yellow"/>
        </w:rPr>
      </w:pPr>
    </w:p>
    <w:p w14:paraId="36E75340" w14:textId="4ACDE829"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5</w:t>
      </w:r>
      <w:r w:rsidRPr="003D73C3">
        <w:rPr>
          <w:rFonts w:cs="Arial"/>
        </w:rPr>
        <w:fldChar w:fldCharType="end"/>
      </w:r>
      <w:bookmarkEnd w:id="302"/>
      <w:r w:rsidRPr="003D73C3">
        <w:rPr>
          <w:rFonts w:cs="Arial"/>
        </w:rPr>
        <w:t>: Dioxin releases from structure fires</w:t>
      </w:r>
      <w:bookmarkEnd w:id="303"/>
    </w:p>
    <w:tbl>
      <w:tblPr>
        <w:tblStyle w:val="TableGrid"/>
        <w:tblW w:w="0" w:type="auto"/>
        <w:tblLook w:val="04A0" w:firstRow="1" w:lastRow="0" w:firstColumn="1" w:lastColumn="0" w:noHBand="0" w:noVBand="1"/>
      </w:tblPr>
      <w:tblGrid>
        <w:gridCol w:w="925"/>
        <w:gridCol w:w="2566"/>
        <w:gridCol w:w="1412"/>
        <w:gridCol w:w="1419"/>
        <w:gridCol w:w="1347"/>
        <w:gridCol w:w="1392"/>
      </w:tblGrid>
      <w:tr w:rsidR="006761D2" w:rsidRPr="00572488" w14:paraId="203DBA32" w14:textId="77777777" w:rsidTr="0C34660A">
        <w:tc>
          <w:tcPr>
            <w:tcW w:w="925" w:type="dxa"/>
            <w:vMerge w:val="restart"/>
            <w:vAlign w:val="center"/>
          </w:tcPr>
          <w:p w14:paraId="6371A08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66" w:type="dxa"/>
            <w:vMerge w:val="restart"/>
            <w:vAlign w:val="center"/>
          </w:tcPr>
          <w:p w14:paraId="192958E1"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304" w:name="_Int_znQ1gfJD"/>
            <w:r w:rsidRPr="0C34660A">
              <w:rPr>
                <w:rFonts w:ascii="Arial" w:hAnsi="Arial" w:cs="Arial"/>
                <w:b/>
                <w:bCs/>
                <w:sz w:val="16"/>
                <w:szCs w:val="16"/>
              </w:rPr>
              <w:t>tonnes</w:t>
            </w:r>
            <w:bookmarkEnd w:id="304"/>
            <w:r w:rsidRPr="0C34660A">
              <w:rPr>
                <w:rFonts w:ascii="Arial" w:hAnsi="Arial" w:cs="Arial"/>
                <w:b/>
                <w:bCs/>
                <w:sz w:val="16"/>
                <w:szCs w:val="16"/>
              </w:rPr>
              <w:t xml:space="preserve"> burned/year)</w:t>
            </w:r>
          </w:p>
        </w:tc>
        <w:tc>
          <w:tcPr>
            <w:tcW w:w="2831" w:type="dxa"/>
            <w:gridSpan w:val="2"/>
            <w:vAlign w:val="center"/>
          </w:tcPr>
          <w:p w14:paraId="62437BC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39" w:type="dxa"/>
            <w:gridSpan w:val="2"/>
            <w:vAlign w:val="center"/>
          </w:tcPr>
          <w:p w14:paraId="51F0DC3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572488" w14:paraId="0FCA41D7" w14:textId="77777777" w:rsidTr="0C34660A">
        <w:tc>
          <w:tcPr>
            <w:tcW w:w="925" w:type="dxa"/>
            <w:vMerge/>
          </w:tcPr>
          <w:p w14:paraId="7B1CE62E" w14:textId="77777777" w:rsidR="006761D2" w:rsidRPr="003D73C3" w:rsidRDefault="006761D2" w:rsidP="009F7DB8">
            <w:pPr>
              <w:spacing w:before="120"/>
              <w:jc w:val="both"/>
              <w:rPr>
                <w:rFonts w:ascii="Arial" w:hAnsi="Arial" w:cs="Arial"/>
                <w:sz w:val="16"/>
                <w:szCs w:val="18"/>
              </w:rPr>
            </w:pPr>
          </w:p>
        </w:tc>
        <w:tc>
          <w:tcPr>
            <w:tcW w:w="2566" w:type="dxa"/>
            <w:vMerge/>
            <w:vAlign w:val="center"/>
          </w:tcPr>
          <w:p w14:paraId="1EB760A2" w14:textId="77777777" w:rsidR="006761D2" w:rsidRPr="003D73C3" w:rsidRDefault="006761D2" w:rsidP="009F7DB8">
            <w:pPr>
              <w:spacing w:before="120"/>
              <w:jc w:val="center"/>
              <w:rPr>
                <w:rFonts w:ascii="Arial" w:hAnsi="Arial" w:cs="Arial"/>
                <w:sz w:val="16"/>
                <w:szCs w:val="18"/>
              </w:rPr>
            </w:pPr>
          </w:p>
        </w:tc>
        <w:tc>
          <w:tcPr>
            <w:tcW w:w="1412" w:type="dxa"/>
            <w:vAlign w:val="center"/>
          </w:tcPr>
          <w:p w14:paraId="7C02EC4F"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19" w:type="dxa"/>
            <w:vAlign w:val="center"/>
          </w:tcPr>
          <w:p w14:paraId="17307B2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7" w:type="dxa"/>
            <w:vAlign w:val="center"/>
          </w:tcPr>
          <w:p w14:paraId="39F1429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2" w:type="dxa"/>
            <w:vAlign w:val="center"/>
          </w:tcPr>
          <w:p w14:paraId="77944FE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AA4F49" w:rsidRPr="00572488" w14:paraId="54882AC2" w14:textId="77777777" w:rsidTr="0030171B">
        <w:tc>
          <w:tcPr>
            <w:tcW w:w="925" w:type="dxa"/>
            <w:vMerge w:val="restart"/>
            <w:vAlign w:val="center"/>
          </w:tcPr>
          <w:p w14:paraId="497A5E4C" w14:textId="06B82ACC" w:rsidR="00AA4F49" w:rsidRDefault="00AA4F49" w:rsidP="00572488">
            <w:pPr>
              <w:spacing w:before="120"/>
              <w:rPr>
                <w:rFonts w:ascii="Arial" w:hAnsi="Arial" w:cs="Arial"/>
                <w:b/>
                <w:sz w:val="16"/>
                <w:szCs w:val="18"/>
              </w:rPr>
            </w:pPr>
            <w:r>
              <w:rPr>
                <w:rFonts w:ascii="Arial" w:hAnsi="Arial" w:cs="Arial"/>
                <w:b/>
                <w:sz w:val="16"/>
                <w:szCs w:val="18"/>
              </w:rPr>
              <w:t>2012</w:t>
            </w:r>
          </w:p>
        </w:tc>
        <w:tc>
          <w:tcPr>
            <w:tcW w:w="2566" w:type="dxa"/>
            <w:vMerge w:val="restart"/>
            <w:vAlign w:val="center"/>
          </w:tcPr>
          <w:p w14:paraId="768060F9" w14:textId="35208BD9" w:rsidR="00AA4F49" w:rsidRPr="003D73C3" w:rsidRDefault="00AA4F49" w:rsidP="00572488">
            <w:pPr>
              <w:spacing w:before="120"/>
              <w:jc w:val="center"/>
              <w:rPr>
                <w:rFonts w:ascii="Arial" w:hAnsi="Arial" w:cs="Arial"/>
                <w:sz w:val="16"/>
                <w:szCs w:val="18"/>
              </w:rPr>
            </w:pPr>
            <w:r>
              <w:rPr>
                <w:rFonts w:ascii="Arial" w:hAnsi="Arial" w:cs="Arial"/>
                <w:sz w:val="16"/>
                <w:szCs w:val="18"/>
              </w:rPr>
              <w:t>1562</w:t>
            </w:r>
          </w:p>
        </w:tc>
        <w:tc>
          <w:tcPr>
            <w:tcW w:w="1412" w:type="dxa"/>
            <w:vAlign w:val="center"/>
          </w:tcPr>
          <w:p w14:paraId="361528B8" w14:textId="202B369D" w:rsidR="00AA4F49" w:rsidRPr="003D73C3" w:rsidRDefault="00AA4F49" w:rsidP="00572488">
            <w:pPr>
              <w:spacing w:before="120"/>
              <w:jc w:val="center"/>
              <w:rPr>
                <w:rFonts w:ascii="Arial" w:hAnsi="Arial" w:cs="Arial"/>
                <w:sz w:val="16"/>
                <w:szCs w:val="18"/>
              </w:rPr>
            </w:pPr>
            <w:r>
              <w:rPr>
                <w:rFonts w:ascii="Arial" w:hAnsi="Arial" w:cs="Arial"/>
                <w:sz w:val="16"/>
                <w:szCs w:val="18"/>
              </w:rPr>
              <w:t>400</w:t>
            </w:r>
          </w:p>
        </w:tc>
        <w:tc>
          <w:tcPr>
            <w:tcW w:w="1419" w:type="dxa"/>
            <w:vAlign w:val="center"/>
          </w:tcPr>
          <w:p w14:paraId="64C7E2D9" w14:textId="77777777" w:rsidR="00AA4F49" w:rsidRPr="003D73C3" w:rsidRDefault="00AA4F49" w:rsidP="00572488">
            <w:pPr>
              <w:spacing w:before="120"/>
              <w:jc w:val="center"/>
              <w:rPr>
                <w:rFonts w:ascii="Arial" w:hAnsi="Arial" w:cs="Arial"/>
                <w:sz w:val="16"/>
                <w:szCs w:val="18"/>
              </w:rPr>
            </w:pPr>
          </w:p>
        </w:tc>
        <w:tc>
          <w:tcPr>
            <w:tcW w:w="1347" w:type="dxa"/>
            <w:vAlign w:val="center"/>
          </w:tcPr>
          <w:p w14:paraId="63568E06" w14:textId="5BEE7800" w:rsidR="00AA4F49" w:rsidRPr="003D73C3" w:rsidRDefault="00AA4F49" w:rsidP="00572488">
            <w:pPr>
              <w:spacing w:before="120"/>
              <w:jc w:val="center"/>
              <w:rPr>
                <w:rFonts w:ascii="Arial" w:hAnsi="Arial" w:cs="Arial"/>
                <w:sz w:val="16"/>
                <w:szCs w:val="18"/>
              </w:rPr>
            </w:pPr>
            <w:r>
              <w:rPr>
                <w:rFonts w:ascii="Arial" w:hAnsi="Arial" w:cs="Arial"/>
                <w:sz w:val="16"/>
                <w:szCs w:val="18"/>
              </w:rPr>
              <w:t>0.625</w:t>
            </w:r>
          </w:p>
        </w:tc>
        <w:tc>
          <w:tcPr>
            <w:tcW w:w="1392" w:type="dxa"/>
            <w:vAlign w:val="center"/>
          </w:tcPr>
          <w:p w14:paraId="0A936B4D" w14:textId="77777777" w:rsidR="00AA4F49" w:rsidRPr="003D73C3" w:rsidRDefault="00AA4F49" w:rsidP="00572488">
            <w:pPr>
              <w:spacing w:before="120"/>
              <w:jc w:val="center"/>
              <w:rPr>
                <w:rFonts w:ascii="Arial" w:hAnsi="Arial" w:cs="Arial"/>
                <w:sz w:val="16"/>
                <w:szCs w:val="18"/>
              </w:rPr>
            </w:pPr>
          </w:p>
        </w:tc>
      </w:tr>
      <w:tr w:rsidR="00AA4F49" w:rsidRPr="00572488" w14:paraId="4F6D05FE" w14:textId="77777777" w:rsidTr="0030171B">
        <w:tc>
          <w:tcPr>
            <w:tcW w:w="925" w:type="dxa"/>
            <w:vMerge/>
            <w:vAlign w:val="center"/>
          </w:tcPr>
          <w:p w14:paraId="3AC0E450" w14:textId="77777777" w:rsidR="00AA4F49" w:rsidRDefault="00AA4F49" w:rsidP="00572488">
            <w:pPr>
              <w:spacing w:before="120"/>
              <w:rPr>
                <w:rFonts w:ascii="Arial" w:hAnsi="Arial" w:cs="Arial"/>
                <w:b/>
                <w:sz w:val="16"/>
                <w:szCs w:val="18"/>
              </w:rPr>
            </w:pPr>
          </w:p>
        </w:tc>
        <w:tc>
          <w:tcPr>
            <w:tcW w:w="2566" w:type="dxa"/>
            <w:vMerge/>
            <w:vAlign w:val="center"/>
          </w:tcPr>
          <w:p w14:paraId="1503952D" w14:textId="77777777" w:rsidR="00AA4F49" w:rsidRPr="003D73C3" w:rsidRDefault="00AA4F49" w:rsidP="00572488">
            <w:pPr>
              <w:spacing w:before="120"/>
              <w:jc w:val="center"/>
              <w:rPr>
                <w:rFonts w:ascii="Arial" w:hAnsi="Arial" w:cs="Arial"/>
                <w:sz w:val="16"/>
                <w:szCs w:val="18"/>
              </w:rPr>
            </w:pPr>
          </w:p>
        </w:tc>
        <w:tc>
          <w:tcPr>
            <w:tcW w:w="1412" w:type="dxa"/>
            <w:vAlign w:val="center"/>
          </w:tcPr>
          <w:p w14:paraId="457E9718" w14:textId="77777777" w:rsidR="00AA4F49" w:rsidRPr="003D73C3" w:rsidRDefault="00AA4F49" w:rsidP="00572488">
            <w:pPr>
              <w:spacing w:before="120"/>
              <w:jc w:val="center"/>
              <w:rPr>
                <w:rFonts w:ascii="Arial" w:hAnsi="Arial" w:cs="Arial"/>
                <w:sz w:val="16"/>
                <w:szCs w:val="18"/>
              </w:rPr>
            </w:pPr>
          </w:p>
        </w:tc>
        <w:tc>
          <w:tcPr>
            <w:tcW w:w="1419" w:type="dxa"/>
            <w:vAlign w:val="center"/>
          </w:tcPr>
          <w:p w14:paraId="247752F4" w14:textId="5CFEB493" w:rsidR="00AA4F49" w:rsidRPr="003D73C3" w:rsidRDefault="00AA4F49" w:rsidP="00572488">
            <w:pPr>
              <w:spacing w:before="120"/>
              <w:jc w:val="center"/>
              <w:rPr>
                <w:rFonts w:ascii="Arial" w:hAnsi="Arial" w:cs="Arial"/>
                <w:sz w:val="16"/>
                <w:szCs w:val="18"/>
              </w:rPr>
            </w:pPr>
            <w:r>
              <w:rPr>
                <w:rFonts w:ascii="Arial" w:hAnsi="Arial" w:cs="Arial"/>
                <w:sz w:val="16"/>
                <w:szCs w:val="18"/>
              </w:rPr>
              <w:t>400</w:t>
            </w:r>
          </w:p>
        </w:tc>
        <w:tc>
          <w:tcPr>
            <w:tcW w:w="1347" w:type="dxa"/>
            <w:vAlign w:val="center"/>
          </w:tcPr>
          <w:p w14:paraId="10B62F50" w14:textId="77777777" w:rsidR="00AA4F49" w:rsidRPr="003D73C3" w:rsidRDefault="00AA4F49" w:rsidP="00572488">
            <w:pPr>
              <w:spacing w:before="120"/>
              <w:jc w:val="center"/>
              <w:rPr>
                <w:rFonts w:ascii="Arial" w:hAnsi="Arial" w:cs="Arial"/>
                <w:sz w:val="16"/>
                <w:szCs w:val="18"/>
              </w:rPr>
            </w:pPr>
          </w:p>
        </w:tc>
        <w:tc>
          <w:tcPr>
            <w:tcW w:w="1392" w:type="dxa"/>
            <w:vAlign w:val="center"/>
          </w:tcPr>
          <w:p w14:paraId="3841CD48" w14:textId="28EA3EA4" w:rsidR="00AA4F49" w:rsidRPr="003D73C3" w:rsidRDefault="00AA4F49" w:rsidP="00572488">
            <w:pPr>
              <w:spacing w:before="120"/>
              <w:jc w:val="center"/>
              <w:rPr>
                <w:rFonts w:ascii="Arial" w:hAnsi="Arial" w:cs="Arial"/>
                <w:sz w:val="16"/>
                <w:szCs w:val="18"/>
              </w:rPr>
            </w:pPr>
            <w:r>
              <w:rPr>
                <w:rFonts w:ascii="Arial" w:hAnsi="Arial" w:cs="Arial"/>
                <w:sz w:val="16"/>
                <w:szCs w:val="18"/>
              </w:rPr>
              <w:t>0.625</w:t>
            </w:r>
          </w:p>
        </w:tc>
      </w:tr>
      <w:tr w:rsidR="00191031" w:rsidRPr="00572488" w14:paraId="6D878A18" w14:textId="77777777" w:rsidTr="0030171B">
        <w:tc>
          <w:tcPr>
            <w:tcW w:w="925" w:type="dxa"/>
            <w:vMerge w:val="restart"/>
            <w:vAlign w:val="center"/>
          </w:tcPr>
          <w:p w14:paraId="5D4C7E64" w14:textId="01311E24" w:rsidR="00572488" w:rsidRPr="003D73C3" w:rsidRDefault="00AA4F49" w:rsidP="00572488">
            <w:pPr>
              <w:spacing w:before="120"/>
              <w:rPr>
                <w:rFonts w:ascii="Arial" w:hAnsi="Arial" w:cs="Arial"/>
                <w:b/>
                <w:sz w:val="16"/>
                <w:szCs w:val="18"/>
              </w:rPr>
            </w:pPr>
            <w:r>
              <w:rPr>
                <w:rFonts w:ascii="Arial" w:hAnsi="Arial" w:cs="Arial"/>
                <w:b/>
                <w:sz w:val="16"/>
                <w:szCs w:val="18"/>
              </w:rPr>
              <w:t>2016</w:t>
            </w:r>
          </w:p>
        </w:tc>
        <w:tc>
          <w:tcPr>
            <w:tcW w:w="2566" w:type="dxa"/>
            <w:vMerge w:val="restart"/>
            <w:vAlign w:val="center"/>
          </w:tcPr>
          <w:p w14:paraId="5A999F63" w14:textId="6D5FF32A" w:rsidR="00572488" w:rsidRPr="003D73C3" w:rsidRDefault="00572488" w:rsidP="00572488">
            <w:pPr>
              <w:spacing w:before="120"/>
              <w:jc w:val="center"/>
              <w:rPr>
                <w:rFonts w:ascii="Arial" w:hAnsi="Arial" w:cs="Arial"/>
                <w:sz w:val="16"/>
                <w:szCs w:val="18"/>
              </w:rPr>
            </w:pPr>
            <w:r w:rsidRPr="003D73C3">
              <w:rPr>
                <w:rFonts w:ascii="Arial" w:hAnsi="Arial" w:cs="Arial"/>
                <w:sz w:val="16"/>
                <w:szCs w:val="18"/>
              </w:rPr>
              <w:t>1744</w:t>
            </w:r>
          </w:p>
        </w:tc>
        <w:tc>
          <w:tcPr>
            <w:tcW w:w="1412" w:type="dxa"/>
            <w:vAlign w:val="center"/>
          </w:tcPr>
          <w:p w14:paraId="528489BB" w14:textId="0F9E6EA2" w:rsidR="00572488" w:rsidRPr="003D73C3" w:rsidRDefault="00572488" w:rsidP="00572488">
            <w:pPr>
              <w:spacing w:before="120"/>
              <w:jc w:val="center"/>
              <w:rPr>
                <w:rFonts w:ascii="Arial" w:hAnsi="Arial" w:cs="Arial"/>
                <w:sz w:val="16"/>
                <w:szCs w:val="18"/>
              </w:rPr>
            </w:pPr>
            <w:r w:rsidRPr="003D73C3">
              <w:rPr>
                <w:rFonts w:ascii="Arial" w:hAnsi="Arial" w:cs="Arial"/>
                <w:sz w:val="16"/>
                <w:szCs w:val="18"/>
              </w:rPr>
              <w:t>400</w:t>
            </w:r>
          </w:p>
        </w:tc>
        <w:tc>
          <w:tcPr>
            <w:tcW w:w="1419" w:type="dxa"/>
            <w:vAlign w:val="center"/>
          </w:tcPr>
          <w:p w14:paraId="41A4B2EF" w14:textId="4C06FF03" w:rsidR="00572488" w:rsidRPr="003D73C3" w:rsidRDefault="00572488" w:rsidP="00572488">
            <w:pPr>
              <w:spacing w:before="120"/>
              <w:jc w:val="center"/>
              <w:rPr>
                <w:rFonts w:ascii="Arial" w:hAnsi="Arial" w:cs="Arial"/>
                <w:sz w:val="16"/>
                <w:szCs w:val="18"/>
              </w:rPr>
            </w:pPr>
          </w:p>
        </w:tc>
        <w:tc>
          <w:tcPr>
            <w:tcW w:w="1347" w:type="dxa"/>
            <w:vAlign w:val="center"/>
          </w:tcPr>
          <w:p w14:paraId="66715928" w14:textId="046A6447" w:rsidR="00572488" w:rsidRPr="003D73C3" w:rsidRDefault="00572488" w:rsidP="00572488">
            <w:pPr>
              <w:spacing w:before="120"/>
              <w:jc w:val="center"/>
              <w:rPr>
                <w:rFonts w:ascii="Arial" w:hAnsi="Arial" w:cs="Arial"/>
                <w:sz w:val="16"/>
                <w:szCs w:val="18"/>
              </w:rPr>
            </w:pPr>
            <w:r w:rsidRPr="003D73C3">
              <w:rPr>
                <w:rFonts w:ascii="Arial" w:hAnsi="Arial" w:cs="Arial"/>
                <w:sz w:val="16"/>
                <w:szCs w:val="18"/>
              </w:rPr>
              <w:t>0.698</w:t>
            </w:r>
          </w:p>
        </w:tc>
        <w:tc>
          <w:tcPr>
            <w:tcW w:w="1392" w:type="dxa"/>
            <w:vAlign w:val="center"/>
          </w:tcPr>
          <w:p w14:paraId="257647AC" w14:textId="0095B0E4" w:rsidR="00572488" w:rsidRPr="003D73C3" w:rsidRDefault="00572488" w:rsidP="00572488">
            <w:pPr>
              <w:spacing w:before="120"/>
              <w:jc w:val="center"/>
              <w:rPr>
                <w:rFonts w:ascii="Arial" w:hAnsi="Arial" w:cs="Arial"/>
                <w:sz w:val="16"/>
                <w:szCs w:val="18"/>
              </w:rPr>
            </w:pPr>
          </w:p>
        </w:tc>
      </w:tr>
      <w:tr w:rsidR="00572488" w:rsidRPr="00572488" w14:paraId="620B8835" w14:textId="77777777" w:rsidTr="0C34660A">
        <w:tc>
          <w:tcPr>
            <w:tcW w:w="925" w:type="dxa"/>
            <w:vMerge/>
            <w:vAlign w:val="center"/>
          </w:tcPr>
          <w:p w14:paraId="66897F16" w14:textId="77777777" w:rsidR="00572488" w:rsidRPr="003D73C3" w:rsidRDefault="00572488" w:rsidP="00572488">
            <w:pPr>
              <w:spacing w:before="120"/>
              <w:rPr>
                <w:rFonts w:ascii="Arial" w:hAnsi="Arial" w:cs="Arial"/>
                <w:b/>
                <w:sz w:val="16"/>
                <w:szCs w:val="18"/>
              </w:rPr>
            </w:pPr>
          </w:p>
        </w:tc>
        <w:tc>
          <w:tcPr>
            <w:tcW w:w="2566" w:type="dxa"/>
            <w:vMerge/>
            <w:vAlign w:val="center"/>
          </w:tcPr>
          <w:p w14:paraId="43DD4DA0" w14:textId="77777777" w:rsidR="00572488" w:rsidRPr="003D73C3" w:rsidRDefault="00572488" w:rsidP="00572488">
            <w:pPr>
              <w:spacing w:before="120"/>
              <w:jc w:val="center"/>
              <w:rPr>
                <w:rFonts w:ascii="Arial" w:hAnsi="Arial" w:cs="Arial"/>
                <w:sz w:val="16"/>
                <w:szCs w:val="18"/>
              </w:rPr>
            </w:pPr>
          </w:p>
        </w:tc>
        <w:tc>
          <w:tcPr>
            <w:tcW w:w="1412" w:type="dxa"/>
            <w:vAlign w:val="center"/>
          </w:tcPr>
          <w:p w14:paraId="1BF7DCC7" w14:textId="242206A9" w:rsidR="00572488" w:rsidRPr="003D73C3" w:rsidRDefault="00572488" w:rsidP="00572488">
            <w:pPr>
              <w:spacing w:before="120"/>
              <w:jc w:val="center"/>
              <w:rPr>
                <w:rFonts w:ascii="Arial" w:hAnsi="Arial" w:cs="Arial"/>
                <w:sz w:val="16"/>
                <w:szCs w:val="18"/>
              </w:rPr>
            </w:pPr>
          </w:p>
        </w:tc>
        <w:tc>
          <w:tcPr>
            <w:tcW w:w="1419" w:type="dxa"/>
            <w:vAlign w:val="center"/>
          </w:tcPr>
          <w:p w14:paraId="0EDD761E" w14:textId="7ED2BD81" w:rsidR="00572488" w:rsidRPr="003D73C3" w:rsidRDefault="00572488" w:rsidP="00572488">
            <w:pPr>
              <w:spacing w:before="120"/>
              <w:jc w:val="center"/>
              <w:rPr>
                <w:rFonts w:ascii="Arial" w:hAnsi="Arial" w:cs="Arial"/>
                <w:sz w:val="16"/>
                <w:szCs w:val="18"/>
              </w:rPr>
            </w:pPr>
            <w:r w:rsidRPr="003D73C3">
              <w:rPr>
                <w:rFonts w:ascii="Arial" w:hAnsi="Arial" w:cs="Arial"/>
                <w:sz w:val="16"/>
                <w:szCs w:val="18"/>
              </w:rPr>
              <w:t>400</w:t>
            </w:r>
          </w:p>
        </w:tc>
        <w:tc>
          <w:tcPr>
            <w:tcW w:w="1347" w:type="dxa"/>
            <w:vAlign w:val="center"/>
          </w:tcPr>
          <w:p w14:paraId="61091CBC" w14:textId="560A0FA0" w:rsidR="00572488" w:rsidRPr="003D73C3" w:rsidRDefault="00572488" w:rsidP="00572488">
            <w:pPr>
              <w:spacing w:before="120"/>
              <w:jc w:val="center"/>
              <w:rPr>
                <w:rFonts w:ascii="Arial" w:hAnsi="Arial" w:cs="Arial"/>
                <w:sz w:val="16"/>
                <w:szCs w:val="18"/>
              </w:rPr>
            </w:pPr>
          </w:p>
        </w:tc>
        <w:tc>
          <w:tcPr>
            <w:tcW w:w="1392" w:type="dxa"/>
            <w:vAlign w:val="center"/>
          </w:tcPr>
          <w:p w14:paraId="35A04F36" w14:textId="5B0640F8" w:rsidR="00572488" w:rsidRPr="003D73C3" w:rsidRDefault="00572488" w:rsidP="00572488">
            <w:pPr>
              <w:spacing w:before="120"/>
              <w:jc w:val="center"/>
              <w:rPr>
                <w:rFonts w:ascii="Arial" w:hAnsi="Arial" w:cs="Arial"/>
                <w:sz w:val="16"/>
                <w:szCs w:val="18"/>
              </w:rPr>
            </w:pPr>
            <w:r w:rsidRPr="003D73C3">
              <w:rPr>
                <w:rFonts w:ascii="Arial" w:hAnsi="Arial" w:cs="Arial"/>
                <w:sz w:val="16"/>
                <w:szCs w:val="18"/>
              </w:rPr>
              <w:t>0.698</w:t>
            </w:r>
          </w:p>
        </w:tc>
      </w:tr>
      <w:tr w:rsidR="006761D2" w:rsidRPr="00572488" w14:paraId="6D5B6E32" w14:textId="77777777" w:rsidTr="0C34660A">
        <w:tc>
          <w:tcPr>
            <w:tcW w:w="925" w:type="dxa"/>
            <w:vMerge w:val="restart"/>
            <w:vAlign w:val="center"/>
          </w:tcPr>
          <w:p w14:paraId="6F753EEE" w14:textId="2D3AAE0F" w:rsidR="006761D2" w:rsidRPr="003D73C3" w:rsidRDefault="00572488" w:rsidP="009F7DB8">
            <w:pPr>
              <w:spacing w:before="120"/>
              <w:rPr>
                <w:rFonts w:ascii="Arial" w:hAnsi="Arial" w:cs="Arial"/>
                <w:b/>
                <w:sz w:val="16"/>
                <w:szCs w:val="18"/>
              </w:rPr>
            </w:pPr>
            <w:r w:rsidRPr="003D73C3">
              <w:rPr>
                <w:rFonts w:ascii="Arial" w:hAnsi="Arial" w:cs="Arial"/>
                <w:b/>
                <w:sz w:val="16"/>
                <w:szCs w:val="18"/>
              </w:rPr>
              <w:t>2020</w:t>
            </w:r>
          </w:p>
        </w:tc>
        <w:tc>
          <w:tcPr>
            <w:tcW w:w="2566" w:type="dxa"/>
            <w:vMerge w:val="restart"/>
            <w:vAlign w:val="center"/>
          </w:tcPr>
          <w:p w14:paraId="7FFC1CF4" w14:textId="1975B219" w:rsidR="006761D2" w:rsidRPr="003D73C3" w:rsidRDefault="007E50DA" w:rsidP="009F7DB8">
            <w:pPr>
              <w:spacing w:before="120"/>
              <w:jc w:val="center"/>
              <w:rPr>
                <w:rFonts w:ascii="Arial" w:hAnsi="Arial" w:cs="Arial"/>
                <w:sz w:val="16"/>
                <w:szCs w:val="18"/>
              </w:rPr>
            </w:pPr>
            <w:r>
              <w:rPr>
                <w:rFonts w:ascii="Arial" w:hAnsi="Arial" w:cs="Arial"/>
                <w:sz w:val="16"/>
                <w:szCs w:val="18"/>
              </w:rPr>
              <w:t>65</w:t>
            </w:r>
            <w:r w:rsidR="00DA04EF">
              <w:rPr>
                <w:rFonts w:ascii="Arial" w:hAnsi="Arial" w:cs="Arial"/>
                <w:sz w:val="16"/>
                <w:szCs w:val="18"/>
              </w:rPr>
              <w:t>5.8</w:t>
            </w:r>
          </w:p>
        </w:tc>
        <w:tc>
          <w:tcPr>
            <w:tcW w:w="1412" w:type="dxa"/>
            <w:vAlign w:val="center"/>
          </w:tcPr>
          <w:p w14:paraId="05EFBD72" w14:textId="533E2EB1" w:rsidR="006761D2" w:rsidRPr="003D73C3" w:rsidRDefault="00572488" w:rsidP="009F7DB8">
            <w:pPr>
              <w:spacing w:before="120"/>
              <w:jc w:val="center"/>
              <w:rPr>
                <w:rFonts w:ascii="Arial" w:hAnsi="Arial" w:cs="Arial"/>
                <w:sz w:val="16"/>
                <w:szCs w:val="18"/>
              </w:rPr>
            </w:pPr>
            <w:r w:rsidRPr="003D73C3">
              <w:rPr>
                <w:rFonts w:ascii="Arial" w:hAnsi="Arial" w:cs="Arial"/>
                <w:sz w:val="16"/>
                <w:szCs w:val="18"/>
              </w:rPr>
              <w:t>400</w:t>
            </w:r>
          </w:p>
        </w:tc>
        <w:tc>
          <w:tcPr>
            <w:tcW w:w="1419" w:type="dxa"/>
            <w:vAlign w:val="center"/>
          </w:tcPr>
          <w:p w14:paraId="59437B2E" w14:textId="3B3389D7" w:rsidR="006761D2" w:rsidRPr="003D73C3" w:rsidRDefault="006761D2" w:rsidP="009F7DB8">
            <w:pPr>
              <w:spacing w:before="120"/>
              <w:jc w:val="center"/>
              <w:rPr>
                <w:rFonts w:ascii="Arial" w:hAnsi="Arial" w:cs="Arial"/>
                <w:sz w:val="16"/>
                <w:szCs w:val="18"/>
              </w:rPr>
            </w:pPr>
          </w:p>
        </w:tc>
        <w:tc>
          <w:tcPr>
            <w:tcW w:w="1347" w:type="dxa"/>
            <w:vAlign w:val="center"/>
          </w:tcPr>
          <w:p w14:paraId="0CD97978" w14:textId="10E24032" w:rsidR="006761D2" w:rsidRPr="003D73C3" w:rsidRDefault="007E50DA" w:rsidP="009F7DB8">
            <w:pPr>
              <w:spacing w:before="120"/>
              <w:jc w:val="center"/>
              <w:rPr>
                <w:rFonts w:ascii="Arial" w:hAnsi="Arial" w:cs="Arial"/>
                <w:sz w:val="16"/>
                <w:szCs w:val="18"/>
              </w:rPr>
            </w:pPr>
            <w:r>
              <w:rPr>
                <w:rFonts w:ascii="Arial" w:hAnsi="Arial" w:cs="Arial"/>
                <w:sz w:val="16"/>
                <w:szCs w:val="18"/>
              </w:rPr>
              <w:t>0.262</w:t>
            </w:r>
          </w:p>
        </w:tc>
        <w:tc>
          <w:tcPr>
            <w:tcW w:w="1392" w:type="dxa"/>
            <w:vAlign w:val="center"/>
          </w:tcPr>
          <w:p w14:paraId="0E159756" w14:textId="66143D3A" w:rsidR="006761D2" w:rsidRPr="003D73C3" w:rsidRDefault="006761D2" w:rsidP="009F7DB8">
            <w:pPr>
              <w:spacing w:before="120"/>
              <w:jc w:val="center"/>
              <w:rPr>
                <w:rFonts w:ascii="Arial" w:hAnsi="Arial" w:cs="Arial"/>
                <w:sz w:val="16"/>
                <w:szCs w:val="18"/>
              </w:rPr>
            </w:pPr>
          </w:p>
        </w:tc>
      </w:tr>
      <w:tr w:rsidR="006761D2" w:rsidRPr="00572488" w14:paraId="5F0DCD18" w14:textId="77777777" w:rsidTr="0C34660A">
        <w:tc>
          <w:tcPr>
            <w:tcW w:w="925" w:type="dxa"/>
            <w:vMerge/>
            <w:vAlign w:val="center"/>
          </w:tcPr>
          <w:p w14:paraId="679F5798" w14:textId="77777777" w:rsidR="006761D2" w:rsidRPr="003D73C3" w:rsidRDefault="006761D2" w:rsidP="009F7DB8">
            <w:pPr>
              <w:spacing w:before="120"/>
              <w:rPr>
                <w:rFonts w:ascii="Arial" w:hAnsi="Arial" w:cs="Arial"/>
                <w:b/>
                <w:sz w:val="16"/>
                <w:szCs w:val="18"/>
              </w:rPr>
            </w:pPr>
          </w:p>
        </w:tc>
        <w:tc>
          <w:tcPr>
            <w:tcW w:w="2566" w:type="dxa"/>
            <w:vMerge/>
            <w:vAlign w:val="center"/>
          </w:tcPr>
          <w:p w14:paraId="66F03D8E" w14:textId="77777777" w:rsidR="006761D2" w:rsidRPr="003D73C3" w:rsidRDefault="006761D2" w:rsidP="009F7DB8">
            <w:pPr>
              <w:spacing w:before="120"/>
              <w:jc w:val="center"/>
              <w:rPr>
                <w:rFonts w:ascii="Arial" w:hAnsi="Arial" w:cs="Arial"/>
                <w:sz w:val="16"/>
                <w:szCs w:val="18"/>
              </w:rPr>
            </w:pPr>
          </w:p>
        </w:tc>
        <w:tc>
          <w:tcPr>
            <w:tcW w:w="1412" w:type="dxa"/>
            <w:vAlign w:val="center"/>
          </w:tcPr>
          <w:p w14:paraId="29765A89" w14:textId="317DCA17" w:rsidR="006761D2" w:rsidRPr="003D73C3" w:rsidRDefault="006761D2" w:rsidP="009F7DB8">
            <w:pPr>
              <w:spacing w:before="120"/>
              <w:jc w:val="center"/>
              <w:rPr>
                <w:rFonts w:ascii="Arial" w:hAnsi="Arial" w:cs="Arial"/>
                <w:sz w:val="16"/>
                <w:szCs w:val="18"/>
              </w:rPr>
            </w:pPr>
          </w:p>
        </w:tc>
        <w:tc>
          <w:tcPr>
            <w:tcW w:w="1419" w:type="dxa"/>
            <w:vAlign w:val="center"/>
          </w:tcPr>
          <w:p w14:paraId="3C7C0D77" w14:textId="52C575C3" w:rsidR="006761D2" w:rsidRPr="003D73C3" w:rsidRDefault="00572488" w:rsidP="009F7DB8">
            <w:pPr>
              <w:spacing w:before="120"/>
              <w:jc w:val="center"/>
              <w:rPr>
                <w:rFonts w:ascii="Arial" w:hAnsi="Arial" w:cs="Arial"/>
                <w:sz w:val="16"/>
                <w:szCs w:val="18"/>
              </w:rPr>
            </w:pPr>
            <w:r w:rsidRPr="003D73C3">
              <w:rPr>
                <w:rFonts w:ascii="Arial" w:hAnsi="Arial" w:cs="Arial"/>
                <w:sz w:val="16"/>
                <w:szCs w:val="18"/>
              </w:rPr>
              <w:t>400</w:t>
            </w:r>
          </w:p>
        </w:tc>
        <w:tc>
          <w:tcPr>
            <w:tcW w:w="1347" w:type="dxa"/>
            <w:vAlign w:val="center"/>
          </w:tcPr>
          <w:p w14:paraId="7E1D63F2" w14:textId="489B4374" w:rsidR="006761D2" w:rsidRPr="003D73C3" w:rsidRDefault="006761D2" w:rsidP="009F7DB8">
            <w:pPr>
              <w:spacing w:before="120"/>
              <w:jc w:val="center"/>
              <w:rPr>
                <w:rFonts w:ascii="Arial" w:hAnsi="Arial" w:cs="Arial"/>
                <w:sz w:val="16"/>
                <w:szCs w:val="18"/>
              </w:rPr>
            </w:pPr>
          </w:p>
        </w:tc>
        <w:tc>
          <w:tcPr>
            <w:tcW w:w="1392" w:type="dxa"/>
            <w:vAlign w:val="center"/>
          </w:tcPr>
          <w:p w14:paraId="48903353" w14:textId="7C438B22" w:rsidR="006761D2" w:rsidRPr="003D73C3" w:rsidRDefault="007E50DA" w:rsidP="009F7DB8">
            <w:pPr>
              <w:spacing w:before="120"/>
              <w:jc w:val="center"/>
              <w:rPr>
                <w:rFonts w:ascii="Arial" w:hAnsi="Arial" w:cs="Arial"/>
                <w:sz w:val="16"/>
                <w:szCs w:val="18"/>
              </w:rPr>
            </w:pPr>
            <w:r>
              <w:rPr>
                <w:rFonts w:ascii="Arial" w:hAnsi="Arial" w:cs="Arial"/>
                <w:sz w:val="16"/>
                <w:szCs w:val="18"/>
              </w:rPr>
              <w:t>0.262</w:t>
            </w:r>
          </w:p>
        </w:tc>
      </w:tr>
    </w:tbl>
    <w:p w14:paraId="2F81F8AC" w14:textId="48952293" w:rsidR="006761D2" w:rsidRPr="003D73C3" w:rsidRDefault="006761D2" w:rsidP="006761D2">
      <w:pPr>
        <w:tabs>
          <w:tab w:val="left" w:pos="2760"/>
        </w:tabs>
        <w:spacing w:before="240" w:line="300" w:lineRule="atLeast"/>
        <w:jc w:val="both"/>
        <w:rPr>
          <w:rFonts w:ascii="Arial" w:hAnsi="Arial" w:cs="Arial"/>
          <w:b/>
          <w:szCs w:val="18"/>
        </w:rPr>
      </w:pPr>
      <w:r w:rsidRPr="003D73C3">
        <w:rPr>
          <w:rFonts w:ascii="Arial" w:hAnsi="Arial" w:cs="Arial"/>
          <w:b/>
          <w:szCs w:val="18"/>
        </w:rPr>
        <w:t xml:space="preserve">Certainty assessment for </w:t>
      </w:r>
      <w:r w:rsidR="00572488" w:rsidRPr="003D73C3">
        <w:rPr>
          <w:rFonts w:ascii="Arial" w:hAnsi="Arial" w:cs="Arial"/>
          <w:b/>
          <w:szCs w:val="18"/>
        </w:rPr>
        <w:t>2020</w:t>
      </w:r>
    </w:p>
    <w:p w14:paraId="282DA7FE"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Medium (because it is based on national fire statistics coupled with an approximate conversion factor for the mass of material burned)</w:t>
      </w:r>
    </w:p>
    <w:p w14:paraId="7A927604"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w:t>
      </w:r>
    </w:p>
    <w:p w14:paraId="29BCA8E4" w14:textId="77777777" w:rsidR="006761D2" w:rsidRPr="003D73C3" w:rsidRDefault="006761D2" w:rsidP="006761D2">
      <w:pPr>
        <w:pStyle w:val="Heading3"/>
      </w:pPr>
      <w:bookmarkStart w:id="305" w:name="_Toc112768127"/>
      <w:r w:rsidRPr="003D73C3">
        <w:t>Open burning of domestic waste</w:t>
      </w:r>
      <w:bookmarkEnd w:id="305"/>
    </w:p>
    <w:p w14:paraId="50640F37" w14:textId="17C4F375" w:rsidR="00354DD3" w:rsidRPr="003D73C3" w:rsidRDefault="24854215" w:rsidP="006761D2">
      <w:pPr>
        <w:spacing w:line="300" w:lineRule="atLeast"/>
        <w:jc w:val="both"/>
      </w:pPr>
      <w:r>
        <w:t xml:space="preserve">This section covers the emissions from the burning of domestic wastes in open fires or crude incinerators, where combustion conditions are poor and no controls are applied. Most of the waste disposed of in this way comprises wood, paper, </w:t>
      </w:r>
      <w:bookmarkStart w:id="306" w:name="_Int_yOW0f6qU"/>
      <w:r>
        <w:t>leaves,</w:t>
      </w:r>
      <w:bookmarkEnd w:id="306"/>
      <w:r>
        <w:t xml:space="preserve"> and vegetation, together with a range of other </w:t>
      </w:r>
      <w:bookmarkStart w:id="307" w:name="_Int_6TOaNFhH"/>
      <w:r>
        <w:t>possible materials</w:t>
      </w:r>
      <w:bookmarkEnd w:id="307"/>
      <w:r>
        <w:t xml:space="preserve">, including kitchen wastes and plastics. </w:t>
      </w:r>
    </w:p>
    <w:p w14:paraId="5938B592" w14:textId="3B8F07B4" w:rsidR="00354DD3" w:rsidRPr="003D73C3" w:rsidRDefault="58045C4B" w:rsidP="00354DD3">
      <w:pPr>
        <w:spacing w:line="300" w:lineRule="atLeast"/>
        <w:jc w:val="both"/>
      </w:pPr>
      <w:r w:rsidRPr="0C34660A">
        <w:t xml:space="preserve">A review was conducted in 2015 of the current state and main sources of dioxin around the world. One of its conclusions was that domestic waste was </w:t>
      </w:r>
      <w:bookmarkStart w:id="308" w:name="_Int_JV6UZk2t"/>
      <w:r w:rsidRPr="0C34660A">
        <w:t>probably the</w:t>
      </w:r>
      <w:bookmarkEnd w:id="308"/>
      <w:r w:rsidRPr="0C34660A">
        <w:t xml:space="preserve"> most important non-industrial source and one of the most difficult to determine precisely given the variability in composition of waste and mostly uncontrolled combustion techniques </w:t>
      </w:r>
      <w:sdt>
        <w:sdtPr>
          <w:rPr>
            <w:szCs w:val="18"/>
          </w:rPr>
          <w:id w:val="-845558547"/>
          <w:lock w:val="contentLocked"/>
          <w:placeholder>
            <w:docPart w:val="DefaultPlaceholder_1081868574"/>
          </w:placeholder>
          <w:citation/>
        </w:sdtPr>
        <w:sdtEndPr/>
        <w:sdtContent>
          <w:r w:rsidR="00354DD3" w:rsidRPr="003D73C3">
            <w:rPr>
              <w:szCs w:val="18"/>
            </w:rPr>
            <w:fldChar w:fldCharType="begin"/>
          </w:r>
          <w:r w:rsidR="00354DD3" w:rsidRPr="0C34660A">
            <w:rPr>
              <w:noProof/>
            </w:rPr>
            <w:instrText xml:space="preserve">CITATION Dop15 \l 5129 </w:instrText>
          </w:r>
          <w:r w:rsidR="00354DD3" w:rsidRPr="003D73C3">
            <w:rPr>
              <w:szCs w:val="18"/>
            </w:rPr>
            <w:fldChar w:fldCharType="separate"/>
          </w:r>
          <w:r w:rsidR="25EC959F" w:rsidRPr="0C34660A">
            <w:rPr>
              <w:noProof/>
            </w:rPr>
            <w:t>(Dopico &amp; Gomez, 2015)</w:t>
          </w:r>
          <w:r w:rsidR="00354DD3" w:rsidRPr="003D73C3">
            <w:rPr>
              <w:szCs w:val="18"/>
            </w:rPr>
            <w:fldChar w:fldCharType="end"/>
          </w:r>
        </w:sdtContent>
      </w:sdt>
    </w:p>
    <w:p w14:paraId="79276100" w14:textId="4D2748D7" w:rsidR="00660256" w:rsidRPr="003D73C3" w:rsidRDefault="6670D36D" w:rsidP="00354DD3">
      <w:pPr>
        <w:spacing w:line="300" w:lineRule="atLeast"/>
        <w:jc w:val="both"/>
      </w:pPr>
      <w:r>
        <w:t>For the 2020 Inventory</w:t>
      </w:r>
      <w:r w:rsidR="04C20BB9">
        <w:t>,</w:t>
      </w:r>
      <w:r>
        <w:t xml:space="preserve"> a survey of </w:t>
      </w:r>
      <w:r w:rsidR="00D37D83">
        <w:t>r</w:t>
      </w:r>
      <w:r>
        <w:t xml:space="preserve">egional </w:t>
      </w:r>
      <w:r w:rsidR="00D37D83">
        <w:t>c</w:t>
      </w:r>
      <w:r>
        <w:t>ouncils and relevant territorial local authorities was conducted to help estimate the mass of material burnt in open fires and crude home incinerators. Participants were asked for details of any surveys or emission inventories covering this type of waste burning</w:t>
      </w:r>
      <w:bookmarkStart w:id="309" w:name="_Int_iUcyYaCu"/>
      <w:r>
        <w:t xml:space="preserve">. </w:t>
      </w:r>
      <w:bookmarkEnd w:id="309"/>
      <w:r w:rsidR="3605DFE0">
        <w:t>They were also asked for any information they had regarding the percentage of active households in their areas, frequency of burning and the amount of waste burnt on each occasion.</w:t>
      </w:r>
      <w:r>
        <w:t xml:space="preserve"> </w:t>
      </w:r>
      <w:r w:rsidR="3605DFE0">
        <w:t xml:space="preserve">Participants were also asked if they considered the parameters used in the 2016 </w:t>
      </w:r>
      <w:r w:rsidR="2E882486">
        <w:t xml:space="preserve">Inventory </w:t>
      </w:r>
      <w:r w:rsidR="3605DFE0">
        <w:t xml:space="preserve">as still valid, that is </w:t>
      </w:r>
      <w:r w:rsidR="2E882486">
        <w:t>5% of all households burn domestic waste on 5- 10 occasions per year with a total of 250 kg domestic waste burnt per active household per year</w:t>
      </w:r>
      <w:r w:rsidR="46581408">
        <w:t xml:space="preserve"> which </w:t>
      </w:r>
      <w:r w:rsidR="38D26FFB">
        <w:t>gave</w:t>
      </w:r>
      <w:r w:rsidR="46581408">
        <w:t xml:space="preserve"> a national activity of 20,170 tonnes per year for 2016.</w:t>
      </w:r>
    </w:p>
    <w:p w14:paraId="06F77D77" w14:textId="1D4326D2" w:rsidR="00765BDB" w:rsidRPr="003D73C3" w:rsidRDefault="38D26FFB" w:rsidP="00354DD3">
      <w:pPr>
        <w:spacing w:line="300" w:lineRule="atLeast"/>
        <w:jc w:val="both"/>
      </w:pPr>
      <w:r>
        <w:t>Many</w:t>
      </w:r>
      <w:r w:rsidR="2E882486">
        <w:t xml:space="preserve"> </w:t>
      </w:r>
      <w:r w:rsidR="00B752F1">
        <w:t>c</w:t>
      </w:r>
      <w:r w:rsidR="5DAA5160">
        <w:t>ouncils felt</w:t>
      </w:r>
      <w:r>
        <w:t xml:space="preserve"> not</w:t>
      </w:r>
      <w:r w:rsidR="5DAA5160">
        <w:t xml:space="preserve"> able to comment. Of those who did respond opinion was equally divided on the validity of the 2016 Inventory parameters with about half saying the parameters were about right</w:t>
      </w:r>
      <w:r w:rsidR="46581408">
        <w:t xml:space="preserve">, with the remainder saying </w:t>
      </w:r>
      <w:r w:rsidR="46581408">
        <w:lastRenderedPageBreak/>
        <w:t>the parameters were too high</w:t>
      </w:r>
      <w:r w:rsidR="07A5975E">
        <w:t>.</w:t>
      </w:r>
      <w:r w:rsidR="46581408">
        <w:t xml:space="preserve"> On a population basis the country is </w:t>
      </w:r>
      <w:bookmarkStart w:id="310" w:name="_Int_J6GCP09X"/>
      <w:r w:rsidR="07A5975E">
        <w:t>approximately evenly</w:t>
      </w:r>
      <w:bookmarkEnd w:id="310"/>
      <w:r w:rsidR="07A5975E">
        <w:t xml:space="preserve"> divided between households which live in an area where open burning is permitted and those which live in an area where the activity is banned. </w:t>
      </w:r>
      <w:bookmarkStart w:id="311" w:name="_Int_bCQ34p6o"/>
      <w:r w:rsidR="07A5975E">
        <w:t>Generally</w:t>
      </w:r>
      <w:r w:rsidR="00BC7820">
        <w:t>,</w:t>
      </w:r>
      <w:r w:rsidR="07A5975E">
        <w:t xml:space="preserve"> </w:t>
      </w:r>
      <w:bookmarkEnd w:id="311"/>
      <w:r w:rsidR="07A5975E">
        <w:t xml:space="preserve">open burning of rubbish is permitted in </w:t>
      </w:r>
      <w:r w:rsidR="343E6165">
        <w:t>rural areas in New Zealand, but this may be banned in cases if rural properties are served by municipal waste collection</w:t>
      </w:r>
      <w:bookmarkStart w:id="312" w:name="_Int_KbDJRdhS"/>
      <w:r w:rsidR="07A5975E">
        <w:t xml:space="preserve">. </w:t>
      </w:r>
      <w:bookmarkEnd w:id="312"/>
    </w:p>
    <w:p w14:paraId="3DFAB34B" w14:textId="768AB3B1" w:rsidR="00E24554" w:rsidRPr="003D73C3" w:rsidRDefault="343E6165" w:rsidP="00354DD3">
      <w:pPr>
        <w:spacing w:line="300" w:lineRule="atLeast"/>
        <w:jc w:val="both"/>
      </w:pPr>
      <w:r>
        <w:t xml:space="preserve">Some </w:t>
      </w:r>
      <w:r w:rsidR="00BC7820">
        <w:t>c</w:t>
      </w:r>
      <w:r>
        <w:t xml:space="preserve">ouncils were able to provide </w:t>
      </w:r>
      <w:r w:rsidR="5473DAA2">
        <w:t xml:space="preserve">results </w:t>
      </w:r>
      <w:r>
        <w:t xml:space="preserve">of </w:t>
      </w:r>
      <w:r w:rsidR="5473DAA2">
        <w:t xml:space="preserve">air emission inventories for outdoor burning in towns or cities in their region. For instance </w:t>
      </w:r>
      <w:r w:rsidR="498DE1C4">
        <w:t xml:space="preserve">for </w:t>
      </w:r>
      <w:r w:rsidR="5473DAA2">
        <w:t xml:space="preserve">Hamilton, </w:t>
      </w:r>
      <w:r w:rsidR="498DE1C4">
        <w:t>it was estimated that outdoor burning involved an average of 2.6 tonnes material per day or 961 tonnes per year</w:t>
      </w:r>
      <w:r w:rsidR="15DF78D2">
        <w:t xml:space="preserve"> (Jonathan Caldewell, Waikato Regional Council, pers comm, 2022)</w:t>
      </w:r>
      <w:r w:rsidR="38D26FFB">
        <w:t>.</w:t>
      </w:r>
      <w:r w:rsidR="498DE1C4">
        <w:t xml:space="preserve"> At 54,939 households</w:t>
      </w:r>
      <w:r w:rsidR="38D26FFB">
        <w:t>,</w:t>
      </w:r>
      <w:r w:rsidR="498DE1C4">
        <w:t xml:space="preserve"> the city comprises </w:t>
      </w:r>
      <w:r w:rsidR="30820AA6">
        <w:t xml:space="preserve">about 3% of New Zealand’s estimated 1,865,300 households in March 2021 (Statistics New Zealand, 2022) which on a pro rata basis </w:t>
      </w:r>
      <w:r w:rsidR="15DF78D2">
        <w:t xml:space="preserve">would result in a </w:t>
      </w:r>
      <w:r w:rsidR="2C77A706">
        <w:t xml:space="preserve">national </w:t>
      </w:r>
      <w:r w:rsidR="15DF78D2">
        <w:t xml:space="preserve">total of </w:t>
      </w:r>
      <w:r w:rsidR="30820AA6">
        <w:t>32,630 tonnes</w:t>
      </w:r>
      <w:r w:rsidR="38D26FFB">
        <w:t>.</w:t>
      </w:r>
    </w:p>
    <w:p w14:paraId="322D6F79" w14:textId="092929D3" w:rsidR="004731CD" w:rsidRPr="0083285F" w:rsidRDefault="0958162D" w:rsidP="00354DD3">
      <w:pPr>
        <w:spacing w:line="300" w:lineRule="atLeast"/>
        <w:jc w:val="both"/>
      </w:pPr>
      <w:r>
        <w:t>The respondent for Auckland Regional Council</w:t>
      </w:r>
      <w:r w:rsidR="1ED6E0BF">
        <w:t xml:space="preserve">, </w:t>
      </w:r>
      <w:r>
        <w:t>which represents about 500,000 households</w:t>
      </w:r>
      <w:r w:rsidR="1ED6E0BF">
        <w:t xml:space="preserve">, </w:t>
      </w:r>
      <w:r>
        <w:t xml:space="preserve">made the point that most outdoor burning in the region, </w:t>
      </w:r>
      <w:r w:rsidR="1ED6E0BF">
        <w:t xml:space="preserve">in rural areas </w:t>
      </w:r>
      <w:r>
        <w:t>where it can legally occur</w:t>
      </w:r>
      <w:r w:rsidR="1ED6E0BF">
        <w:t xml:space="preserve">, </w:t>
      </w:r>
      <w:r>
        <w:t>is of green wa</w:t>
      </w:r>
      <w:r w:rsidR="1ED6E0BF">
        <w:t>ste and that only negligible quantities of municipal waste are burnt (Paul Crimmins, Auckland Regional Council, pers comm, 2022)</w:t>
      </w:r>
      <w:bookmarkStart w:id="313" w:name="_Int_7B8WblYU"/>
      <w:r w:rsidR="1ED6E0BF">
        <w:t xml:space="preserve">. </w:t>
      </w:r>
      <w:bookmarkEnd w:id="313"/>
      <w:r w:rsidR="46821BD9">
        <w:t>The emission factor</w:t>
      </w:r>
      <w:r w:rsidR="2D569163">
        <w:t>s</w:t>
      </w:r>
      <w:r w:rsidR="46821BD9">
        <w:t xml:space="preserve"> for green waste combustion should be </w:t>
      </w:r>
      <w:bookmarkStart w:id="314" w:name="_Int_P55cS06V"/>
      <w:r w:rsidR="46821BD9">
        <w:t>similar to</w:t>
      </w:r>
      <w:bookmarkEnd w:id="314"/>
      <w:r w:rsidR="46821BD9">
        <w:t xml:space="preserve">  </w:t>
      </w:r>
      <w:r w:rsidR="2D569163">
        <w:t>forest fires and grassland fires</w:t>
      </w:r>
      <w:r w:rsidR="647EFBD3">
        <w:t xml:space="preserve"> as shown in Sections 8.1.3 and 8.1.4 </w:t>
      </w:r>
      <w:r w:rsidR="2D569163">
        <w:t>(</w:t>
      </w:r>
      <w:r w:rsidR="46821BD9">
        <w:t>0.5 µg TEQ/tonne for releases to air and 0.15 µg TEQ/tonne for releases to land</w:t>
      </w:r>
      <w:r w:rsidR="2D569163">
        <w:t>) rather than those for outdoor burning (40 µg TEQ/tonne for releases to air and 1 µg TEQ/tonne for releases to land) which are higher because of the presence of municipal waste components.</w:t>
      </w:r>
    </w:p>
    <w:p w14:paraId="20D57527" w14:textId="569158D3" w:rsidR="002A2FCE" w:rsidRPr="0083285F" w:rsidRDefault="7928F4C0" w:rsidP="0C34660A">
      <w:pPr>
        <w:spacing w:line="300" w:lineRule="atLeast"/>
        <w:jc w:val="both"/>
      </w:pPr>
      <w:r>
        <w:t>Even in areas where open burning is permitted there are other factors which are increasingly acting to reduce this form of waste disposal such as a greater public consciousness of the role of particulate matter in air pollution</w:t>
      </w:r>
      <w:r w:rsidR="6626DAE3">
        <w:t xml:space="preserve"> and the risk that outdoor fires may get out of control</w:t>
      </w:r>
      <w:bookmarkStart w:id="315" w:name="_Int_XWaUFG3N"/>
      <w:r w:rsidR="6626DAE3">
        <w:t xml:space="preserve">. </w:t>
      </w:r>
      <w:bookmarkEnd w:id="315"/>
    </w:p>
    <w:p w14:paraId="5F93FC86" w14:textId="0F2BFF77" w:rsidR="00961810" w:rsidRPr="003D73C3" w:rsidRDefault="6626DAE3" w:rsidP="00354DD3">
      <w:pPr>
        <w:spacing w:line="300" w:lineRule="atLeast"/>
        <w:jc w:val="both"/>
      </w:pPr>
      <w:bookmarkStart w:id="316" w:name="_Int_8VDPtfvB"/>
      <w:proofErr w:type="gramStart"/>
      <w:r>
        <w:t>On the basis of</w:t>
      </w:r>
      <w:bookmarkEnd w:id="316"/>
      <w:proofErr w:type="gramEnd"/>
      <w:r>
        <w:t xml:space="preserve"> the survey findings, </w:t>
      </w:r>
      <w:r w:rsidR="647EFBD3">
        <w:t xml:space="preserve">it has been decided that the </w:t>
      </w:r>
      <w:r w:rsidR="35C4E44F">
        <w:t xml:space="preserve">number of households participating in outdoor burning </w:t>
      </w:r>
      <w:r w:rsidR="647EFBD3">
        <w:t xml:space="preserve">should be reduced from </w:t>
      </w:r>
      <w:r w:rsidR="35C4E44F">
        <w:t xml:space="preserve">5% to 2.5 % but that the quantity burnt per household should remain at 250 kg/year. </w:t>
      </w:r>
      <w:r w:rsidR="59D2E316">
        <w:t>For 1,865,300 households nationally this represents an activity of 11,660 tonnes</w:t>
      </w:r>
      <w:r w:rsidR="38D26FFB">
        <w:t>.</w:t>
      </w:r>
    </w:p>
    <w:p w14:paraId="51597F59" w14:textId="729707B0" w:rsidR="006761D2" w:rsidRPr="003D73C3" w:rsidRDefault="00731207" w:rsidP="006761D2">
      <w:pPr>
        <w:spacing w:line="300" w:lineRule="atLeast"/>
        <w:jc w:val="both"/>
        <w:rPr>
          <w:szCs w:val="18"/>
        </w:rPr>
      </w:pPr>
      <w:r w:rsidRPr="003D73C3">
        <w:rPr>
          <w:szCs w:val="18"/>
        </w:rPr>
        <w:t>As discussed, t</w:t>
      </w:r>
      <w:r w:rsidR="006761D2" w:rsidRPr="003D73C3">
        <w:rPr>
          <w:szCs w:val="18"/>
        </w:rPr>
        <w:t xml:space="preserve">he UNEP Toolkit gives default factors of 40 µg TEQ per tonne of waste, for dioxin releases to air, and 1 µg TEQ per tonne of waste, for releases to land </w:t>
      </w:r>
      <w:r w:rsidR="006761D2" w:rsidRPr="003D73C3">
        <w:rPr>
          <w:szCs w:val="18"/>
          <w:lang w:val="en-US"/>
        </w:rPr>
        <w:t>(1 µg TEQ/tonne = 1 x 10</w:t>
      </w:r>
      <w:r w:rsidR="006761D2" w:rsidRPr="003D73C3">
        <w:rPr>
          <w:szCs w:val="18"/>
          <w:vertAlign w:val="superscript"/>
          <w:lang w:val="en-US"/>
        </w:rPr>
        <w:t>-6</w:t>
      </w:r>
      <w:r w:rsidR="006761D2" w:rsidRPr="003D73C3">
        <w:rPr>
          <w:szCs w:val="18"/>
          <w:lang w:val="en-US"/>
        </w:rPr>
        <w:t xml:space="preserve"> g TEQ/tonne)</w:t>
      </w:r>
      <w:r w:rsidR="006761D2" w:rsidRPr="003D73C3">
        <w:rPr>
          <w:szCs w:val="18"/>
        </w:rPr>
        <w:t xml:space="preserve">. These factors have been used for the current release estimates, which are shown in </w:t>
      </w:r>
      <w:r w:rsidR="00011636" w:rsidRPr="003D73C3">
        <w:rPr>
          <w:szCs w:val="18"/>
        </w:rPr>
        <w:t>Table 8-6</w:t>
      </w:r>
      <w:r w:rsidR="006761D2" w:rsidRPr="003D73C3">
        <w:rPr>
          <w:szCs w:val="18"/>
        </w:rPr>
        <w:t>, along with the correspo</w:t>
      </w:r>
      <w:r w:rsidR="00AF5997" w:rsidRPr="003D73C3">
        <w:rPr>
          <w:szCs w:val="18"/>
        </w:rPr>
        <w:t xml:space="preserve">nding estimates made in the </w:t>
      </w:r>
      <w:r w:rsidR="006D6CEA">
        <w:rPr>
          <w:szCs w:val="18"/>
        </w:rPr>
        <w:t xml:space="preserve">2012 and </w:t>
      </w:r>
      <w:r w:rsidRPr="003D73C3">
        <w:rPr>
          <w:szCs w:val="18"/>
        </w:rPr>
        <w:t>2016</w:t>
      </w:r>
      <w:r w:rsidR="006761D2" w:rsidRPr="003D73C3">
        <w:rPr>
          <w:szCs w:val="18"/>
        </w:rPr>
        <w:t xml:space="preserve"> Inventor</w:t>
      </w:r>
      <w:r w:rsidR="006D6CEA">
        <w:rPr>
          <w:szCs w:val="18"/>
        </w:rPr>
        <w:t>ies</w:t>
      </w:r>
      <w:r w:rsidR="006761D2" w:rsidRPr="003D73C3">
        <w:rPr>
          <w:szCs w:val="18"/>
        </w:rPr>
        <w:t>.</w:t>
      </w:r>
    </w:p>
    <w:p w14:paraId="71774B9A" w14:textId="27557AE4" w:rsidR="006761D2" w:rsidRPr="003D73C3" w:rsidRDefault="006761D2" w:rsidP="006761D2">
      <w:pPr>
        <w:pStyle w:val="Caption"/>
        <w:jc w:val="left"/>
        <w:rPr>
          <w:rFonts w:cs="Arial"/>
          <w:szCs w:val="18"/>
        </w:rPr>
      </w:pPr>
      <w:bookmarkStart w:id="317" w:name="_Ref382319777"/>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6</w:t>
      </w:r>
      <w:r w:rsidRPr="003D73C3">
        <w:rPr>
          <w:rFonts w:cs="Arial"/>
        </w:rPr>
        <w:fldChar w:fldCharType="end"/>
      </w:r>
      <w:bookmarkEnd w:id="317"/>
      <w:r w:rsidRPr="003D73C3">
        <w:rPr>
          <w:rFonts w:cs="Arial"/>
        </w:rPr>
        <w:t>: Dioxin releases from open domestic waste burning</w:t>
      </w:r>
    </w:p>
    <w:tbl>
      <w:tblPr>
        <w:tblStyle w:val="TableGrid"/>
        <w:tblW w:w="0" w:type="auto"/>
        <w:tblLook w:val="04A0" w:firstRow="1" w:lastRow="0" w:firstColumn="1" w:lastColumn="0" w:noHBand="0" w:noVBand="1"/>
      </w:tblPr>
      <w:tblGrid>
        <w:gridCol w:w="909"/>
        <w:gridCol w:w="2577"/>
        <w:gridCol w:w="1412"/>
        <w:gridCol w:w="1422"/>
        <w:gridCol w:w="1345"/>
        <w:gridCol w:w="1396"/>
      </w:tblGrid>
      <w:tr w:rsidR="006761D2" w:rsidRPr="0083285F" w14:paraId="30C42F64" w14:textId="77777777" w:rsidTr="0030171B">
        <w:tc>
          <w:tcPr>
            <w:tcW w:w="909" w:type="dxa"/>
            <w:vMerge w:val="restart"/>
            <w:vAlign w:val="center"/>
          </w:tcPr>
          <w:p w14:paraId="089C3DB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77" w:type="dxa"/>
            <w:vMerge w:val="restart"/>
            <w:vAlign w:val="center"/>
          </w:tcPr>
          <w:p w14:paraId="6CF88F8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 xml:space="preserve">Activity Rate </w:t>
            </w:r>
            <w:r w:rsidRPr="003D73C3">
              <w:rPr>
                <w:rFonts w:ascii="Arial" w:hAnsi="Arial" w:cs="Arial"/>
                <w:b/>
                <w:sz w:val="16"/>
                <w:szCs w:val="18"/>
              </w:rPr>
              <w:br/>
              <w:t>(tonnes/year)</w:t>
            </w:r>
          </w:p>
        </w:tc>
        <w:tc>
          <w:tcPr>
            <w:tcW w:w="2834" w:type="dxa"/>
            <w:gridSpan w:val="2"/>
            <w:vAlign w:val="center"/>
          </w:tcPr>
          <w:p w14:paraId="16A776D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w:t>
            </w:r>
          </w:p>
        </w:tc>
        <w:tc>
          <w:tcPr>
            <w:tcW w:w="2741" w:type="dxa"/>
            <w:gridSpan w:val="2"/>
            <w:vAlign w:val="center"/>
          </w:tcPr>
          <w:p w14:paraId="31875B3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83285F" w14:paraId="6F234A1C" w14:textId="77777777" w:rsidTr="00E95BD6">
        <w:tc>
          <w:tcPr>
            <w:tcW w:w="909" w:type="dxa"/>
            <w:vMerge/>
          </w:tcPr>
          <w:p w14:paraId="715AEF4F" w14:textId="77777777" w:rsidR="006761D2" w:rsidRPr="003D73C3" w:rsidRDefault="006761D2" w:rsidP="009F7DB8">
            <w:pPr>
              <w:spacing w:before="120"/>
              <w:jc w:val="both"/>
              <w:rPr>
                <w:rFonts w:ascii="Arial" w:hAnsi="Arial" w:cs="Arial"/>
                <w:sz w:val="16"/>
                <w:szCs w:val="18"/>
              </w:rPr>
            </w:pPr>
          </w:p>
        </w:tc>
        <w:tc>
          <w:tcPr>
            <w:tcW w:w="2577" w:type="dxa"/>
            <w:vMerge/>
            <w:vAlign w:val="center"/>
          </w:tcPr>
          <w:p w14:paraId="489B9DB0" w14:textId="77777777" w:rsidR="006761D2" w:rsidRPr="003D73C3" w:rsidRDefault="006761D2" w:rsidP="009F7DB8">
            <w:pPr>
              <w:spacing w:before="120"/>
              <w:jc w:val="center"/>
              <w:rPr>
                <w:rFonts w:ascii="Arial" w:hAnsi="Arial" w:cs="Arial"/>
                <w:sz w:val="16"/>
                <w:szCs w:val="18"/>
              </w:rPr>
            </w:pPr>
          </w:p>
        </w:tc>
        <w:tc>
          <w:tcPr>
            <w:tcW w:w="1412" w:type="dxa"/>
            <w:vAlign w:val="center"/>
          </w:tcPr>
          <w:p w14:paraId="14FD49A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22" w:type="dxa"/>
            <w:vAlign w:val="center"/>
          </w:tcPr>
          <w:p w14:paraId="5400121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45" w:type="dxa"/>
            <w:vAlign w:val="center"/>
          </w:tcPr>
          <w:p w14:paraId="21C1F41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6" w:type="dxa"/>
            <w:vAlign w:val="center"/>
          </w:tcPr>
          <w:p w14:paraId="28BCD42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4047DC" w:rsidRPr="0083285F" w14:paraId="06227232" w14:textId="77777777" w:rsidTr="00E95BD6">
        <w:tc>
          <w:tcPr>
            <w:tcW w:w="909" w:type="dxa"/>
            <w:vMerge w:val="restart"/>
            <w:vAlign w:val="center"/>
          </w:tcPr>
          <w:p w14:paraId="37DEF6A1" w14:textId="3BAF4F31" w:rsidR="004047DC" w:rsidRPr="003D73C3" w:rsidRDefault="004047DC" w:rsidP="009F7DB8">
            <w:pPr>
              <w:spacing w:before="120"/>
              <w:rPr>
                <w:rFonts w:ascii="Arial" w:hAnsi="Arial" w:cs="Arial"/>
                <w:b/>
                <w:sz w:val="16"/>
                <w:szCs w:val="18"/>
              </w:rPr>
            </w:pPr>
            <w:r w:rsidRPr="003D73C3">
              <w:rPr>
                <w:rFonts w:ascii="Arial" w:hAnsi="Arial" w:cs="Arial"/>
                <w:b/>
                <w:sz w:val="16"/>
                <w:szCs w:val="18"/>
              </w:rPr>
              <w:t>2012</w:t>
            </w:r>
          </w:p>
        </w:tc>
        <w:tc>
          <w:tcPr>
            <w:tcW w:w="2577" w:type="dxa"/>
            <w:vMerge w:val="restart"/>
            <w:vAlign w:val="center"/>
          </w:tcPr>
          <w:p w14:paraId="7FA84BE3" w14:textId="4F7DCBC3"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19,500</w:t>
            </w:r>
          </w:p>
        </w:tc>
        <w:tc>
          <w:tcPr>
            <w:tcW w:w="1412" w:type="dxa"/>
            <w:vAlign w:val="center"/>
          </w:tcPr>
          <w:p w14:paraId="767435A7" w14:textId="27FEE430"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40</w:t>
            </w:r>
          </w:p>
        </w:tc>
        <w:tc>
          <w:tcPr>
            <w:tcW w:w="1422" w:type="dxa"/>
            <w:vAlign w:val="center"/>
          </w:tcPr>
          <w:p w14:paraId="633B40FA" w14:textId="7884D1F0"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345" w:type="dxa"/>
            <w:vAlign w:val="center"/>
          </w:tcPr>
          <w:p w14:paraId="733893A7" w14:textId="1A76CF7D"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0.780</w:t>
            </w:r>
          </w:p>
        </w:tc>
        <w:tc>
          <w:tcPr>
            <w:tcW w:w="1396" w:type="dxa"/>
            <w:vAlign w:val="center"/>
          </w:tcPr>
          <w:p w14:paraId="5C856FE4" w14:textId="5B02A615"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r>
      <w:tr w:rsidR="004047DC" w:rsidRPr="0083285F" w14:paraId="7E9FF973" w14:textId="77777777" w:rsidTr="00E95BD6">
        <w:tc>
          <w:tcPr>
            <w:tcW w:w="909" w:type="dxa"/>
            <w:vMerge/>
            <w:vAlign w:val="center"/>
          </w:tcPr>
          <w:p w14:paraId="72839F02" w14:textId="77777777" w:rsidR="004047DC" w:rsidRPr="003D73C3" w:rsidRDefault="004047DC" w:rsidP="009F7DB8">
            <w:pPr>
              <w:spacing w:before="120"/>
              <w:rPr>
                <w:rFonts w:ascii="Arial" w:hAnsi="Arial" w:cs="Arial"/>
                <w:b/>
                <w:sz w:val="16"/>
                <w:szCs w:val="18"/>
              </w:rPr>
            </w:pPr>
          </w:p>
        </w:tc>
        <w:tc>
          <w:tcPr>
            <w:tcW w:w="2577" w:type="dxa"/>
            <w:vMerge/>
            <w:vAlign w:val="center"/>
          </w:tcPr>
          <w:p w14:paraId="3E780E6E" w14:textId="77777777" w:rsidR="004047DC" w:rsidRPr="003D73C3" w:rsidRDefault="004047DC" w:rsidP="009F7DB8">
            <w:pPr>
              <w:spacing w:before="120"/>
              <w:jc w:val="center"/>
              <w:rPr>
                <w:rFonts w:ascii="Arial" w:hAnsi="Arial" w:cs="Arial"/>
                <w:sz w:val="16"/>
                <w:szCs w:val="18"/>
              </w:rPr>
            </w:pPr>
          </w:p>
        </w:tc>
        <w:tc>
          <w:tcPr>
            <w:tcW w:w="1412" w:type="dxa"/>
            <w:vAlign w:val="center"/>
          </w:tcPr>
          <w:p w14:paraId="1ECE71CC" w14:textId="0FAA4BE6"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422" w:type="dxa"/>
            <w:vAlign w:val="center"/>
          </w:tcPr>
          <w:p w14:paraId="70F05ECC" w14:textId="132E68FC"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1</w:t>
            </w:r>
          </w:p>
        </w:tc>
        <w:tc>
          <w:tcPr>
            <w:tcW w:w="1345" w:type="dxa"/>
            <w:vAlign w:val="center"/>
          </w:tcPr>
          <w:p w14:paraId="5071A115" w14:textId="767E4863"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396" w:type="dxa"/>
            <w:vAlign w:val="center"/>
          </w:tcPr>
          <w:p w14:paraId="323D8EE7" w14:textId="65ABEAAF"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0.020</w:t>
            </w:r>
          </w:p>
        </w:tc>
      </w:tr>
      <w:tr w:rsidR="004047DC" w:rsidRPr="0083285F" w14:paraId="671E6110" w14:textId="77777777" w:rsidTr="00E95BD6">
        <w:tc>
          <w:tcPr>
            <w:tcW w:w="909" w:type="dxa"/>
            <w:vMerge w:val="restart"/>
            <w:vAlign w:val="center"/>
          </w:tcPr>
          <w:p w14:paraId="5A31A032" w14:textId="0F572AFF" w:rsidR="004047DC" w:rsidRPr="003D73C3" w:rsidRDefault="004047DC" w:rsidP="009F7DB8">
            <w:pPr>
              <w:spacing w:before="120"/>
              <w:rPr>
                <w:rFonts w:ascii="Arial" w:hAnsi="Arial" w:cs="Arial"/>
                <w:b/>
                <w:sz w:val="16"/>
                <w:szCs w:val="18"/>
              </w:rPr>
            </w:pPr>
            <w:r w:rsidRPr="003D73C3">
              <w:rPr>
                <w:rFonts w:ascii="Arial" w:hAnsi="Arial" w:cs="Arial"/>
                <w:b/>
                <w:sz w:val="16"/>
                <w:szCs w:val="18"/>
              </w:rPr>
              <w:t>2016</w:t>
            </w:r>
          </w:p>
        </w:tc>
        <w:tc>
          <w:tcPr>
            <w:tcW w:w="2577" w:type="dxa"/>
            <w:vMerge w:val="restart"/>
            <w:vAlign w:val="center"/>
          </w:tcPr>
          <w:p w14:paraId="3CDB7BE6" w14:textId="1E192FF0"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20,170</w:t>
            </w:r>
          </w:p>
        </w:tc>
        <w:tc>
          <w:tcPr>
            <w:tcW w:w="1412" w:type="dxa"/>
            <w:vAlign w:val="center"/>
          </w:tcPr>
          <w:p w14:paraId="4B2D094F" w14:textId="4750BF9C"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40</w:t>
            </w:r>
          </w:p>
        </w:tc>
        <w:tc>
          <w:tcPr>
            <w:tcW w:w="1422" w:type="dxa"/>
            <w:vAlign w:val="center"/>
          </w:tcPr>
          <w:p w14:paraId="19CB04FA" w14:textId="7FD3B110"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345" w:type="dxa"/>
            <w:vAlign w:val="center"/>
          </w:tcPr>
          <w:p w14:paraId="1C8AA62A" w14:textId="773CBA81"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0.807</w:t>
            </w:r>
          </w:p>
        </w:tc>
        <w:tc>
          <w:tcPr>
            <w:tcW w:w="1396" w:type="dxa"/>
            <w:vAlign w:val="center"/>
          </w:tcPr>
          <w:p w14:paraId="0E156DB5" w14:textId="6FCBE544"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r>
      <w:tr w:rsidR="004047DC" w:rsidRPr="0083285F" w14:paraId="1681EDE9" w14:textId="77777777" w:rsidTr="00E95BD6">
        <w:tc>
          <w:tcPr>
            <w:tcW w:w="909" w:type="dxa"/>
            <w:vMerge/>
            <w:vAlign w:val="center"/>
          </w:tcPr>
          <w:p w14:paraId="137E9861" w14:textId="77777777" w:rsidR="004047DC" w:rsidRPr="003D73C3" w:rsidRDefault="004047DC" w:rsidP="009F7DB8">
            <w:pPr>
              <w:spacing w:before="120"/>
              <w:rPr>
                <w:rFonts w:ascii="Arial" w:hAnsi="Arial" w:cs="Arial"/>
                <w:b/>
                <w:sz w:val="16"/>
                <w:szCs w:val="18"/>
              </w:rPr>
            </w:pPr>
          </w:p>
        </w:tc>
        <w:tc>
          <w:tcPr>
            <w:tcW w:w="2577" w:type="dxa"/>
            <w:vMerge/>
            <w:vAlign w:val="center"/>
          </w:tcPr>
          <w:p w14:paraId="7AA8747C" w14:textId="77777777" w:rsidR="004047DC" w:rsidRPr="003D73C3" w:rsidRDefault="004047DC" w:rsidP="009F7DB8">
            <w:pPr>
              <w:spacing w:before="120"/>
              <w:jc w:val="center"/>
              <w:rPr>
                <w:rFonts w:ascii="Arial" w:hAnsi="Arial" w:cs="Arial"/>
                <w:sz w:val="16"/>
                <w:szCs w:val="18"/>
              </w:rPr>
            </w:pPr>
          </w:p>
        </w:tc>
        <w:tc>
          <w:tcPr>
            <w:tcW w:w="1412" w:type="dxa"/>
            <w:vAlign w:val="center"/>
          </w:tcPr>
          <w:p w14:paraId="2B89C28B" w14:textId="7C274C06"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422" w:type="dxa"/>
            <w:vAlign w:val="center"/>
          </w:tcPr>
          <w:p w14:paraId="5EF90DF5" w14:textId="0A9C78CB"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1</w:t>
            </w:r>
          </w:p>
        </w:tc>
        <w:tc>
          <w:tcPr>
            <w:tcW w:w="1345" w:type="dxa"/>
            <w:vAlign w:val="center"/>
          </w:tcPr>
          <w:p w14:paraId="13996A71" w14:textId="2FD2CBE7"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w:t>
            </w:r>
          </w:p>
        </w:tc>
        <w:tc>
          <w:tcPr>
            <w:tcW w:w="1396" w:type="dxa"/>
            <w:vAlign w:val="center"/>
          </w:tcPr>
          <w:p w14:paraId="7F951CE1" w14:textId="44E533AF" w:rsidR="004047DC" w:rsidRPr="003D73C3" w:rsidRDefault="004047DC" w:rsidP="009F7DB8">
            <w:pPr>
              <w:spacing w:before="120"/>
              <w:jc w:val="center"/>
              <w:rPr>
                <w:rFonts w:ascii="Arial" w:hAnsi="Arial" w:cs="Arial"/>
                <w:sz w:val="16"/>
                <w:szCs w:val="18"/>
              </w:rPr>
            </w:pPr>
            <w:r w:rsidRPr="003D73C3">
              <w:rPr>
                <w:rFonts w:ascii="Arial" w:hAnsi="Arial" w:cs="Arial"/>
                <w:sz w:val="16"/>
                <w:szCs w:val="18"/>
              </w:rPr>
              <w:t>0.0202</w:t>
            </w:r>
          </w:p>
        </w:tc>
      </w:tr>
      <w:tr w:rsidR="00731207" w:rsidRPr="0083285F" w14:paraId="405DF4F0" w14:textId="77777777" w:rsidTr="00E95BD6">
        <w:tc>
          <w:tcPr>
            <w:tcW w:w="909" w:type="dxa"/>
            <w:vMerge w:val="restart"/>
            <w:vAlign w:val="center"/>
          </w:tcPr>
          <w:p w14:paraId="75B14D1E" w14:textId="1EBE1D83" w:rsidR="00731207" w:rsidRPr="003D73C3" w:rsidRDefault="00731207" w:rsidP="009F7DB8">
            <w:pPr>
              <w:spacing w:before="120"/>
              <w:rPr>
                <w:rFonts w:ascii="Arial" w:hAnsi="Arial" w:cs="Arial"/>
                <w:b/>
                <w:sz w:val="16"/>
                <w:szCs w:val="18"/>
              </w:rPr>
            </w:pPr>
            <w:r w:rsidRPr="003D73C3">
              <w:rPr>
                <w:rFonts w:ascii="Arial" w:hAnsi="Arial" w:cs="Arial"/>
                <w:b/>
                <w:sz w:val="16"/>
                <w:szCs w:val="18"/>
              </w:rPr>
              <w:t>2020</w:t>
            </w:r>
          </w:p>
        </w:tc>
        <w:tc>
          <w:tcPr>
            <w:tcW w:w="2577" w:type="dxa"/>
            <w:vMerge w:val="restart"/>
            <w:vAlign w:val="center"/>
          </w:tcPr>
          <w:p w14:paraId="2DE86765" w14:textId="3411BE99" w:rsidR="00731207" w:rsidRPr="003D73C3" w:rsidRDefault="0083285F" w:rsidP="009F7DB8">
            <w:pPr>
              <w:spacing w:before="120"/>
              <w:jc w:val="center"/>
              <w:rPr>
                <w:rFonts w:ascii="Arial" w:hAnsi="Arial" w:cs="Arial"/>
                <w:sz w:val="16"/>
                <w:szCs w:val="18"/>
              </w:rPr>
            </w:pPr>
            <w:r w:rsidRPr="003D73C3">
              <w:rPr>
                <w:rFonts w:ascii="Arial" w:hAnsi="Arial" w:cs="Arial"/>
                <w:sz w:val="16"/>
                <w:szCs w:val="18"/>
              </w:rPr>
              <w:t>11,660</w:t>
            </w:r>
          </w:p>
        </w:tc>
        <w:tc>
          <w:tcPr>
            <w:tcW w:w="1412" w:type="dxa"/>
            <w:vAlign w:val="center"/>
          </w:tcPr>
          <w:p w14:paraId="47D34BF5" w14:textId="3701210A" w:rsidR="00731207" w:rsidRPr="003D73C3" w:rsidRDefault="0083285F" w:rsidP="009F7DB8">
            <w:pPr>
              <w:spacing w:before="120"/>
              <w:jc w:val="center"/>
              <w:rPr>
                <w:rFonts w:ascii="Arial" w:hAnsi="Arial" w:cs="Arial"/>
                <w:sz w:val="16"/>
                <w:szCs w:val="18"/>
              </w:rPr>
            </w:pPr>
            <w:r w:rsidRPr="003D73C3">
              <w:rPr>
                <w:rFonts w:ascii="Arial" w:hAnsi="Arial" w:cs="Arial"/>
                <w:sz w:val="16"/>
                <w:szCs w:val="18"/>
              </w:rPr>
              <w:t>40</w:t>
            </w:r>
          </w:p>
        </w:tc>
        <w:tc>
          <w:tcPr>
            <w:tcW w:w="1422" w:type="dxa"/>
            <w:vAlign w:val="center"/>
          </w:tcPr>
          <w:p w14:paraId="1015CDAC" w14:textId="77777777" w:rsidR="00731207" w:rsidRPr="003D73C3" w:rsidRDefault="00731207" w:rsidP="009F7DB8">
            <w:pPr>
              <w:spacing w:before="120"/>
              <w:jc w:val="center"/>
              <w:rPr>
                <w:rFonts w:ascii="Arial" w:hAnsi="Arial" w:cs="Arial"/>
                <w:sz w:val="16"/>
                <w:szCs w:val="18"/>
              </w:rPr>
            </w:pPr>
          </w:p>
        </w:tc>
        <w:tc>
          <w:tcPr>
            <w:tcW w:w="1345" w:type="dxa"/>
            <w:vAlign w:val="center"/>
          </w:tcPr>
          <w:p w14:paraId="2F8006E4" w14:textId="5E982D4B" w:rsidR="00731207" w:rsidRPr="003D73C3" w:rsidRDefault="0083285F" w:rsidP="009F7DB8">
            <w:pPr>
              <w:spacing w:before="120"/>
              <w:jc w:val="center"/>
              <w:rPr>
                <w:rFonts w:ascii="Arial" w:hAnsi="Arial" w:cs="Arial"/>
                <w:sz w:val="16"/>
                <w:szCs w:val="18"/>
              </w:rPr>
            </w:pPr>
            <w:r w:rsidRPr="003D73C3">
              <w:rPr>
                <w:rFonts w:ascii="Arial" w:hAnsi="Arial" w:cs="Arial"/>
                <w:sz w:val="16"/>
                <w:szCs w:val="18"/>
              </w:rPr>
              <w:t>0.466</w:t>
            </w:r>
          </w:p>
        </w:tc>
        <w:tc>
          <w:tcPr>
            <w:tcW w:w="1396" w:type="dxa"/>
            <w:vAlign w:val="center"/>
          </w:tcPr>
          <w:p w14:paraId="5D9536A3" w14:textId="77777777" w:rsidR="00731207" w:rsidRPr="003D73C3" w:rsidRDefault="00731207" w:rsidP="009F7DB8">
            <w:pPr>
              <w:spacing w:before="120"/>
              <w:jc w:val="center"/>
              <w:rPr>
                <w:rFonts w:ascii="Arial" w:hAnsi="Arial" w:cs="Arial"/>
                <w:sz w:val="16"/>
                <w:szCs w:val="18"/>
              </w:rPr>
            </w:pPr>
          </w:p>
        </w:tc>
      </w:tr>
      <w:tr w:rsidR="00731207" w:rsidRPr="0083285F" w14:paraId="4152ED35" w14:textId="77777777" w:rsidTr="00E95BD6">
        <w:tc>
          <w:tcPr>
            <w:tcW w:w="909" w:type="dxa"/>
            <w:vMerge/>
            <w:vAlign w:val="center"/>
          </w:tcPr>
          <w:p w14:paraId="79A04276" w14:textId="77777777" w:rsidR="00731207" w:rsidRPr="003D73C3" w:rsidRDefault="00731207" w:rsidP="009F7DB8">
            <w:pPr>
              <w:spacing w:before="120"/>
              <w:rPr>
                <w:rFonts w:ascii="Arial" w:hAnsi="Arial" w:cs="Arial"/>
                <w:b/>
                <w:sz w:val="16"/>
                <w:szCs w:val="18"/>
              </w:rPr>
            </w:pPr>
          </w:p>
        </w:tc>
        <w:tc>
          <w:tcPr>
            <w:tcW w:w="2577" w:type="dxa"/>
            <w:vMerge/>
            <w:vAlign w:val="center"/>
          </w:tcPr>
          <w:p w14:paraId="1422A1BB" w14:textId="77777777" w:rsidR="00731207" w:rsidRPr="003D73C3" w:rsidRDefault="00731207" w:rsidP="009F7DB8">
            <w:pPr>
              <w:spacing w:before="120"/>
              <w:jc w:val="center"/>
              <w:rPr>
                <w:rFonts w:ascii="Arial" w:hAnsi="Arial" w:cs="Arial"/>
                <w:sz w:val="16"/>
                <w:szCs w:val="18"/>
              </w:rPr>
            </w:pPr>
          </w:p>
        </w:tc>
        <w:tc>
          <w:tcPr>
            <w:tcW w:w="1412" w:type="dxa"/>
            <w:vAlign w:val="center"/>
          </w:tcPr>
          <w:p w14:paraId="0FA335F7" w14:textId="77777777" w:rsidR="00731207" w:rsidRPr="003D73C3" w:rsidRDefault="00731207" w:rsidP="009F7DB8">
            <w:pPr>
              <w:spacing w:before="120"/>
              <w:jc w:val="center"/>
              <w:rPr>
                <w:rFonts w:ascii="Arial" w:hAnsi="Arial" w:cs="Arial"/>
                <w:sz w:val="16"/>
                <w:szCs w:val="18"/>
              </w:rPr>
            </w:pPr>
          </w:p>
        </w:tc>
        <w:tc>
          <w:tcPr>
            <w:tcW w:w="1422" w:type="dxa"/>
            <w:vAlign w:val="center"/>
          </w:tcPr>
          <w:p w14:paraId="0359EC99" w14:textId="184A7BE6" w:rsidR="00731207" w:rsidRPr="003D73C3" w:rsidRDefault="0083285F" w:rsidP="009F7DB8">
            <w:pPr>
              <w:spacing w:before="120"/>
              <w:jc w:val="center"/>
              <w:rPr>
                <w:rFonts w:ascii="Arial" w:hAnsi="Arial" w:cs="Arial"/>
                <w:sz w:val="16"/>
                <w:szCs w:val="18"/>
              </w:rPr>
            </w:pPr>
            <w:r w:rsidRPr="003D73C3">
              <w:rPr>
                <w:rFonts w:ascii="Arial" w:hAnsi="Arial" w:cs="Arial"/>
                <w:sz w:val="16"/>
                <w:szCs w:val="18"/>
              </w:rPr>
              <w:t>1</w:t>
            </w:r>
          </w:p>
        </w:tc>
        <w:tc>
          <w:tcPr>
            <w:tcW w:w="1345" w:type="dxa"/>
            <w:vAlign w:val="center"/>
          </w:tcPr>
          <w:p w14:paraId="2BD64EF9" w14:textId="77777777" w:rsidR="00731207" w:rsidRPr="003D73C3" w:rsidRDefault="00731207" w:rsidP="009F7DB8">
            <w:pPr>
              <w:spacing w:before="120"/>
              <w:jc w:val="center"/>
              <w:rPr>
                <w:rFonts w:ascii="Arial" w:hAnsi="Arial" w:cs="Arial"/>
                <w:sz w:val="16"/>
                <w:szCs w:val="18"/>
              </w:rPr>
            </w:pPr>
          </w:p>
        </w:tc>
        <w:tc>
          <w:tcPr>
            <w:tcW w:w="1396" w:type="dxa"/>
            <w:vAlign w:val="center"/>
          </w:tcPr>
          <w:p w14:paraId="57A0726F" w14:textId="5ACE0577" w:rsidR="00731207" w:rsidRPr="003D73C3" w:rsidRDefault="0083285F" w:rsidP="009F7DB8">
            <w:pPr>
              <w:spacing w:before="120"/>
              <w:jc w:val="center"/>
              <w:rPr>
                <w:rFonts w:ascii="Arial" w:hAnsi="Arial" w:cs="Arial"/>
                <w:sz w:val="16"/>
                <w:szCs w:val="18"/>
              </w:rPr>
            </w:pPr>
            <w:r w:rsidRPr="003D73C3">
              <w:rPr>
                <w:rFonts w:ascii="Arial" w:hAnsi="Arial" w:cs="Arial"/>
                <w:sz w:val="16"/>
                <w:szCs w:val="18"/>
              </w:rPr>
              <w:t>0.0117</w:t>
            </w:r>
          </w:p>
        </w:tc>
      </w:tr>
    </w:tbl>
    <w:p w14:paraId="1190B507" w14:textId="3F618DEF"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83285F" w:rsidRPr="003D73C3">
        <w:rPr>
          <w:rFonts w:ascii="Arial" w:hAnsi="Arial" w:cs="Arial"/>
          <w:b/>
          <w:szCs w:val="18"/>
        </w:rPr>
        <w:t>2020</w:t>
      </w:r>
    </w:p>
    <w:p w14:paraId="777D758D"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Low (because it is based on limited survey data)</w:t>
      </w:r>
    </w:p>
    <w:p w14:paraId="2313A247"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w:t>
      </w:r>
    </w:p>
    <w:p w14:paraId="3FF95937" w14:textId="22387C87" w:rsidR="006761D2" w:rsidRPr="003D73C3" w:rsidRDefault="004047DC" w:rsidP="006761D2">
      <w:pPr>
        <w:pStyle w:val="Heading3"/>
      </w:pPr>
      <w:r w:rsidRPr="003D73C3" w:rsidDel="00173D1D">
        <w:rPr>
          <w:rFonts w:eastAsia="Calibri"/>
          <w:szCs w:val="18"/>
        </w:rPr>
        <w:lastRenderedPageBreak/>
        <w:t xml:space="preserve"> </w:t>
      </w:r>
      <w:bookmarkStart w:id="318" w:name="_Toc112768128"/>
      <w:r w:rsidR="006761D2" w:rsidRPr="003D73C3">
        <w:t>Accidental fires in vehicles</w:t>
      </w:r>
      <w:bookmarkEnd w:id="318"/>
    </w:p>
    <w:p w14:paraId="5BE06626" w14:textId="03A87CF3" w:rsidR="006761D2" w:rsidRPr="003D73C3" w:rsidRDefault="24854215" w:rsidP="006761D2">
      <w:pPr>
        <w:spacing w:line="300" w:lineRule="atLeast"/>
        <w:jc w:val="both"/>
      </w:pPr>
      <w:r>
        <w:t xml:space="preserve">The release estimates for the previous dioxin inventories were based on New Zealand Fire Service </w:t>
      </w:r>
      <w:r w:rsidR="1A4AFF18">
        <w:t xml:space="preserve">(now FENZ) </w:t>
      </w:r>
      <w:r>
        <w:t>statistics for the numbers of mobile property fires attended each year, and the same approach has been taken here</w:t>
      </w:r>
      <w:bookmarkStart w:id="319" w:name="_Int_ITHg3rKp"/>
      <w:r w:rsidR="1A4AFF18">
        <w:t xml:space="preserve">. </w:t>
      </w:r>
      <w:bookmarkEnd w:id="319"/>
      <w:r w:rsidR="1A4AFF18">
        <w:t xml:space="preserve"> FENZ data </w:t>
      </w:r>
      <w:r w:rsidR="54EC6645">
        <w:t>for fires involving vehicles totalled 2,475 in 2020.</w:t>
      </w:r>
      <w:r w:rsidR="526A185C">
        <w:t xml:space="preserve"> </w:t>
      </w:r>
      <w:r w:rsidR="1193A81B">
        <w:t>(Official Information Request OIA20</w:t>
      </w:r>
      <w:r w:rsidR="54EC6645">
        <w:t>22</w:t>
      </w:r>
      <w:r w:rsidR="1193A81B">
        <w:t xml:space="preserve"> – </w:t>
      </w:r>
      <w:r w:rsidR="54EC6645">
        <w:t xml:space="preserve">00008550) </w:t>
      </w:r>
    </w:p>
    <w:p w14:paraId="4ABBB178" w14:textId="5B7B2BA2" w:rsidR="006761D2" w:rsidRPr="003D73C3" w:rsidRDefault="006761D2" w:rsidP="006761D2">
      <w:pPr>
        <w:spacing w:line="300" w:lineRule="atLeast"/>
        <w:jc w:val="both"/>
        <w:rPr>
          <w:szCs w:val="18"/>
        </w:rPr>
      </w:pPr>
      <w:r w:rsidRPr="003D73C3">
        <w:rPr>
          <w:szCs w:val="18"/>
        </w:rPr>
        <w:t xml:space="preserve">The UNEP Toolkit gives default factors of 100 µg TEQ per fire, for dioxin releases to air, and 18 µg TEQ per fire, for releases to land </w:t>
      </w:r>
      <w:r w:rsidRPr="003D73C3">
        <w:rPr>
          <w:szCs w:val="18"/>
          <w:lang w:val="en-US"/>
        </w:rPr>
        <w:t>(1 µg TEQ/tonne = 1 x 10</w:t>
      </w:r>
      <w:r w:rsidRPr="003D73C3">
        <w:rPr>
          <w:szCs w:val="18"/>
          <w:vertAlign w:val="superscript"/>
          <w:lang w:val="en-US"/>
        </w:rPr>
        <w:t>-6</w:t>
      </w:r>
      <w:r w:rsidRPr="003D73C3">
        <w:rPr>
          <w:szCs w:val="18"/>
          <w:lang w:val="en-US"/>
        </w:rPr>
        <w:t xml:space="preserve"> g TEQ/tonne)</w:t>
      </w:r>
      <w:r w:rsidRPr="003D73C3">
        <w:rPr>
          <w:szCs w:val="18"/>
        </w:rPr>
        <w:t xml:space="preserve">. These factors have been used for the </w:t>
      </w:r>
      <w:r w:rsidR="00000773">
        <w:rPr>
          <w:szCs w:val="18"/>
        </w:rPr>
        <w:t>2020</w:t>
      </w:r>
      <w:r w:rsidR="00A6133C" w:rsidRPr="003D73C3">
        <w:rPr>
          <w:szCs w:val="18"/>
        </w:rPr>
        <w:t xml:space="preserve"> </w:t>
      </w:r>
      <w:r w:rsidRPr="003D73C3">
        <w:rPr>
          <w:szCs w:val="18"/>
        </w:rPr>
        <w:t xml:space="preserve">release estimates shown in Table 8-7, along with the corresponding estimates made </w:t>
      </w:r>
      <w:r w:rsidR="004E5F20">
        <w:rPr>
          <w:szCs w:val="18"/>
        </w:rPr>
        <w:t>for</w:t>
      </w:r>
      <w:r w:rsidRPr="003D73C3">
        <w:rPr>
          <w:szCs w:val="18"/>
        </w:rPr>
        <w:t xml:space="preserve"> the </w:t>
      </w:r>
      <w:r w:rsidR="00A6133C" w:rsidRPr="003D73C3">
        <w:rPr>
          <w:szCs w:val="18"/>
        </w:rPr>
        <w:t xml:space="preserve">2012 </w:t>
      </w:r>
      <w:r w:rsidR="00000773">
        <w:rPr>
          <w:szCs w:val="18"/>
        </w:rPr>
        <w:t xml:space="preserve">and 2016 </w:t>
      </w:r>
      <w:r w:rsidRPr="003D73C3">
        <w:rPr>
          <w:szCs w:val="18"/>
        </w:rPr>
        <w:t>Invento</w:t>
      </w:r>
      <w:r w:rsidR="00000773">
        <w:rPr>
          <w:szCs w:val="18"/>
        </w:rPr>
        <w:t>ries</w:t>
      </w:r>
      <w:r w:rsidRPr="003D73C3">
        <w:rPr>
          <w:szCs w:val="18"/>
        </w:rPr>
        <w:t>.</w:t>
      </w:r>
    </w:p>
    <w:p w14:paraId="1D94377D" w14:textId="6141600C" w:rsidR="006761D2" w:rsidRPr="003D73C3" w:rsidRDefault="006761D2" w:rsidP="006761D2">
      <w:pPr>
        <w:tabs>
          <w:tab w:val="left" w:pos="2760"/>
        </w:tabs>
        <w:spacing w:before="120" w:line="300" w:lineRule="atLeast"/>
        <w:jc w:val="both"/>
        <w:rPr>
          <w:rFonts w:ascii="Arial" w:hAnsi="Arial" w:cs="Arial"/>
          <w:b/>
          <w:szCs w:val="18"/>
        </w:rPr>
      </w:pPr>
      <w:bookmarkStart w:id="320" w:name="_Ref382320017"/>
      <w:r w:rsidRPr="003D73C3">
        <w:rPr>
          <w:rFonts w:ascii="Arial" w:hAnsi="Arial" w:cs="Arial"/>
          <w:b/>
          <w:szCs w:val="18"/>
        </w:rPr>
        <w:t xml:space="preserve">Certainty assessment for </w:t>
      </w:r>
      <w:r w:rsidR="00027A89" w:rsidRPr="003D73C3">
        <w:rPr>
          <w:rFonts w:ascii="Arial" w:hAnsi="Arial" w:cs="Arial"/>
          <w:b/>
          <w:szCs w:val="18"/>
        </w:rPr>
        <w:t>2020</w:t>
      </w:r>
    </w:p>
    <w:p w14:paraId="5A2189A7"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High (because it is based on national fire statistics)</w:t>
      </w:r>
    </w:p>
    <w:p w14:paraId="53AAC44D"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Toolkit default factors)</w:t>
      </w:r>
    </w:p>
    <w:p w14:paraId="5939A8BF" w14:textId="616E5587" w:rsidR="006761D2" w:rsidRPr="003D73C3" w:rsidRDefault="006761D2" w:rsidP="006761D2">
      <w:pPr>
        <w:pStyle w:val="Caption"/>
        <w:jc w:val="left"/>
        <w:rPr>
          <w:rFonts w:cs="Arial"/>
          <w:szCs w:val="18"/>
        </w:rPr>
      </w:pPr>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7</w:t>
      </w:r>
      <w:r w:rsidRPr="003D73C3">
        <w:rPr>
          <w:rFonts w:cs="Arial"/>
        </w:rPr>
        <w:fldChar w:fldCharType="end"/>
      </w:r>
      <w:bookmarkEnd w:id="320"/>
      <w:r w:rsidRPr="003D73C3">
        <w:rPr>
          <w:rFonts w:cs="Arial"/>
        </w:rPr>
        <w:t>: Dioxin releases from vehicle fires</w:t>
      </w:r>
    </w:p>
    <w:tbl>
      <w:tblPr>
        <w:tblStyle w:val="TableGrid"/>
        <w:tblW w:w="0" w:type="auto"/>
        <w:tblLook w:val="04A0" w:firstRow="1" w:lastRow="0" w:firstColumn="1" w:lastColumn="0" w:noHBand="0" w:noVBand="1"/>
      </w:tblPr>
      <w:tblGrid>
        <w:gridCol w:w="865"/>
        <w:gridCol w:w="2587"/>
        <w:gridCol w:w="1426"/>
        <w:gridCol w:w="1434"/>
        <w:gridCol w:w="1352"/>
        <w:gridCol w:w="1397"/>
      </w:tblGrid>
      <w:tr w:rsidR="006761D2" w:rsidRPr="00000773" w14:paraId="2CD1516D" w14:textId="77777777" w:rsidTr="0030171B">
        <w:tc>
          <w:tcPr>
            <w:tcW w:w="865" w:type="dxa"/>
            <w:vMerge w:val="restart"/>
            <w:vAlign w:val="center"/>
          </w:tcPr>
          <w:p w14:paraId="140B7B0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87" w:type="dxa"/>
            <w:vMerge w:val="restart"/>
            <w:vAlign w:val="center"/>
          </w:tcPr>
          <w:p w14:paraId="177ACA7B"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321" w:name="_Int_qUtb8Tja"/>
            <w:r w:rsidRPr="0C34660A">
              <w:rPr>
                <w:rFonts w:ascii="Arial" w:hAnsi="Arial" w:cs="Arial"/>
                <w:b/>
                <w:bCs/>
                <w:sz w:val="16"/>
                <w:szCs w:val="16"/>
              </w:rPr>
              <w:t>vehicle</w:t>
            </w:r>
            <w:bookmarkEnd w:id="321"/>
            <w:r w:rsidRPr="0C34660A">
              <w:rPr>
                <w:rFonts w:ascii="Arial" w:hAnsi="Arial" w:cs="Arial"/>
                <w:b/>
                <w:bCs/>
                <w:sz w:val="16"/>
                <w:szCs w:val="16"/>
              </w:rPr>
              <w:t xml:space="preserve"> fires/year)</w:t>
            </w:r>
          </w:p>
        </w:tc>
        <w:tc>
          <w:tcPr>
            <w:tcW w:w="2860" w:type="dxa"/>
            <w:gridSpan w:val="2"/>
            <w:vAlign w:val="center"/>
          </w:tcPr>
          <w:p w14:paraId="5CB6807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TEQ/fire)</w:t>
            </w:r>
          </w:p>
        </w:tc>
        <w:tc>
          <w:tcPr>
            <w:tcW w:w="2749" w:type="dxa"/>
            <w:gridSpan w:val="2"/>
            <w:vAlign w:val="center"/>
          </w:tcPr>
          <w:p w14:paraId="606C10E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000773" w14:paraId="6572619A" w14:textId="77777777" w:rsidTr="00E95BD6">
        <w:tc>
          <w:tcPr>
            <w:tcW w:w="865" w:type="dxa"/>
            <w:vMerge/>
          </w:tcPr>
          <w:p w14:paraId="752D7E76" w14:textId="77777777" w:rsidR="006761D2" w:rsidRPr="003D73C3" w:rsidRDefault="006761D2" w:rsidP="009F7DB8">
            <w:pPr>
              <w:spacing w:before="120"/>
              <w:jc w:val="both"/>
              <w:rPr>
                <w:rFonts w:ascii="Arial" w:hAnsi="Arial" w:cs="Arial"/>
                <w:sz w:val="16"/>
                <w:szCs w:val="18"/>
              </w:rPr>
            </w:pPr>
          </w:p>
        </w:tc>
        <w:tc>
          <w:tcPr>
            <w:tcW w:w="2587" w:type="dxa"/>
            <w:vMerge/>
            <w:vAlign w:val="center"/>
          </w:tcPr>
          <w:p w14:paraId="6D597A16" w14:textId="77777777" w:rsidR="006761D2" w:rsidRPr="003D73C3" w:rsidRDefault="006761D2" w:rsidP="009F7DB8">
            <w:pPr>
              <w:spacing w:before="120"/>
              <w:jc w:val="center"/>
              <w:rPr>
                <w:rFonts w:ascii="Arial" w:hAnsi="Arial" w:cs="Arial"/>
                <w:sz w:val="16"/>
                <w:szCs w:val="18"/>
              </w:rPr>
            </w:pPr>
          </w:p>
        </w:tc>
        <w:tc>
          <w:tcPr>
            <w:tcW w:w="1426" w:type="dxa"/>
            <w:vAlign w:val="center"/>
          </w:tcPr>
          <w:p w14:paraId="1CAD9C8C"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434" w:type="dxa"/>
            <w:vAlign w:val="center"/>
          </w:tcPr>
          <w:p w14:paraId="4B5B78C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c>
          <w:tcPr>
            <w:tcW w:w="1352" w:type="dxa"/>
            <w:vAlign w:val="center"/>
          </w:tcPr>
          <w:p w14:paraId="0F34726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1397" w:type="dxa"/>
            <w:vAlign w:val="center"/>
          </w:tcPr>
          <w:p w14:paraId="6A15E80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A6133C" w:rsidRPr="00000773" w14:paraId="445A229B" w14:textId="77777777" w:rsidTr="00E95BD6">
        <w:tc>
          <w:tcPr>
            <w:tcW w:w="865" w:type="dxa"/>
            <w:vMerge w:val="restart"/>
            <w:vAlign w:val="center"/>
          </w:tcPr>
          <w:p w14:paraId="701738B8" w14:textId="50284BC7" w:rsidR="00A6133C" w:rsidRPr="003D73C3" w:rsidRDefault="00A6133C" w:rsidP="009F7DB8">
            <w:pPr>
              <w:spacing w:before="120"/>
              <w:rPr>
                <w:rFonts w:ascii="Arial" w:hAnsi="Arial" w:cs="Arial"/>
                <w:b/>
                <w:sz w:val="16"/>
                <w:szCs w:val="18"/>
              </w:rPr>
            </w:pPr>
            <w:r w:rsidRPr="003D73C3">
              <w:rPr>
                <w:rFonts w:ascii="Arial" w:hAnsi="Arial" w:cs="Arial"/>
                <w:b/>
                <w:sz w:val="16"/>
                <w:szCs w:val="18"/>
              </w:rPr>
              <w:t>2012</w:t>
            </w:r>
          </w:p>
        </w:tc>
        <w:tc>
          <w:tcPr>
            <w:tcW w:w="2587" w:type="dxa"/>
            <w:vMerge w:val="restart"/>
            <w:vAlign w:val="center"/>
          </w:tcPr>
          <w:p w14:paraId="45E7DAA3" w14:textId="34EFE06B"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1712</w:t>
            </w:r>
          </w:p>
        </w:tc>
        <w:tc>
          <w:tcPr>
            <w:tcW w:w="1426" w:type="dxa"/>
            <w:vAlign w:val="center"/>
          </w:tcPr>
          <w:p w14:paraId="6ABB795A" w14:textId="71813B84"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100</w:t>
            </w:r>
          </w:p>
        </w:tc>
        <w:tc>
          <w:tcPr>
            <w:tcW w:w="1434" w:type="dxa"/>
            <w:vAlign w:val="center"/>
          </w:tcPr>
          <w:p w14:paraId="352B5F3E" w14:textId="05D51E35"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w:t>
            </w:r>
          </w:p>
        </w:tc>
        <w:tc>
          <w:tcPr>
            <w:tcW w:w="1352" w:type="dxa"/>
            <w:vAlign w:val="center"/>
          </w:tcPr>
          <w:p w14:paraId="5BF1966D" w14:textId="5BF49644"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0.171</w:t>
            </w:r>
          </w:p>
        </w:tc>
        <w:tc>
          <w:tcPr>
            <w:tcW w:w="1397" w:type="dxa"/>
            <w:vAlign w:val="center"/>
          </w:tcPr>
          <w:p w14:paraId="5E24C9AF" w14:textId="5135A5B0"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w:t>
            </w:r>
          </w:p>
        </w:tc>
      </w:tr>
      <w:tr w:rsidR="00A6133C" w:rsidRPr="00000773" w14:paraId="5230C1A4" w14:textId="77777777" w:rsidTr="00E95BD6">
        <w:tc>
          <w:tcPr>
            <w:tcW w:w="865" w:type="dxa"/>
            <w:vMerge/>
            <w:vAlign w:val="center"/>
          </w:tcPr>
          <w:p w14:paraId="50EE5A97" w14:textId="77777777" w:rsidR="00A6133C" w:rsidRPr="003D73C3" w:rsidRDefault="00A6133C" w:rsidP="009F7DB8">
            <w:pPr>
              <w:spacing w:before="120"/>
              <w:rPr>
                <w:rFonts w:ascii="Arial" w:hAnsi="Arial" w:cs="Arial"/>
                <w:b/>
                <w:sz w:val="16"/>
                <w:szCs w:val="18"/>
              </w:rPr>
            </w:pPr>
          </w:p>
        </w:tc>
        <w:tc>
          <w:tcPr>
            <w:tcW w:w="2587" w:type="dxa"/>
            <w:vMerge/>
            <w:vAlign w:val="center"/>
          </w:tcPr>
          <w:p w14:paraId="63163B3B" w14:textId="77777777" w:rsidR="00A6133C" w:rsidRPr="003D73C3" w:rsidRDefault="00A6133C" w:rsidP="009F7DB8">
            <w:pPr>
              <w:spacing w:before="120"/>
              <w:jc w:val="center"/>
              <w:rPr>
                <w:rFonts w:ascii="Arial" w:hAnsi="Arial" w:cs="Arial"/>
                <w:sz w:val="16"/>
                <w:szCs w:val="18"/>
              </w:rPr>
            </w:pPr>
          </w:p>
        </w:tc>
        <w:tc>
          <w:tcPr>
            <w:tcW w:w="1426" w:type="dxa"/>
            <w:vAlign w:val="center"/>
          </w:tcPr>
          <w:p w14:paraId="66EB213F" w14:textId="12223BDD"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65674D6B" w14:textId="465F487A"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18</w:t>
            </w:r>
          </w:p>
        </w:tc>
        <w:tc>
          <w:tcPr>
            <w:tcW w:w="1352" w:type="dxa"/>
            <w:vAlign w:val="center"/>
          </w:tcPr>
          <w:p w14:paraId="4711F26A" w14:textId="506C5D31"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w:t>
            </w:r>
          </w:p>
        </w:tc>
        <w:tc>
          <w:tcPr>
            <w:tcW w:w="1397" w:type="dxa"/>
            <w:vAlign w:val="center"/>
          </w:tcPr>
          <w:p w14:paraId="168D9F9B" w14:textId="683FF7B7" w:rsidR="00A6133C" w:rsidRPr="003D73C3" w:rsidRDefault="00A6133C" w:rsidP="009F7DB8">
            <w:pPr>
              <w:spacing w:before="120"/>
              <w:jc w:val="center"/>
              <w:rPr>
                <w:rFonts w:ascii="Arial" w:hAnsi="Arial" w:cs="Arial"/>
                <w:sz w:val="16"/>
                <w:szCs w:val="18"/>
              </w:rPr>
            </w:pPr>
            <w:r w:rsidRPr="003D73C3">
              <w:rPr>
                <w:rFonts w:ascii="Arial" w:hAnsi="Arial" w:cs="Arial"/>
                <w:sz w:val="16"/>
                <w:szCs w:val="18"/>
              </w:rPr>
              <w:t>0.031</w:t>
            </w:r>
          </w:p>
        </w:tc>
      </w:tr>
      <w:tr w:rsidR="006761D2" w:rsidRPr="00000773" w14:paraId="6BB9080F" w14:textId="77777777" w:rsidTr="00E95BD6">
        <w:tc>
          <w:tcPr>
            <w:tcW w:w="865" w:type="dxa"/>
            <w:vMerge w:val="restart"/>
            <w:vAlign w:val="center"/>
          </w:tcPr>
          <w:p w14:paraId="4D034DBC" w14:textId="790F1C4A" w:rsidR="006761D2" w:rsidRPr="003D73C3" w:rsidRDefault="00A6133C" w:rsidP="009F7DB8">
            <w:pPr>
              <w:spacing w:before="120"/>
              <w:rPr>
                <w:rFonts w:ascii="Arial" w:hAnsi="Arial" w:cs="Arial"/>
                <w:b/>
                <w:sz w:val="16"/>
                <w:szCs w:val="18"/>
              </w:rPr>
            </w:pPr>
            <w:r w:rsidRPr="003D73C3">
              <w:rPr>
                <w:rFonts w:ascii="Arial" w:hAnsi="Arial" w:cs="Arial"/>
                <w:b/>
                <w:sz w:val="16"/>
                <w:szCs w:val="18"/>
              </w:rPr>
              <w:t>2016</w:t>
            </w:r>
          </w:p>
        </w:tc>
        <w:tc>
          <w:tcPr>
            <w:tcW w:w="2587" w:type="dxa"/>
            <w:vMerge w:val="restart"/>
            <w:vAlign w:val="center"/>
          </w:tcPr>
          <w:p w14:paraId="12C9FE9D" w14:textId="53BD49E7" w:rsidR="006761D2" w:rsidRPr="003D73C3" w:rsidRDefault="00437C8E" w:rsidP="009F7DB8">
            <w:pPr>
              <w:spacing w:before="120"/>
              <w:jc w:val="center"/>
              <w:rPr>
                <w:rFonts w:ascii="Arial" w:hAnsi="Arial" w:cs="Arial"/>
                <w:sz w:val="16"/>
                <w:szCs w:val="18"/>
              </w:rPr>
            </w:pPr>
            <w:r w:rsidRPr="003D73C3">
              <w:rPr>
                <w:rFonts w:ascii="Arial" w:hAnsi="Arial" w:cs="Arial"/>
                <w:sz w:val="16"/>
                <w:szCs w:val="18"/>
              </w:rPr>
              <w:t>2094</w:t>
            </w:r>
          </w:p>
        </w:tc>
        <w:tc>
          <w:tcPr>
            <w:tcW w:w="1426" w:type="dxa"/>
            <w:vAlign w:val="center"/>
          </w:tcPr>
          <w:p w14:paraId="6A39944A" w14:textId="1FC908E6" w:rsidR="006761D2" w:rsidRPr="003D73C3" w:rsidRDefault="00437C8E" w:rsidP="009F7DB8">
            <w:pPr>
              <w:spacing w:before="120"/>
              <w:jc w:val="center"/>
              <w:rPr>
                <w:rFonts w:ascii="Arial" w:hAnsi="Arial" w:cs="Arial"/>
                <w:sz w:val="16"/>
                <w:szCs w:val="18"/>
              </w:rPr>
            </w:pPr>
            <w:r w:rsidRPr="003D73C3">
              <w:rPr>
                <w:rFonts w:ascii="Arial" w:hAnsi="Arial" w:cs="Arial"/>
                <w:sz w:val="16"/>
                <w:szCs w:val="18"/>
              </w:rPr>
              <w:t>100</w:t>
            </w:r>
          </w:p>
        </w:tc>
        <w:tc>
          <w:tcPr>
            <w:tcW w:w="1434" w:type="dxa"/>
            <w:vAlign w:val="center"/>
          </w:tcPr>
          <w:p w14:paraId="3DFAD11F" w14:textId="7E671B32" w:rsidR="006761D2" w:rsidRPr="003D73C3" w:rsidRDefault="006761D2" w:rsidP="009F7DB8">
            <w:pPr>
              <w:spacing w:before="120"/>
              <w:jc w:val="center"/>
              <w:rPr>
                <w:rFonts w:ascii="Arial" w:hAnsi="Arial" w:cs="Arial"/>
                <w:sz w:val="16"/>
                <w:szCs w:val="18"/>
              </w:rPr>
            </w:pPr>
          </w:p>
        </w:tc>
        <w:tc>
          <w:tcPr>
            <w:tcW w:w="1352" w:type="dxa"/>
            <w:vAlign w:val="center"/>
          </w:tcPr>
          <w:p w14:paraId="5A355DDD" w14:textId="548B3D7B" w:rsidR="006761D2" w:rsidRPr="003D73C3" w:rsidRDefault="00437C8E" w:rsidP="009F7DB8">
            <w:pPr>
              <w:spacing w:before="120"/>
              <w:jc w:val="center"/>
              <w:rPr>
                <w:rFonts w:ascii="Arial" w:hAnsi="Arial" w:cs="Arial"/>
                <w:sz w:val="16"/>
                <w:szCs w:val="18"/>
              </w:rPr>
            </w:pPr>
            <w:r w:rsidRPr="003D73C3">
              <w:rPr>
                <w:rFonts w:ascii="Arial" w:hAnsi="Arial" w:cs="Arial"/>
                <w:sz w:val="16"/>
                <w:szCs w:val="18"/>
              </w:rPr>
              <w:t>0.209</w:t>
            </w:r>
          </w:p>
        </w:tc>
        <w:tc>
          <w:tcPr>
            <w:tcW w:w="1397" w:type="dxa"/>
            <w:vAlign w:val="center"/>
          </w:tcPr>
          <w:p w14:paraId="4C5ECBB0" w14:textId="7CC27C4F" w:rsidR="006761D2" w:rsidRPr="003D73C3" w:rsidRDefault="006761D2" w:rsidP="009F7DB8">
            <w:pPr>
              <w:spacing w:before="120"/>
              <w:jc w:val="center"/>
              <w:rPr>
                <w:rFonts w:ascii="Arial" w:hAnsi="Arial" w:cs="Arial"/>
                <w:sz w:val="16"/>
                <w:szCs w:val="18"/>
              </w:rPr>
            </w:pPr>
          </w:p>
        </w:tc>
      </w:tr>
      <w:tr w:rsidR="006761D2" w:rsidRPr="00000773" w14:paraId="462914CE" w14:textId="77777777" w:rsidTr="00E95BD6">
        <w:tc>
          <w:tcPr>
            <w:tcW w:w="865" w:type="dxa"/>
            <w:vMerge/>
            <w:vAlign w:val="center"/>
          </w:tcPr>
          <w:p w14:paraId="34772195" w14:textId="77777777" w:rsidR="006761D2" w:rsidRPr="003D73C3" w:rsidRDefault="006761D2" w:rsidP="009F7DB8">
            <w:pPr>
              <w:spacing w:before="120"/>
              <w:rPr>
                <w:rFonts w:ascii="Arial" w:hAnsi="Arial" w:cs="Arial"/>
                <w:b/>
                <w:sz w:val="16"/>
                <w:szCs w:val="18"/>
              </w:rPr>
            </w:pPr>
          </w:p>
        </w:tc>
        <w:tc>
          <w:tcPr>
            <w:tcW w:w="2587" w:type="dxa"/>
            <w:vMerge/>
            <w:vAlign w:val="center"/>
          </w:tcPr>
          <w:p w14:paraId="59502DD0" w14:textId="77777777" w:rsidR="006761D2" w:rsidRPr="003D73C3" w:rsidRDefault="006761D2" w:rsidP="009F7DB8">
            <w:pPr>
              <w:spacing w:before="120"/>
              <w:jc w:val="center"/>
              <w:rPr>
                <w:rFonts w:ascii="Arial" w:hAnsi="Arial" w:cs="Arial"/>
                <w:sz w:val="16"/>
                <w:szCs w:val="18"/>
              </w:rPr>
            </w:pPr>
          </w:p>
        </w:tc>
        <w:tc>
          <w:tcPr>
            <w:tcW w:w="1426" w:type="dxa"/>
            <w:vAlign w:val="center"/>
          </w:tcPr>
          <w:p w14:paraId="73FA78D9" w14:textId="4C27E0BA" w:rsidR="006761D2" w:rsidRPr="003D73C3" w:rsidRDefault="006761D2" w:rsidP="009F7DB8">
            <w:pPr>
              <w:spacing w:before="120"/>
              <w:jc w:val="center"/>
              <w:rPr>
                <w:rFonts w:ascii="Arial" w:hAnsi="Arial" w:cs="Arial"/>
                <w:sz w:val="16"/>
                <w:szCs w:val="18"/>
              </w:rPr>
            </w:pPr>
          </w:p>
        </w:tc>
        <w:tc>
          <w:tcPr>
            <w:tcW w:w="1434" w:type="dxa"/>
            <w:vAlign w:val="center"/>
          </w:tcPr>
          <w:p w14:paraId="6AFB196F" w14:textId="30E52D57" w:rsidR="006761D2" w:rsidRPr="003D73C3" w:rsidRDefault="00437C8E" w:rsidP="009F7DB8">
            <w:pPr>
              <w:spacing w:before="120"/>
              <w:jc w:val="center"/>
              <w:rPr>
                <w:rFonts w:ascii="Arial" w:hAnsi="Arial" w:cs="Arial"/>
                <w:sz w:val="16"/>
                <w:szCs w:val="18"/>
              </w:rPr>
            </w:pPr>
            <w:r w:rsidRPr="003D73C3">
              <w:rPr>
                <w:rFonts w:ascii="Arial" w:hAnsi="Arial" w:cs="Arial"/>
                <w:sz w:val="16"/>
                <w:szCs w:val="18"/>
              </w:rPr>
              <w:t>18</w:t>
            </w:r>
          </w:p>
        </w:tc>
        <w:tc>
          <w:tcPr>
            <w:tcW w:w="1352" w:type="dxa"/>
            <w:vAlign w:val="center"/>
          </w:tcPr>
          <w:p w14:paraId="3E0BBA39" w14:textId="6309406A" w:rsidR="006761D2" w:rsidRPr="003D73C3" w:rsidRDefault="006761D2" w:rsidP="009F7DB8">
            <w:pPr>
              <w:spacing w:before="120"/>
              <w:jc w:val="center"/>
              <w:rPr>
                <w:rFonts w:ascii="Arial" w:hAnsi="Arial" w:cs="Arial"/>
                <w:sz w:val="16"/>
                <w:szCs w:val="18"/>
              </w:rPr>
            </w:pPr>
          </w:p>
        </w:tc>
        <w:tc>
          <w:tcPr>
            <w:tcW w:w="1397" w:type="dxa"/>
            <w:vAlign w:val="center"/>
          </w:tcPr>
          <w:p w14:paraId="62F40322" w14:textId="74F90C3B" w:rsidR="006761D2" w:rsidRPr="003D73C3" w:rsidRDefault="00437C8E" w:rsidP="009F7DB8">
            <w:pPr>
              <w:spacing w:before="120"/>
              <w:jc w:val="center"/>
              <w:rPr>
                <w:rFonts w:ascii="Arial" w:hAnsi="Arial" w:cs="Arial"/>
                <w:sz w:val="16"/>
                <w:szCs w:val="18"/>
              </w:rPr>
            </w:pPr>
            <w:r w:rsidRPr="003D73C3">
              <w:rPr>
                <w:rFonts w:ascii="Arial" w:hAnsi="Arial" w:cs="Arial"/>
                <w:sz w:val="16"/>
                <w:szCs w:val="18"/>
              </w:rPr>
              <w:t>0.038</w:t>
            </w:r>
          </w:p>
        </w:tc>
      </w:tr>
      <w:tr w:rsidR="00000773" w:rsidRPr="00000773" w14:paraId="36CA5562" w14:textId="77777777" w:rsidTr="00E95BD6">
        <w:tc>
          <w:tcPr>
            <w:tcW w:w="865" w:type="dxa"/>
            <w:vMerge w:val="restart"/>
            <w:vAlign w:val="center"/>
          </w:tcPr>
          <w:p w14:paraId="5516671D" w14:textId="7C9D88FC" w:rsidR="00000773" w:rsidRPr="003D73C3" w:rsidRDefault="00000773" w:rsidP="009F7DB8">
            <w:pPr>
              <w:spacing w:before="120"/>
              <w:rPr>
                <w:rFonts w:ascii="Arial" w:hAnsi="Arial" w:cs="Arial"/>
                <w:b/>
                <w:sz w:val="16"/>
                <w:szCs w:val="18"/>
              </w:rPr>
            </w:pPr>
            <w:r w:rsidRPr="003D73C3">
              <w:rPr>
                <w:rFonts w:ascii="Arial" w:hAnsi="Arial" w:cs="Arial"/>
                <w:b/>
                <w:sz w:val="16"/>
                <w:szCs w:val="18"/>
              </w:rPr>
              <w:t>2022</w:t>
            </w:r>
          </w:p>
        </w:tc>
        <w:tc>
          <w:tcPr>
            <w:tcW w:w="2587" w:type="dxa"/>
            <w:vMerge w:val="restart"/>
            <w:vAlign w:val="center"/>
          </w:tcPr>
          <w:p w14:paraId="577E9E92" w14:textId="61BDA25B" w:rsidR="00000773" w:rsidRPr="003D73C3" w:rsidRDefault="00000773" w:rsidP="009F7DB8">
            <w:pPr>
              <w:spacing w:before="120"/>
              <w:jc w:val="center"/>
              <w:rPr>
                <w:rFonts w:ascii="Arial" w:hAnsi="Arial" w:cs="Arial"/>
                <w:sz w:val="16"/>
                <w:szCs w:val="18"/>
              </w:rPr>
            </w:pPr>
            <w:r w:rsidRPr="003D73C3">
              <w:rPr>
                <w:rFonts w:ascii="Arial" w:hAnsi="Arial" w:cs="Arial"/>
                <w:sz w:val="16"/>
                <w:szCs w:val="18"/>
              </w:rPr>
              <w:t>2,475</w:t>
            </w:r>
          </w:p>
        </w:tc>
        <w:tc>
          <w:tcPr>
            <w:tcW w:w="1426" w:type="dxa"/>
            <w:vAlign w:val="center"/>
          </w:tcPr>
          <w:p w14:paraId="2F963B7B" w14:textId="7FCAA856" w:rsidR="00000773" w:rsidRPr="003D73C3" w:rsidRDefault="00000773" w:rsidP="009F7DB8">
            <w:pPr>
              <w:spacing w:before="120"/>
              <w:jc w:val="center"/>
              <w:rPr>
                <w:rFonts w:ascii="Arial" w:hAnsi="Arial" w:cs="Arial"/>
                <w:sz w:val="16"/>
                <w:szCs w:val="18"/>
              </w:rPr>
            </w:pPr>
            <w:r w:rsidRPr="003D73C3">
              <w:rPr>
                <w:rFonts w:ascii="Arial" w:hAnsi="Arial" w:cs="Arial"/>
                <w:sz w:val="16"/>
                <w:szCs w:val="18"/>
              </w:rPr>
              <w:t>100</w:t>
            </w:r>
          </w:p>
        </w:tc>
        <w:tc>
          <w:tcPr>
            <w:tcW w:w="1434" w:type="dxa"/>
            <w:vAlign w:val="center"/>
          </w:tcPr>
          <w:p w14:paraId="31749B80" w14:textId="77777777" w:rsidR="00000773" w:rsidRPr="003D73C3" w:rsidRDefault="00000773" w:rsidP="009F7DB8">
            <w:pPr>
              <w:spacing w:before="120"/>
              <w:jc w:val="center"/>
              <w:rPr>
                <w:rFonts w:ascii="Arial" w:hAnsi="Arial" w:cs="Arial"/>
                <w:sz w:val="16"/>
                <w:szCs w:val="18"/>
              </w:rPr>
            </w:pPr>
          </w:p>
        </w:tc>
        <w:tc>
          <w:tcPr>
            <w:tcW w:w="1352" w:type="dxa"/>
            <w:vAlign w:val="center"/>
          </w:tcPr>
          <w:p w14:paraId="617E51B8" w14:textId="7B724E66" w:rsidR="00000773" w:rsidRPr="003D73C3" w:rsidRDefault="00000773" w:rsidP="009F7DB8">
            <w:pPr>
              <w:spacing w:before="120"/>
              <w:jc w:val="center"/>
              <w:rPr>
                <w:rFonts w:ascii="Arial" w:hAnsi="Arial" w:cs="Arial"/>
                <w:sz w:val="16"/>
                <w:szCs w:val="18"/>
              </w:rPr>
            </w:pPr>
            <w:r w:rsidRPr="003D73C3">
              <w:rPr>
                <w:rFonts w:ascii="Arial" w:hAnsi="Arial" w:cs="Arial"/>
                <w:sz w:val="16"/>
                <w:szCs w:val="18"/>
              </w:rPr>
              <w:t>0.248</w:t>
            </w:r>
          </w:p>
        </w:tc>
        <w:tc>
          <w:tcPr>
            <w:tcW w:w="1397" w:type="dxa"/>
            <w:vAlign w:val="center"/>
          </w:tcPr>
          <w:p w14:paraId="4611DFFA" w14:textId="77777777" w:rsidR="00000773" w:rsidRPr="003D73C3" w:rsidRDefault="00000773" w:rsidP="009F7DB8">
            <w:pPr>
              <w:spacing w:before="120"/>
              <w:jc w:val="center"/>
              <w:rPr>
                <w:rFonts w:ascii="Arial" w:hAnsi="Arial" w:cs="Arial"/>
                <w:sz w:val="16"/>
                <w:szCs w:val="18"/>
              </w:rPr>
            </w:pPr>
          </w:p>
        </w:tc>
      </w:tr>
      <w:tr w:rsidR="00000773" w:rsidRPr="00000773" w14:paraId="63137213" w14:textId="77777777" w:rsidTr="00E95BD6">
        <w:tc>
          <w:tcPr>
            <w:tcW w:w="865" w:type="dxa"/>
            <w:vMerge/>
            <w:vAlign w:val="center"/>
          </w:tcPr>
          <w:p w14:paraId="65170B3C" w14:textId="77777777" w:rsidR="00000773" w:rsidRPr="003D73C3" w:rsidRDefault="00000773" w:rsidP="009F7DB8">
            <w:pPr>
              <w:spacing w:before="120"/>
              <w:rPr>
                <w:rFonts w:ascii="Arial" w:hAnsi="Arial" w:cs="Arial"/>
                <w:b/>
                <w:sz w:val="16"/>
                <w:szCs w:val="18"/>
              </w:rPr>
            </w:pPr>
          </w:p>
        </w:tc>
        <w:tc>
          <w:tcPr>
            <w:tcW w:w="2587" w:type="dxa"/>
            <w:vMerge/>
            <w:vAlign w:val="center"/>
          </w:tcPr>
          <w:p w14:paraId="4016DC1B" w14:textId="77777777" w:rsidR="00000773" w:rsidRPr="003D73C3" w:rsidRDefault="00000773" w:rsidP="009F7DB8">
            <w:pPr>
              <w:spacing w:before="120"/>
              <w:jc w:val="center"/>
              <w:rPr>
                <w:rFonts w:ascii="Arial" w:hAnsi="Arial" w:cs="Arial"/>
                <w:sz w:val="16"/>
                <w:szCs w:val="18"/>
              </w:rPr>
            </w:pPr>
          </w:p>
        </w:tc>
        <w:tc>
          <w:tcPr>
            <w:tcW w:w="1426" w:type="dxa"/>
            <w:vAlign w:val="center"/>
          </w:tcPr>
          <w:p w14:paraId="4806D372" w14:textId="77777777" w:rsidR="00000773" w:rsidRPr="003D73C3" w:rsidRDefault="00000773" w:rsidP="009F7DB8">
            <w:pPr>
              <w:spacing w:before="120"/>
              <w:jc w:val="center"/>
              <w:rPr>
                <w:rFonts w:ascii="Arial" w:hAnsi="Arial" w:cs="Arial"/>
                <w:sz w:val="16"/>
                <w:szCs w:val="18"/>
              </w:rPr>
            </w:pPr>
          </w:p>
        </w:tc>
        <w:tc>
          <w:tcPr>
            <w:tcW w:w="1434" w:type="dxa"/>
            <w:vAlign w:val="center"/>
          </w:tcPr>
          <w:p w14:paraId="48EA9BDF" w14:textId="226735EA" w:rsidR="00000773" w:rsidRPr="003D73C3" w:rsidRDefault="00000773" w:rsidP="009F7DB8">
            <w:pPr>
              <w:spacing w:before="120"/>
              <w:jc w:val="center"/>
              <w:rPr>
                <w:rFonts w:ascii="Arial" w:hAnsi="Arial" w:cs="Arial"/>
                <w:sz w:val="16"/>
                <w:szCs w:val="18"/>
              </w:rPr>
            </w:pPr>
            <w:r w:rsidRPr="003D73C3">
              <w:rPr>
                <w:rFonts w:ascii="Arial" w:hAnsi="Arial" w:cs="Arial"/>
                <w:sz w:val="16"/>
                <w:szCs w:val="18"/>
              </w:rPr>
              <w:t>18</w:t>
            </w:r>
          </w:p>
        </w:tc>
        <w:tc>
          <w:tcPr>
            <w:tcW w:w="1352" w:type="dxa"/>
            <w:vAlign w:val="center"/>
          </w:tcPr>
          <w:p w14:paraId="6B6AA395" w14:textId="77777777" w:rsidR="00000773" w:rsidRPr="003D73C3" w:rsidRDefault="00000773" w:rsidP="009F7DB8">
            <w:pPr>
              <w:spacing w:before="120"/>
              <w:jc w:val="center"/>
              <w:rPr>
                <w:rFonts w:ascii="Arial" w:hAnsi="Arial" w:cs="Arial"/>
                <w:sz w:val="16"/>
                <w:szCs w:val="18"/>
              </w:rPr>
            </w:pPr>
          </w:p>
        </w:tc>
        <w:tc>
          <w:tcPr>
            <w:tcW w:w="1397" w:type="dxa"/>
            <w:vAlign w:val="center"/>
          </w:tcPr>
          <w:p w14:paraId="751288B5" w14:textId="29C023F7" w:rsidR="00000773" w:rsidRPr="003D73C3" w:rsidRDefault="00000773" w:rsidP="009F7DB8">
            <w:pPr>
              <w:spacing w:before="120"/>
              <w:jc w:val="center"/>
              <w:rPr>
                <w:rFonts w:ascii="Arial" w:hAnsi="Arial" w:cs="Arial"/>
                <w:sz w:val="16"/>
                <w:szCs w:val="18"/>
              </w:rPr>
            </w:pPr>
            <w:r w:rsidRPr="003D73C3">
              <w:rPr>
                <w:rFonts w:ascii="Arial" w:hAnsi="Arial" w:cs="Arial"/>
                <w:sz w:val="16"/>
                <w:szCs w:val="18"/>
              </w:rPr>
              <w:t>0.0446</w:t>
            </w:r>
          </w:p>
        </w:tc>
      </w:tr>
    </w:tbl>
    <w:p w14:paraId="22C040FD" w14:textId="77777777" w:rsidR="006761D2" w:rsidRPr="003D73C3" w:rsidRDefault="006761D2" w:rsidP="006761D2">
      <w:pPr>
        <w:pStyle w:val="Heading3"/>
      </w:pPr>
      <w:bookmarkStart w:id="322" w:name="_Toc112768129"/>
      <w:r w:rsidRPr="003D73C3">
        <w:t>Open burning of wood (construction/demolition)</w:t>
      </w:r>
      <w:bookmarkEnd w:id="322"/>
    </w:p>
    <w:p w14:paraId="4489ECE5" w14:textId="78DB544F" w:rsidR="006761D2" w:rsidRPr="003D73C3" w:rsidRDefault="24854215" w:rsidP="006761D2">
      <w:pPr>
        <w:spacing w:line="300" w:lineRule="atLeast"/>
        <w:jc w:val="both"/>
      </w:pPr>
      <w:r>
        <w:t>The on-site burning of waste timber produced during construction or demolition works is either prohibited or restricted in most</w:t>
      </w:r>
      <w:r w:rsidR="2B7517E2">
        <w:t xml:space="preserve"> urban </w:t>
      </w:r>
      <w:bookmarkStart w:id="323" w:name="_Int_2pt41Dp0"/>
      <w:r w:rsidR="2B7517E2">
        <w:t>areas</w:t>
      </w:r>
      <w:r>
        <w:t xml:space="preserve"> but</w:t>
      </w:r>
      <w:bookmarkEnd w:id="323"/>
      <w:r>
        <w:t xml:space="preserve"> is still likely to occur on rural properties and in urban areas where restrictions have not been applied. There may also be some illegal burning in the controlled areas.</w:t>
      </w:r>
    </w:p>
    <w:p w14:paraId="7A51F5DD" w14:textId="571A5A5E" w:rsidR="006761D2" w:rsidRPr="003D73C3" w:rsidRDefault="24854215" w:rsidP="006761D2">
      <w:pPr>
        <w:spacing w:line="300" w:lineRule="atLeast"/>
        <w:jc w:val="both"/>
      </w:pPr>
      <w:r w:rsidRPr="0C34660A">
        <w:t xml:space="preserve">In 2006 it was estimated that construction and demolition (C&amp;D) wastes made up about 14% of the total wastes disposed in </w:t>
      </w:r>
      <w:bookmarkStart w:id="324" w:name="_Int_KRVjwfcv"/>
      <w:r w:rsidRPr="0C34660A">
        <w:t>landfills</w:t>
      </w:r>
      <w:bookmarkEnd w:id="324"/>
      <w:r w:rsidRPr="0C34660A">
        <w:t xml:space="preserve"> </w:t>
      </w:r>
      <w:r w:rsidR="00956398">
        <w:t xml:space="preserve">ie, </w:t>
      </w:r>
      <w:r w:rsidRPr="0C34660A">
        <w:t xml:space="preserve">about 440,000 tonnes per year </w:t>
      </w:r>
      <w:sdt>
        <w:sdtPr>
          <w:rPr>
            <w:szCs w:val="18"/>
          </w:rPr>
          <w:id w:val="-1823113662"/>
          <w:lock w:val="contentLocked"/>
          <w:placeholder>
            <w:docPart w:val="DefaultPlaceholder_1081868574"/>
          </w:placeholder>
          <w:citation/>
        </w:sdtPr>
        <w:sdtEndPr/>
        <w:sdtContent>
          <w:r w:rsidR="006761D2" w:rsidRPr="003D73C3">
            <w:rPr>
              <w:szCs w:val="18"/>
            </w:rPr>
            <w:fldChar w:fldCharType="begin"/>
          </w:r>
          <w:r w:rsidR="006761D2" w:rsidRPr="003D73C3">
            <w:rPr>
              <w:szCs w:val="18"/>
            </w:rPr>
            <w:instrText xml:space="preserve"> CITATION Mfe07 \l 5129 </w:instrText>
          </w:r>
          <w:r w:rsidR="006761D2" w:rsidRPr="003D73C3">
            <w:rPr>
              <w:szCs w:val="18"/>
            </w:rPr>
            <w:fldChar w:fldCharType="separate"/>
          </w:r>
          <w:r w:rsidR="25EC959F" w:rsidRPr="0C34660A">
            <w:rPr>
              <w:noProof/>
            </w:rPr>
            <w:t>(Ministry for the Environment, 2007)</w:t>
          </w:r>
          <w:r w:rsidR="006761D2" w:rsidRPr="003D73C3">
            <w:rPr>
              <w:szCs w:val="18"/>
            </w:rPr>
            <w:fldChar w:fldCharType="end"/>
          </w:r>
        </w:sdtContent>
      </w:sdt>
      <w:r w:rsidRPr="0C34660A">
        <w:t>. An additional 300,000 tonnes per year was disposed at cleanfill sites. There is no more recent data available on C&amp;D waste quantities, and nor is there any information on the quantities of C&amp;D wastes disposed by burning. As a result, it is not possible to provide any reliable estimates of the dioxin releases associated with this activity.</w:t>
      </w:r>
    </w:p>
    <w:p w14:paraId="2921C082" w14:textId="0CB064BF" w:rsidR="006761D2" w:rsidRPr="003D73C3" w:rsidRDefault="183D073C" w:rsidP="00CB7A81">
      <w:pPr>
        <w:spacing w:line="300" w:lineRule="atLeast"/>
        <w:jc w:val="both"/>
      </w:pPr>
      <w:r w:rsidRPr="0C34660A">
        <w:t xml:space="preserve">Some indication of the potential releases can be obtained by assuming that the quantities of C&amp;D wastes disposed by burning are equivalent to no more than l % of the total disposed of at landfills and cleanfill </w:t>
      </w:r>
      <w:bookmarkStart w:id="325" w:name="_Int_gsjT0QH4"/>
      <w:r w:rsidRPr="0C34660A">
        <w:t>sites;</w:t>
      </w:r>
      <w:bookmarkEnd w:id="325"/>
      <w:r w:rsidRPr="0C34660A">
        <w:t xml:space="preserve"> </w:t>
      </w:r>
      <w:r w:rsidR="75B601BB">
        <w:t>ie,</w:t>
      </w:r>
      <w:r w:rsidRPr="0C34660A">
        <w:t xml:space="preserve"> 7,400 tonnes per year. If the amount of material burned in each fire was 1 tonne (</w:t>
      </w:r>
      <w:r w:rsidR="75B601BB">
        <w:t>ie,</w:t>
      </w:r>
      <w:r w:rsidRPr="0C34660A">
        <w:t xml:space="preserve"> a small rubbish </w:t>
      </w:r>
      <w:bookmarkStart w:id="326" w:name="_Int_9FNlbJcr"/>
      <w:r w:rsidRPr="0C34660A">
        <w:t>skip</w:t>
      </w:r>
      <w:bookmarkEnd w:id="326"/>
      <w:r w:rsidRPr="0C34660A">
        <w:t xml:space="preserve"> full), the total annual quantity would equate to 7,400 fires per year</w:t>
      </w:r>
      <w:r w:rsidR="006761D2" w:rsidRPr="0C34660A">
        <w:rPr>
          <w:rStyle w:val="FootnoteReference"/>
        </w:rPr>
        <w:footnoteReference w:id="5"/>
      </w:r>
      <w:r w:rsidRPr="0C34660A">
        <w:t>, or just over 20 fires per day. The UNEP Toolkit recommends an emission factor of 60 µg TEQ per tonne (60 x 10</w:t>
      </w:r>
      <w:r w:rsidRPr="0C34660A">
        <w:rPr>
          <w:vertAlign w:val="superscript"/>
        </w:rPr>
        <w:t>-6</w:t>
      </w:r>
      <w:r w:rsidRPr="0C34660A">
        <w:t xml:space="preserve"> g TEQ/tonne), for dioxin releases to air. Applying this factor </w:t>
      </w:r>
      <w:r w:rsidRPr="0C34660A">
        <w:lastRenderedPageBreak/>
        <w:t xml:space="preserve">to 1% of the total C&amp;D waste quantities indicates possible annual releases to air of 0.2 g TEQ per year. If correct, this would make C&amp;D waste burning a small, but </w:t>
      </w:r>
      <w:bookmarkStart w:id="327" w:name="_Int_2PXBjBjF"/>
      <w:r w:rsidR="00FA28EF" w:rsidDel="24854215">
        <w:t>not insignificant</w:t>
      </w:r>
      <w:bookmarkEnd w:id="327"/>
      <w:r w:rsidRPr="0C34660A">
        <w:t>, contributor to the total dioxin releases to air. It therefore suggests the need for continuing support for, and enforcement of, the regional controls on open burning.</w:t>
      </w:r>
    </w:p>
    <w:p w14:paraId="0EE306E8" w14:textId="77777777" w:rsidR="006761D2" w:rsidRPr="003D73C3" w:rsidRDefault="006761D2" w:rsidP="00261F78">
      <w:pPr>
        <w:pStyle w:val="Heading2"/>
        <w:rPr>
          <w:rFonts w:eastAsia="Calibri"/>
        </w:rPr>
      </w:pPr>
      <w:bookmarkStart w:id="328" w:name="_Toc112768130"/>
      <w:r w:rsidRPr="003D73C3">
        <w:rPr>
          <w:rFonts w:eastAsia="Calibri"/>
        </w:rPr>
        <w:t>Summary for this category</w:t>
      </w:r>
      <w:bookmarkEnd w:id="328"/>
      <w:r w:rsidRPr="003D73C3">
        <w:rPr>
          <w:rFonts w:eastAsia="Calibri"/>
        </w:rPr>
        <w:t xml:space="preserve"> </w:t>
      </w:r>
    </w:p>
    <w:p w14:paraId="368CB74B" w14:textId="445DC0C6" w:rsidR="006761D2" w:rsidRPr="003D73C3" w:rsidRDefault="006761D2" w:rsidP="006761D2">
      <w:pPr>
        <w:spacing w:line="300" w:lineRule="atLeast"/>
        <w:jc w:val="both"/>
        <w:rPr>
          <w:rFonts w:eastAsia="Calibri"/>
          <w:szCs w:val="22"/>
        </w:rPr>
      </w:pPr>
      <w:r w:rsidRPr="003D73C3">
        <w:rPr>
          <w:rFonts w:eastAsia="Calibri"/>
          <w:szCs w:val="22"/>
        </w:rPr>
        <w:t xml:space="preserve">The </w:t>
      </w:r>
      <w:r w:rsidR="005441C2">
        <w:rPr>
          <w:rFonts w:eastAsia="Calibri"/>
          <w:szCs w:val="22"/>
        </w:rPr>
        <w:t>2020</w:t>
      </w:r>
      <w:r w:rsidRPr="003D73C3">
        <w:rPr>
          <w:rFonts w:eastAsia="Calibri"/>
          <w:szCs w:val="22"/>
        </w:rPr>
        <w:t xml:space="preserve"> release estimates for accidental fires are summarised in </w:t>
      </w:r>
      <w:r w:rsidRPr="003D73C3">
        <w:rPr>
          <w:rFonts w:eastAsia="Calibri"/>
          <w:szCs w:val="22"/>
        </w:rPr>
        <w:fldChar w:fldCharType="begin"/>
      </w:r>
      <w:r w:rsidRPr="003D73C3">
        <w:rPr>
          <w:rFonts w:eastAsia="Calibri"/>
          <w:szCs w:val="22"/>
        </w:rPr>
        <w:instrText xml:space="preserve"> REF _Ref391801899 \h </w:instrText>
      </w:r>
      <w:r w:rsidR="00AF1200" w:rsidRPr="003D73C3">
        <w:rPr>
          <w:rFonts w:eastAsia="Calibri"/>
          <w:szCs w:val="22"/>
        </w:rPr>
        <w:instrText xml:space="preserve"> \* MERGEFORMAT </w:instrText>
      </w:r>
      <w:r w:rsidRPr="003D73C3">
        <w:rPr>
          <w:rFonts w:eastAsia="Calibri"/>
          <w:szCs w:val="22"/>
        </w:rPr>
      </w:r>
      <w:r w:rsidRPr="003D73C3">
        <w:rPr>
          <w:rFonts w:eastAsia="Calibri"/>
          <w:szCs w:val="22"/>
        </w:rPr>
        <w:fldChar w:fldCharType="separate"/>
      </w:r>
      <w:r w:rsidR="00141D7F" w:rsidRPr="003D73C3">
        <w:rPr>
          <w:rFonts w:cs="Arial"/>
        </w:rPr>
        <w:t xml:space="preserve">Table </w:t>
      </w:r>
      <w:r w:rsidR="00141D7F">
        <w:rPr>
          <w:rFonts w:cs="Arial"/>
          <w:noProof/>
        </w:rPr>
        <w:t>8</w:t>
      </w:r>
      <w:r w:rsidR="00141D7F" w:rsidRPr="003D73C3">
        <w:rPr>
          <w:rFonts w:cs="Arial"/>
          <w:noProof/>
        </w:rPr>
        <w:noBreakHyphen/>
      </w:r>
      <w:r w:rsidR="00141D7F">
        <w:rPr>
          <w:rFonts w:cs="Arial"/>
          <w:noProof/>
        </w:rPr>
        <w:t>8</w:t>
      </w:r>
      <w:r w:rsidRPr="003D73C3">
        <w:rPr>
          <w:rFonts w:eastAsia="Calibri"/>
          <w:szCs w:val="22"/>
        </w:rPr>
        <w:fldChar w:fldCharType="end"/>
      </w:r>
      <w:r w:rsidRPr="003D73C3">
        <w:rPr>
          <w:rFonts w:eastAsia="Calibri"/>
          <w:szCs w:val="22"/>
        </w:rPr>
        <w:t xml:space="preserve">, along with the totals for </w:t>
      </w:r>
      <w:r w:rsidR="007C5EAF" w:rsidRPr="003D73C3">
        <w:rPr>
          <w:rFonts w:eastAsia="Calibri"/>
          <w:szCs w:val="22"/>
        </w:rPr>
        <w:t>20</w:t>
      </w:r>
      <w:r w:rsidR="005441C2">
        <w:rPr>
          <w:rFonts w:eastAsia="Calibri"/>
          <w:szCs w:val="22"/>
        </w:rPr>
        <w:t>12</w:t>
      </w:r>
      <w:r w:rsidR="007C5EAF" w:rsidRPr="003D73C3">
        <w:rPr>
          <w:rFonts w:eastAsia="Calibri"/>
          <w:szCs w:val="22"/>
        </w:rPr>
        <w:t xml:space="preserve"> and </w:t>
      </w:r>
      <w:r w:rsidR="005441C2" w:rsidRPr="003D73C3">
        <w:rPr>
          <w:rFonts w:eastAsia="Calibri"/>
          <w:szCs w:val="22"/>
        </w:rPr>
        <w:t>201</w:t>
      </w:r>
      <w:r w:rsidR="005441C2">
        <w:rPr>
          <w:rFonts w:eastAsia="Calibri"/>
          <w:szCs w:val="22"/>
        </w:rPr>
        <w:t>6</w:t>
      </w:r>
      <w:r w:rsidRPr="003D73C3">
        <w:rPr>
          <w:rFonts w:eastAsia="Calibri"/>
          <w:szCs w:val="22"/>
        </w:rPr>
        <w:t>.</w:t>
      </w:r>
    </w:p>
    <w:p w14:paraId="4F6076E3" w14:textId="56DDB1B7" w:rsidR="006761D2" w:rsidRPr="003D73C3" w:rsidRDefault="006761D2" w:rsidP="006761D2">
      <w:pPr>
        <w:pStyle w:val="Caption"/>
        <w:jc w:val="left"/>
        <w:rPr>
          <w:rFonts w:cs="Arial"/>
          <w:szCs w:val="18"/>
        </w:rPr>
      </w:pPr>
      <w:bookmarkStart w:id="329" w:name="_Ref391801899"/>
      <w:bookmarkStart w:id="330" w:name="_Ref359767164"/>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8</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8</w:t>
      </w:r>
      <w:r w:rsidRPr="003D73C3">
        <w:rPr>
          <w:rFonts w:cs="Arial"/>
        </w:rPr>
        <w:fldChar w:fldCharType="end"/>
      </w:r>
      <w:bookmarkEnd w:id="329"/>
      <w:bookmarkEnd w:id="330"/>
      <w:r w:rsidRPr="003D73C3">
        <w:rPr>
          <w:rFonts w:cs="Arial"/>
        </w:rPr>
        <w:t>: Summary of the release estimates for open burning processes</w:t>
      </w:r>
    </w:p>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6761D2" w:rsidRPr="00AF1200" w14:paraId="181D8C6E" w14:textId="77777777" w:rsidTr="009F7DB8">
        <w:tc>
          <w:tcPr>
            <w:tcW w:w="3119" w:type="dxa"/>
            <w:vMerge w:val="restart"/>
            <w:vAlign w:val="center"/>
          </w:tcPr>
          <w:p w14:paraId="42BDB69C" w14:textId="77777777" w:rsidR="006761D2" w:rsidRPr="003D73C3" w:rsidRDefault="006761D2" w:rsidP="009F7DB8">
            <w:pPr>
              <w:spacing w:before="120"/>
              <w:rPr>
                <w:rFonts w:ascii="Arial" w:hAnsi="Arial" w:cs="Arial"/>
                <w:b/>
                <w:sz w:val="16"/>
                <w:szCs w:val="16"/>
              </w:rPr>
            </w:pPr>
            <w:r w:rsidRPr="003D73C3">
              <w:rPr>
                <w:rFonts w:ascii="Arial" w:hAnsi="Arial" w:cs="Arial"/>
                <w:b/>
                <w:sz w:val="16"/>
                <w:szCs w:val="16"/>
              </w:rPr>
              <w:t>Category</w:t>
            </w:r>
          </w:p>
        </w:tc>
        <w:tc>
          <w:tcPr>
            <w:tcW w:w="6095" w:type="dxa"/>
            <w:gridSpan w:val="5"/>
            <w:vAlign w:val="center"/>
          </w:tcPr>
          <w:p w14:paraId="031357D7" w14:textId="41B73AEB" w:rsidR="006761D2" w:rsidRPr="003D73C3" w:rsidRDefault="005441C2" w:rsidP="009F7DB8">
            <w:pPr>
              <w:spacing w:before="120"/>
              <w:jc w:val="center"/>
              <w:rPr>
                <w:rFonts w:ascii="Arial" w:hAnsi="Arial" w:cs="Arial"/>
                <w:b/>
                <w:sz w:val="16"/>
                <w:szCs w:val="16"/>
              </w:rPr>
            </w:pPr>
            <w:r w:rsidRPr="003D73C3">
              <w:rPr>
                <w:rFonts w:ascii="Arial" w:hAnsi="Arial" w:cs="Arial"/>
                <w:b/>
                <w:sz w:val="16"/>
                <w:szCs w:val="16"/>
              </w:rPr>
              <w:t xml:space="preserve">2020 </w:t>
            </w:r>
            <w:r w:rsidR="006761D2" w:rsidRPr="003D73C3">
              <w:rPr>
                <w:rFonts w:ascii="Arial" w:hAnsi="Arial" w:cs="Arial"/>
                <w:b/>
                <w:sz w:val="16"/>
                <w:szCs w:val="16"/>
              </w:rPr>
              <w:t>dioxin releases (g TEQ/yr)</w:t>
            </w:r>
          </w:p>
        </w:tc>
      </w:tr>
      <w:tr w:rsidR="006761D2" w:rsidRPr="00AF1200" w14:paraId="4D196F1C" w14:textId="77777777" w:rsidTr="009F7DB8">
        <w:tc>
          <w:tcPr>
            <w:tcW w:w="3119" w:type="dxa"/>
            <w:vMerge/>
            <w:vAlign w:val="center"/>
          </w:tcPr>
          <w:p w14:paraId="40A109B7" w14:textId="77777777" w:rsidR="006761D2" w:rsidRPr="003D73C3" w:rsidRDefault="006761D2" w:rsidP="009F7DB8">
            <w:pPr>
              <w:spacing w:before="120"/>
              <w:rPr>
                <w:rFonts w:ascii="Arial" w:hAnsi="Arial" w:cs="Arial"/>
                <w:b/>
                <w:sz w:val="16"/>
                <w:szCs w:val="16"/>
              </w:rPr>
            </w:pPr>
          </w:p>
        </w:tc>
        <w:tc>
          <w:tcPr>
            <w:tcW w:w="1219" w:type="dxa"/>
            <w:vAlign w:val="center"/>
          </w:tcPr>
          <w:p w14:paraId="7CFE935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Air</w:t>
            </w:r>
          </w:p>
        </w:tc>
        <w:tc>
          <w:tcPr>
            <w:tcW w:w="1219" w:type="dxa"/>
            <w:vAlign w:val="center"/>
          </w:tcPr>
          <w:p w14:paraId="4D672C9F"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Water</w:t>
            </w:r>
          </w:p>
        </w:tc>
        <w:tc>
          <w:tcPr>
            <w:tcW w:w="1219" w:type="dxa"/>
            <w:vAlign w:val="center"/>
          </w:tcPr>
          <w:p w14:paraId="0A27BCA3"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Land</w:t>
            </w:r>
          </w:p>
        </w:tc>
        <w:tc>
          <w:tcPr>
            <w:tcW w:w="1219" w:type="dxa"/>
            <w:vAlign w:val="center"/>
          </w:tcPr>
          <w:p w14:paraId="317C69C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Product</w:t>
            </w:r>
          </w:p>
        </w:tc>
        <w:tc>
          <w:tcPr>
            <w:tcW w:w="1219" w:type="dxa"/>
            <w:vAlign w:val="center"/>
          </w:tcPr>
          <w:p w14:paraId="0CF2790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Residue</w:t>
            </w:r>
          </w:p>
        </w:tc>
      </w:tr>
      <w:tr w:rsidR="006761D2" w:rsidRPr="00AF1200" w14:paraId="5B47588F" w14:textId="77777777" w:rsidTr="009F7DB8">
        <w:tc>
          <w:tcPr>
            <w:tcW w:w="3119" w:type="dxa"/>
            <w:vAlign w:val="center"/>
          </w:tcPr>
          <w:p w14:paraId="63C86B26"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Agricultural residue burning</w:t>
            </w:r>
          </w:p>
        </w:tc>
        <w:tc>
          <w:tcPr>
            <w:tcW w:w="1219" w:type="dxa"/>
            <w:vAlign w:val="center"/>
          </w:tcPr>
          <w:p w14:paraId="1AC372D0" w14:textId="2D5C1161" w:rsidR="006761D2" w:rsidRPr="003D73C3" w:rsidRDefault="006D6CEA" w:rsidP="009F7DB8">
            <w:pPr>
              <w:spacing w:before="120"/>
              <w:jc w:val="center"/>
              <w:rPr>
                <w:rFonts w:ascii="Arial" w:hAnsi="Arial" w:cs="Arial"/>
                <w:sz w:val="16"/>
                <w:szCs w:val="16"/>
              </w:rPr>
            </w:pPr>
            <w:r>
              <w:rPr>
                <w:rFonts w:ascii="Arial" w:hAnsi="Arial" w:cs="Arial"/>
                <w:sz w:val="16"/>
                <w:szCs w:val="18"/>
              </w:rPr>
              <w:t>0.130</w:t>
            </w:r>
          </w:p>
        </w:tc>
        <w:tc>
          <w:tcPr>
            <w:tcW w:w="1219" w:type="dxa"/>
            <w:vAlign w:val="center"/>
          </w:tcPr>
          <w:p w14:paraId="57185F84"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D152F81" w14:textId="40137F12" w:rsidR="006761D2" w:rsidRPr="003D73C3" w:rsidRDefault="006D6CEA" w:rsidP="009F7DB8">
            <w:pPr>
              <w:spacing w:before="120"/>
              <w:jc w:val="center"/>
              <w:rPr>
                <w:rFonts w:ascii="Arial" w:hAnsi="Arial" w:cs="Arial"/>
                <w:sz w:val="16"/>
                <w:szCs w:val="16"/>
              </w:rPr>
            </w:pPr>
            <w:r>
              <w:rPr>
                <w:rFonts w:ascii="Arial" w:hAnsi="Arial" w:cs="Arial"/>
                <w:sz w:val="16"/>
                <w:szCs w:val="18"/>
              </w:rPr>
              <w:t>0.013</w:t>
            </w:r>
          </w:p>
        </w:tc>
        <w:tc>
          <w:tcPr>
            <w:tcW w:w="1219" w:type="dxa"/>
            <w:vAlign w:val="center"/>
          </w:tcPr>
          <w:p w14:paraId="10CC5EED"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0B6275A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7772CAF9" w14:textId="77777777" w:rsidTr="009F7DB8">
        <w:tc>
          <w:tcPr>
            <w:tcW w:w="3119" w:type="dxa"/>
            <w:vAlign w:val="center"/>
          </w:tcPr>
          <w:p w14:paraId="5B1D5331"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Forest fires</w:t>
            </w:r>
          </w:p>
        </w:tc>
        <w:tc>
          <w:tcPr>
            <w:tcW w:w="1219" w:type="dxa"/>
            <w:vAlign w:val="center"/>
          </w:tcPr>
          <w:p w14:paraId="0F0D7890" w14:textId="2EB0435D" w:rsidR="006761D2" w:rsidRPr="003D73C3" w:rsidRDefault="006D6CEA" w:rsidP="009F7DB8">
            <w:pPr>
              <w:spacing w:before="120"/>
              <w:jc w:val="center"/>
              <w:rPr>
                <w:rFonts w:ascii="Arial" w:hAnsi="Arial" w:cs="Arial"/>
                <w:sz w:val="16"/>
                <w:szCs w:val="16"/>
              </w:rPr>
            </w:pPr>
            <w:r>
              <w:rPr>
                <w:rFonts w:ascii="Arial" w:hAnsi="Arial" w:cs="Arial"/>
                <w:sz w:val="16"/>
                <w:szCs w:val="18"/>
              </w:rPr>
              <w:t>0.380</w:t>
            </w:r>
          </w:p>
        </w:tc>
        <w:tc>
          <w:tcPr>
            <w:tcW w:w="1219" w:type="dxa"/>
            <w:vAlign w:val="center"/>
          </w:tcPr>
          <w:p w14:paraId="12D6E629"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9486F10" w14:textId="3B1502CE" w:rsidR="006761D2" w:rsidRPr="003D73C3" w:rsidRDefault="006D6CEA" w:rsidP="009F7DB8">
            <w:pPr>
              <w:spacing w:before="120"/>
              <w:jc w:val="center"/>
              <w:rPr>
                <w:rFonts w:ascii="Arial" w:hAnsi="Arial" w:cs="Arial"/>
                <w:sz w:val="16"/>
                <w:szCs w:val="16"/>
              </w:rPr>
            </w:pPr>
            <w:r>
              <w:rPr>
                <w:rFonts w:ascii="Arial" w:hAnsi="Arial" w:cs="Arial"/>
                <w:sz w:val="16"/>
                <w:szCs w:val="18"/>
              </w:rPr>
              <w:t>0.057</w:t>
            </w:r>
          </w:p>
        </w:tc>
        <w:tc>
          <w:tcPr>
            <w:tcW w:w="1219" w:type="dxa"/>
            <w:vAlign w:val="center"/>
          </w:tcPr>
          <w:p w14:paraId="4AD98D2E"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170A0BC9"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71940C6B" w14:textId="77777777" w:rsidTr="009F7DB8">
        <w:tc>
          <w:tcPr>
            <w:tcW w:w="3119" w:type="dxa"/>
            <w:vAlign w:val="center"/>
          </w:tcPr>
          <w:p w14:paraId="09E1B210"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Grassland and savannah fires</w:t>
            </w:r>
          </w:p>
        </w:tc>
        <w:tc>
          <w:tcPr>
            <w:tcW w:w="1219" w:type="dxa"/>
            <w:vAlign w:val="center"/>
          </w:tcPr>
          <w:p w14:paraId="3278D02D" w14:textId="30195F45" w:rsidR="006761D2" w:rsidRPr="003D73C3" w:rsidRDefault="006D6CEA" w:rsidP="009F7DB8">
            <w:pPr>
              <w:spacing w:before="120"/>
              <w:jc w:val="center"/>
              <w:rPr>
                <w:rFonts w:ascii="Arial" w:hAnsi="Arial" w:cs="Arial"/>
                <w:sz w:val="16"/>
                <w:szCs w:val="16"/>
              </w:rPr>
            </w:pPr>
            <w:r>
              <w:rPr>
                <w:rFonts w:ascii="Arial" w:hAnsi="Arial" w:cs="Arial"/>
                <w:sz w:val="16"/>
                <w:szCs w:val="18"/>
              </w:rPr>
              <w:t>0.171</w:t>
            </w:r>
          </w:p>
        </w:tc>
        <w:tc>
          <w:tcPr>
            <w:tcW w:w="1219" w:type="dxa"/>
            <w:vAlign w:val="center"/>
          </w:tcPr>
          <w:p w14:paraId="5FD7294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C58A92B" w14:textId="5868AA04" w:rsidR="006761D2" w:rsidRPr="003D73C3" w:rsidRDefault="006D6CEA" w:rsidP="009F7DB8">
            <w:pPr>
              <w:spacing w:before="120"/>
              <w:jc w:val="center"/>
              <w:rPr>
                <w:rFonts w:ascii="Arial" w:hAnsi="Arial" w:cs="Arial"/>
                <w:sz w:val="16"/>
                <w:szCs w:val="16"/>
              </w:rPr>
            </w:pPr>
            <w:r>
              <w:rPr>
                <w:rFonts w:ascii="Arial" w:hAnsi="Arial" w:cs="Arial"/>
                <w:sz w:val="16"/>
                <w:szCs w:val="18"/>
              </w:rPr>
              <w:t>0.0513</w:t>
            </w:r>
          </w:p>
        </w:tc>
        <w:tc>
          <w:tcPr>
            <w:tcW w:w="1219" w:type="dxa"/>
            <w:vAlign w:val="center"/>
          </w:tcPr>
          <w:p w14:paraId="505EBEE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DCF3794"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29CDF8F5" w14:textId="77777777" w:rsidTr="009F7DB8">
        <w:tc>
          <w:tcPr>
            <w:tcW w:w="3119" w:type="dxa"/>
            <w:vAlign w:val="center"/>
          </w:tcPr>
          <w:p w14:paraId="57AD550A"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Fires at waste dumps</w:t>
            </w:r>
          </w:p>
        </w:tc>
        <w:tc>
          <w:tcPr>
            <w:tcW w:w="1219" w:type="dxa"/>
            <w:vAlign w:val="center"/>
          </w:tcPr>
          <w:p w14:paraId="2FA43753" w14:textId="424F2E06" w:rsidR="006761D2" w:rsidRPr="003D73C3" w:rsidRDefault="006D6CEA" w:rsidP="009F7DB8">
            <w:pPr>
              <w:spacing w:before="120"/>
              <w:jc w:val="center"/>
              <w:rPr>
                <w:rFonts w:ascii="Arial" w:hAnsi="Arial" w:cs="Arial"/>
                <w:sz w:val="16"/>
                <w:szCs w:val="16"/>
              </w:rPr>
            </w:pPr>
            <w:r>
              <w:rPr>
                <w:rFonts w:ascii="Arial" w:hAnsi="Arial" w:cs="Arial"/>
                <w:sz w:val="16"/>
                <w:szCs w:val="16"/>
              </w:rPr>
              <w:t>1.094</w:t>
            </w:r>
          </w:p>
        </w:tc>
        <w:tc>
          <w:tcPr>
            <w:tcW w:w="1219" w:type="dxa"/>
            <w:vAlign w:val="center"/>
          </w:tcPr>
          <w:p w14:paraId="49EB4B0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2AB6B78" w14:textId="72A57C76" w:rsidR="006761D2" w:rsidRPr="003D73C3" w:rsidRDefault="006D6CEA" w:rsidP="009F7DB8">
            <w:pPr>
              <w:spacing w:before="120"/>
              <w:jc w:val="center"/>
              <w:rPr>
                <w:rFonts w:ascii="Arial" w:hAnsi="Arial" w:cs="Arial"/>
                <w:sz w:val="16"/>
                <w:szCs w:val="16"/>
              </w:rPr>
            </w:pPr>
            <w:r>
              <w:rPr>
                <w:rFonts w:ascii="Arial" w:hAnsi="Arial" w:cs="Arial"/>
                <w:sz w:val="16"/>
                <w:szCs w:val="16"/>
              </w:rPr>
              <w:t>0.0364</w:t>
            </w:r>
          </w:p>
        </w:tc>
        <w:tc>
          <w:tcPr>
            <w:tcW w:w="1219" w:type="dxa"/>
            <w:vAlign w:val="center"/>
          </w:tcPr>
          <w:p w14:paraId="6546BF72"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62B64F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7F01C0C2" w14:textId="77777777" w:rsidTr="009F7DB8">
        <w:tc>
          <w:tcPr>
            <w:tcW w:w="3119" w:type="dxa"/>
            <w:vAlign w:val="center"/>
          </w:tcPr>
          <w:p w14:paraId="5DD48793"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Structure fires</w:t>
            </w:r>
          </w:p>
        </w:tc>
        <w:tc>
          <w:tcPr>
            <w:tcW w:w="1219" w:type="dxa"/>
            <w:vAlign w:val="center"/>
          </w:tcPr>
          <w:p w14:paraId="3D61F190" w14:textId="51A4A45E" w:rsidR="006761D2" w:rsidRPr="003D73C3" w:rsidRDefault="00DA04EF" w:rsidP="009F7DB8">
            <w:pPr>
              <w:spacing w:before="120"/>
              <w:jc w:val="center"/>
              <w:rPr>
                <w:rFonts w:ascii="Arial" w:hAnsi="Arial" w:cs="Arial"/>
                <w:sz w:val="16"/>
                <w:szCs w:val="16"/>
              </w:rPr>
            </w:pPr>
            <w:r>
              <w:rPr>
                <w:rFonts w:ascii="Arial" w:hAnsi="Arial" w:cs="Arial"/>
                <w:sz w:val="16"/>
                <w:szCs w:val="16"/>
              </w:rPr>
              <w:t>0.262</w:t>
            </w:r>
          </w:p>
        </w:tc>
        <w:tc>
          <w:tcPr>
            <w:tcW w:w="1219" w:type="dxa"/>
            <w:vAlign w:val="center"/>
          </w:tcPr>
          <w:p w14:paraId="717CEF0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0EA2DCA" w14:textId="34427A66" w:rsidR="006761D2" w:rsidRPr="003D73C3" w:rsidRDefault="00DA04EF" w:rsidP="009F7DB8">
            <w:pPr>
              <w:spacing w:before="120"/>
              <w:jc w:val="center"/>
              <w:rPr>
                <w:rFonts w:ascii="Arial" w:hAnsi="Arial" w:cs="Arial"/>
                <w:sz w:val="16"/>
                <w:szCs w:val="16"/>
              </w:rPr>
            </w:pPr>
            <w:r>
              <w:rPr>
                <w:rFonts w:ascii="Arial" w:hAnsi="Arial" w:cs="Arial"/>
                <w:sz w:val="16"/>
                <w:szCs w:val="16"/>
              </w:rPr>
              <w:t>0.262</w:t>
            </w:r>
          </w:p>
        </w:tc>
        <w:tc>
          <w:tcPr>
            <w:tcW w:w="1219" w:type="dxa"/>
            <w:vAlign w:val="center"/>
          </w:tcPr>
          <w:p w14:paraId="12EB8736"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70AEDA8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720E4BC4" w14:textId="77777777" w:rsidTr="009F7DB8">
        <w:tc>
          <w:tcPr>
            <w:tcW w:w="3119" w:type="dxa"/>
            <w:vAlign w:val="center"/>
          </w:tcPr>
          <w:p w14:paraId="014CC559"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Open burning of domestic wastes</w:t>
            </w:r>
          </w:p>
        </w:tc>
        <w:tc>
          <w:tcPr>
            <w:tcW w:w="1219" w:type="dxa"/>
            <w:vAlign w:val="center"/>
          </w:tcPr>
          <w:p w14:paraId="793B85F9" w14:textId="755E6322" w:rsidR="006761D2" w:rsidRPr="003D73C3" w:rsidRDefault="006D6CEA" w:rsidP="009F7DB8">
            <w:pPr>
              <w:spacing w:before="120"/>
              <w:jc w:val="center"/>
              <w:rPr>
                <w:rFonts w:ascii="Arial" w:hAnsi="Arial" w:cs="Arial"/>
                <w:sz w:val="16"/>
                <w:szCs w:val="16"/>
              </w:rPr>
            </w:pPr>
            <w:r>
              <w:rPr>
                <w:rFonts w:ascii="Arial" w:hAnsi="Arial" w:cs="Arial"/>
                <w:sz w:val="16"/>
                <w:szCs w:val="18"/>
              </w:rPr>
              <w:t>0.466</w:t>
            </w:r>
          </w:p>
        </w:tc>
        <w:tc>
          <w:tcPr>
            <w:tcW w:w="1219" w:type="dxa"/>
            <w:vAlign w:val="center"/>
          </w:tcPr>
          <w:p w14:paraId="7B8FACD2"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1E5FA56" w14:textId="410E0584" w:rsidR="006761D2" w:rsidRPr="003D73C3" w:rsidRDefault="00AE3020" w:rsidP="009F7DB8">
            <w:pPr>
              <w:spacing w:before="120"/>
              <w:jc w:val="center"/>
              <w:rPr>
                <w:rFonts w:ascii="Arial" w:hAnsi="Arial" w:cs="Arial"/>
                <w:sz w:val="16"/>
                <w:szCs w:val="16"/>
              </w:rPr>
            </w:pPr>
            <w:r>
              <w:rPr>
                <w:rFonts w:ascii="Arial" w:hAnsi="Arial" w:cs="Arial"/>
                <w:sz w:val="16"/>
                <w:szCs w:val="18"/>
              </w:rPr>
              <w:t>0.0117</w:t>
            </w:r>
          </w:p>
        </w:tc>
        <w:tc>
          <w:tcPr>
            <w:tcW w:w="1219" w:type="dxa"/>
            <w:vAlign w:val="center"/>
          </w:tcPr>
          <w:p w14:paraId="7EC18D6E"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625BAD2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0D59178D" w14:textId="77777777" w:rsidTr="009F7DB8">
        <w:tc>
          <w:tcPr>
            <w:tcW w:w="3119" w:type="dxa"/>
            <w:vAlign w:val="center"/>
          </w:tcPr>
          <w:p w14:paraId="297D8A8D"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Vehicle fires</w:t>
            </w:r>
          </w:p>
        </w:tc>
        <w:tc>
          <w:tcPr>
            <w:tcW w:w="1219" w:type="dxa"/>
            <w:vAlign w:val="center"/>
          </w:tcPr>
          <w:p w14:paraId="50390FB9" w14:textId="51F65DA9" w:rsidR="006761D2" w:rsidRPr="003D73C3" w:rsidRDefault="00AE3020" w:rsidP="009F7DB8">
            <w:pPr>
              <w:spacing w:before="120"/>
              <w:jc w:val="center"/>
              <w:rPr>
                <w:rFonts w:ascii="Arial" w:hAnsi="Arial" w:cs="Arial"/>
                <w:sz w:val="16"/>
                <w:szCs w:val="16"/>
              </w:rPr>
            </w:pPr>
            <w:r>
              <w:rPr>
                <w:rFonts w:ascii="Arial" w:hAnsi="Arial" w:cs="Arial"/>
                <w:sz w:val="16"/>
                <w:szCs w:val="16"/>
              </w:rPr>
              <w:t>0.248</w:t>
            </w:r>
          </w:p>
        </w:tc>
        <w:tc>
          <w:tcPr>
            <w:tcW w:w="1219" w:type="dxa"/>
            <w:vAlign w:val="center"/>
          </w:tcPr>
          <w:p w14:paraId="381D178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4F1B8DE6" w14:textId="73740BE3" w:rsidR="006761D2" w:rsidRPr="003D73C3" w:rsidRDefault="00AE3020" w:rsidP="009F7DB8">
            <w:pPr>
              <w:spacing w:before="120"/>
              <w:jc w:val="center"/>
              <w:rPr>
                <w:rFonts w:ascii="Arial" w:hAnsi="Arial" w:cs="Arial"/>
                <w:sz w:val="16"/>
                <w:szCs w:val="16"/>
              </w:rPr>
            </w:pPr>
            <w:r>
              <w:rPr>
                <w:rFonts w:ascii="Arial" w:hAnsi="Arial" w:cs="Arial"/>
                <w:sz w:val="16"/>
                <w:szCs w:val="16"/>
              </w:rPr>
              <w:t>0.0446</w:t>
            </w:r>
          </w:p>
        </w:tc>
        <w:tc>
          <w:tcPr>
            <w:tcW w:w="1219" w:type="dxa"/>
            <w:vAlign w:val="center"/>
          </w:tcPr>
          <w:p w14:paraId="6F1F88D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7D0B91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5441C2" w:rsidRPr="00AF1200" w14:paraId="3FCFC6EF" w14:textId="77777777" w:rsidTr="009F7DB8">
        <w:tc>
          <w:tcPr>
            <w:tcW w:w="3119" w:type="dxa"/>
          </w:tcPr>
          <w:p w14:paraId="2DE92330" w14:textId="45F8E818" w:rsidR="005441C2" w:rsidRPr="003D73C3" w:rsidRDefault="005441C2" w:rsidP="005441C2">
            <w:pPr>
              <w:spacing w:before="120"/>
              <w:jc w:val="both"/>
              <w:rPr>
                <w:rFonts w:ascii="Arial" w:hAnsi="Arial" w:cs="Arial"/>
                <w:b/>
                <w:sz w:val="16"/>
                <w:szCs w:val="16"/>
              </w:rPr>
            </w:pPr>
            <w:r w:rsidRPr="003D73C3">
              <w:rPr>
                <w:rFonts w:ascii="Arial" w:hAnsi="Arial" w:cs="Arial"/>
                <w:b/>
                <w:sz w:val="16"/>
                <w:szCs w:val="16"/>
              </w:rPr>
              <w:t>2012 totals</w:t>
            </w:r>
          </w:p>
        </w:tc>
        <w:tc>
          <w:tcPr>
            <w:tcW w:w="1219" w:type="dxa"/>
            <w:vAlign w:val="center"/>
          </w:tcPr>
          <w:p w14:paraId="63F7AD4B" w14:textId="2659EE68"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2.439</w:t>
            </w:r>
          </w:p>
        </w:tc>
        <w:tc>
          <w:tcPr>
            <w:tcW w:w="1219" w:type="dxa"/>
            <w:vAlign w:val="center"/>
          </w:tcPr>
          <w:p w14:paraId="2FC013AD" w14:textId="631BD882"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w:t>
            </w:r>
          </w:p>
        </w:tc>
        <w:tc>
          <w:tcPr>
            <w:tcW w:w="1219" w:type="dxa"/>
            <w:vAlign w:val="center"/>
          </w:tcPr>
          <w:p w14:paraId="76BFB03B" w14:textId="6D115C60"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0.782</w:t>
            </w:r>
          </w:p>
        </w:tc>
        <w:tc>
          <w:tcPr>
            <w:tcW w:w="1219" w:type="dxa"/>
            <w:vAlign w:val="center"/>
          </w:tcPr>
          <w:p w14:paraId="32D8C637" w14:textId="180CB246"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w:t>
            </w:r>
          </w:p>
        </w:tc>
        <w:tc>
          <w:tcPr>
            <w:tcW w:w="1219" w:type="dxa"/>
            <w:vAlign w:val="center"/>
          </w:tcPr>
          <w:p w14:paraId="4138EC58" w14:textId="3A1FD822"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w:t>
            </w:r>
          </w:p>
        </w:tc>
      </w:tr>
      <w:tr w:rsidR="005441C2" w:rsidRPr="00AF1200" w14:paraId="2BBDBA70" w14:textId="77777777" w:rsidTr="00E4608A">
        <w:tc>
          <w:tcPr>
            <w:tcW w:w="3119" w:type="dxa"/>
          </w:tcPr>
          <w:p w14:paraId="210F85EF" w14:textId="4E11ADBC" w:rsidR="005441C2" w:rsidRPr="003D73C3" w:rsidRDefault="005441C2" w:rsidP="005441C2">
            <w:pPr>
              <w:spacing w:before="120"/>
              <w:jc w:val="both"/>
              <w:rPr>
                <w:rFonts w:ascii="Arial" w:hAnsi="Arial" w:cs="Arial"/>
                <w:b/>
                <w:sz w:val="16"/>
                <w:szCs w:val="16"/>
              </w:rPr>
            </w:pPr>
            <w:r w:rsidRPr="003D73C3">
              <w:rPr>
                <w:rFonts w:ascii="Arial" w:hAnsi="Arial" w:cs="Arial"/>
                <w:b/>
                <w:sz w:val="16"/>
                <w:szCs w:val="16"/>
              </w:rPr>
              <w:t>2016 totals</w:t>
            </w:r>
          </w:p>
        </w:tc>
        <w:tc>
          <w:tcPr>
            <w:tcW w:w="1219" w:type="dxa"/>
            <w:vAlign w:val="center"/>
          </w:tcPr>
          <w:p w14:paraId="6B91E3C2" w14:textId="388DDB7C"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2.593</w:t>
            </w:r>
          </w:p>
        </w:tc>
        <w:tc>
          <w:tcPr>
            <w:tcW w:w="1219" w:type="dxa"/>
            <w:vAlign w:val="center"/>
          </w:tcPr>
          <w:p w14:paraId="56DB83AF" w14:textId="3529EDDA" w:rsidR="005441C2" w:rsidRPr="003D73C3" w:rsidRDefault="005441C2" w:rsidP="005441C2">
            <w:pPr>
              <w:spacing w:before="120"/>
              <w:jc w:val="center"/>
              <w:rPr>
                <w:rFonts w:ascii="Arial" w:hAnsi="Arial" w:cs="Arial"/>
                <w:b/>
                <w:sz w:val="16"/>
                <w:szCs w:val="16"/>
              </w:rPr>
            </w:pPr>
          </w:p>
        </w:tc>
        <w:tc>
          <w:tcPr>
            <w:tcW w:w="1219" w:type="dxa"/>
            <w:vAlign w:val="center"/>
          </w:tcPr>
          <w:p w14:paraId="3E57B44E" w14:textId="52645F1F"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0.863</w:t>
            </w:r>
          </w:p>
        </w:tc>
        <w:tc>
          <w:tcPr>
            <w:tcW w:w="1219" w:type="dxa"/>
          </w:tcPr>
          <w:p w14:paraId="45ACE51C" w14:textId="77777777"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w:t>
            </w:r>
          </w:p>
        </w:tc>
        <w:tc>
          <w:tcPr>
            <w:tcW w:w="1219" w:type="dxa"/>
          </w:tcPr>
          <w:p w14:paraId="14DE35AC" w14:textId="77777777" w:rsidR="005441C2" w:rsidRPr="003D73C3" w:rsidRDefault="005441C2" w:rsidP="005441C2">
            <w:pPr>
              <w:spacing w:before="120"/>
              <w:jc w:val="center"/>
              <w:rPr>
                <w:rFonts w:ascii="Arial" w:hAnsi="Arial" w:cs="Arial"/>
                <w:b/>
                <w:sz w:val="16"/>
                <w:szCs w:val="16"/>
              </w:rPr>
            </w:pPr>
            <w:r w:rsidRPr="003D73C3">
              <w:rPr>
                <w:rFonts w:ascii="Arial" w:hAnsi="Arial" w:cs="Arial"/>
                <w:b/>
                <w:sz w:val="16"/>
                <w:szCs w:val="16"/>
              </w:rPr>
              <w:t>-</w:t>
            </w:r>
          </w:p>
        </w:tc>
      </w:tr>
      <w:tr w:rsidR="00773433" w:rsidRPr="00AF1200" w14:paraId="367A5CDF" w14:textId="77777777" w:rsidTr="009C4E50">
        <w:tc>
          <w:tcPr>
            <w:tcW w:w="3119" w:type="dxa"/>
          </w:tcPr>
          <w:p w14:paraId="1211E277" w14:textId="21A51866" w:rsidR="00773433" w:rsidRPr="003D73C3" w:rsidRDefault="00AE3020" w:rsidP="009F7DB8">
            <w:pPr>
              <w:spacing w:before="120"/>
              <w:jc w:val="both"/>
              <w:rPr>
                <w:rFonts w:ascii="Arial" w:hAnsi="Arial" w:cs="Arial"/>
                <w:b/>
                <w:sz w:val="16"/>
                <w:szCs w:val="16"/>
              </w:rPr>
            </w:pPr>
            <w:r w:rsidRPr="003D73C3">
              <w:rPr>
                <w:rFonts w:ascii="Arial" w:hAnsi="Arial" w:cs="Arial"/>
                <w:b/>
                <w:sz w:val="16"/>
                <w:szCs w:val="16"/>
              </w:rPr>
              <w:t>2020 totals</w:t>
            </w:r>
          </w:p>
        </w:tc>
        <w:tc>
          <w:tcPr>
            <w:tcW w:w="1219" w:type="dxa"/>
            <w:vAlign w:val="center"/>
          </w:tcPr>
          <w:p w14:paraId="5329BC55" w14:textId="7A5F17FA" w:rsidR="00773433" w:rsidRPr="003D73C3" w:rsidRDefault="00DA04EF" w:rsidP="009F7DB8">
            <w:pPr>
              <w:spacing w:before="120"/>
              <w:jc w:val="center"/>
              <w:rPr>
                <w:rFonts w:ascii="Arial" w:hAnsi="Arial" w:cs="Arial"/>
                <w:b/>
                <w:sz w:val="16"/>
                <w:szCs w:val="16"/>
              </w:rPr>
            </w:pPr>
            <w:r>
              <w:rPr>
                <w:rFonts w:ascii="Arial" w:hAnsi="Arial" w:cs="Arial"/>
                <w:b/>
                <w:sz w:val="16"/>
                <w:szCs w:val="16"/>
              </w:rPr>
              <w:t>2.751</w:t>
            </w:r>
          </w:p>
        </w:tc>
        <w:tc>
          <w:tcPr>
            <w:tcW w:w="1219" w:type="dxa"/>
            <w:vAlign w:val="center"/>
          </w:tcPr>
          <w:p w14:paraId="032ADF33" w14:textId="77777777" w:rsidR="00773433" w:rsidRPr="003D73C3" w:rsidRDefault="00773433" w:rsidP="009F7DB8">
            <w:pPr>
              <w:spacing w:before="120"/>
              <w:jc w:val="center"/>
              <w:rPr>
                <w:rFonts w:ascii="Arial" w:hAnsi="Arial" w:cs="Arial"/>
                <w:b/>
                <w:sz w:val="16"/>
                <w:szCs w:val="16"/>
              </w:rPr>
            </w:pPr>
          </w:p>
        </w:tc>
        <w:tc>
          <w:tcPr>
            <w:tcW w:w="1219" w:type="dxa"/>
            <w:vAlign w:val="center"/>
          </w:tcPr>
          <w:p w14:paraId="1EC16499" w14:textId="34BE87DB" w:rsidR="00773433" w:rsidRPr="003D73C3" w:rsidRDefault="00DA04EF" w:rsidP="009F7DB8">
            <w:pPr>
              <w:spacing w:before="120"/>
              <w:jc w:val="center"/>
              <w:rPr>
                <w:rFonts w:ascii="Arial" w:hAnsi="Arial" w:cs="Arial"/>
                <w:b/>
                <w:sz w:val="16"/>
                <w:szCs w:val="16"/>
              </w:rPr>
            </w:pPr>
            <w:r>
              <w:rPr>
                <w:rFonts w:ascii="Arial" w:hAnsi="Arial" w:cs="Arial"/>
                <w:b/>
                <w:sz w:val="16"/>
                <w:szCs w:val="16"/>
              </w:rPr>
              <w:t>0.476</w:t>
            </w:r>
          </w:p>
        </w:tc>
        <w:tc>
          <w:tcPr>
            <w:tcW w:w="1219" w:type="dxa"/>
            <w:vAlign w:val="center"/>
          </w:tcPr>
          <w:p w14:paraId="7C3CF67B" w14:textId="64653044" w:rsidR="00773433" w:rsidRPr="003D73C3" w:rsidRDefault="00773433" w:rsidP="009F7DB8">
            <w:pPr>
              <w:spacing w:before="120"/>
              <w:jc w:val="center"/>
              <w:rPr>
                <w:rFonts w:ascii="Arial" w:hAnsi="Arial" w:cs="Arial"/>
                <w:b/>
                <w:sz w:val="16"/>
                <w:szCs w:val="16"/>
              </w:rPr>
            </w:pPr>
            <w:r w:rsidRPr="003D73C3">
              <w:rPr>
                <w:rFonts w:ascii="Arial" w:hAnsi="Arial" w:cs="Arial"/>
                <w:b/>
                <w:sz w:val="16"/>
                <w:szCs w:val="16"/>
              </w:rPr>
              <w:t>-</w:t>
            </w:r>
          </w:p>
        </w:tc>
        <w:tc>
          <w:tcPr>
            <w:tcW w:w="1219" w:type="dxa"/>
            <w:vAlign w:val="center"/>
          </w:tcPr>
          <w:p w14:paraId="49C8C6AB" w14:textId="18F98E1A" w:rsidR="00773433" w:rsidRPr="003D73C3" w:rsidRDefault="00773433" w:rsidP="009F7DB8">
            <w:pPr>
              <w:spacing w:before="120"/>
              <w:jc w:val="center"/>
              <w:rPr>
                <w:rFonts w:ascii="Arial" w:hAnsi="Arial" w:cs="Arial"/>
                <w:b/>
                <w:sz w:val="16"/>
                <w:szCs w:val="16"/>
              </w:rPr>
            </w:pPr>
            <w:r w:rsidRPr="003D73C3">
              <w:rPr>
                <w:rFonts w:ascii="Arial" w:hAnsi="Arial" w:cs="Arial"/>
                <w:b/>
                <w:sz w:val="16"/>
                <w:szCs w:val="16"/>
              </w:rPr>
              <w:t>-</w:t>
            </w:r>
          </w:p>
        </w:tc>
      </w:tr>
    </w:tbl>
    <w:p w14:paraId="28A621F2" w14:textId="77777777" w:rsidR="006761D2" w:rsidRPr="003D73C3" w:rsidRDefault="006761D2" w:rsidP="00261F78">
      <w:pPr>
        <w:pStyle w:val="Heading1"/>
      </w:pPr>
      <w:r w:rsidRPr="00AF1200">
        <w:rPr>
          <w:rFonts w:ascii="Verdana" w:hAnsi="Verdana"/>
          <w:highlight w:val="yellow"/>
        </w:rPr>
        <w:br w:type="page"/>
      </w:r>
      <w:bookmarkStart w:id="331" w:name="_Toc112768131"/>
      <w:r w:rsidRPr="003D73C3">
        <w:lastRenderedPageBreak/>
        <w:t>Production of chemicals and consumer goods</w:t>
      </w:r>
      <w:bookmarkEnd w:id="331"/>
    </w:p>
    <w:p w14:paraId="087110CB" w14:textId="7369E4FE" w:rsidR="006761D2" w:rsidRPr="003D73C3" w:rsidRDefault="006761D2" w:rsidP="006761D2">
      <w:pPr>
        <w:spacing w:line="300" w:lineRule="atLeast"/>
        <w:jc w:val="both"/>
        <w:rPr>
          <w:szCs w:val="18"/>
        </w:rPr>
      </w:pPr>
      <w:r w:rsidRPr="003D73C3">
        <w:rPr>
          <w:szCs w:val="18"/>
        </w:rPr>
        <w:t xml:space="preserve">This category covers dioxin releases from the following sub-categories </w:t>
      </w:r>
      <w:r w:rsidR="003D73C3" w:rsidRPr="003D73C3">
        <w:rPr>
          <w:noProof/>
          <w:szCs w:val="18"/>
        </w:rPr>
        <w:t>(United Nations Environment Programme, 2013)</w:t>
      </w:r>
      <w:r w:rsidRPr="003D73C3">
        <w:rPr>
          <w:szCs w:val="18"/>
        </w:rPr>
        <w:t>:</w:t>
      </w:r>
    </w:p>
    <w:p w14:paraId="749DE0FC" w14:textId="77777777" w:rsidR="006761D2" w:rsidRPr="003D73C3" w:rsidRDefault="006761D2" w:rsidP="006761D2">
      <w:pPr>
        <w:spacing w:line="300" w:lineRule="atLeast"/>
        <w:ind w:left="720"/>
        <w:jc w:val="both"/>
        <w:rPr>
          <w:szCs w:val="18"/>
        </w:rPr>
      </w:pPr>
      <w:r w:rsidRPr="003D73C3">
        <w:rPr>
          <w:szCs w:val="18"/>
        </w:rPr>
        <w:t>7a</w:t>
      </w:r>
      <w:r w:rsidRPr="003D73C3">
        <w:rPr>
          <w:szCs w:val="18"/>
        </w:rPr>
        <w:tab/>
        <w:t>Pulp and Paper Production</w:t>
      </w:r>
    </w:p>
    <w:p w14:paraId="67CD07F3" w14:textId="77777777" w:rsidR="006761D2" w:rsidRPr="003D73C3" w:rsidRDefault="006761D2" w:rsidP="006761D2">
      <w:pPr>
        <w:spacing w:line="300" w:lineRule="atLeast"/>
        <w:ind w:left="720"/>
        <w:jc w:val="both"/>
        <w:rPr>
          <w:szCs w:val="18"/>
        </w:rPr>
      </w:pPr>
      <w:r w:rsidRPr="003D73C3">
        <w:rPr>
          <w:szCs w:val="18"/>
        </w:rPr>
        <w:t>7b</w:t>
      </w:r>
      <w:r w:rsidRPr="003D73C3">
        <w:rPr>
          <w:szCs w:val="18"/>
        </w:rPr>
        <w:tab/>
        <w:t>Chlorinated Inorganic Chemicals</w:t>
      </w:r>
    </w:p>
    <w:p w14:paraId="3FB6DE67" w14:textId="77777777" w:rsidR="006761D2" w:rsidRPr="003D73C3" w:rsidRDefault="006761D2" w:rsidP="006761D2">
      <w:pPr>
        <w:spacing w:line="300" w:lineRule="atLeast"/>
        <w:ind w:left="720"/>
        <w:jc w:val="both"/>
        <w:rPr>
          <w:szCs w:val="18"/>
        </w:rPr>
      </w:pPr>
      <w:r w:rsidRPr="003D73C3">
        <w:rPr>
          <w:szCs w:val="18"/>
        </w:rPr>
        <w:t>7c</w:t>
      </w:r>
      <w:r w:rsidRPr="003D73C3">
        <w:rPr>
          <w:szCs w:val="18"/>
        </w:rPr>
        <w:tab/>
        <w:t>Chlorinated Aliphatic Chemicals</w:t>
      </w:r>
    </w:p>
    <w:p w14:paraId="657EE930" w14:textId="77777777" w:rsidR="006761D2" w:rsidRPr="003D73C3" w:rsidRDefault="006761D2" w:rsidP="006761D2">
      <w:pPr>
        <w:spacing w:line="300" w:lineRule="atLeast"/>
        <w:ind w:left="720"/>
        <w:jc w:val="both"/>
        <w:rPr>
          <w:szCs w:val="18"/>
        </w:rPr>
      </w:pPr>
      <w:r w:rsidRPr="003D73C3">
        <w:rPr>
          <w:szCs w:val="18"/>
        </w:rPr>
        <w:t>7d</w:t>
      </w:r>
      <w:r w:rsidRPr="003D73C3">
        <w:rPr>
          <w:szCs w:val="18"/>
        </w:rPr>
        <w:tab/>
        <w:t>Chlorinated Aromatic Chemicals</w:t>
      </w:r>
    </w:p>
    <w:p w14:paraId="50C4B320" w14:textId="77777777" w:rsidR="006761D2" w:rsidRPr="003D73C3" w:rsidRDefault="006761D2" w:rsidP="006761D2">
      <w:pPr>
        <w:spacing w:line="300" w:lineRule="atLeast"/>
        <w:ind w:left="720"/>
        <w:jc w:val="both"/>
        <w:rPr>
          <w:szCs w:val="18"/>
        </w:rPr>
      </w:pPr>
      <w:r w:rsidRPr="003D73C3">
        <w:rPr>
          <w:szCs w:val="18"/>
        </w:rPr>
        <w:t>7e</w:t>
      </w:r>
      <w:r w:rsidRPr="003D73C3">
        <w:rPr>
          <w:szCs w:val="18"/>
        </w:rPr>
        <w:tab/>
        <w:t>Other Chlorinated and Non-Chlorinated Chemicals</w:t>
      </w:r>
    </w:p>
    <w:p w14:paraId="2518A08D" w14:textId="77777777" w:rsidR="006761D2" w:rsidRPr="003D73C3" w:rsidRDefault="006761D2" w:rsidP="006761D2">
      <w:pPr>
        <w:spacing w:line="300" w:lineRule="atLeast"/>
        <w:ind w:left="720"/>
        <w:jc w:val="both"/>
        <w:rPr>
          <w:szCs w:val="18"/>
        </w:rPr>
      </w:pPr>
      <w:r w:rsidRPr="003D73C3">
        <w:rPr>
          <w:szCs w:val="18"/>
        </w:rPr>
        <w:t>7f</w:t>
      </w:r>
      <w:r w:rsidRPr="003D73C3">
        <w:rPr>
          <w:szCs w:val="18"/>
        </w:rPr>
        <w:tab/>
        <w:t>Petroleum Production</w:t>
      </w:r>
    </w:p>
    <w:p w14:paraId="3CD41777" w14:textId="77777777" w:rsidR="006761D2" w:rsidRPr="003D73C3" w:rsidRDefault="006761D2" w:rsidP="006761D2">
      <w:pPr>
        <w:spacing w:line="300" w:lineRule="atLeast"/>
        <w:ind w:left="720"/>
        <w:jc w:val="both"/>
        <w:rPr>
          <w:szCs w:val="18"/>
        </w:rPr>
      </w:pPr>
      <w:r w:rsidRPr="003D73C3">
        <w:rPr>
          <w:szCs w:val="18"/>
        </w:rPr>
        <w:t>7g</w:t>
      </w:r>
      <w:r w:rsidRPr="003D73C3">
        <w:rPr>
          <w:szCs w:val="18"/>
        </w:rPr>
        <w:tab/>
        <w:t>Textile Production</w:t>
      </w:r>
    </w:p>
    <w:p w14:paraId="2F950CB1" w14:textId="77777777" w:rsidR="006761D2" w:rsidRPr="003D73C3" w:rsidRDefault="006761D2" w:rsidP="006761D2">
      <w:pPr>
        <w:spacing w:line="300" w:lineRule="atLeast"/>
        <w:ind w:left="720"/>
        <w:jc w:val="both"/>
        <w:rPr>
          <w:szCs w:val="18"/>
        </w:rPr>
      </w:pPr>
      <w:r w:rsidRPr="003D73C3">
        <w:rPr>
          <w:szCs w:val="18"/>
        </w:rPr>
        <w:t>7h</w:t>
      </w:r>
      <w:r w:rsidRPr="003D73C3">
        <w:rPr>
          <w:szCs w:val="18"/>
        </w:rPr>
        <w:tab/>
        <w:t xml:space="preserve">Leather Refining </w:t>
      </w:r>
    </w:p>
    <w:p w14:paraId="0414C1B0" w14:textId="77777777" w:rsidR="006761D2" w:rsidRPr="003D73C3" w:rsidRDefault="24854215" w:rsidP="006761D2">
      <w:pPr>
        <w:spacing w:line="300" w:lineRule="atLeast"/>
        <w:jc w:val="both"/>
      </w:pPr>
      <w:r>
        <w:t xml:space="preserve">The dioxin releases from these sources are not combustion-related, apart from black-liquor combustion in the pulp and paper mills, and the various releases from petroleum production. Historically, pulp and paper mills were a significant source of dioxin releases due to the use of elemental chlorine as a bleaching agent, which reacted with phenolic species in the pulp to form dioxins. The dioxins associated with most of the other chemical products are also similar, in that they are formed as reaction by-products of the chemical processes used in manufacturing. </w:t>
      </w:r>
      <w:bookmarkStart w:id="332" w:name="_Int_TcldgTZZ"/>
      <w:r>
        <w:t>Generally, the</w:t>
      </w:r>
      <w:bookmarkEnd w:id="332"/>
      <w:r>
        <w:t xml:space="preserve"> dioxins are accounted for as releases into products, and these then lead on to the last two sub-categories in this group, where the dioxins are transferred to textile and leather products </w:t>
      </w:r>
      <w:bookmarkStart w:id="333" w:name="_Int_aw4oVry8"/>
      <w:proofErr w:type="gramStart"/>
      <w:r>
        <w:t>through the use of</w:t>
      </w:r>
      <w:bookmarkEnd w:id="333"/>
      <w:proofErr w:type="gramEnd"/>
      <w:r>
        <w:t xml:space="preserve"> treatment chemicals contaminated with dioxins.</w:t>
      </w:r>
    </w:p>
    <w:p w14:paraId="2B57392E" w14:textId="77777777" w:rsidR="006761D2" w:rsidRPr="003D73C3" w:rsidRDefault="006761D2" w:rsidP="00261F78">
      <w:pPr>
        <w:pStyle w:val="Heading2"/>
      </w:pPr>
      <w:bookmarkStart w:id="334" w:name="_Toc112768132"/>
      <w:r w:rsidRPr="003D73C3">
        <w:t>Pulp and paper production</w:t>
      </w:r>
      <w:bookmarkEnd w:id="334"/>
    </w:p>
    <w:p w14:paraId="534C374F" w14:textId="5133C563" w:rsidR="006761D2" w:rsidRPr="003D73C3" w:rsidRDefault="57B91EA8" w:rsidP="0C34660A">
      <w:pPr>
        <w:spacing w:line="300" w:lineRule="atLeast"/>
        <w:jc w:val="both"/>
        <w:rPr>
          <w:lang w:val="en-US"/>
        </w:rPr>
      </w:pPr>
      <w:r w:rsidRPr="0C34660A">
        <w:rPr>
          <w:lang w:val="en-US"/>
        </w:rPr>
        <w:t>At the time of writing Ministry of Primary Industries data on wood pulp production in New Zealand is available only until the end of 2018. For 2018 t</w:t>
      </w:r>
      <w:r w:rsidR="24854215" w:rsidRPr="0C34660A">
        <w:rPr>
          <w:lang w:val="en-US"/>
        </w:rPr>
        <w:t>he total wood pulp production in New Zealand was about 1.</w:t>
      </w:r>
      <w:r w:rsidRPr="0C34660A">
        <w:rPr>
          <w:lang w:val="en-US"/>
        </w:rPr>
        <w:t>44</w:t>
      </w:r>
      <w:r w:rsidR="24854215" w:rsidRPr="0C34660A">
        <w:rPr>
          <w:lang w:val="en-US"/>
        </w:rPr>
        <w:t xml:space="preserve"> million tonnes (air dry basis), of which </w:t>
      </w:r>
      <w:r w:rsidRPr="0C34660A">
        <w:rPr>
          <w:lang w:val="en-US"/>
        </w:rPr>
        <w:t>47</w:t>
      </w:r>
      <w:r w:rsidR="24854215" w:rsidRPr="0C34660A">
        <w:rPr>
          <w:lang w:val="en-US"/>
        </w:rPr>
        <w:t xml:space="preserve">% was produced by thermo-mechanical or chemi-thermo-mechanical pulping, and </w:t>
      </w:r>
      <w:r w:rsidR="0FF91DD2" w:rsidRPr="0C34660A">
        <w:rPr>
          <w:lang w:val="en-US"/>
        </w:rPr>
        <w:t>53</w:t>
      </w:r>
      <w:r w:rsidR="24854215" w:rsidRPr="0C34660A">
        <w:rPr>
          <w:lang w:val="en-US"/>
        </w:rPr>
        <w:t xml:space="preserve">% by chemical pulping </w:t>
      </w:r>
      <w:r w:rsidRPr="0C34660A">
        <w:rPr>
          <w:noProof/>
        </w:rPr>
        <w:t>(Ministry for Primary Industries, 2022)</w:t>
      </w:r>
      <w:r w:rsidR="24854215" w:rsidRPr="0C34660A">
        <w:rPr>
          <w:lang w:val="en-US"/>
        </w:rPr>
        <w:t xml:space="preserve">. Mechanical pulp is produced at </w:t>
      </w:r>
      <w:r w:rsidRPr="0C34660A">
        <w:rPr>
          <w:lang w:val="en-US"/>
        </w:rPr>
        <w:t xml:space="preserve">three </w:t>
      </w:r>
      <w:r w:rsidR="24854215" w:rsidRPr="0C34660A">
        <w:rPr>
          <w:lang w:val="en-US"/>
        </w:rPr>
        <w:t xml:space="preserve">plants in the Bay of Plenty, Hawke’s </w:t>
      </w:r>
      <w:bookmarkStart w:id="335" w:name="_Int_q9dGcnrC"/>
      <w:r w:rsidR="24854215" w:rsidRPr="0C34660A">
        <w:rPr>
          <w:lang w:val="en-US"/>
        </w:rPr>
        <w:t>Bay,</w:t>
      </w:r>
      <w:bookmarkEnd w:id="335"/>
      <w:r w:rsidR="24854215" w:rsidRPr="0C34660A">
        <w:rPr>
          <w:lang w:val="en-US"/>
        </w:rPr>
        <w:t xml:space="preserve"> and Manawatu−Wanganui regions. There are also two other mills in Auckland and the Bay of Plenty that produce paper and paperboard products from mixtures of wood pulp and </w:t>
      </w:r>
      <w:bookmarkStart w:id="336" w:name="_Int_YJYzAqn7"/>
      <w:r w:rsidR="24854215" w:rsidRPr="0C34660A">
        <w:rPr>
          <w:lang w:val="en-US"/>
        </w:rPr>
        <w:t>waste paper</w:t>
      </w:r>
      <w:bookmarkEnd w:id="336"/>
      <w:r w:rsidR="24854215" w:rsidRPr="0C34660A">
        <w:rPr>
          <w:lang w:val="en-US"/>
        </w:rPr>
        <w:t xml:space="preserve">. Chemical (kraft) pulp is produced at two pulp and paper mills in Kawerau and Tokoroa. </w:t>
      </w:r>
      <w:r w:rsidR="0FF91DD2" w:rsidRPr="0C34660A">
        <w:rPr>
          <w:lang w:val="en-US"/>
        </w:rPr>
        <w:t xml:space="preserve">From January 2019, only the Tokoroa mill produced </w:t>
      </w:r>
      <w:r w:rsidR="24854215" w:rsidRPr="0C34660A">
        <w:rPr>
          <w:lang w:val="en-US"/>
        </w:rPr>
        <w:t xml:space="preserve">bleached kraft pulp </w:t>
      </w:r>
      <w:r w:rsidR="276B328E" w:rsidRPr="0C34660A">
        <w:rPr>
          <w:lang w:val="en-US"/>
        </w:rPr>
        <w:t xml:space="preserve">(Climate Leaders Coalition, 2022) </w:t>
      </w:r>
      <w:r w:rsidR="0FF91DD2" w:rsidRPr="0C34660A">
        <w:rPr>
          <w:lang w:val="en-US"/>
        </w:rPr>
        <w:t xml:space="preserve">which is </w:t>
      </w:r>
      <w:r w:rsidR="24854215" w:rsidRPr="0C34660A">
        <w:rPr>
          <w:lang w:val="en-US"/>
        </w:rPr>
        <w:t>the source of primary interest for dioxin releases</w:t>
      </w:r>
      <w:r w:rsidR="0FF91DD2" w:rsidRPr="0C34660A">
        <w:rPr>
          <w:lang w:val="en-US"/>
        </w:rPr>
        <w:t>.</w:t>
      </w:r>
      <w:r w:rsidR="24854215" w:rsidRPr="0C34660A">
        <w:rPr>
          <w:lang w:val="en-US"/>
        </w:rPr>
        <w:t xml:space="preserve"> </w:t>
      </w:r>
    </w:p>
    <w:p w14:paraId="2DF2A565" w14:textId="77777777" w:rsidR="006761D2" w:rsidRPr="003D73C3" w:rsidRDefault="006761D2" w:rsidP="006761D2">
      <w:pPr>
        <w:spacing w:before="240" w:line="300" w:lineRule="atLeast"/>
        <w:jc w:val="both"/>
        <w:rPr>
          <w:rFonts w:ascii="Arial" w:hAnsi="Arial" w:cs="Arial"/>
          <w:b/>
          <w:szCs w:val="18"/>
        </w:rPr>
      </w:pPr>
      <w:r w:rsidRPr="003D73C3">
        <w:rPr>
          <w:rFonts w:ascii="Arial" w:hAnsi="Arial" w:cs="Arial"/>
          <w:b/>
          <w:szCs w:val="18"/>
        </w:rPr>
        <w:t>Black liquor combustion</w:t>
      </w:r>
    </w:p>
    <w:p w14:paraId="50BFE969" w14:textId="6B12E6A1" w:rsidR="006761D2" w:rsidRPr="003D73C3" w:rsidRDefault="24854215" w:rsidP="0C34660A">
      <w:pPr>
        <w:spacing w:line="300" w:lineRule="atLeast"/>
        <w:jc w:val="both"/>
        <w:rPr>
          <w:lang w:val="en-US"/>
        </w:rPr>
      </w:pPr>
      <w:r w:rsidRPr="0C34660A">
        <w:rPr>
          <w:lang w:val="en-US"/>
        </w:rPr>
        <w:t xml:space="preserve">There are two primary sources of dioxin </w:t>
      </w:r>
      <w:bookmarkStart w:id="337" w:name="_Int_mc3vXapE"/>
      <w:r w:rsidRPr="0C34660A">
        <w:rPr>
          <w:lang w:val="en-US"/>
        </w:rPr>
        <w:t>releases</w:t>
      </w:r>
      <w:bookmarkEnd w:id="337"/>
      <w:r w:rsidRPr="0C34660A">
        <w:rPr>
          <w:lang w:val="en-US"/>
        </w:rPr>
        <w:t xml:space="preserve"> to air from bleached kraft mills: the combustion of wood and other biomass in the power boilers, and the combustion of black liquor in the chemical recovery boilers. The contributions from the power boilers have already been addressed under section </w:t>
      </w:r>
      <w:r w:rsidR="006761D2" w:rsidRPr="0C34660A">
        <w:rPr>
          <w:lang w:val="en-US"/>
        </w:rPr>
        <w:fldChar w:fldCharType="begin"/>
      </w:r>
      <w:r w:rsidR="006761D2" w:rsidRPr="0C34660A">
        <w:rPr>
          <w:lang w:val="en-US"/>
        </w:rPr>
        <w:instrText xml:space="preserve"> REF _Ref359768535 \r \h </w:instrText>
      </w:r>
      <w:r w:rsidR="00AF1200" w:rsidRPr="0C34660A">
        <w:rPr>
          <w:lang w:val="en-US"/>
        </w:rPr>
        <w:instrText xml:space="preserve"> \* MERGEFORMAT </w:instrText>
      </w:r>
      <w:r w:rsidR="006761D2" w:rsidRPr="0C34660A">
        <w:rPr>
          <w:lang w:val="en-US"/>
        </w:rPr>
      </w:r>
      <w:r w:rsidR="006761D2" w:rsidRPr="0C34660A">
        <w:rPr>
          <w:lang w:val="en-US"/>
        </w:rPr>
        <w:fldChar w:fldCharType="separate"/>
      </w:r>
      <w:r w:rsidR="00141D7F">
        <w:rPr>
          <w:lang w:val="en-US"/>
        </w:rPr>
        <w:t>5.2</w:t>
      </w:r>
      <w:r w:rsidR="006761D2" w:rsidRPr="0C34660A">
        <w:rPr>
          <w:lang w:val="en-US"/>
        </w:rPr>
        <w:fldChar w:fldCharType="end"/>
      </w:r>
      <w:r w:rsidRPr="0C34660A">
        <w:rPr>
          <w:lang w:val="en-US"/>
        </w:rPr>
        <w:t>, so only the recovery boilers are covered here.</w:t>
      </w:r>
    </w:p>
    <w:p w14:paraId="0BC287E5" w14:textId="2954DF1E" w:rsidR="00B57B76" w:rsidRPr="003D73C3" w:rsidRDefault="24854215" w:rsidP="00B57B76">
      <w:pPr>
        <w:spacing w:line="300" w:lineRule="atLeast"/>
        <w:jc w:val="both"/>
        <w:rPr>
          <w:szCs w:val="18"/>
        </w:rPr>
      </w:pPr>
      <w:r>
        <w:t xml:space="preserve">Black liquor is the liquid residue that is left after the cellulose fibre has been extracted from wood chips with pulping liquor in the kraft process. </w:t>
      </w:r>
      <w:r w:rsidR="00B57B76" w:rsidRPr="003D73C3">
        <w:rPr>
          <w:szCs w:val="18"/>
        </w:rPr>
        <w:t>Releases from black liquor combustion are directly related to pulp production figures, and the total annual production of kraft pulp at the two mills in 20</w:t>
      </w:r>
      <w:r w:rsidR="00B57B76">
        <w:rPr>
          <w:szCs w:val="18"/>
        </w:rPr>
        <w:t>20</w:t>
      </w:r>
      <w:r w:rsidR="00B57B76" w:rsidRPr="003D73C3">
        <w:rPr>
          <w:szCs w:val="18"/>
        </w:rPr>
        <w:t xml:space="preserve"> was about </w:t>
      </w:r>
      <w:r w:rsidR="00B57B76">
        <w:rPr>
          <w:szCs w:val="18"/>
        </w:rPr>
        <w:t>498</w:t>
      </w:r>
      <w:r w:rsidR="00B57B76" w:rsidRPr="003D73C3">
        <w:rPr>
          <w:szCs w:val="18"/>
        </w:rPr>
        <w:t>,</w:t>
      </w:r>
      <w:r w:rsidR="00B57B76">
        <w:rPr>
          <w:szCs w:val="18"/>
        </w:rPr>
        <w:t>338</w:t>
      </w:r>
      <w:r w:rsidR="00B57B76" w:rsidRPr="003D73C3">
        <w:rPr>
          <w:szCs w:val="18"/>
        </w:rPr>
        <w:t xml:space="preserve"> tonnes on an air-dry basis</w:t>
      </w:r>
      <w:r w:rsidR="00B57B76">
        <w:rPr>
          <w:noProof/>
          <w:szCs w:val="18"/>
        </w:rPr>
        <w:t xml:space="preserve">. A total of 1,215,226 tonnes of black liqor were combusted </w:t>
      </w:r>
      <w:r w:rsidR="00B57B76" w:rsidRPr="003D73C3">
        <w:rPr>
          <w:noProof/>
          <w:szCs w:val="18"/>
        </w:rPr>
        <w:t>(</w:t>
      </w:r>
      <w:r w:rsidR="00B57B76">
        <w:rPr>
          <w:noProof/>
          <w:szCs w:val="18"/>
        </w:rPr>
        <w:t>E Mercer, Oji Fibre Solutions</w:t>
      </w:r>
      <w:r w:rsidR="00B57B76" w:rsidRPr="003D73C3">
        <w:rPr>
          <w:noProof/>
          <w:szCs w:val="18"/>
        </w:rPr>
        <w:t>,</w:t>
      </w:r>
      <w:r w:rsidR="00B57B76">
        <w:rPr>
          <w:noProof/>
          <w:szCs w:val="18"/>
        </w:rPr>
        <w:t xml:space="preserve"> pers comm, </w:t>
      </w:r>
      <w:r w:rsidR="00B57B76" w:rsidRPr="003D73C3">
        <w:rPr>
          <w:noProof/>
          <w:szCs w:val="18"/>
        </w:rPr>
        <w:t>2022)</w:t>
      </w:r>
      <w:r w:rsidR="00B57B76">
        <w:rPr>
          <w:noProof/>
          <w:szCs w:val="18"/>
        </w:rPr>
        <w:t>.</w:t>
      </w:r>
    </w:p>
    <w:p w14:paraId="1E3AB4AC" w14:textId="4AAFD7B2" w:rsidR="006761D2" w:rsidRPr="003D73C3" w:rsidRDefault="006761D2" w:rsidP="006761D2">
      <w:pPr>
        <w:spacing w:line="300" w:lineRule="atLeast"/>
        <w:jc w:val="both"/>
        <w:rPr>
          <w:szCs w:val="18"/>
          <w:lang w:val="en-US"/>
        </w:rPr>
      </w:pPr>
      <w:r w:rsidRPr="003D73C3">
        <w:rPr>
          <w:szCs w:val="18"/>
          <w:lang w:val="en-US"/>
        </w:rPr>
        <w:lastRenderedPageBreak/>
        <w:t>The release estimates for the previous inventories were based on the results of emission testing on the two recovery boilers at the Waikato mill</w:t>
      </w:r>
      <w:r w:rsidR="00506E92" w:rsidRPr="003D73C3">
        <w:rPr>
          <w:szCs w:val="18"/>
          <w:lang w:val="en-US"/>
        </w:rPr>
        <w:t xml:space="preserve"> with a resulting </w:t>
      </w:r>
      <w:r w:rsidRPr="003D73C3">
        <w:rPr>
          <w:szCs w:val="18"/>
          <w:lang w:val="en-US"/>
        </w:rPr>
        <w:t>release factor of 0.025 µg TEQ per tonne of black liquor solids</w:t>
      </w:r>
      <w:r w:rsidR="007D7421" w:rsidRPr="003D73C3">
        <w:rPr>
          <w:szCs w:val="18"/>
          <w:lang w:val="en-US"/>
        </w:rPr>
        <w:t>. This factor</w:t>
      </w:r>
      <w:r w:rsidRPr="003D73C3">
        <w:rPr>
          <w:szCs w:val="18"/>
          <w:lang w:val="en-US"/>
        </w:rPr>
        <w:t xml:space="preserve"> has been </w:t>
      </w:r>
      <w:r w:rsidRPr="003D73C3">
        <w:rPr>
          <w:szCs w:val="18"/>
        </w:rPr>
        <w:t xml:space="preserve">used for the current estimates </w:t>
      </w:r>
      <w:r w:rsidRPr="003D73C3">
        <w:rPr>
          <w:szCs w:val="18"/>
          <w:lang w:val="en-US"/>
        </w:rPr>
        <w:t>(0.025 x 10</w:t>
      </w:r>
      <w:r w:rsidRPr="003D73C3">
        <w:rPr>
          <w:szCs w:val="18"/>
          <w:vertAlign w:val="superscript"/>
          <w:lang w:val="en-US"/>
        </w:rPr>
        <w:t>-6</w:t>
      </w:r>
      <w:r w:rsidRPr="003D73C3">
        <w:rPr>
          <w:szCs w:val="18"/>
          <w:lang w:val="en-US"/>
        </w:rPr>
        <w:t xml:space="preserve"> g TEQ/tonne)</w:t>
      </w:r>
      <w:r w:rsidRPr="003D73C3">
        <w:rPr>
          <w:szCs w:val="18"/>
        </w:rPr>
        <w:t>.</w:t>
      </w:r>
    </w:p>
    <w:p w14:paraId="4D31E41B" w14:textId="46F1DF3C" w:rsidR="006761D2" w:rsidRPr="003D73C3" w:rsidRDefault="006761D2" w:rsidP="006761D2">
      <w:pPr>
        <w:spacing w:line="300" w:lineRule="atLeast"/>
        <w:jc w:val="both"/>
        <w:rPr>
          <w:szCs w:val="18"/>
        </w:rPr>
      </w:pPr>
      <w:r w:rsidRPr="003D73C3">
        <w:rPr>
          <w:szCs w:val="18"/>
        </w:rPr>
        <w:t xml:space="preserve">The </w:t>
      </w:r>
      <w:r w:rsidR="007D7421" w:rsidRPr="003D73C3">
        <w:rPr>
          <w:szCs w:val="18"/>
        </w:rPr>
        <w:t>2020</w:t>
      </w:r>
      <w:r w:rsidRPr="003D73C3">
        <w:rPr>
          <w:szCs w:val="18"/>
        </w:rPr>
        <w:t xml:space="preserve"> estimates for releases to air from black liquor combustion are shown in </w:t>
      </w:r>
      <w:r w:rsidRPr="003D73C3">
        <w:rPr>
          <w:szCs w:val="18"/>
        </w:rPr>
        <w:fldChar w:fldCharType="begin"/>
      </w:r>
      <w:r w:rsidRPr="003D73C3">
        <w:rPr>
          <w:szCs w:val="18"/>
        </w:rPr>
        <w:instrText xml:space="preserve"> REF _Ref359769284 \h  \* MERGEFORMAT </w:instrText>
      </w:r>
      <w:r w:rsidRPr="003D73C3">
        <w:rPr>
          <w:szCs w:val="18"/>
        </w:rPr>
      </w:r>
      <w:r w:rsidRPr="003D73C3">
        <w:rPr>
          <w:szCs w:val="18"/>
        </w:rPr>
        <w:fldChar w:fldCharType="separate"/>
      </w:r>
      <w:r w:rsidR="00141D7F" w:rsidRPr="00141D7F">
        <w:t xml:space="preserve">Table </w:t>
      </w:r>
      <w:r w:rsidR="00141D7F" w:rsidRPr="00141D7F">
        <w:rPr>
          <w:noProof/>
        </w:rPr>
        <w:t>9</w:t>
      </w:r>
      <w:r w:rsidR="00141D7F" w:rsidRPr="00141D7F">
        <w:rPr>
          <w:noProof/>
        </w:rPr>
        <w:noBreakHyphen/>
        <w:t>1</w:t>
      </w:r>
      <w:r w:rsidRPr="003D73C3">
        <w:rPr>
          <w:szCs w:val="18"/>
        </w:rPr>
        <w:fldChar w:fldCharType="end"/>
      </w:r>
      <w:r w:rsidRPr="003D73C3">
        <w:rPr>
          <w:szCs w:val="18"/>
        </w:rPr>
        <w:t>, a</w:t>
      </w:r>
      <w:r w:rsidR="00D30F98">
        <w:rPr>
          <w:szCs w:val="18"/>
        </w:rPr>
        <w:t xml:space="preserve">long </w:t>
      </w:r>
      <w:r w:rsidRPr="003D73C3">
        <w:rPr>
          <w:szCs w:val="18"/>
        </w:rPr>
        <w:t xml:space="preserve">with the estimates made in the 2012 </w:t>
      </w:r>
      <w:r w:rsidR="007D7421" w:rsidRPr="003D73C3">
        <w:rPr>
          <w:szCs w:val="18"/>
        </w:rPr>
        <w:t xml:space="preserve">and 2016 </w:t>
      </w:r>
      <w:r w:rsidRPr="003D73C3">
        <w:rPr>
          <w:szCs w:val="18"/>
        </w:rPr>
        <w:t>Inventor</w:t>
      </w:r>
      <w:r w:rsidR="007D7421" w:rsidRPr="003D73C3">
        <w:rPr>
          <w:szCs w:val="18"/>
        </w:rPr>
        <w:t>ies</w:t>
      </w:r>
      <w:r w:rsidRPr="003D73C3">
        <w:rPr>
          <w:szCs w:val="18"/>
        </w:rPr>
        <w:t>. There are no releases to water, land, or in products or residues</w:t>
      </w:r>
      <w:r w:rsidR="00D30F98">
        <w:rPr>
          <w:szCs w:val="18"/>
        </w:rPr>
        <w:t>.</w:t>
      </w:r>
      <w:r w:rsidRPr="003D73C3">
        <w:rPr>
          <w:szCs w:val="18"/>
        </w:rPr>
        <w:t xml:space="preserve"> </w:t>
      </w:r>
    </w:p>
    <w:p w14:paraId="0E08AD70" w14:textId="2208A360" w:rsidR="006761D2" w:rsidRPr="003D73C3" w:rsidRDefault="006761D2" w:rsidP="006761D2">
      <w:pPr>
        <w:pStyle w:val="Caption"/>
        <w:jc w:val="left"/>
        <w:rPr>
          <w:rFonts w:cs="Arial"/>
          <w:szCs w:val="18"/>
        </w:rPr>
      </w:pPr>
      <w:bookmarkStart w:id="338" w:name="_Ref359769284"/>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9</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1</w:t>
      </w:r>
      <w:r w:rsidRPr="003D73C3">
        <w:rPr>
          <w:rFonts w:cs="Arial"/>
        </w:rPr>
        <w:fldChar w:fldCharType="end"/>
      </w:r>
      <w:bookmarkEnd w:id="338"/>
      <w:r w:rsidRPr="003D73C3">
        <w:rPr>
          <w:rFonts w:cs="Arial"/>
        </w:rPr>
        <w:t>: Dioxin releases from black liquor combustion</w:t>
      </w:r>
    </w:p>
    <w:tbl>
      <w:tblPr>
        <w:tblStyle w:val="TableGrid"/>
        <w:tblW w:w="0" w:type="auto"/>
        <w:tblLook w:val="04A0" w:firstRow="1" w:lastRow="0" w:firstColumn="1" w:lastColumn="0" w:noHBand="0" w:noVBand="1"/>
      </w:tblPr>
      <w:tblGrid>
        <w:gridCol w:w="911"/>
        <w:gridCol w:w="2595"/>
        <w:gridCol w:w="2841"/>
        <w:gridCol w:w="2714"/>
      </w:tblGrid>
      <w:tr w:rsidR="006761D2" w:rsidRPr="007D7421" w14:paraId="7F7D21EE" w14:textId="77777777" w:rsidTr="0030171B">
        <w:tc>
          <w:tcPr>
            <w:tcW w:w="911" w:type="dxa"/>
            <w:vMerge w:val="restart"/>
            <w:vAlign w:val="center"/>
          </w:tcPr>
          <w:p w14:paraId="7DF25C0E"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95" w:type="dxa"/>
            <w:vMerge w:val="restart"/>
            <w:vAlign w:val="center"/>
          </w:tcPr>
          <w:p w14:paraId="55C27208"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339" w:name="_Int_ZEvyndFO"/>
            <w:r w:rsidRPr="0C34660A">
              <w:rPr>
                <w:rFonts w:ascii="Arial" w:hAnsi="Arial" w:cs="Arial"/>
                <w:b/>
                <w:bCs/>
                <w:sz w:val="16"/>
                <w:szCs w:val="16"/>
              </w:rPr>
              <w:t>tonnes</w:t>
            </w:r>
            <w:bookmarkEnd w:id="339"/>
            <w:r w:rsidRPr="0C34660A">
              <w:rPr>
                <w:rFonts w:ascii="Arial" w:hAnsi="Arial" w:cs="Arial"/>
                <w:b/>
                <w:bCs/>
                <w:sz w:val="16"/>
                <w:szCs w:val="16"/>
              </w:rPr>
              <w:t xml:space="preserve"> of black liquor solids/year)</w:t>
            </w:r>
          </w:p>
        </w:tc>
        <w:tc>
          <w:tcPr>
            <w:tcW w:w="2841" w:type="dxa"/>
            <w:vAlign w:val="center"/>
          </w:tcPr>
          <w:p w14:paraId="1F9D7AC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BLS)</w:t>
            </w:r>
          </w:p>
        </w:tc>
        <w:tc>
          <w:tcPr>
            <w:tcW w:w="2714" w:type="dxa"/>
            <w:vAlign w:val="center"/>
          </w:tcPr>
          <w:p w14:paraId="777C8812"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7D7421" w14:paraId="4D81E762" w14:textId="77777777" w:rsidTr="00E95BD6">
        <w:tc>
          <w:tcPr>
            <w:tcW w:w="911" w:type="dxa"/>
            <w:vMerge/>
          </w:tcPr>
          <w:p w14:paraId="7E8BB05A" w14:textId="77777777" w:rsidR="006761D2" w:rsidRPr="003D73C3" w:rsidRDefault="006761D2" w:rsidP="009F7DB8">
            <w:pPr>
              <w:spacing w:before="120"/>
              <w:jc w:val="both"/>
              <w:rPr>
                <w:rFonts w:ascii="Arial" w:hAnsi="Arial" w:cs="Arial"/>
                <w:sz w:val="16"/>
                <w:szCs w:val="18"/>
              </w:rPr>
            </w:pPr>
          </w:p>
        </w:tc>
        <w:tc>
          <w:tcPr>
            <w:tcW w:w="2595" w:type="dxa"/>
            <w:vMerge/>
            <w:vAlign w:val="center"/>
          </w:tcPr>
          <w:p w14:paraId="4FF96781" w14:textId="77777777" w:rsidR="006761D2" w:rsidRPr="003D73C3" w:rsidRDefault="006761D2" w:rsidP="009F7DB8">
            <w:pPr>
              <w:spacing w:before="120"/>
              <w:jc w:val="center"/>
              <w:rPr>
                <w:rFonts w:ascii="Arial" w:hAnsi="Arial" w:cs="Arial"/>
                <w:sz w:val="16"/>
                <w:szCs w:val="18"/>
              </w:rPr>
            </w:pPr>
          </w:p>
        </w:tc>
        <w:tc>
          <w:tcPr>
            <w:tcW w:w="2841" w:type="dxa"/>
            <w:vAlign w:val="center"/>
          </w:tcPr>
          <w:p w14:paraId="2E048E9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14" w:type="dxa"/>
            <w:vAlign w:val="center"/>
          </w:tcPr>
          <w:p w14:paraId="7FDFF33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0A74F5" w:rsidRPr="007D7421" w14:paraId="5B5033EB" w14:textId="77777777" w:rsidTr="00E95BD6">
        <w:tc>
          <w:tcPr>
            <w:tcW w:w="911" w:type="dxa"/>
            <w:vAlign w:val="center"/>
          </w:tcPr>
          <w:p w14:paraId="0B967E2F" w14:textId="1D6398DA" w:rsidR="000A74F5" w:rsidRPr="003D73C3" w:rsidRDefault="000A74F5" w:rsidP="009F7DB8">
            <w:pPr>
              <w:spacing w:before="120"/>
              <w:rPr>
                <w:rFonts w:ascii="Arial" w:hAnsi="Arial" w:cs="Arial"/>
                <w:b/>
                <w:sz w:val="16"/>
                <w:szCs w:val="18"/>
              </w:rPr>
            </w:pPr>
            <w:r w:rsidRPr="003D73C3">
              <w:rPr>
                <w:rFonts w:ascii="Arial" w:hAnsi="Arial" w:cs="Arial"/>
                <w:b/>
                <w:sz w:val="16"/>
                <w:szCs w:val="18"/>
              </w:rPr>
              <w:t>2012</w:t>
            </w:r>
          </w:p>
        </w:tc>
        <w:tc>
          <w:tcPr>
            <w:tcW w:w="2595" w:type="dxa"/>
            <w:vAlign w:val="center"/>
          </w:tcPr>
          <w:p w14:paraId="277393E9" w14:textId="10EBB4F2"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1,440,000</w:t>
            </w:r>
          </w:p>
        </w:tc>
        <w:tc>
          <w:tcPr>
            <w:tcW w:w="2841" w:type="dxa"/>
            <w:vAlign w:val="center"/>
          </w:tcPr>
          <w:p w14:paraId="17FE2C63" w14:textId="3D8961E9"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0.025</w:t>
            </w:r>
          </w:p>
        </w:tc>
        <w:tc>
          <w:tcPr>
            <w:tcW w:w="2714" w:type="dxa"/>
            <w:vAlign w:val="center"/>
          </w:tcPr>
          <w:p w14:paraId="0CF9842C" w14:textId="5A7DF1BF"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0.0360</w:t>
            </w:r>
          </w:p>
        </w:tc>
      </w:tr>
      <w:tr w:rsidR="000A74F5" w:rsidRPr="007D7421" w14:paraId="5FF11DA7" w14:textId="77777777" w:rsidTr="00E95BD6">
        <w:tc>
          <w:tcPr>
            <w:tcW w:w="911" w:type="dxa"/>
            <w:vAlign w:val="center"/>
          </w:tcPr>
          <w:p w14:paraId="2EE4B775" w14:textId="2CB01EE1" w:rsidR="000A74F5" w:rsidRPr="003D73C3" w:rsidRDefault="000A74F5" w:rsidP="009F7DB8">
            <w:pPr>
              <w:spacing w:before="120"/>
              <w:rPr>
                <w:rFonts w:ascii="Arial" w:hAnsi="Arial" w:cs="Arial"/>
                <w:b/>
                <w:sz w:val="16"/>
                <w:szCs w:val="18"/>
              </w:rPr>
            </w:pPr>
            <w:r w:rsidRPr="003D73C3">
              <w:rPr>
                <w:rFonts w:ascii="Arial" w:hAnsi="Arial" w:cs="Arial"/>
                <w:b/>
                <w:sz w:val="16"/>
                <w:szCs w:val="18"/>
              </w:rPr>
              <w:t>2016</w:t>
            </w:r>
          </w:p>
        </w:tc>
        <w:tc>
          <w:tcPr>
            <w:tcW w:w="2595" w:type="dxa"/>
            <w:vAlign w:val="center"/>
          </w:tcPr>
          <w:p w14:paraId="175ECB5D" w14:textId="7B9D6631"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1,930,000</w:t>
            </w:r>
          </w:p>
        </w:tc>
        <w:tc>
          <w:tcPr>
            <w:tcW w:w="2841" w:type="dxa"/>
            <w:vAlign w:val="center"/>
          </w:tcPr>
          <w:p w14:paraId="2AAC69AE" w14:textId="60665870"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0.025</w:t>
            </w:r>
          </w:p>
        </w:tc>
        <w:tc>
          <w:tcPr>
            <w:tcW w:w="2714" w:type="dxa"/>
            <w:vAlign w:val="center"/>
          </w:tcPr>
          <w:p w14:paraId="335F0936" w14:textId="515BBD71" w:rsidR="000A74F5" w:rsidRPr="003D73C3" w:rsidRDefault="000A74F5" w:rsidP="009F7DB8">
            <w:pPr>
              <w:spacing w:before="120"/>
              <w:jc w:val="center"/>
              <w:rPr>
                <w:rFonts w:ascii="Arial" w:hAnsi="Arial" w:cs="Arial"/>
                <w:sz w:val="16"/>
                <w:szCs w:val="18"/>
              </w:rPr>
            </w:pPr>
            <w:r w:rsidRPr="003D73C3">
              <w:rPr>
                <w:rFonts w:ascii="Arial" w:hAnsi="Arial" w:cs="Arial"/>
                <w:sz w:val="16"/>
                <w:szCs w:val="18"/>
              </w:rPr>
              <w:t>0.0483</w:t>
            </w:r>
          </w:p>
        </w:tc>
      </w:tr>
      <w:tr w:rsidR="00C01C72" w:rsidRPr="00AF1200" w14:paraId="39669F93" w14:textId="77777777" w:rsidTr="00E95BD6">
        <w:tc>
          <w:tcPr>
            <w:tcW w:w="911" w:type="dxa"/>
            <w:vAlign w:val="center"/>
          </w:tcPr>
          <w:p w14:paraId="6A84D551" w14:textId="6AB7CC01" w:rsidR="00C01C72" w:rsidRPr="003D73C3" w:rsidRDefault="00C01C72" w:rsidP="00C01C72">
            <w:pPr>
              <w:spacing w:before="120"/>
              <w:rPr>
                <w:rFonts w:ascii="Arial" w:hAnsi="Arial" w:cs="Arial"/>
                <w:b/>
                <w:sz w:val="16"/>
                <w:szCs w:val="18"/>
              </w:rPr>
            </w:pPr>
            <w:r w:rsidRPr="003D73C3">
              <w:rPr>
                <w:rFonts w:ascii="Arial" w:hAnsi="Arial" w:cs="Arial"/>
                <w:b/>
                <w:sz w:val="16"/>
                <w:szCs w:val="18"/>
              </w:rPr>
              <w:t>2020</w:t>
            </w:r>
          </w:p>
        </w:tc>
        <w:tc>
          <w:tcPr>
            <w:tcW w:w="2595" w:type="dxa"/>
            <w:vAlign w:val="center"/>
          </w:tcPr>
          <w:p w14:paraId="04F87A97" w14:textId="1E752A53" w:rsidR="00C01C72" w:rsidRPr="003D73C3" w:rsidRDefault="00C01C72" w:rsidP="00C01C72">
            <w:pPr>
              <w:spacing w:before="120"/>
              <w:jc w:val="center"/>
              <w:rPr>
                <w:rFonts w:ascii="Arial" w:hAnsi="Arial" w:cs="Arial"/>
                <w:sz w:val="16"/>
                <w:szCs w:val="18"/>
              </w:rPr>
            </w:pPr>
            <w:r w:rsidRPr="003D73C3">
              <w:rPr>
                <w:rFonts w:ascii="Arial" w:hAnsi="Arial" w:cs="Arial"/>
                <w:sz w:val="16"/>
                <w:szCs w:val="18"/>
              </w:rPr>
              <w:t>1,</w:t>
            </w:r>
            <w:r>
              <w:rPr>
                <w:rFonts w:ascii="Arial" w:hAnsi="Arial" w:cs="Arial"/>
                <w:sz w:val="16"/>
                <w:szCs w:val="18"/>
              </w:rPr>
              <w:t>215</w:t>
            </w:r>
            <w:r w:rsidRPr="003D73C3">
              <w:rPr>
                <w:rFonts w:ascii="Arial" w:hAnsi="Arial" w:cs="Arial"/>
                <w:sz w:val="16"/>
                <w:szCs w:val="18"/>
              </w:rPr>
              <w:t>,</w:t>
            </w:r>
            <w:r>
              <w:rPr>
                <w:rFonts w:ascii="Arial" w:hAnsi="Arial" w:cs="Arial"/>
                <w:sz w:val="16"/>
                <w:szCs w:val="18"/>
              </w:rPr>
              <w:t>226</w:t>
            </w:r>
          </w:p>
        </w:tc>
        <w:tc>
          <w:tcPr>
            <w:tcW w:w="2841" w:type="dxa"/>
            <w:vAlign w:val="center"/>
          </w:tcPr>
          <w:p w14:paraId="4B83B77D" w14:textId="6EE01E80" w:rsidR="00C01C72" w:rsidRPr="003D73C3" w:rsidRDefault="00C01C72" w:rsidP="00C01C72">
            <w:pPr>
              <w:spacing w:before="120"/>
              <w:jc w:val="center"/>
              <w:rPr>
                <w:rFonts w:ascii="Arial" w:hAnsi="Arial" w:cs="Arial"/>
                <w:sz w:val="16"/>
                <w:szCs w:val="18"/>
              </w:rPr>
            </w:pPr>
            <w:r w:rsidRPr="003D73C3">
              <w:rPr>
                <w:rFonts w:ascii="Arial" w:hAnsi="Arial" w:cs="Arial"/>
                <w:sz w:val="16"/>
                <w:szCs w:val="18"/>
              </w:rPr>
              <w:t>0.025</w:t>
            </w:r>
          </w:p>
        </w:tc>
        <w:tc>
          <w:tcPr>
            <w:tcW w:w="2714" w:type="dxa"/>
            <w:vAlign w:val="center"/>
          </w:tcPr>
          <w:p w14:paraId="17231EF0" w14:textId="237C471F" w:rsidR="00C01C72" w:rsidRPr="003D73C3" w:rsidRDefault="00C01C72" w:rsidP="00C01C72">
            <w:pPr>
              <w:spacing w:before="120"/>
              <w:jc w:val="center"/>
              <w:rPr>
                <w:rFonts w:ascii="Arial" w:hAnsi="Arial" w:cs="Arial"/>
                <w:sz w:val="16"/>
                <w:szCs w:val="18"/>
              </w:rPr>
            </w:pPr>
            <w:r w:rsidRPr="003D73C3">
              <w:rPr>
                <w:rFonts w:ascii="Arial" w:hAnsi="Arial" w:cs="Arial"/>
                <w:sz w:val="16"/>
                <w:szCs w:val="18"/>
              </w:rPr>
              <w:t>0.03</w:t>
            </w:r>
            <w:r>
              <w:rPr>
                <w:rFonts w:ascii="Arial" w:hAnsi="Arial" w:cs="Arial"/>
                <w:sz w:val="16"/>
                <w:szCs w:val="18"/>
              </w:rPr>
              <w:t>04</w:t>
            </w:r>
          </w:p>
        </w:tc>
      </w:tr>
    </w:tbl>
    <w:p w14:paraId="400B82FC" w14:textId="3AC2459D"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7D7421" w:rsidRPr="003D73C3">
        <w:rPr>
          <w:rFonts w:ascii="Arial" w:hAnsi="Arial" w:cs="Arial"/>
          <w:b/>
          <w:szCs w:val="18"/>
        </w:rPr>
        <w:t>2020</w:t>
      </w:r>
    </w:p>
    <w:p w14:paraId="14ACC5EE" w14:textId="4E6576E8"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r>
      <w:r w:rsidR="00C01C72">
        <w:rPr>
          <w:szCs w:val="18"/>
        </w:rPr>
        <w:t xml:space="preserve">High </w:t>
      </w:r>
      <w:r w:rsidRPr="003D73C3">
        <w:rPr>
          <w:szCs w:val="18"/>
        </w:rPr>
        <w:t xml:space="preserve">(because it is based on </w:t>
      </w:r>
      <w:r w:rsidR="00C01C72">
        <w:rPr>
          <w:szCs w:val="18"/>
        </w:rPr>
        <w:t>actual production data</w:t>
      </w:r>
      <w:r w:rsidRPr="003D73C3">
        <w:rPr>
          <w:szCs w:val="18"/>
        </w:rPr>
        <w:t>)</w:t>
      </w:r>
    </w:p>
    <w:p w14:paraId="433200C5" w14:textId="04E1F534" w:rsidR="006761D2" w:rsidRPr="003D73C3" w:rsidRDefault="006761D2" w:rsidP="000A74F5">
      <w:pPr>
        <w:tabs>
          <w:tab w:val="left" w:pos="1701"/>
        </w:tabs>
        <w:spacing w:line="300" w:lineRule="atLeast"/>
        <w:ind w:left="1701" w:hanging="1701"/>
        <w:jc w:val="both"/>
        <w:rPr>
          <w:szCs w:val="18"/>
        </w:rPr>
      </w:pPr>
      <w:r w:rsidRPr="003D73C3">
        <w:rPr>
          <w:szCs w:val="18"/>
        </w:rPr>
        <w:t xml:space="preserve">Emission factor: </w:t>
      </w:r>
      <w:r w:rsidRPr="003D73C3">
        <w:rPr>
          <w:szCs w:val="18"/>
        </w:rPr>
        <w:tab/>
        <w:t>Medium (because it is based on historical emission data)</w:t>
      </w:r>
      <w:r w:rsidR="000A74F5" w:rsidRPr="003D73C3">
        <w:rPr>
          <w:szCs w:val="18"/>
        </w:rPr>
        <w:t xml:space="preserve"> </w:t>
      </w:r>
    </w:p>
    <w:p w14:paraId="6994F69E" w14:textId="4984F42B" w:rsidR="006761D2" w:rsidRPr="003D73C3" w:rsidRDefault="006761D2" w:rsidP="006761D2">
      <w:pPr>
        <w:spacing w:before="240" w:line="300" w:lineRule="atLeast"/>
        <w:jc w:val="both"/>
        <w:rPr>
          <w:rFonts w:ascii="Arial" w:hAnsi="Arial" w:cs="Arial"/>
          <w:b/>
          <w:szCs w:val="18"/>
        </w:rPr>
      </w:pPr>
      <w:r w:rsidRPr="003D73C3">
        <w:rPr>
          <w:rFonts w:ascii="Arial" w:hAnsi="Arial" w:cs="Arial"/>
          <w:b/>
          <w:szCs w:val="18"/>
        </w:rPr>
        <w:t>Releases to land</w:t>
      </w:r>
      <w:r w:rsidR="002D7BD9">
        <w:rPr>
          <w:rFonts w:ascii="Arial" w:hAnsi="Arial" w:cs="Arial"/>
          <w:b/>
          <w:szCs w:val="18"/>
        </w:rPr>
        <w:t xml:space="preserve"> and products</w:t>
      </w:r>
    </w:p>
    <w:p w14:paraId="5A4429F9" w14:textId="7FA8BD24" w:rsidR="00C01C72" w:rsidRPr="003D73C3" w:rsidRDefault="24854215" w:rsidP="00C01C72">
      <w:pPr>
        <w:spacing w:line="300" w:lineRule="atLeast"/>
        <w:jc w:val="both"/>
        <w:rPr>
          <w:szCs w:val="18"/>
          <w:lang w:val="en-US"/>
        </w:rPr>
      </w:pPr>
      <w:r w:rsidRPr="0C34660A">
        <w:rPr>
          <w:lang w:val="en-US"/>
        </w:rPr>
        <w:t>The wastewater treatment systems used at both mills result in the production of both primary and secondary sludge, and these are the only solid waste streams expected to contain dioxin residues.</w:t>
      </w:r>
      <w:r w:rsidR="68BF27DA" w:rsidRPr="0C34660A">
        <w:rPr>
          <w:lang w:val="en-US"/>
        </w:rPr>
        <w:t xml:space="preserve"> </w:t>
      </w:r>
      <w:r w:rsidR="00C836DC">
        <w:rPr>
          <w:lang w:val="en-US"/>
        </w:rPr>
        <w:t>As with previous inventories</w:t>
      </w:r>
      <w:r w:rsidR="00D30F98">
        <w:rPr>
          <w:lang w:val="en-US"/>
        </w:rPr>
        <w:t xml:space="preserve"> t</w:t>
      </w:r>
      <w:r w:rsidRPr="0C34660A">
        <w:rPr>
          <w:lang w:val="en-US"/>
        </w:rPr>
        <w:t xml:space="preserve">he </w:t>
      </w:r>
      <w:r w:rsidR="56649FEA" w:rsidRPr="0C34660A">
        <w:rPr>
          <w:lang w:val="en-US"/>
        </w:rPr>
        <w:t xml:space="preserve">release </w:t>
      </w:r>
      <w:r w:rsidRPr="0C34660A">
        <w:rPr>
          <w:lang w:val="en-US"/>
        </w:rPr>
        <w:t xml:space="preserve">calculations have been based on an annual production rate for bleached </w:t>
      </w:r>
      <w:r w:rsidR="00C01C72">
        <w:rPr>
          <w:lang w:val="en-US"/>
        </w:rPr>
        <w:t xml:space="preserve">kraft </w:t>
      </w:r>
      <w:r w:rsidRPr="0C34660A">
        <w:rPr>
          <w:lang w:val="en-US"/>
        </w:rPr>
        <w:t>pulp only</w:t>
      </w:r>
      <w:r w:rsidR="00FB4EFB">
        <w:rPr>
          <w:lang w:val="en-US"/>
        </w:rPr>
        <w:t>.</w:t>
      </w:r>
      <w:r w:rsidR="00DA5AD5">
        <w:rPr>
          <w:lang w:val="en-US"/>
        </w:rPr>
        <w:t xml:space="preserve"> </w:t>
      </w:r>
      <w:r w:rsidR="00FB4EFB">
        <w:rPr>
          <w:lang w:val="en-US"/>
        </w:rPr>
        <w:t>T</w:t>
      </w:r>
      <w:r w:rsidRPr="0C34660A">
        <w:rPr>
          <w:lang w:val="en-US"/>
        </w:rPr>
        <w:t>he UNEP Toolkit default emission factor</w:t>
      </w:r>
      <w:r w:rsidR="00FB4EFB">
        <w:rPr>
          <w:lang w:val="en-US"/>
        </w:rPr>
        <w:t>s</w:t>
      </w:r>
      <w:r w:rsidRPr="0C34660A">
        <w:rPr>
          <w:lang w:val="en-US"/>
        </w:rPr>
        <w:t xml:space="preserve"> of 0.2 µg </w:t>
      </w:r>
      <w:r w:rsidR="00FB4EFB">
        <w:rPr>
          <w:lang w:val="en-US"/>
        </w:rPr>
        <w:t xml:space="preserve">and 0.5 </w:t>
      </w:r>
      <w:r w:rsidR="00FB4EFB" w:rsidRPr="0C34660A">
        <w:rPr>
          <w:lang w:val="en-US"/>
        </w:rPr>
        <w:t xml:space="preserve">µg </w:t>
      </w:r>
      <w:r w:rsidRPr="0C34660A">
        <w:rPr>
          <w:lang w:val="en-US"/>
        </w:rPr>
        <w:t>TEQ per tonne of air-dry pulp</w:t>
      </w:r>
      <w:r w:rsidR="00FB4EFB">
        <w:rPr>
          <w:lang w:val="en-US"/>
        </w:rPr>
        <w:t xml:space="preserve"> have been used for releases to land and products respectively</w:t>
      </w:r>
      <w:r w:rsidRPr="0C34660A">
        <w:rPr>
          <w:lang w:val="en-US"/>
        </w:rPr>
        <w:t xml:space="preserve">. </w:t>
      </w:r>
      <w:r w:rsidR="00DA5AD5">
        <w:rPr>
          <w:lang w:val="en-US"/>
        </w:rPr>
        <w:t xml:space="preserve">Total bleached kraft pulp production </w:t>
      </w:r>
      <w:r w:rsidR="00C01C72" w:rsidRPr="003D73C3">
        <w:rPr>
          <w:szCs w:val="18"/>
          <w:lang w:val="en-US"/>
        </w:rPr>
        <w:t>in 20</w:t>
      </w:r>
      <w:r w:rsidR="00C01C72">
        <w:rPr>
          <w:szCs w:val="18"/>
          <w:lang w:val="en-US"/>
        </w:rPr>
        <w:t>20</w:t>
      </w:r>
      <w:r w:rsidR="00C01C72" w:rsidRPr="003D73C3">
        <w:rPr>
          <w:szCs w:val="18"/>
          <w:lang w:val="en-US"/>
        </w:rPr>
        <w:t xml:space="preserve"> was </w:t>
      </w:r>
      <w:r w:rsidR="00C01C72">
        <w:rPr>
          <w:szCs w:val="18"/>
          <w:lang w:val="en-US"/>
        </w:rPr>
        <w:t>241,959</w:t>
      </w:r>
      <w:r w:rsidR="00C01C72" w:rsidRPr="003D73C3">
        <w:rPr>
          <w:szCs w:val="18"/>
          <w:lang w:val="en-US"/>
        </w:rPr>
        <w:t xml:space="preserve"> tonnes </w:t>
      </w:r>
      <w:r w:rsidR="00C01C72" w:rsidRPr="003D73C3">
        <w:rPr>
          <w:noProof/>
          <w:szCs w:val="18"/>
        </w:rPr>
        <w:t>(</w:t>
      </w:r>
      <w:r w:rsidR="00C01C72">
        <w:rPr>
          <w:noProof/>
          <w:szCs w:val="18"/>
        </w:rPr>
        <w:t>E. Mercer, Oji Fibre Solutions, pers comm, 2022</w:t>
      </w:r>
      <w:r w:rsidR="00C01C72" w:rsidRPr="003D73C3">
        <w:rPr>
          <w:noProof/>
          <w:szCs w:val="18"/>
        </w:rPr>
        <w:t>)</w:t>
      </w:r>
      <w:r w:rsidR="00C01C72" w:rsidRPr="003D73C3">
        <w:rPr>
          <w:szCs w:val="18"/>
          <w:lang w:val="en-US"/>
        </w:rPr>
        <w:t>.</w:t>
      </w:r>
    </w:p>
    <w:p w14:paraId="5289E6B0" w14:textId="484D1434" w:rsidR="006761D2" w:rsidRPr="003D73C3" w:rsidRDefault="006761D2" w:rsidP="006761D2">
      <w:pPr>
        <w:spacing w:line="300" w:lineRule="atLeast"/>
        <w:jc w:val="both"/>
        <w:rPr>
          <w:szCs w:val="18"/>
        </w:rPr>
      </w:pPr>
      <w:r w:rsidRPr="003D73C3">
        <w:rPr>
          <w:szCs w:val="18"/>
        </w:rPr>
        <w:t xml:space="preserve">The </w:t>
      </w:r>
      <w:r w:rsidR="00800F34" w:rsidRPr="003D73C3">
        <w:rPr>
          <w:szCs w:val="18"/>
        </w:rPr>
        <w:t>2020</w:t>
      </w:r>
      <w:r w:rsidRPr="003D73C3">
        <w:rPr>
          <w:szCs w:val="18"/>
        </w:rPr>
        <w:t xml:space="preserve"> estimates for releases</w:t>
      </w:r>
      <w:r w:rsidR="00FB4EFB">
        <w:rPr>
          <w:szCs w:val="18"/>
        </w:rPr>
        <w:t xml:space="preserve"> </w:t>
      </w:r>
      <w:r w:rsidRPr="003D73C3">
        <w:rPr>
          <w:szCs w:val="18"/>
        </w:rPr>
        <w:t xml:space="preserve">from bleached pulp production are shown in Table 9-2, </w:t>
      </w:r>
      <w:r w:rsidR="00C836DC">
        <w:rPr>
          <w:szCs w:val="18"/>
        </w:rPr>
        <w:t xml:space="preserve">including </w:t>
      </w:r>
      <w:r w:rsidRPr="003D73C3">
        <w:rPr>
          <w:szCs w:val="18"/>
        </w:rPr>
        <w:t xml:space="preserve">2012 </w:t>
      </w:r>
      <w:r w:rsidR="00800F34" w:rsidRPr="003D73C3">
        <w:rPr>
          <w:szCs w:val="18"/>
        </w:rPr>
        <w:t xml:space="preserve">and 2016 </w:t>
      </w:r>
      <w:r w:rsidRPr="003D73C3">
        <w:rPr>
          <w:szCs w:val="18"/>
        </w:rPr>
        <w:t>Inventor</w:t>
      </w:r>
      <w:r w:rsidR="00C836DC">
        <w:rPr>
          <w:szCs w:val="18"/>
        </w:rPr>
        <w:t>y estimates</w:t>
      </w:r>
      <w:r w:rsidRPr="003D73C3">
        <w:rPr>
          <w:szCs w:val="18"/>
        </w:rPr>
        <w:t>.</w:t>
      </w:r>
      <w:r w:rsidR="00097F7C" w:rsidRPr="003D73C3">
        <w:rPr>
          <w:szCs w:val="18"/>
        </w:rPr>
        <w:t xml:space="preserve"> Releases have </w:t>
      </w:r>
      <w:r w:rsidR="00800F34" w:rsidRPr="003D73C3">
        <w:rPr>
          <w:szCs w:val="18"/>
        </w:rPr>
        <w:t xml:space="preserve">decreased </w:t>
      </w:r>
      <w:r w:rsidR="00097F7C" w:rsidRPr="003D73C3">
        <w:rPr>
          <w:szCs w:val="18"/>
        </w:rPr>
        <w:t>because bleach pulp production has</w:t>
      </w:r>
      <w:r w:rsidR="00800F34" w:rsidRPr="003D73C3">
        <w:rPr>
          <w:szCs w:val="18"/>
        </w:rPr>
        <w:t xml:space="preserve"> decreased</w:t>
      </w:r>
      <w:r w:rsidR="00D30F98">
        <w:rPr>
          <w:szCs w:val="18"/>
        </w:rPr>
        <w:t xml:space="preserve">, </w:t>
      </w:r>
      <w:r w:rsidR="00800F34" w:rsidRPr="003D73C3">
        <w:rPr>
          <w:szCs w:val="18"/>
        </w:rPr>
        <w:t>with the Bay of Plenty mill now focussing on unbleached pulp products (Climate Leaders Coalition, 2022)</w:t>
      </w:r>
      <w:r w:rsidR="00097F7C" w:rsidRPr="003D73C3">
        <w:rPr>
          <w:szCs w:val="18"/>
        </w:rPr>
        <w:t>.</w:t>
      </w:r>
    </w:p>
    <w:p w14:paraId="0044C25E" w14:textId="6087E2F8" w:rsidR="006761D2" w:rsidRDefault="006761D2" w:rsidP="006761D2">
      <w:pPr>
        <w:pStyle w:val="Caption"/>
        <w:jc w:val="left"/>
        <w:rPr>
          <w:rFonts w:cs="Arial"/>
        </w:rPr>
      </w:pPr>
      <w:bookmarkStart w:id="340" w:name="_Ref386272231"/>
      <w:bookmarkStart w:id="341" w:name="_Ref359770605"/>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9</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2</w:t>
      </w:r>
      <w:r w:rsidRPr="003D73C3">
        <w:rPr>
          <w:rFonts w:cs="Arial"/>
        </w:rPr>
        <w:fldChar w:fldCharType="end"/>
      </w:r>
      <w:bookmarkEnd w:id="340"/>
      <w:bookmarkEnd w:id="341"/>
      <w:r w:rsidRPr="003D73C3">
        <w:rPr>
          <w:rFonts w:cs="Arial"/>
        </w:rPr>
        <w:t xml:space="preserve">: Dioxin releases to land </w:t>
      </w:r>
      <w:r w:rsidR="007B3299">
        <w:rPr>
          <w:rFonts w:cs="Arial"/>
        </w:rPr>
        <w:t xml:space="preserve">and product </w:t>
      </w:r>
      <w:r w:rsidRPr="003D73C3">
        <w:rPr>
          <w:rFonts w:cs="Arial"/>
        </w:rPr>
        <w:t>from bleached pulp production</w:t>
      </w:r>
    </w:p>
    <w:tbl>
      <w:tblPr>
        <w:tblStyle w:val="TableGrid"/>
        <w:tblW w:w="0" w:type="auto"/>
        <w:tblLook w:val="04A0" w:firstRow="1" w:lastRow="0" w:firstColumn="1" w:lastColumn="0" w:noHBand="0" w:noVBand="1"/>
      </w:tblPr>
      <w:tblGrid>
        <w:gridCol w:w="865"/>
        <w:gridCol w:w="2587"/>
        <w:gridCol w:w="1426"/>
        <w:gridCol w:w="1434"/>
        <w:gridCol w:w="1352"/>
        <w:gridCol w:w="1397"/>
      </w:tblGrid>
      <w:tr w:rsidR="002D7BD9" w:rsidRPr="003D73C3" w14:paraId="34394ACF" w14:textId="77777777" w:rsidTr="00E016E4">
        <w:tc>
          <w:tcPr>
            <w:tcW w:w="865" w:type="dxa"/>
            <w:vMerge w:val="restart"/>
            <w:vAlign w:val="center"/>
          </w:tcPr>
          <w:p w14:paraId="351FC338" w14:textId="77777777" w:rsidR="002D7BD9" w:rsidRPr="003D73C3" w:rsidRDefault="002D7BD9" w:rsidP="00E016E4">
            <w:pPr>
              <w:spacing w:before="120"/>
              <w:jc w:val="center"/>
              <w:rPr>
                <w:rFonts w:ascii="Arial" w:hAnsi="Arial" w:cs="Arial"/>
                <w:b/>
                <w:sz w:val="16"/>
                <w:szCs w:val="18"/>
              </w:rPr>
            </w:pPr>
            <w:r w:rsidRPr="003D73C3">
              <w:rPr>
                <w:rFonts w:ascii="Arial" w:hAnsi="Arial" w:cs="Arial"/>
                <w:b/>
                <w:sz w:val="16"/>
                <w:szCs w:val="18"/>
              </w:rPr>
              <w:t>Year</w:t>
            </w:r>
          </w:p>
        </w:tc>
        <w:tc>
          <w:tcPr>
            <w:tcW w:w="2587" w:type="dxa"/>
            <w:vMerge w:val="restart"/>
            <w:vAlign w:val="center"/>
          </w:tcPr>
          <w:p w14:paraId="1E90FC89" w14:textId="2BF941AB" w:rsidR="002D7BD9" w:rsidRPr="003D73C3" w:rsidRDefault="002D7BD9" w:rsidP="00E016E4">
            <w:pPr>
              <w:spacing w:before="120"/>
              <w:jc w:val="center"/>
              <w:rPr>
                <w:rFonts w:ascii="Arial" w:hAnsi="Arial" w:cs="Arial"/>
                <w:b/>
                <w:bCs/>
                <w:sz w:val="16"/>
                <w:szCs w:val="16"/>
              </w:rPr>
            </w:pPr>
            <w:r w:rsidRPr="0C34660A">
              <w:rPr>
                <w:rFonts w:ascii="Arial" w:hAnsi="Arial" w:cs="Arial"/>
                <w:b/>
                <w:bCs/>
                <w:sz w:val="16"/>
                <w:szCs w:val="16"/>
              </w:rPr>
              <w:t xml:space="preserve">Activity Rate </w:t>
            </w:r>
            <w:r>
              <w:br/>
            </w:r>
            <w:r w:rsidRPr="0C34660A">
              <w:rPr>
                <w:rFonts w:ascii="Arial" w:hAnsi="Arial" w:cs="Arial"/>
                <w:b/>
                <w:bCs/>
                <w:sz w:val="16"/>
                <w:szCs w:val="16"/>
              </w:rPr>
              <w:t>(</w:t>
            </w:r>
            <w:r w:rsidR="0063573C">
              <w:rPr>
                <w:rFonts w:ascii="Arial" w:hAnsi="Arial" w:cs="Arial"/>
                <w:b/>
                <w:bCs/>
                <w:sz w:val="16"/>
                <w:szCs w:val="16"/>
              </w:rPr>
              <w:t>tonnes of air-dried bleach pulp/year)</w:t>
            </w:r>
          </w:p>
        </w:tc>
        <w:tc>
          <w:tcPr>
            <w:tcW w:w="2860" w:type="dxa"/>
            <w:gridSpan w:val="2"/>
            <w:vAlign w:val="center"/>
          </w:tcPr>
          <w:p w14:paraId="3B34C84B" w14:textId="53B3E394" w:rsidR="002D7BD9" w:rsidRPr="003D73C3" w:rsidRDefault="002D7BD9" w:rsidP="00E016E4">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w:t>
            </w:r>
            <w:r w:rsidR="007B3299">
              <w:rPr>
                <w:rFonts w:ascii="Arial" w:hAnsi="Arial" w:cs="Arial"/>
                <w:b/>
                <w:sz w:val="16"/>
                <w:szCs w:val="18"/>
              </w:rPr>
              <w:t>tonne of bleached pulp</w:t>
            </w:r>
            <w:r w:rsidRPr="003D73C3">
              <w:rPr>
                <w:rFonts w:ascii="Arial" w:hAnsi="Arial" w:cs="Arial"/>
                <w:b/>
                <w:sz w:val="16"/>
                <w:szCs w:val="18"/>
              </w:rPr>
              <w:t>)</w:t>
            </w:r>
          </w:p>
        </w:tc>
        <w:tc>
          <w:tcPr>
            <w:tcW w:w="2749" w:type="dxa"/>
            <w:gridSpan w:val="2"/>
            <w:vAlign w:val="center"/>
          </w:tcPr>
          <w:p w14:paraId="72F4CBBF" w14:textId="77777777" w:rsidR="002D7BD9" w:rsidRPr="003D73C3" w:rsidRDefault="002D7BD9" w:rsidP="00E016E4">
            <w:pPr>
              <w:spacing w:before="120"/>
              <w:jc w:val="center"/>
              <w:rPr>
                <w:rFonts w:ascii="Arial" w:hAnsi="Arial" w:cs="Arial"/>
                <w:b/>
                <w:sz w:val="16"/>
                <w:szCs w:val="18"/>
              </w:rPr>
            </w:pPr>
            <w:r w:rsidRPr="003D73C3">
              <w:rPr>
                <w:rFonts w:ascii="Arial" w:hAnsi="Arial" w:cs="Arial"/>
                <w:b/>
                <w:sz w:val="16"/>
                <w:szCs w:val="18"/>
              </w:rPr>
              <w:t>Annual releases (g TEQ/yr)</w:t>
            </w:r>
          </w:p>
        </w:tc>
      </w:tr>
      <w:tr w:rsidR="002D7BD9" w:rsidRPr="003D73C3" w14:paraId="678C4573" w14:textId="77777777" w:rsidTr="00E016E4">
        <w:tc>
          <w:tcPr>
            <w:tcW w:w="865" w:type="dxa"/>
            <w:vMerge/>
          </w:tcPr>
          <w:p w14:paraId="14F7BABF" w14:textId="77777777" w:rsidR="002D7BD9" w:rsidRPr="003D73C3" w:rsidRDefault="002D7BD9" w:rsidP="00E016E4">
            <w:pPr>
              <w:spacing w:before="120"/>
              <w:jc w:val="both"/>
              <w:rPr>
                <w:rFonts w:ascii="Arial" w:hAnsi="Arial" w:cs="Arial"/>
                <w:sz w:val="16"/>
                <w:szCs w:val="18"/>
              </w:rPr>
            </w:pPr>
          </w:p>
        </w:tc>
        <w:tc>
          <w:tcPr>
            <w:tcW w:w="2587" w:type="dxa"/>
            <w:vMerge/>
            <w:vAlign w:val="center"/>
          </w:tcPr>
          <w:p w14:paraId="7EC3F92A" w14:textId="77777777" w:rsidR="002D7BD9" w:rsidRPr="003D73C3" w:rsidRDefault="002D7BD9" w:rsidP="00E016E4">
            <w:pPr>
              <w:spacing w:before="120"/>
              <w:jc w:val="center"/>
              <w:rPr>
                <w:rFonts w:ascii="Arial" w:hAnsi="Arial" w:cs="Arial"/>
                <w:sz w:val="16"/>
                <w:szCs w:val="18"/>
              </w:rPr>
            </w:pPr>
          </w:p>
        </w:tc>
        <w:tc>
          <w:tcPr>
            <w:tcW w:w="1426" w:type="dxa"/>
            <w:vAlign w:val="center"/>
          </w:tcPr>
          <w:p w14:paraId="3F3AC0E9" w14:textId="1DDC9B02" w:rsidR="002D7BD9" w:rsidRPr="003D73C3" w:rsidRDefault="007B3299" w:rsidP="00E016E4">
            <w:pPr>
              <w:spacing w:before="120"/>
              <w:jc w:val="center"/>
              <w:rPr>
                <w:rFonts w:ascii="Arial" w:hAnsi="Arial" w:cs="Arial"/>
                <w:b/>
                <w:sz w:val="16"/>
                <w:szCs w:val="18"/>
              </w:rPr>
            </w:pPr>
            <w:r>
              <w:rPr>
                <w:rFonts w:ascii="Arial" w:hAnsi="Arial" w:cs="Arial"/>
                <w:b/>
                <w:sz w:val="16"/>
                <w:szCs w:val="18"/>
              </w:rPr>
              <w:t>Land</w:t>
            </w:r>
          </w:p>
        </w:tc>
        <w:tc>
          <w:tcPr>
            <w:tcW w:w="1434" w:type="dxa"/>
            <w:vAlign w:val="center"/>
          </w:tcPr>
          <w:p w14:paraId="4C077FD6" w14:textId="6DB15F72" w:rsidR="002D7BD9" w:rsidRPr="003D73C3" w:rsidRDefault="007B3299" w:rsidP="00E016E4">
            <w:pPr>
              <w:spacing w:before="120"/>
              <w:jc w:val="center"/>
              <w:rPr>
                <w:rFonts w:ascii="Arial" w:hAnsi="Arial" w:cs="Arial"/>
                <w:b/>
                <w:sz w:val="16"/>
                <w:szCs w:val="18"/>
              </w:rPr>
            </w:pPr>
            <w:r>
              <w:rPr>
                <w:rFonts w:ascii="Arial" w:hAnsi="Arial" w:cs="Arial"/>
                <w:b/>
                <w:sz w:val="16"/>
                <w:szCs w:val="18"/>
              </w:rPr>
              <w:t>Product</w:t>
            </w:r>
          </w:p>
        </w:tc>
        <w:tc>
          <w:tcPr>
            <w:tcW w:w="1352" w:type="dxa"/>
            <w:vAlign w:val="center"/>
          </w:tcPr>
          <w:p w14:paraId="56C022BC" w14:textId="2F9845FA" w:rsidR="002D7BD9" w:rsidRPr="003D73C3" w:rsidRDefault="007B3299" w:rsidP="00E016E4">
            <w:pPr>
              <w:spacing w:before="120"/>
              <w:jc w:val="center"/>
              <w:rPr>
                <w:rFonts w:ascii="Arial" w:hAnsi="Arial" w:cs="Arial"/>
                <w:b/>
                <w:sz w:val="16"/>
                <w:szCs w:val="18"/>
              </w:rPr>
            </w:pPr>
            <w:r>
              <w:rPr>
                <w:rFonts w:ascii="Arial" w:hAnsi="Arial" w:cs="Arial"/>
                <w:b/>
                <w:sz w:val="16"/>
                <w:szCs w:val="18"/>
              </w:rPr>
              <w:t>Land</w:t>
            </w:r>
          </w:p>
        </w:tc>
        <w:tc>
          <w:tcPr>
            <w:tcW w:w="1397" w:type="dxa"/>
            <w:vAlign w:val="center"/>
          </w:tcPr>
          <w:p w14:paraId="24017904" w14:textId="01734E5C" w:rsidR="002D7BD9" w:rsidRPr="003D73C3" w:rsidRDefault="007B3299" w:rsidP="00E016E4">
            <w:pPr>
              <w:spacing w:before="120"/>
              <w:jc w:val="center"/>
              <w:rPr>
                <w:rFonts w:ascii="Arial" w:hAnsi="Arial" w:cs="Arial"/>
                <w:b/>
                <w:sz w:val="16"/>
                <w:szCs w:val="18"/>
              </w:rPr>
            </w:pPr>
            <w:r>
              <w:rPr>
                <w:rFonts w:ascii="Arial" w:hAnsi="Arial" w:cs="Arial"/>
                <w:b/>
                <w:sz w:val="16"/>
                <w:szCs w:val="18"/>
              </w:rPr>
              <w:t>Product</w:t>
            </w:r>
          </w:p>
        </w:tc>
      </w:tr>
      <w:tr w:rsidR="002D7BD9" w:rsidRPr="003D73C3" w14:paraId="7DAAC750" w14:textId="77777777" w:rsidTr="00E016E4">
        <w:tc>
          <w:tcPr>
            <w:tcW w:w="865" w:type="dxa"/>
            <w:vMerge w:val="restart"/>
            <w:vAlign w:val="center"/>
          </w:tcPr>
          <w:p w14:paraId="0B51330F" w14:textId="77777777" w:rsidR="002D7BD9" w:rsidRPr="003D73C3" w:rsidRDefault="002D7BD9" w:rsidP="00E016E4">
            <w:pPr>
              <w:spacing w:before="120"/>
              <w:rPr>
                <w:rFonts w:ascii="Arial" w:hAnsi="Arial" w:cs="Arial"/>
                <w:b/>
                <w:sz w:val="16"/>
                <w:szCs w:val="18"/>
              </w:rPr>
            </w:pPr>
            <w:r w:rsidRPr="003D73C3">
              <w:rPr>
                <w:rFonts w:ascii="Arial" w:hAnsi="Arial" w:cs="Arial"/>
                <w:b/>
                <w:sz w:val="16"/>
                <w:szCs w:val="18"/>
              </w:rPr>
              <w:t>2012</w:t>
            </w:r>
          </w:p>
        </w:tc>
        <w:tc>
          <w:tcPr>
            <w:tcW w:w="2587" w:type="dxa"/>
            <w:vMerge w:val="restart"/>
            <w:vAlign w:val="center"/>
          </w:tcPr>
          <w:p w14:paraId="4520779A" w14:textId="6B8C7EF9" w:rsidR="002D7BD9" w:rsidRPr="003D73C3" w:rsidRDefault="007B3299" w:rsidP="00E016E4">
            <w:pPr>
              <w:spacing w:before="120"/>
              <w:jc w:val="center"/>
              <w:rPr>
                <w:rFonts w:ascii="Arial" w:hAnsi="Arial" w:cs="Arial"/>
                <w:sz w:val="16"/>
                <w:szCs w:val="18"/>
              </w:rPr>
            </w:pPr>
            <w:r>
              <w:rPr>
                <w:rFonts w:ascii="Arial" w:hAnsi="Arial" w:cs="Arial"/>
                <w:sz w:val="16"/>
                <w:szCs w:val="18"/>
              </w:rPr>
              <w:t>464,000</w:t>
            </w:r>
          </w:p>
        </w:tc>
        <w:tc>
          <w:tcPr>
            <w:tcW w:w="1426" w:type="dxa"/>
            <w:vAlign w:val="center"/>
          </w:tcPr>
          <w:p w14:paraId="09992EC8" w14:textId="66E6DD79" w:rsidR="002D7BD9" w:rsidRPr="003D73C3" w:rsidRDefault="007B3299" w:rsidP="00E016E4">
            <w:pPr>
              <w:spacing w:before="120"/>
              <w:jc w:val="center"/>
              <w:rPr>
                <w:rFonts w:ascii="Arial" w:hAnsi="Arial" w:cs="Arial"/>
                <w:sz w:val="16"/>
                <w:szCs w:val="18"/>
              </w:rPr>
            </w:pPr>
            <w:r>
              <w:rPr>
                <w:rFonts w:ascii="Arial" w:hAnsi="Arial" w:cs="Arial"/>
                <w:sz w:val="16"/>
                <w:szCs w:val="18"/>
              </w:rPr>
              <w:t>0.2</w:t>
            </w:r>
          </w:p>
        </w:tc>
        <w:tc>
          <w:tcPr>
            <w:tcW w:w="1434" w:type="dxa"/>
            <w:vAlign w:val="center"/>
          </w:tcPr>
          <w:p w14:paraId="54A46E58" w14:textId="77777777" w:rsidR="002D7BD9" w:rsidRPr="003D73C3" w:rsidRDefault="002D7BD9" w:rsidP="00E016E4">
            <w:pPr>
              <w:spacing w:before="120"/>
              <w:jc w:val="center"/>
              <w:rPr>
                <w:rFonts w:ascii="Arial" w:hAnsi="Arial" w:cs="Arial"/>
                <w:sz w:val="16"/>
                <w:szCs w:val="18"/>
              </w:rPr>
            </w:pPr>
            <w:r w:rsidRPr="003D73C3">
              <w:rPr>
                <w:rFonts w:ascii="Arial" w:hAnsi="Arial" w:cs="Arial"/>
                <w:sz w:val="16"/>
                <w:szCs w:val="18"/>
              </w:rPr>
              <w:t>-</w:t>
            </w:r>
          </w:p>
        </w:tc>
        <w:tc>
          <w:tcPr>
            <w:tcW w:w="1352" w:type="dxa"/>
            <w:vAlign w:val="center"/>
          </w:tcPr>
          <w:p w14:paraId="432A0EF2" w14:textId="5EA2F7F6" w:rsidR="002D7BD9" w:rsidRPr="003D73C3" w:rsidRDefault="007B3299" w:rsidP="00E016E4">
            <w:pPr>
              <w:spacing w:before="120"/>
              <w:jc w:val="center"/>
              <w:rPr>
                <w:rFonts w:ascii="Arial" w:hAnsi="Arial" w:cs="Arial"/>
                <w:sz w:val="16"/>
                <w:szCs w:val="18"/>
              </w:rPr>
            </w:pPr>
            <w:r>
              <w:rPr>
                <w:rFonts w:ascii="Arial" w:hAnsi="Arial" w:cs="Arial"/>
                <w:sz w:val="16"/>
                <w:szCs w:val="18"/>
              </w:rPr>
              <w:t>0.093</w:t>
            </w:r>
          </w:p>
        </w:tc>
        <w:tc>
          <w:tcPr>
            <w:tcW w:w="1397" w:type="dxa"/>
            <w:vAlign w:val="center"/>
          </w:tcPr>
          <w:p w14:paraId="3F8C1FBF" w14:textId="77777777" w:rsidR="002D7BD9" w:rsidRPr="003D73C3" w:rsidRDefault="002D7BD9" w:rsidP="00E016E4">
            <w:pPr>
              <w:spacing w:before="120"/>
              <w:jc w:val="center"/>
              <w:rPr>
                <w:rFonts w:ascii="Arial" w:hAnsi="Arial" w:cs="Arial"/>
                <w:sz w:val="16"/>
                <w:szCs w:val="18"/>
              </w:rPr>
            </w:pPr>
            <w:r w:rsidRPr="003D73C3">
              <w:rPr>
                <w:rFonts w:ascii="Arial" w:hAnsi="Arial" w:cs="Arial"/>
                <w:sz w:val="16"/>
                <w:szCs w:val="18"/>
              </w:rPr>
              <w:t>-</w:t>
            </w:r>
          </w:p>
        </w:tc>
      </w:tr>
      <w:tr w:rsidR="002D7BD9" w:rsidRPr="003D73C3" w14:paraId="242A6C7D" w14:textId="77777777" w:rsidTr="00E016E4">
        <w:tc>
          <w:tcPr>
            <w:tcW w:w="865" w:type="dxa"/>
            <w:vMerge/>
            <w:vAlign w:val="center"/>
          </w:tcPr>
          <w:p w14:paraId="1BAD3B9B" w14:textId="77777777" w:rsidR="002D7BD9" w:rsidRPr="003D73C3" w:rsidRDefault="002D7BD9" w:rsidP="00E016E4">
            <w:pPr>
              <w:spacing w:before="120"/>
              <w:rPr>
                <w:rFonts w:ascii="Arial" w:hAnsi="Arial" w:cs="Arial"/>
                <w:b/>
                <w:sz w:val="16"/>
                <w:szCs w:val="18"/>
              </w:rPr>
            </w:pPr>
          </w:p>
        </w:tc>
        <w:tc>
          <w:tcPr>
            <w:tcW w:w="2587" w:type="dxa"/>
            <w:vMerge/>
            <w:vAlign w:val="center"/>
          </w:tcPr>
          <w:p w14:paraId="5FD46061" w14:textId="77777777" w:rsidR="002D7BD9" w:rsidRPr="003D73C3" w:rsidRDefault="002D7BD9" w:rsidP="00E016E4">
            <w:pPr>
              <w:spacing w:before="120"/>
              <w:jc w:val="center"/>
              <w:rPr>
                <w:rFonts w:ascii="Arial" w:hAnsi="Arial" w:cs="Arial"/>
                <w:sz w:val="16"/>
                <w:szCs w:val="18"/>
              </w:rPr>
            </w:pPr>
          </w:p>
        </w:tc>
        <w:tc>
          <w:tcPr>
            <w:tcW w:w="1426" w:type="dxa"/>
            <w:vAlign w:val="center"/>
          </w:tcPr>
          <w:p w14:paraId="7182567B" w14:textId="77777777" w:rsidR="002D7BD9" w:rsidRPr="003D73C3" w:rsidRDefault="002D7BD9" w:rsidP="00E016E4">
            <w:pPr>
              <w:spacing w:before="120"/>
              <w:jc w:val="center"/>
              <w:rPr>
                <w:rFonts w:ascii="Arial" w:hAnsi="Arial" w:cs="Arial"/>
                <w:sz w:val="16"/>
                <w:szCs w:val="18"/>
              </w:rPr>
            </w:pPr>
            <w:r w:rsidRPr="003D73C3">
              <w:rPr>
                <w:rFonts w:ascii="Arial" w:hAnsi="Arial" w:cs="Arial"/>
                <w:sz w:val="16"/>
                <w:szCs w:val="18"/>
              </w:rPr>
              <w:t>-</w:t>
            </w:r>
          </w:p>
        </w:tc>
        <w:tc>
          <w:tcPr>
            <w:tcW w:w="1434" w:type="dxa"/>
            <w:vAlign w:val="center"/>
          </w:tcPr>
          <w:p w14:paraId="303CA672" w14:textId="759DE731" w:rsidR="002D7BD9" w:rsidRPr="003D73C3" w:rsidRDefault="007B3299" w:rsidP="00E016E4">
            <w:pPr>
              <w:spacing w:before="120"/>
              <w:jc w:val="center"/>
              <w:rPr>
                <w:rFonts w:ascii="Arial" w:hAnsi="Arial" w:cs="Arial"/>
                <w:sz w:val="16"/>
                <w:szCs w:val="18"/>
              </w:rPr>
            </w:pPr>
            <w:r>
              <w:rPr>
                <w:rFonts w:ascii="Arial" w:hAnsi="Arial" w:cs="Arial"/>
                <w:sz w:val="16"/>
                <w:szCs w:val="18"/>
              </w:rPr>
              <w:t>0.5</w:t>
            </w:r>
          </w:p>
        </w:tc>
        <w:tc>
          <w:tcPr>
            <w:tcW w:w="1352" w:type="dxa"/>
            <w:vAlign w:val="center"/>
          </w:tcPr>
          <w:p w14:paraId="21CA1D56" w14:textId="77777777" w:rsidR="002D7BD9" w:rsidRPr="003D73C3" w:rsidRDefault="002D7BD9" w:rsidP="00E016E4">
            <w:pPr>
              <w:spacing w:before="120"/>
              <w:jc w:val="center"/>
              <w:rPr>
                <w:rFonts w:ascii="Arial" w:hAnsi="Arial" w:cs="Arial"/>
                <w:sz w:val="16"/>
                <w:szCs w:val="18"/>
              </w:rPr>
            </w:pPr>
            <w:r w:rsidRPr="003D73C3">
              <w:rPr>
                <w:rFonts w:ascii="Arial" w:hAnsi="Arial" w:cs="Arial"/>
                <w:sz w:val="16"/>
                <w:szCs w:val="18"/>
              </w:rPr>
              <w:t>-</w:t>
            </w:r>
          </w:p>
        </w:tc>
        <w:tc>
          <w:tcPr>
            <w:tcW w:w="1397" w:type="dxa"/>
            <w:vAlign w:val="center"/>
          </w:tcPr>
          <w:p w14:paraId="61D42F60" w14:textId="66C10E46" w:rsidR="002D7BD9" w:rsidRPr="003D73C3" w:rsidRDefault="006B522E" w:rsidP="00E016E4">
            <w:pPr>
              <w:spacing w:before="120"/>
              <w:jc w:val="center"/>
              <w:rPr>
                <w:rFonts w:ascii="Arial" w:hAnsi="Arial" w:cs="Arial"/>
                <w:sz w:val="16"/>
                <w:szCs w:val="18"/>
              </w:rPr>
            </w:pPr>
            <w:r>
              <w:rPr>
                <w:rFonts w:ascii="Arial" w:hAnsi="Arial" w:cs="Arial"/>
                <w:sz w:val="16"/>
                <w:szCs w:val="18"/>
              </w:rPr>
              <w:t>0.232</w:t>
            </w:r>
          </w:p>
        </w:tc>
      </w:tr>
      <w:tr w:rsidR="002D7BD9" w:rsidRPr="003D73C3" w14:paraId="220592E4" w14:textId="77777777" w:rsidTr="00E016E4">
        <w:tc>
          <w:tcPr>
            <w:tcW w:w="865" w:type="dxa"/>
            <w:vMerge w:val="restart"/>
            <w:vAlign w:val="center"/>
          </w:tcPr>
          <w:p w14:paraId="0A90BF7F" w14:textId="77777777" w:rsidR="002D7BD9" w:rsidRPr="003D73C3" w:rsidRDefault="002D7BD9" w:rsidP="00E016E4">
            <w:pPr>
              <w:spacing w:before="120"/>
              <w:rPr>
                <w:rFonts w:ascii="Arial" w:hAnsi="Arial" w:cs="Arial"/>
                <w:b/>
                <w:sz w:val="16"/>
                <w:szCs w:val="18"/>
              </w:rPr>
            </w:pPr>
            <w:r w:rsidRPr="003D73C3">
              <w:rPr>
                <w:rFonts w:ascii="Arial" w:hAnsi="Arial" w:cs="Arial"/>
                <w:b/>
                <w:sz w:val="16"/>
                <w:szCs w:val="18"/>
              </w:rPr>
              <w:t>2016</w:t>
            </w:r>
          </w:p>
        </w:tc>
        <w:tc>
          <w:tcPr>
            <w:tcW w:w="2587" w:type="dxa"/>
            <w:vMerge w:val="restart"/>
            <w:vAlign w:val="center"/>
          </w:tcPr>
          <w:p w14:paraId="6E0F1492" w14:textId="42929909" w:rsidR="002D7BD9" w:rsidRPr="003D73C3" w:rsidRDefault="007B3299" w:rsidP="00E016E4">
            <w:pPr>
              <w:spacing w:before="120"/>
              <w:jc w:val="center"/>
              <w:rPr>
                <w:rFonts w:ascii="Arial" w:hAnsi="Arial" w:cs="Arial"/>
                <w:sz w:val="16"/>
                <w:szCs w:val="18"/>
              </w:rPr>
            </w:pPr>
            <w:r>
              <w:rPr>
                <w:rFonts w:ascii="Arial" w:hAnsi="Arial" w:cs="Arial"/>
                <w:sz w:val="16"/>
                <w:szCs w:val="18"/>
              </w:rPr>
              <w:t>732,000</w:t>
            </w:r>
          </w:p>
        </w:tc>
        <w:tc>
          <w:tcPr>
            <w:tcW w:w="1426" w:type="dxa"/>
            <w:vAlign w:val="center"/>
          </w:tcPr>
          <w:p w14:paraId="53951009" w14:textId="0491FFCF" w:rsidR="002D7BD9" w:rsidRPr="003D73C3" w:rsidRDefault="007B3299" w:rsidP="00E016E4">
            <w:pPr>
              <w:spacing w:before="120"/>
              <w:jc w:val="center"/>
              <w:rPr>
                <w:rFonts w:ascii="Arial" w:hAnsi="Arial" w:cs="Arial"/>
                <w:sz w:val="16"/>
                <w:szCs w:val="18"/>
              </w:rPr>
            </w:pPr>
            <w:r>
              <w:rPr>
                <w:rFonts w:ascii="Arial" w:hAnsi="Arial" w:cs="Arial"/>
                <w:sz w:val="16"/>
                <w:szCs w:val="18"/>
              </w:rPr>
              <w:t>0.2</w:t>
            </w:r>
          </w:p>
        </w:tc>
        <w:tc>
          <w:tcPr>
            <w:tcW w:w="1434" w:type="dxa"/>
            <w:vAlign w:val="center"/>
          </w:tcPr>
          <w:p w14:paraId="189511CC" w14:textId="77777777" w:rsidR="002D7BD9" w:rsidRPr="003D73C3" w:rsidRDefault="002D7BD9" w:rsidP="00E016E4">
            <w:pPr>
              <w:spacing w:before="120"/>
              <w:jc w:val="center"/>
              <w:rPr>
                <w:rFonts w:ascii="Arial" w:hAnsi="Arial" w:cs="Arial"/>
                <w:sz w:val="16"/>
                <w:szCs w:val="18"/>
              </w:rPr>
            </w:pPr>
          </w:p>
        </w:tc>
        <w:tc>
          <w:tcPr>
            <w:tcW w:w="1352" w:type="dxa"/>
            <w:vAlign w:val="center"/>
          </w:tcPr>
          <w:p w14:paraId="29D8817F" w14:textId="056566F1" w:rsidR="002D7BD9" w:rsidRPr="003D73C3" w:rsidRDefault="007B3299" w:rsidP="00E016E4">
            <w:pPr>
              <w:spacing w:before="120"/>
              <w:jc w:val="center"/>
              <w:rPr>
                <w:rFonts w:ascii="Arial" w:hAnsi="Arial" w:cs="Arial"/>
                <w:sz w:val="16"/>
                <w:szCs w:val="18"/>
              </w:rPr>
            </w:pPr>
            <w:r>
              <w:rPr>
                <w:rFonts w:ascii="Arial" w:hAnsi="Arial" w:cs="Arial"/>
                <w:sz w:val="16"/>
                <w:szCs w:val="18"/>
              </w:rPr>
              <w:t>0.146</w:t>
            </w:r>
          </w:p>
        </w:tc>
        <w:tc>
          <w:tcPr>
            <w:tcW w:w="1397" w:type="dxa"/>
            <w:vAlign w:val="center"/>
          </w:tcPr>
          <w:p w14:paraId="71ECBC6D" w14:textId="77777777" w:rsidR="002D7BD9" w:rsidRPr="003D73C3" w:rsidRDefault="002D7BD9" w:rsidP="00E016E4">
            <w:pPr>
              <w:spacing w:before="120"/>
              <w:jc w:val="center"/>
              <w:rPr>
                <w:rFonts w:ascii="Arial" w:hAnsi="Arial" w:cs="Arial"/>
                <w:sz w:val="16"/>
                <w:szCs w:val="18"/>
              </w:rPr>
            </w:pPr>
          </w:p>
        </w:tc>
      </w:tr>
      <w:tr w:rsidR="002D7BD9" w:rsidRPr="003D73C3" w14:paraId="43A54A86" w14:textId="77777777" w:rsidTr="00E016E4">
        <w:tc>
          <w:tcPr>
            <w:tcW w:w="865" w:type="dxa"/>
            <w:vMerge/>
            <w:vAlign w:val="center"/>
          </w:tcPr>
          <w:p w14:paraId="4AE100E1" w14:textId="77777777" w:rsidR="002D7BD9" w:rsidRPr="003D73C3" w:rsidRDefault="002D7BD9" w:rsidP="00E016E4">
            <w:pPr>
              <w:spacing w:before="120"/>
              <w:rPr>
                <w:rFonts w:ascii="Arial" w:hAnsi="Arial" w:cs="Arial"/>
                <w:b/>
                <w:sz w:val="16"/>
                <w:szCs w:val="18"/>
              </w:rPr>
            </w:pPr>
          </w:p>
        </w:tc>
        <w:tc>
          <w:tcPr>
            <w:tcW w:w="2587" w:type="dxa"/>
            <w:vMerge/>
            <w:vAlign w:val="center"/>
          </w:tcPr>
          <w:p w14:paraId="34EB9F97" w14:textId="77777777" w:rsidR="002D7BD9" w:rsidRPr="003D73C3" w:rsidRDefault="002D7BD9" w:rsidP="00E016E4">
            <w:pPr>
              <w:spacing w:before="120"/>
              <w:jc w:val="center"/>
              <w:rPr>
                <w:rFonts w:ascii="Arial" w:hAnsi="Arial" w:cs="Arial"/>
                <w:sz w:val="16"/>
                <w:szCs w:val="18"/>
              </w:rPr>
            </w:pPr>
          </w:p>
        </w:tc>
        <w:tc>
          <w:tcPr>
            <w:tcW w:w="1426" w:type="dxa"/>
            <w:vAlign w:val="center"/>
          </w:tcPr>
          <w:p w14:paraId="4E563441" w14:textId="77777777" w:rsidR="002D7BD9" w:rsidRPr="003D73C3" w:rsidRDefault="002D7BD9" w:rsidP="00E016E4">
            <w:pPr>
              <w:spacing w:before="120"/>
              <w:jc w:val="center"/>
              <w:rPr>
                <w:rFonts w:ascii="Arial" w:hAnsi="Arial" w:cs="Arial"/>
                <w:sz w:val="16"/>
                <w:szCs w:val="18"/>
              </w:rPr>
            </w:pPr>
          </w:p>
        </w:tc>
        <w:tc>
          <w:tcPr>
            <w:tcW w:w="1434" w:type="dxa"/>
            <w:vAlign w:val="center"/>
          </w:tcPr>
          <w:p w14:paraId="5C1F77A1" w14:textId="48ACE997" w:rsidR="002D7BD9" w:rsidRPr="003D73C3" w:rsidRDefault="007B3299" w:rsidP="00E016E4">
            <w:pPr>
              <w:spacing w:before="120"/>
              <w:jc w:val="center"/>
              <w:rPr>
                <w:rFonts w:ascii="Arial" w:hAnsi="Arial" w:cs="Arial"/>
                <w:sz w:val="16"/>
                <w:szCs w:val="18"/>
              </w:rPr>
            </w:pPr>
            <w:r>
              <w:rPr>
                <w:rFonts w:ascii="Arial" w:hAnsi="Arial" w:cs="Arial"/>
                <w:sz w:val="16"/>
                <w:szCs w:val="18"/>
              </w:rPr>
              <w:t>0.5</w:t>
            </w:r>
          </w:p>
        </w:tc>
        <w:tc>
          <w:tcPr>
            <w:tcW w:w="1352" w:type="dxa"/>
            <w:vAlign w:val="center"/>
          </w:tcPr>
          <w:p w14:paraId="3E3D4969" w14:textId="77777777" w:rsidR="002D7BD9" w:rsidRPr="003D73C3" w:rsidRDefault="002D7BD9" w:rsidP="00E016E4">
            <w:pPr>
              <w:spacing w:before="120"/>
              <w:jc w:val="center"/>
              <w:rPr>
                <w:rFonts w:ascii="Arial" w:hAnsi="Arial" w:cs="Arial"/>
                <w:sz w:val="16"/>
                <w:szCs w:val="18"/>
              </w:rPr>
            </w:pPr>
          </w:p>
        </w:tc>
        <w:tc>
          <w:tcPr>
            <w:tcW w:w="1397" w:type="dxa"/>
            <w:vAlign w:val="center"/>
          </w:tcPr>
          <w:p w14:paraId="50360687" w14:textId="78E1A989" w:rsidR="002D7BD9" w:rsidRPr="003D73C3" w:rsidRDefault="006B522E" w:rsidP="00E016E4">
            <w:pPr>
              <w:spacing w:before="120"/>
              <w:jc w:val="center"/>
              <w:rPr>
                <w:rFonts w:ascii="Arial" w:hAnsi="Arial" w:cs="Arial"/>
                <w:sz w:val="16"/>
                <w:szCs w:val="18"/>
              </w:rPr>
            </w:pPr>
            <w:r>
              <w:rPr>
                <w:rFonts w:ascii="Arial" w:hAnsi="Arial" w:cs="Arial"/>
                <w:sz w:val="16"/>
                <w:szCs w:val="18"/>
              </w:rPr>
              <w:t>0.366</w:t>
            </w:r>
          </w:p>
        </w:tc>
      </w:tr>
      <w:tr w:rsidR="002D7BD9" w:rsidRPr="003D73C3" w14:paraId="71614E19" w14:textId="77777777" w:rsidTr="00E016E4">
        <w:tc>
          <w:tcPr>
            <w:tcW w:w="865" w:type="dxa"/>
            <w:vMerge w:val="restart"/>
            <w:vAlign w:val="center"/>
          </w:tcPr>
          <w:p w14:paraId="3728DC95" w14:textId="77777777" w:rsidR="002D7BD9" w:rsidRPr="003D73C3" w:rsidRDefault="002D7BD9" w:rsidP="00E016E4">
            <w:pPr>
              <w:spacing w:before="120"/>
              <w:rPr>
                <w:rFonts w:ascii="Arial" w:hAnsi="Arial" w:cs="Arial"/>
                <w:b/>
                <w:sz w:val="16"/>
                <w:szCs w:val="18"/>
              </w:rPr>
            </w:pPr>
            <w:r w:rsidRPr="003D73C3">
              <w:rPr>
                <w:rFonts w:ascii="Arial" w:hAnsi="Arial" w:cs="Arial"/>
                <w:b/>
                <w:sz w:val="16"/>
                <w:szCs w:val="18"/>
              </w:rPr>
              <w:t>2022</w:t>
            </w:r>
          </w:p>
        </w:tc>
        <w:tc>
          <w:tcPr>
            <w:tcW w:w="2587" w:type="dxa"/>
            <w:vMerge w:val="restart"/>
            <w:vAlign w:val="center"/>
          </w:tcPr>
          <w:p w14:paraId="35A31B2B" w14:textId="094E7B16" w:rsidR="002D7BD9" w:rsidRPr="003D73C3" w:rsidRDefault="007B3299" w:rsidP="00E016E4">
            <w:pPr>
              <w:spacing w:before="120"/>
              <w:jc w:val="center"/>
              <w:rPr>
                <w:rFonts w:ascii="Arial" w:hAnsi="Arial" w:cs="Arial"/>
                <w:sz w:val="16"/>
                <w:szCs w:val="18"/>
              </w:rPr>
            </w:pPr>
            <w:r>
              <w:rPr>
                <w:rFonts w:ascii="Arial" w:hAnsi="Arial" w:cs="Arial"/>
                <w:sz w:val="16"/>
                <w:szCs w:val="18"/>
              </w:rPr>
              <w:t>241,959</w:t>
            </w:r>
          </w:p>
        </w:tc>
        <w:tc>
          <w:tcPr>
            <w:tcW w:w="1426" w:type="dxa"/>
            <w:vAlign w:val="center"/>
          </w:tcPr>
          <w:p w14:paraId="4D560EB2" w14:textId="210A442D" w:rsidR="002D7BD9" w:rsidRPr="003D73C3" w:rsidRDefault="007B3299" w:rsidP="00E016E4">
            <w:pPr>
              <w:spacing w:before="120"/>
              <w:jc w:val="center"/>
              <w:rPr>
                <w:rFonts w:ascii="Arial" w:hAnsi="Arial" w:cs="Arial"/>
                <w:sz w:val="16"/>
                <w:szCs w:val="18"/>
              </w:rPr>
            </w:pPr>
            <w:r>
              <w:rPr>
                <w:rFonts w:ascii="Arial" w:hAnsi="Arial" w:cs="Arial"/>
                <w:sz w:val="16"/>
                <w:szCs w:val="18"/>
              </w:rPr>
              <w:t>0.2</w:t>
            </w:r>
          </w:p>
        </w:tc>
        <w:tc>
          <w:tcPr>
            <w:tcW w:w="1434" w:type="dxa"/>
            <w:vAlign w:val="center"/>
          </w:tcPr>
          <w:p w14:paraId="797EA6D7" w14:textId="77777777" w:rsidR="002D7BD9" w:rsidRPr="003D73C3" w:rsidRDefault="002D7BD9" w:rsidP="00E016E4">
            <w:pPr>
              <w:spacing w:before="120"/>
              <w:jc w:val="center"/>
              <w:rPr>
                <w:rFonts w:ascii="Arial" w:hAnsi="Arial" w:cs="Arial"/>
                <w:sz w:val="16"/>
                <w:szCs w:val="18"/>
              </w:rPr>
            </w:pPr>
          </w:p>
        </w:tc>
        <w:tc>
          <w:tcPr>
            <w:tcW w:w="1352" w:type="dxa"/>
            <w:vAlign w:val="center"/>
          </w:tcPr>
          <w:p w14:paraId="0AD380B1" w14:textId="7F8E84D0" w:rsidR="002D7BD9" w:rsidRPr="003D73C3" w:rsidRDefault="006B522E" w:rsidP="00E016E4">
            <w:pPr>
              <w:spacing w:before="120"/>
              <w:jc w:val="center"/>
              <w:rPr>
                <w:rFonts w:ascii="Arial" w:hAnsi="Arial" w:cs="Arial"/>
                <w:sz w:val="16"/>
                <w:szCs w:val="18"/>
              </w:rPr>
            </w:pPr>
            <w:r>
              <w:rPr>
                <w:rFonts w:ascii="Arial" w:hAnsi="Arial" w:cs="Arial"/>
                <w:sz w:val="16"/>
                <w:szCs w:val="18"/>
              </w:rPr>
              <w:t>0.0484</w:t>
            </w:r>
          </w:p>
        </w:tc>
        <w:tc>
          <w:tcPr>
            <w:tcW w:w="1397" w:type="dxa"/>
            <w:vAlign w:val="center"/>
          </w:tcPr>
          <w:p w14:paraId="6EFCC011" w14:textId="77777777" w:rsidR="002D7BD9" w:rsidRPr="003D73C3" w:rsidRDefault="002D7BD9" w:rsidP="00E016E4">
            <w:pPr>
              <w:spacing w:before="120"/>
              <w:jc w:val="center"/>
              <w:rPr>
                <w:rFonts w:ascii="Arial" w:hAnsi="Arial" w:cs="Arial"/>
                <w:sz w:val="16"/>
                <w:szCs w:val="18"/>
              </w:rPr>
            </w:pPr>
          </w:p>
        </w:tc>
      </w:tr>
      <w:tr w:rsidR="002D7BD9" w:rsidRPr="003D73C3" w14:paraId="6A8E4D36" w14:textId="77777777" w:rsidTr="00E016E4">
        <w:tc>
          <w:tcPr>
            <w:tcW w:w="865" w:type="dxa"/>
            <w:vMerge/>
            <w:vAlign w:val="center"/>
          </w:tcPr>
          <w:p w14:paraId="3CFE1416" w14:textId="77777777" w:rsidR="002D7BD9" w:rsidRPr="003D73C3" w:rsidRDefault="002D7BD9" w:rsidP="00E016E4">
            <w:pPr>
              <w:spacing w:before="120"/>
              <w:rPr>
                <w:rFonts w:ascii="Arial" w:hAnsi="Arial" w:cs="Arial"/>
                <w:b/>
                <w:sz w:val="16"/>
                <w:szCs w:val="18"/>
              </w:rPr>
            </w:pPr>
          </w:p>
        </w:tc>
        <w:tc>
          <w:tcPr>
            <w:tcW w:w="2587" w:type="dxa"/>
            <w:vMerge/>
            <w:vAlign w:val="center"/>
          </w:tcPr>
          <w:p w14:paraId="7A556555" w14:textId="77777777" w:rsidR="002D7BD9" w:rsidRPr="003D73C3" w:rsidRDefault="002D7BD9" w:rsidP="00E016E4">
            <w:pPr>
              <w:spacing w:before="120"/>
              <w:jc w:val="center"/>
              <w:rPr>
                <w:rFonts w:ascii="Arial" w:hAnsi="Arial" w:cs="Arial"/>
                <w:sz w:val="16"/>
                <w:szCs w:val="18"/>
              </w:rPr>
            </w:pPr>
          </w:p>
        </w:tc>
        <w:tc>
          <w:tcPr>
            <w:tcW w:w="1426" w:type="dxa"/>
            <w:vAlign w:val="center"/>
          </w:tcPr>
          <w:p w14:paraId="391D69D0" w14:textId="77777777" w:rsidR="002D7BD9" w:rsidRPr="003D73C3" w:rsidRDefault="002D7BD9" w:rsidP="00E016E4">
            <w:pPr>
              <w:spacing w:before="120"/>
              <w:jc w:val="center"/>
              <w:rPr>
                <w:rFonts w:ascii="Arial" w:hAnsi="Arial" w:cs="Arial"/>
                <w:sz w:val="16"/>
                <w:szCs w:val="18"/>
              </w:rPr>
            </w:pPr>
          </w:p>
        </w:tc>
        <w:tc>
          <w:tcPr>
            <w:tcW w:w="1434" w:type="dxa"/>
            <w:vAlign w:val="center"/>
          </w:tcPr>
          <w:p w14:paraId="387114D3" w14:textId="2F1B33CB" w:rsidR="002D7BD9" w:rsidRPr="003D73C3" w:rsidRDefault="007B3299" w:rsidP="00E016E4">
            <w:pPr>
              <w:spacing w:before="120"/>
              <w:jc w:val="center"/>
              <w:rPr>
                <w:rFonts w:ascii="Arial" w:hAnsi="Arial" w:cs="Arial"/>
                <w:sz w:val="16"/>
                <w:szCs w:val="18"/>
              </w:rPr>
            </w:pPr>
            <w:r>
              <w:rPr>
                <w:rFonts w:ascii="Arial" w:hAnsi="Arial" w:cs="Arial"/>
                <w:sz w:val="16"/>
                <w:szCs w:val="18"/>
              </w:rPr>
              <w:t>0.5</w:t>
            </w:r>
          </w:p>
        </w:tc>
        <w:tc>
          <w:tcPr>
            <w:tcW w:w="1352" w:type="dxa"/>
            <w:vAlign w:val="center"/>
          </w:tcPr>
          <w:p w14:paraId="6538A855" w14:textId="77777777" w:rsidR="002D7BD9" w:rsidRPr="003D73C3" w:rsidRDefault="002D7BD9" w:rsidP="00E016E4">
            <w:pPr>
              <w:spacing w:before="120"/>
              <w:jc w:val="center"/>
              <w:rPr>
                <w:rFonts w:ascii="Arial" w:hAnsi="Arial" w:cs="Arial"/>
                <w:sz w:val="16"/>
                <w:szCs w:val="18"/>
              </w:rPr>
            </w:pPr>
          </w:p>
        </w:tc>
        <w:tc>
          <w:tcPr>
            <w:tcW w:w="1397" w:type="dxa"/>
            <w:vAlign w:val="center"/>
          </w:tcPr>
          <w:p w14:paraId="499EC23C" w14:textId="1731C2B4" w:rsidR="002D7BD9" w:rsidRPr="003D73C3" w:rsidRDefault="006B522E" w:rsidP="00E016E4">
            <w:pPr>
              <w:spacing w:before="120"/>
              <w:jc w:val="center"/>
              <w:rPr>
                <w:rFonts w:ascii="Arial" w:hAnsi="Arial" w:cs="Arial"/>
                <w:sz w:val="16"/>
                <w:szCs w:val="18"/>
              </w:rPr>
            </w:pPr>
            <w:r>
              <w:rPr>
                <w:rFonts w:ascii="Arial" w:hAnsi="Arial" w:cs="Arial"/>
                <w:sz w:val="16"/>
                <w:szCs w:val="18"/>
              </w:rPr>
              <w:t>0.121</w:t>
            </w:r>
          </w:p>
        </w:tc>
      </w:tr>
    </w:tbl>
    <w:p w14:paraId="1BEEC784" w14:textId="39EBA93B"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lastRenderedPageBreak/>
        <w:t xml:space="preserve">Certainty assessment for </w:t>
      </w:r>
      <w:r w:rsidR="00C14457" w:rsidRPr="003D73C3">
        <w:rPr>
          <w:rFonts w:ascii="Arial" w:hAnsi="Arial" w:cs="Arial"/>
          <w:b/>
          <w:szCs w:val="18"/>
        </w:rPr>
        <w:t>2020</w:t>
      </w:r>
    </w:p>
    <w:p w14:paraId="3268CAC7" w14:textId="49F826BD" w:rsidR="006761D2" w:rsidRPr="003D73C3" w:rsidRDefault="24854215" w:rsidP="006761D2">
      <w:pPr>
        <w:tabs>
          <w:tab w:val="left" w:pos="1701"/>
        </w:tabs>
        <w:spacing w:after="0" w:line="300" w:lineRule="atLeast"/>
        <w:ind w:left="1701" w:hanging="1701"/>
        <w:jc w:val="both"/>
      </w:pPr>
      <w:r>
        <w:t xml:space="preserve">Activity data: </w:t>
      </w:r>
      <w:r w:rsidR="006761D2">
        <w:tab/>
      </w:r>
      <w:r w:rsidR="00DA5AD5">
        <w:t>High</w:t>
      </w:r>
      <w:r>
        <w:t xml:space="preserve"> (because it is based on </w:t>
      </w:r>
      <w:r w:rsidR="00DA5AD5">
        <w:t>actual production</w:t>
      </w:r>
      <w:r>
        <w:t xml:space="preserve"> data)</w:t>
      </w:r>
    </w:p>
    <w:p w14:paraId="28CB35F3" w14:textId="7EBF0DA0" w:rsidR="00FC09DC" w:rsidRPr="00AF1200" w:rsidRDefault="006761D2" w:rsidP="003D73C3">
      <w:pPr>
        <w:tabs>
          <w:tab w:val="left" w:pos="1701"/>
        </w:tabs>
        <w:spacing w:line="300" w:lineRule="atLeast"/>
        <w:ind w:left="1701" w:hanging="1701"/>
        <w:jc w:val="both"/>
        <w:rPr>
          <w:rFonts w:ascii="Arial" w:hAnsi="Arial" w:cs="Arial"/>
          <w:b/>
          <w:szCs w:val="18"/>
          <w:highlight w:val="yellow"/>
        </w:rPr>
      </w:pPr>
      <w:r w:rsidRPr="003D73C3">
        <w:rPr>
          <w:szCs w:val="18"/>
        </w:rPr>
        <w:t xml:space="preserve">Emission factor: </w:t>
      </w:r>
      <w:r w:rsidRPr="003D73C3">
        <w:rPr>
          <w:szCs w:val="18"/>
        </w:rPr>
        <w:tab/>
        <w:t>Low (because it is based on the Toolkit default factors)</w:t>
      </w:r>
      <w:r w:rsidR="000A74F5" w:rsidRPr="003D73C3">
        <w:rPr>
          <w:szCs w:val="18"/>
        </w:rPr>
        <w:t xml:space="preserve"> </w:t>
      </w:r>
    </w:p>
    <w:p w14:paraId="44E83BDA" w14:textId="77777777" w:rsidR="006761D2" w:rsidRPr="003D73C3" w:rsidRDefault="006761D2" w:rsidP="006761D2">
      <w:pPr>
        <w:spacing w:before="240" w:line="300" w:lineRule="atLeast"/>
        <w:jc w:val="both"/>
        <w:rPr>
          <w:rFonts w:ascii="Arial" w:hAnsi="Arial" w:cs="Arial"/>
          <w:b/>
          <w:szCs w:val="18"/>
        </w:rPr>
      </w:pPr>
      <w:r w:rsidRPr="003D73C3">
        <w:rPr>
          <w:rFonts w:ascii="Arial" w:hAnsi="Arial" w:cs="Arial"/>
          <w:b/>
          <w:szCs w:val="18"/>
        </w:rPr>
        <w:t>Releases to water</w:t>
      </w:r>
    </w:p>
    <w:p w14:paraId="1C4CE32E" w14:textId="731E1F4C" w:rsidR="006761D2" w:rsidRPr="003D73C3" w:rsidRDefault="24854215" w:rsidP="0C34660A">
      <w:pPr>
        <w:spacing w:line="300" w:lineRule="atLeast"/>
        <w:jc w:val="both"/>
        <w:rPr>
          <w:lang w:val="en-US"/>
        </w:rPr>
      </w:pPr>
      <w:r w:rsidRPr="0C34660A">
        <w:rPr>
          <w:lang w:val="en-US"/>
        </w:rPr>
        <w:t xml:space="preserve">The dioxins in the pulp mill wastewater </w:t>
      </w:r>
      <w:bookmarkStart w:id="342" w:name="_Int_lNc62zCO"/>
      <w:r w:rsidRPr="0C34660A">
        <w:rPr>
          <w:lang w:val="en-US"/>
        </w:rPr>
        <w:t>are</w:t>
      </w:r>
      <w:bookmarkEnd w:id="342"/>
      <w:r w:rsidRPr="0C34660A">
        <w:rPr>
          <w:lang w:val="en-US"/>
        </w:rPr>
        <w:t xml:space="preserve"> absorbed onto suspended solids and </w:t>
      </w:r>
      <w:bookmarkStart w:id="343" w:name="_Int_0zSRMK4J"/>
      <w:r w:rsidRPr="0C34660A">
        <w:rPr>
          <w:lang w:val="en-US"/>
        </w:rPr>
        <w:t>are</w:t>
      </w:r>
      <w:bookmarkEnd w:id="343"/>
      <w:r w:rsidRPr="0C34660A">
        <w:rPr>
          <w:lang w:val="en-US"/>
        </w:rPr>
        <w:t xml:space="preserve"> therefore removed with the sludge. As such, they have already been accounted for in the estimates given above for releases to land, and the releases to water should be taken as zero. </w:t>
      </w:r>
    </w:p>
    <w:p w14:paraId="4CB40C0A" w14:textId="77777777" w:rsidR="006761D2" w:rsidRPr="003D73C3" w:rsidRDefault="006761D2" w:rsidP="006761D2">
      <w:pPr>
        <w:spacing w:before="240" w:line="300" w:lineRule="atLeast"/>
        <w:jc w:val="both"/>
        <w:rPr>
          <w:rFonts w:ascii="Arial" w:hAnsi="Arial" w:cs="Arial"/>
          <w:b/>
          <w:szCs w:val="18"/>
        </w:rPr>
      </w:pPr>
      <w:r w:rsidRPr="003D73C3">
        <w:rPr>
          <w:rFonts w:ascii="Arial" w:hAnsi="Arial" w:cs="Arial"/>
          <w:b/>
          <w:szCs w:val="18"/>
        </w:rPr>
        <w:t>Additions to existing land reservoir</w:t>
      </w:r>
    </w:p>
    <w:p w14:paraId="323EBB8B" w14:textId="266B6BE9" w:rsidR="006761D2" w:rsidRPr="003D73C3" w:rsidRDefault="24854215" w:rsidP="0C34660A">
      <w:pPr>
        <w:spacing w:line="300" w:lineRule="atLeast"/>
        <w:jc w:val="both"/>
        <w:rPr>
          <w:lang w:val="en-US"/>
        </w:rPr>
      </w:pPr>
      <w:r w:rsidRPr="0C34660A">
        <w:rPr>
          <w:lang w:val="en-US"/>
        </w:rPr>
        <w:t xml:space="preserve">The disposal of primary and secondary sludge produced in the pulp mills contributes to existing reservoirs of dioxins which have been created at the company’s various waste disposal sites (landfills). The overall size of the reservoir was estimated in the </w:t>
      </w:r>
      <w:r w:rsidR="004DF643" w:rsidRPr="0C34660A">
        <w:rPr>
          <w:lang w:val="en-US"/>
        </w:rPr>
        <w:t xml:space="preserve">2016 </w:t>
      </w:r>
      <w:r w:rsidRPr="0C34660A">
        <w:rPr>
          <w:lang w:val="en-US"/>
        </w:rPr>
        <w:t xml:space="preserve">Inventory at </w:t>
      </w:r>
      <w:r w:rsidR="004DF643" w:rsidRPr="0C34660A">
        <w:rPr>
          <w:lang w:val="en-US"/>
        </w:rPr>
        <w:t>26.0</w:t>
      </w:r>
      <w:r w:rsidRPr="0C34660A">
        <w:rPr>
          <w:lang w:val="en-US"/>
        </w:rPr>
        <w:t xml:space="preserve"> g TEQ </w:t>
      </w:r>
      <w:bookmarkStart w:id="344" w:name="_Int_sTSf4PGx"/>
      <w:proofErr w:type="gramStart"/>
      <w:r w:rsidRPr="0C34660A">
        <w:rPr>
          <w:lang w:val="en-US"/>
        </w:rPr>
        <w:t>on the basis of</w:t>
      </w:r>
      <w:bookmarkEnd w:id="344"/>
      <w:proofErr w:type="gramEnd"/>
      <w:r w:rsidRPr="0C34660A">
        <w:rPr>
          <w:lang w:val="en-US"/>
        </w:rPr>
        <w:t xml:space="preserve"> historical sludge production. This figure can now be updated for an additional </w:t>
      </w:r>
      <w:r w:rsidR="004DF643" w:rsidRPr="0C34660A">
        <w:rPr>
          <w:lang w:val="en-US"/>
        </w:rPr>
        <w:t>4</w:t>
      </w:r>
      <w:r w:rsidRPr="0C34660A">
        <w:rPr>
          <w:lang w:val="en-US"/>
        </w:rPr>
        <w:t xml:space="preserve"> years’ input, based on the </w:t>
      </w:r>
      <w:r w:rsidR="004DF643" w:rsidRPr="0C34660A">
        <w:rPr>
          <w:lang w:val="en-US"/>
        </w:rPr>
        <w:t>2020</w:t>
      </w:r>
      <w:r w:rsidRPr="0C34660A">
        <w:rPr>
          <w:lang w:val="en-US"/>
        </w:rPr>
        <w:t xml:space="preserve"> release rate shown in Table 9-2. If this rate is assumed to apply for </w:t>
      </w:r>
      <w:bookmarkStart w:id="345" w:name="_Int_jsMn22gs"/>
      <w:proofErr w:type="gramStart"/>
      <w:r w:rsidRPr="0C34660A">
        <w:rPr>
          <w:lang w:val="en-US"/>
        </w:rPr>
        <w:t>all of</w:t>
      </w:r>
      <w:bookmarkEnd w:id="345"/>
      <w:proofErr w:type="gramEnd"/>
      <w:r w:rsidRPr="0C34660A">
        <w:rPr>
          <w:lang w:val="en-US"/>
        </w:rPr>
        <w:t xml:space="preserve"> the last </w:t>
      </w:r>
      <w:r w:rsidR="004DF643" w:rsidRPr="0C34660A">
        <w:rPr>
          <w:lang w:val="en-US"/>
        </w:rPr>
        <w:t>4</w:t>
      </w:r>
      <w:r w:rsidRPr="0C34660A">
        <w:rPr>
          <w:lang w:val="en-US"/>
        </w:rPr>
        <w:t xml:space="preserve"> years, the additional inputs to the reservoir would be </w:t>
      </w:r>
      <w:r w:rsidR="00D107FF">
        <w:rPr>
          <w:lang w:val="en-US"/>
        </w:rPr>
        <w:t>0.194</w:t>
      </w:r>
      <w:r w:rsidRPr="0C34660A">
        <w:rPr>
          <w:lang w:val="en-US"/>
        </w:rPr>
        <w:t xml:space="preserve"> g TEQ, and the total current reservoir would be 26.</w:t>
      </w:r>
      <w:r w:rsidR="00D107FF">
        <w:rPr>
          <w:lang w:val="en-US"/>
        </w:rPr>
        <w:t>1</w:t>
      </w:r>
      <w:r w:rsidR="085733C3" w:rsidRPr="0C34660A">
        <w:rPr>
          <w:lang w:val="en-US"/>
        </w:rPr>
        <w:t xml:space="preserve">9 </w:t>
      </w:r>
      <w:r w:rsidRPr="0C34660A">
        <w:rPr>
          <w:lang w:val="en-US"/>
        </w:rPr>
        <w:t>g TEQ.</w:t>
      </w:r>
    </w:p>
    <w:p w14:paraId="2BAD8A28" w14:textId="77777777" w:rsidR="006761D2" w:rsidRPr="003D73C3" w:rsidRDefault="006761D2" w:rsidP="00261F78">
      <w:pPr>
        <w:pStyle w:val="Heading2"/>
      </w:pPr>
      <w:bookmarkStart w:id="346" w:name="_Toc112768133"/>
      <w:r w:rsidRPr="003D73C3">
        <w:t>Chlorinated inorganic chemicals</w:t>
      </w:r>
      <w:bookmarkEnd w:id="346"/>
    </w:p>
    <w:p w14:paraId="3B99DF06" w14:textId="662D16F7" w:rsidR="006761D2" w:rsidRPr="003D73C3" w:rsidRDefault="24854215" w:rsidP="0C34660A">
      <w:pPr>
        <w:spacing w:line="300" w:lineRule="atLeast"/>
        <w:jc w:val="both"/>
        <w:rPr>
          <w:lang w:val="en-US"/>
        </w:rPr>
      </w:pPr>
      <w:r w:rsidRPr="0C34660A">
        <w:t xml:space="preserve">This sub-category covers dioxin releases from the manufacture of chlorine gas by </w:t>
      </w:r>
      <w:r w:rsidRPr="0C34660A">
        <w:rPr>
          <w:lang w:val="en-US"/>
        </w:rPr>
        <w:t xml:space="preserve">electrolysis of solutions of sodium chloride. Prior to the 1980s most chlorine plants used either mercury cells or a diaphragm system, and </w:t>
      </w:r>
      <w:bookmarkStart w:id="347" w:name="_Int_RsQuSePj"/>
      <w:proofErr w:type="gramStart"/>
      <w:r w:rsidRPr="0C34660A">
        <w:rPr>
          <w:lang w:val="en-US"/>
        </w:rPr>
        <w:t>both of these</w:t>
      </w:r>
      <w:bookmarkEnd w:id="347"/>
      <w:proofErr w:type="gramEnd"/>
      <w:r w:rsidRPr="0C34660A">
        <w:rPr>
          <w:lang w:val="en-US"/>
        </w:rPr>
        <w:t xml:space="preserve"> processes were shown to be significant sources of dioxins </w:t>
      </w:r>
      <w:sdt>
        <w:sdtPr>
          <w:rPr>
            <w:lang w:val="en-US"/>
          </w:rPr>
          <w:id w:val="-1412391401"/>
          <w:lock w:val="contentLocked"/>
          <w:placeholder>
            <w:docPart w:val="DefaultPlaceholder_1081868574"/>
          </w:placeholder>
          <w:citation/>
        </w:sdtPr>
        <w:sdtEndPr/>
        <w:sdtContent>
          <w:r w:rsidR="006761D2" w:rsidRPr="0C34660A">
            <w:rPr>
              <w:lang w:val="en-US"/>
            </w:rPr>
            <w:fldChar w:fldCharType="begin"/>
          </w:r>
          <w:r w:rsidR="006761D2" w:rsidRPr="003D73C3">
            <w:rPr>
              <w:szCs w:val="18"/>
            </w:rPr>
            <w:instrText xml:space="preserve"> CITATION UNEP13 \l 5129 </w:instrText>
          </w:r>
          <w:r w:rsidR="006761D2" w:rsidRPr="0C34660A">
            <w:rPr>
              <w:lang w:val="en-US"/>
            </w:rPr>
            <w:fldChar w:fldCharType="separate"/>
          </w:r>
          <w:r w:rsidR="25EC959F" w:rsidRPr="0C34660A">
            <w:rPr>
              <w:noProof/>
            </w:rPr>
            <w:t>(United Nations Environment Programme, 2013)</w:t>
          </w:r>
          <w:r w:rsidR="006761D2" w:rsidRPr="0C34660A">
            <w:rPr>
              <w:lang w:val="en-US"/>
            </w:rPr>
            <w:fldChar w:fldCharType="end"/>
          </w:r>
        </w:sdtContent>
      </w:sdt>
      <w:r w:rsidRPr="0C34660A">
        <w:rPr>
          <w:lang w:val="en-US"/>
        </w:rPr>
        <w:t xml:space="preserve">. Nowadays, most plants use an alternative membrane cell process which, until recently, had not been shown to produce any dioxins. However, the latest version of the Toolkit indicates that dioxins have also been detected in the releases from these plants, albeit at </w:t>
      </w:r>
      <w:bookmarkStart w:id="348" w:name="_Int_XI4jsX5u"/>
      <w:r w:rsidRPr="0C34660A">
        <w:rPr>
          <w:lang w:val="en-US"/>
        </w:rPr>
        <w:t>very low</w:t>
      </w:r>
      <w:bookmarkEnd w:id="348"/>
      <w:r w:rsidRPr="0C34660A">
        <w:rPr>
          <w:lang w:val="en-US"/>
        </w:rPr>
        <w:t xml:space="preserve"> levels.</w:t>
      </w:r>
    </w:p>
    <w:p w14:paraId="190DAF64" w14:textId="50A5715F" w:rsidR="006761D2" w:rsidRPr="003D73C3" w:rsidRDefault="24854215" w:rsidP="006761D2">
      <w:pPr>
        <w:spacing w:line="300" w:lineRule="atLeast"/>
        <w:jc w:val="both"/>
      </w:pPr>
      <w:r>
        <w:t xml:space="preserve">There </w:t>
      </w:r>
      <w:r w:rsidR="00924B24">
        <w:t>is one</w:t>
      </w:r>
      <w:r>
        <w:t xml:space="preserve"> chlorine plant in New Zealand</w:t>
      </w:r>
      <w:r w:rsidR="00924B24">
        <w:t xml:space="preserve"> which</w:t>
      </w:r>
      <w:r>
        <w:t xml:space="preserve"> use</w:t>
      </w:r>
      <w:r w:rsidR="00924B24">
        <w:t>s</w:t>
      </w:r>
      <w:r>
        <w:t xml:space="preserve"> the modern membrane cell process, and ha</w:t>
      </w:r>
      <w:r w:rsidR="00924B24">
        <w:t>s</w:t>
      </w:r>
      <w:r>
        <w:t xml:space="preserve"> a total capacity of about 20,000 tonnes per year of chlorine. However, </w:t>
      </w:r>
      <w:r w:rsidR="00924B24">
        <w:t>it is</w:t>
      </w:r>
      <w:r>
        <w:t xml:space="preserve"> associated with the pulp and paper mill discussed in section 9.1 and </w:t>
      </w:r>
      <w:r w:rsidR="00924B24">
        <w:t>its</w:t>
      </w:r>
      <w:r>
        <w:t xml:space="preserve"> dioxin releases have already been accounted for under the mill-wide release estimates given in that section. However, for the sake of completeness, it can be noted that the releases from the chlorine plant would be in the order of about 0.00004 g TEQ to water, and 0.006 g TEQ to land, if considered separately from the rest of the mill. </w:t>
      </w:r>
    </w:p>
    <w:p w14:paraId="3D0E4A5F" w14:textId="77777777" w:rsidR="006761D2" w:rsidRPr="003D73C3" w:rsidRDefault="006761D2" w:rsidP="00261F78">
      <w:pPr>
        <w:pStyle w:val="Heading2"/>
      </w:pPr>
      <w:bookmarkStart w:id="349" w:name="_Toc112768134"/>
      <w:r w:rsidRPr="003D73C3">
        <w:t>Chlorinated aliphatic chemicals</w:t>
      </w:r>
      <w:bookmarkEnd w:id="349"/>
    </w:p>
    <w:p w14:paraId="6847FD72" w14:textId="0538DB7F" w:rsidR="006761D2" w:rsidRPr="003D73C3" w:rsidRDefault="24854215" w:rsidP="006761D2">
      <w:pPr>
        <w:spacing w:line="300" w:lineRule="atLeast"/>
        <w:jc w:val="both"/>
      </w:pPr>
      <w:r>
        <w:t xml:space="preserve">This sub-section covers dioxin releases from the manufacture of polyvinyl chloride (PVC) resin, which usually starts with the manufacture of ethylene dichloride (EDC), followed by conversion to vinyl chloride monomer (VCM), and then a final polymerisation process to form PVC. </w:t>
      </w:r>
      <w:bookmarkStart w:id="350" w:name="_Int_mAFCrzEZ"/>
      <w:r>
        <w:t>Almost without</w:t>
      </w:r>
      <w:bookmarkEnd w:id="350"/>
      <w:r>
        <w:t xml:space="preserve"> exception, the first two of these steps are carried out in petrochemical manufacturing complexes, while the third may be done in a separate manufacturing plant, using imported VCM. However, there are no such facilities in New Zealand and the manufacture of PVC products is carried out using imported resin </w:t>
      </w:r>
      <w:r w:rsidR="66E594A9" w:rsidRPr="0C34660A">
        <w:rPr>
          <w:noProof/>
        </w:rPr>
        <w:t>(Plastics New Zealand, 2011)</w:t>
      </w:r>
      <w:r>
        <w:t>. Hence this source category is not relevant to New Zealand.</w:t>
      </w:r>
    </w:p>
    <w:p w14:paraId="2CD2DD93" w14:textId="77777777" w:rsidR="006761D2" w:rsidRPr="003D73C3" w:rsidRDefault="006761D2" w:rsidP="00261F78">
      <w:pPr>
        <w:pStyle w:val="Heading2"/>
      </w:pPr>
      <w:bookmarkStart w:id="351" w:name="_Toc112768135"/>
      <w:r w:rsidRPr="003D73C3">
        <w:t>Chlorinated aromatic chemicals</w:t>
      </w:r>
      <w:bookmarkEnd w:id="351"/>
    </w:p>
    <w:p w14:paraId="308B1E1B" w14:textId="77777777" w:rsidR="006761D2" w:rsidRPr="003D73C3" w:rsidRDefault="006761D2" w:rsidP="006761D2">
      <w:pPr>
        <w:spacing w:line="300" w:lineRule="atLeast"/>
        <w:jc w:val="both"/>
        <w:rPr>
          <w:szCs w:val="18"/>
        </w:rPr>
      </w:pPr>
      <w:r w:rsidRPr="003D73C3">
        <w:rPr>
          <w:szCs w:val="18"/>
        </w:rPr>
        <w:t>This sub-section covers a range of different chemicals, only some of which are relevant to New Zealand. Each of the chemicals is discussed under separate sub-headings below.</w:t>
      </w:r>
    </w:p>
    <w:p w14:paraId="640EB325" w14:textId="77777777" w:rsidR="006761D2" w:rsidRPr="003D73C3" w:rsidRDefault="006761D2" w:rsidP="006761D2">
      <w:pPr>
        <w:pStyle w:val="Heading3"/>
      </w:pPr>
      <w:bookmarkStart w:id="352" w:name="_Toc112768136"/>
      <w:r w:rsidRPr="003D73C3">
        <w:lastRenderedPageBreak/>
        <w:t>1,4-dichlorobenzene</w:t>
      </w:r>
      <w:bookmarkEnd w:id="352"/>
    </w:p>
    <w:p w14:paraId="22FB7B45" w14:textId="2CED2BD8" w:rsidR="006761D2" w:rsidRPr="003D73C3" w:rsidRDefault="24854215" w:rsidP="006761D2">
      <w:pPr>
        <w:spacing w:line="300" w:lineRule="atLeast"/>
        <w:jc w:val="both"/>
      </w:pPr>
      <w:r>
        <w:t xml:space="preserve">Dichlorobenzene may be contaminated with dioxins during manufacturing and can therefore represent a potential source of releases via products, in subsequent uses. The chemical is not manufactured in New Zealand, but it is listed in the New Zealand Inventory of Chemicals maintained by the Environmental Protection Authority (see </w:t>
      </w:r>
      <w:hyperlink r:id="rId27">
        <w:r w:rsidRPr="0C34660A">
          <w:rPr>
            <w:rStyle w:val="Hyperlink"/>
          </w:rPr>
          <w:t>www.epa.govt.nz</w:t>
        </w:r>
      </w:hyperlink>
      <w:r>
        <w:t xml:space="preserve">). The UNEP Toolkit indicates that 1.4-dichlorobenzene has been used as an insecticide and fungicide, but the chemical is not registered for any such uses under the </w:t>
      </w:r>
      <w:r w:rsidRPr="0C34660A">
        <w:rPr>
          <w:i/>
          <w:iCs/>
        </w:rPr>
        <w:t xml:space="preserve">Agricultural Compounds and Veterinary Medicines Act </w:t>
      </w:r>
      <w:r>
        <w:t xml:space="preserve">(ACVM) </w:t>
      </w:r>
      <w:r w:rsidRPr="0C34660A">
        <w:rPr>
          <w:i/>
          <w:iCs/>
        </w:rPr>
        <w:t>1997</w:t>
      </w:r>
      <w:r>
        <w:t xml:space="preserve"> (see </w:t>
      </w:r>
      <w:hyperlink r:id="rId28">
        <w:r w:rsidRPr="0C34660A">
          <w:rPr>
            <w:rStyle w:val="Hyperlink"/>
          </w:rPr>
          <w:t>www.foodsafety.govt.nz/industry/acvm/registers-lists.htm</w:t>
        </w:r>
      </w:hyperlink>
      <w:r>
        <w:t xml:space="preserve">). Other </w:t>
      </w:r>
      <w:bookmarkStart w:id="353" w:name="_Int_H7Mw98Qz"/>
      <w:r>
        <w:t>possible uses</w:t>
      </w:r>
      <w:bookmarkEnd w:id="353"/>
      <w:r>
        <w:t xml:space="preserve"> are as a disinfectant and odour control agent in waste containers and restrooms, but products such as these are not subject to any specific controls in New Zealand that would allow these uses to be readily identified. Hence it is not possible to provide a quantitative assessment for this chemical.</w:t>
      </w:r>
    </w:p>
    <w:p w14:paraId="24B4BDF7" w14:textId="77777777" w:rsidR="006761D2" w:rsidRPr="003D73C3" w:rsidRDefault="006761D2" w:rsidP="006761D2">
      <w:pPr>
        <w:pStyle w:val="Heading3"/>
      </w:pPr>
      <w:bookmarkStart w:id="354" w:name="_Toc112768137"/>
      <w:r w:rsidRPr="003D73C3">
        <w:t>Polychlorinated biphenyls (PCBs)</w:t>
      </w:r>
      <w:bookmarkEnd w:id="354"/>
    </w:p>
    <w:p w14:paraId="44E8738A" w14:textId="475AAF1D" w:rsidR="006761D2" w:rsidRPr="003D73C3" w:rsidRDefault="24854215" w:rsidP="006761D2">
      <w:pPr>
        <w:spacing w:line="300" w:lineRule="atLeast"/>
        <w:jc w:val="both"/>
      </w:pPr>
      <w:r w:rsidRPr="0C34660A">
        <w:t xml:space="preserve">PCBs were used in the past as transformer oils and in other related applications </w:t>
      </w:r>
      <w:sdt>
        <w:sdtPr>
          <w:rPr>
            <w:szCs w:val="18"/>
          </w:rPr>
          <w:id w:val="-1844003657"/>
          <w:lock w:val="contentLocked"/>
          <w:placeholder>
            <w:docPart w:val="DefaultPlaceholder_1081868574"/>
          </w:placeholder>
          <w:citation/>
        </w:sdtPr>
        <w:sdtEndPr/>
        <w:sdtContent>
          <w:r w:rsidR="006761D2" w:rsidRPr="003D73C3">
            <w:rPr>
              <w:szCs w:val="18"/>
            </w:rPr>
            <w:fldChar w:fldCharType="begin"/>
          </w:r>
          <w:r w:rsidR="006761D2" w:rsidRPr="003D73C3">
            <w:rPr>
              <w:szCs w:val="18"/>
            </w:rPr>
            <w:instrText xml:space="preserve"> CITATION UNEP13 \l 5129 </w:instrText>
          </w:r>
          <w:r w:rsidR="006761D2" w:rsidRPr="003D73C3">
            <w:rPr>
              <w:szCs w:val="18"/>
            </w:rPr>
            <w:fldChar w:fldCharType="separate"/>
          </w:r>
          <w:r w:rsidR="25EC959F" w:rsidRPr="0C34660A">
            <w:rPr>
              <w:noProof/>
            </w:rPr>
            <w:t>(United Nations Environment Programme, 2013)</w:t>
          </w:r>
          <w:r w:rsidR="006761D2" w:rsidRPr="003D73C3">
            <w:rPr>
              <w:szCs w:val="18"/>
            </w:rPr>
            <w:fldChar w:fldCharType="end"/>
          </w:r>
        </w:sdtContent>
      </w:sdt>
      <w:r w:rsidRPr="0C34660A">
        <w:t xml:space="preserve">. In New Zealand the import, manufacture, and use of PCBs is prohibited under the </w:t>
      </w:r>
      <w:r w:rsidRPr="0C34660A">
        <w:rPr>
          <w:i/>
          <w:iCs/>
        </w:rPr>
        <w:t xml:space="preserve">Hazardous Substances and New Organisms Act </w:t>
      </w:r>
      <w:r w:rsidRPr="0C34660A">
        <w:t>(HSNO)</w:t>
      </w:r>
      <w:r w:rsidRPr="0C34660A">
        <w:rPr>
          <w:i/>
          <w:iCs/>
        </w:rPr>
        <w:t xml:space="preserve"> 1996</w:t>
      </w:r>
      <w:r w:rsidRPr="0C34660A">
        <w:t xml:space="preserve"> without an exemption, and any stocks of old PCBs must be safely stored, </w:t>
      </w:r>
      <w:bookmarkStart w:id="355" w:name="_Int_LsjufkP5"/>
      <w:r w:rsidRPr="0C34660A">
        <w:t>managed,</w:t>
      </w:r>
      <w:bookmarkEnd w:id="355"/>
      <w:r w:rsidRPr="0C34660A">
        <w:t xml:space="preserve"> and disposed in accordance with the </w:t>
      </w:r>
      <w:r w:rsidRPr="0C34660A">
        <w:rPr>
          <w:i/>
          <w:iCs/>
        </w:rPr>
        <w:t>Hazardous Substances (Storage and Disposal of Polychlorinated Biphenyls) Notice 2007</w:t>
      </w:r>
      <w:r w:rsidRPr="0C34660A">
        <w:t xml:space="preserve">. There are no facilities in New Zealand for the destruction of PCB-containing wastes, so disposal is by export to a suitable facility overseas </w:t>
      </w:r>
      <w:r w:rsidR="0DD904CD" w:rsidRPr="0C34660A">
        <w:rPr>
          <w:noProof/>
        </w:rPr>
        <w:t>(Ministry of Health, 2008)</w:t>
      </w:r>
      <w:r w:rsidRPr="003D73C3">
        <w:rPr>
          <w:szCs w:val="18"/>
        </w:rPr>
        <w:t>.</w:t>
      </w:r>
    </w:p>
    <w:p w14:paraId="24A54190" w14:textId="77777777" w:rsidR="006761D2" w:rsidRPr="003D73C3" w:rsidRDefault="006761D2" w:rsidP="006761D2">
      <w:pPr>
        <w:spacing w:line="300" w:lineRule="atLeast"/>
        <w:jc w:val="both"/>
        <w:rPr>
          <w:szCs w:val="18"/>
        </w:rPr>
      </w:pPr>
      <w:r w:rsidRPr="003D73C3">
        <w:rPr>
          <w:szCs w:val="18"/>
        </w:rPr>
        <w:t>The UNEP Toolkit provides no specific factors for estimating the possible dioxin releases from the storage of PCBs. However, if the storage is being carried out properly in accordance with the HSNO requirements, the releases due to leakages should be minimal.</w:t>
      </w:r>
    </w:p>
    <w:p w14:paraId="72D0EF47" w14:textId="77777777" w:rsidR="006761D2" w:rsidRPr="003D73C3" w:rsidRDefault="006761D2" w:rsidP="006761D2">
      <w:pPr>
        <w:pStyle w:val="Heading3"/>
      </w:pPr>
      <w:bookmarkStart w:id="356" w:name="_Toc112768138"/>
      <w:r w:rsidRPr="003D73C3">
        <w:t>Pentachlorophenol and sodium pentachlorophenate</w:t>
      </w:r>
      <w:bookmarkEnd w:id="356"/>
    </w:p>
    <w:p w14:paraId="547858F3" w14:textId="5BB613AC" w:rsidR="006761D2" w:rsidRPr="003D73C3" w:rsidRDefault="24854215" w:rsidP="006761D2">
      <w:pPr>
        <w:spacing w:line="300" w:lineRule="atLeast"/>
        <w:jc w:val="both"/>
      </w:pPr>
      <w:r>
        <w:t xml:space="preserve">The primary use of pentachlorophenol (PCP) in New Zealand was in the timber industry, either as sodium pentachlorophenate, for use as an antisapstain treatment, or as a preservative in diesel oil </w:t>
      </w:r>
      <w:r w:rsidR="0DD904CD" w:rsidRPr="0C34660A">
        <w:rPr>
          <w:noProof/>
        </w:rPr>
        <w:t>(Ministry for the Environment, 2011a)</w:t>
      </w:r>
      <w:r>
        <w:t xml:space="preserve">. PCP was also used to a </w:t>
      </w:r>
      <w:bookmarkStart w:id="357" w:name="_Int_mTG26WSM"/>
      <w:r>
        <w:t>relatively minor</w:t>
      </w:r>
      <w:bookmarkEnd w:id="357"/>
      <w:r>
        <w:t xml:space="preserve"> extent as a slimicide in the pulp and paper industry, as a soil and timber steriliser in mushroom production, and in a variety of other applications for the control of moss and algae. The use of PCP in the timber industry voluntarily ceased in 1988, and PCP was deregistered for all uses by the Pesticides Board in 1991.</w:t>
      </w:r>
    </w:p>
    <w:p w14:paraId="27F93A2C" w14:textId="77777777" w:rsidR="006761D2" w:rsidRPr="003D73C3" w:rsidRDefault="24854215" w:rsidP="006761D2">
      <w:pPr>
        <w:spacing w:line="300" w:lineRule="atLeast"/>
        <w:jc w:val="both"/>
      </w:pPr>
      <w:r>
        <w:t xml:space="preserve">Past releases of dioxins from the use of PCP have resulted in </w:t>
      </w:r>
      <w:bookmarkStart w:id="358" w:name="_Int_Yh00zQUX"/>
      <w:proofErr w:type="gramStart"/>
      <w:r>
        <w:t>a number of</w:t>
      </w:r>
      <w:bookmarkEnd w:id="358"/>
      <w:proofErr w:type="gramEnd"/>
      <w:r>
        <w:t xml:space="preserve"> contaminated sites throughout New Zealand, and these are discussed further in Section 12 of this report.</w:t>
      </w:r>
    </w:p>
    <w:p w14:paraId="1F395FEF" w14:textId="77777777" w:rsidR="006761D2" w:rsidRPr="003D73C3" w:rsidRDefault="006761D2" w:rsidP="006761D2">
      <w:pPr>
        <w:pStyle w:val="Heading3"/>
      </w:pPr>
      <w:bookmarkStart w:id="359" w:name="_Toc112768139"/>
      <w:r w:rsidRPr="003D73C3">
        <w:t>2,4,5-Trichlorophenoxyacetic acid (2,4,5-T) and 2,4,6-trichlorophenol</w:t>
      </w:r>
      <w:bookmarkEnd w:id="359"/>
    </w:p>
    <w:p w14:paraId="77222545" w14:textId="065F1979" w:rsidR="006761D2" w:rsidRPr="003D73C3" w:rsidRDefault="24854215" w:rsidP="006761D2">
      <w:pPr>
        <w:spacing w:line="300" w:lineRule="atLeast"/>
        <w:jc w:val="both"/>
      </w:pPr>
      <w:r>
        <w:t xml:space="preserve">The herbicide 2,4,5-T was manufactured in New Zealand from 1948 to 1987 and was widely used for the control of gorse, </w:t>
      </w:r>
      <w:bookmarkStart w:id="360" w:name="_Int_V5JpDxmn"/>
      <w:r>
        <w:t>blackberry,</w:t>
      </w:r>
      <w:bookmarkEnd w:id="360"/>
      <w:r>
        <w:t xml:space="preserve"> and other woody weeds </w:t>
      </w:r>
      <w:r w:rsidR="0DD904CD" w:rsidRPr="0C34660A">
        <w:rPr>
          <w:noProof/>
        </w:rPr>
        <w:t>(Ministry for the Environment, 2011a)</w:t>
      </w:r>
      <w:r>
        <w:t>. The manufacturing process involved the initial formation of 2,4,5-trichlorophenol from 1,2,4,5-tetrachlorobenzene, and PCDDs and PCDFs (primarily 2,3,7,8-TCDD) were formed as a by-product of this reaction.</w:t>
      </w:r>
    </w:p>
    <w:p w14:paraId="73FCB2E9" w14:textId="77777777" w:rsidR="006761D2" w:rsidRPr="003D73C3" w:rsidRDefault="006761D2" w:rsidP="006761D2">
      <w:pPr>
        <w:spacing w:line="300" w:lineRule="atLeast"/>
        <w:jc w:val="both"/>
        <w:rPr>
          <w:szCs w:val="18"/>
        </w:rPr>
      </w:pPr>
      <w:r w:rsidRPr="003D73C3">
        <w:rPr>
          <w:szCs w:val="18"/>
        </w:rPr>
        <w:t>The residual soil contamination resulting from the past uses of 2,4,5-T is discussed in section 12 of this report.</w:t>
      </w:r>
    </w:p>
    <w:p w14:paraId="40689599" w14:textId="77777777" w:rsidR="006761D2" w:rsidRPr="003D73C3" w:rsidRDefault="006761D2" w:rsidP="006761D2">
      <w:pPr>
        <w:pStyle w:val="Heading3"/>
      </w:pPr>
      <w:bookmarkStart w:id="361" w:name="_Toc112768140"/>
      <w:r w:rsidRPr="003D73C3">
        <w:t>Chloronitrofen, chlornitrofen, or 2,4,6 trichlorophenyl-4-nitrophenylether (CNP)</w:t>
      </w:r>
      <w:bookmarkEnd w:id="361"/>
    </w:p>
    <w:p w14:paraId="073FD94A" w14:textId="77777777" w:rsidR="006761D2" w:rsidRPr="003D73C3" w:rsidRDefault="006761D2" w:rsidP="006761D2">
      <w:pPr>
        <w:spacing w:line="300" w:lineRule="atLeast"/>
        <w:jc w:val="both"/>
        <w:rPr>
          <w:szCs w:val="18"/>
        </w:rPr>
      </w:pPr>
      <w:r w:rsidRPr="003D73C3">
        <w:rPr>
          <w:szCs w:val="18"/>
        </w:rPr>
        <w:t xml:space="preserve">This chemical is not listed in the New Zealand Inventory of Chemicals or in any of the other registers of approved substances maintained by the Environmental Protection Authority (see </w:t>
      </w:r>
      <w:hyperlink r:id="rId29" w:history="1">
        <w:r w:rsidRPr="003D73C3">
          <w:rPr>
            <w:rStyle w:val="Hyperlink"/>
            <w:szCs w:val="18"/>
          </w:rPr>
          <w:t>www.epa.govt.nz</w:t>
        </w:r>
      </w:hyperlink>
      <w:r w:rsidRPr="003D73C3">
        <w:rPr>
          <w:szCs w:val="18"/>
        </w:rPr>
        <w:t>). Hence it should not be found in New Zealand.</w:t>
      </w:r>
    </w:p>
    <w:p w14:paraId="377FA308" w14:textId="77777777" w:rsidR="006761D2" w:rsidRPr="003D73C3" w:rsidRDefault="006761D2" w:rsidP="006761D2">
      <w:pPr>
        <w:pStyle w:val="Heading3"/>
      </w:pPr>
      <w:bookmarkStart w:id="362" w:name="_Toc112768141"/>
      <w:r w:rsidRPr="003D73C3">
        <w:lastRenderedPageBreak/>
        <w:t>Pentachloronitrobenzene (PCNB - Quintozene)</w:t>
      </w:r>
      <w:bookmarkEnd w:id="362"/>
    </w:p>
    <w:p w14:paraId="369E37C2" w14:textId="26FD84AA" w:rsidR="006761D2" w:rsidRPr="003D73C3" w:rsidRDefault="006761D2" w:rsidP="006761D2">
      <w:pPr>
        <w:spacing w:line="300" w:lineRule="atLeast"/>
        <w:jc w:val="both"/>
        <w:rPr>
          <w:szCs w:val="18"/>
        </w:rPr>
      </w:pPr>
      <w:r w:rsidRPr="003D73C3">
        <w:rPr>
          <w:szCs w:val="18"/>
        </w:rPr>
        <w:t>Quintozene is a broad</w:t>
      </w:r>
      <w:r w:rsidRPr="003D73C3">
        <w:rPr>
          <w:rFonts w:ascii="Cambria Math" w:hAnsi="Cambria Math" w:cs="Cambria Math"/>
          <w:szCs w:val="18"/>
        </w:rPr>
        <w:t>‐</w:t>
      </w:r>
      <w:r w:rsidRPr="003D73C3">
        <w:rPr>
          <w:szCs w:val="18"/>
        </w:rPr>
        <w:t>spectrum, contact fungicide which was approved in New Zealand</w:t>
      </w:r>
      <w:r w:rsidRPr="003D73C3">
        <w:rPr>
          <w:color w:val="000000"/>
          <w:sz w:val="24"/>
          <w:szCs w:val="24"/>
          <w:lang w:eastAsia="en-NZ"/>
        </w:rPr>
        <w:t xml:space="preserve"> </w:t>
      </w:r>
      <w:r w:rsidRPr="003D73C3">
        <w:rPr>
          <w:szCs w:val="18"/>
        </w:rPr>
        <w:t xml:space="preserve">for the control of soil fungi in vegetable and ornamental seedlings, and non-grazed turf. However, this approval was revoked in January 2011 because of concerns about the presence of dioxin impurities </w:t>
      </w:r>
      <w:r w:rsidR="003D73C3" w:rsidRPr="003D73C3">
        <w:rPr>
          <w:noProof/>
          <w:szCs w:val="18"/>
        </w:rPr>
        <w:t>(ERMA New Zealand, 2011)</w:t>
      </w:r>
      <w:r w:rsidRPr="003D73C3">
        <w:rPr>
          <w:szCs w:val="18"/>
        </w:rPr>
        <w:t>. The presence of these impurities had only come to the attention of regulatory agencies, both here and overseas, in the preceding 2 years.</w:t>
      </w:r>
    </w:p>
    <w:p w14:paraId="6ECDDCC0" w14:textId="55FC1949" w:rsidR="006761D2" w:rsidRPr="003D73C3" w:rsidRDefault="183D073C" w:rsidP="006761D2">
      <w:pPr>
        <w:spacing w:line="300" w:lineRule="atLeast"/>
        <w:jc w:val="both"/>
      </w:pPr>
      <w:r>
        <w:t xml:space="preserve">It is not known what quantities of Quintozene were previously used in New Zealand, but the Environmental Risk Management Authority (now </w:t>
      </w:r>
      <w:bookmarkStart w:id="363" w:name="_Int_GGTbsdfm"/>
      <w:r>
        <w:t>EPA (Environmental Protection Authority)</w:t>
      </w:r>
      <w:bookmarkEnd w:id="363"/>
      <w:r>
        <w:t xml:space="preserve">) determined that the uses were </w:t>
      </w:r>
      <w:bookmarkStart w:id="364" w:name="_Int_Pm32ObWa"/>
      <w:r>
        <w:t>mainly limited</w:t>
      </w:r>
      <w:bookmarkEnd w:id="364"/>
      <w:r>
        <w:t xml:space="preserve"> to bowling greens and golf courses, and the quantities were “not large</w:t>
      </w:r>
      <w:bookmarkStart w:id="365" w:name="_Int_PbLQgr9z"/>
      <w:r>
        <w:t>”.</w:t>
      </w:r>
      <w:bookmarkEnd w:id="365"/>
      <w:r>
        <w:t xml:space="preserve"> For the purposes of this inventory, it can be assumed that the usage in </w:t>
      </w:r>
      <w:r w:rsidR="2D8BFEE7">
        <w:t xml:space="preserve">2020 </w:t>
      </w:r>
      <w:r>
        <w:t xml:space="preserve">was </w:t>
      </w:r>
      <w:bookmarkStart w:id="366" w:name="_Int_YzZMwCoc"/>
      <w:r w:rsidR="00FA28EF">
        <w:t>nil</w:t>
      </w:r>
      <w:bookmarkEnd w:id="366"/>
      <w:r>
        <w:t>, and hence there were no associated dioxin releases.</w:t>
      </w:r>
    </w:p>
    <w:p w14:paraId="6A9A9255" w14:textId="77777777" w:rsidR="006761D2" w:rsidRPr="003D73C3" w:rsidRDefault="006761D2" w:rsidP="006761D2">
      <w:pPr>
        <w:pStyle w:val="Heading3"/>
      </w:pPr>
      <w:bookmarkStart w:id="367" w:name="_Toc112768142"/>
      <w:r w:rsidRPr="003D73C3">
        <w:t>2,4-Dichlorophenoxyacetic acid (2,4-D) and derivatives</w:t>
      </w:r>
      <w:bookmarkEnd w:id="367"/>
    </w:p>
    <w:p w14:paraId="46ECA5F6" w14:textId="46567711" w:rsidR="006761D2" w:rsidRPr="003D73C3" w:rsidRDefault="24854215" w:rsidP="006761D2">
      <w:pPr>
        <w:spacing w:line="300" w:lineRule="atLeast"/>
        <w:jc w:val="both"/>
      </w:pPr>
      <w:r>
        <w:t xml:space="preserve">The phenoxy herbicide 2,4-D is used in New Zealand, </w:t>
      </w:r>
      <w:bookmarkStart w:id="368" w:name="_Int_NvPRUrmB"/>
      <w:r>
        <w:t>mainly on</w:t>
      </w:r>
      <w:bookmarkEnd w:id="368"/>
      <w:r>
        <w:t xml:space="preserve"> hill country farms, to control thistles and other broadleaf weeds. This agrichemical has been shown in the past to contain dioxin residues as production by-products, although with current manufacturing technologies the contamination levels are </w:t>
      </w:r>
      <w:bookmarkStart w:id="369" w:name="_Int_3aLoDTNd"/>
      <w:r>
        <w:t>very low</w:t>
      </w:r>
      <w:bookmarkEnd w:id="369"/>
      <w:r>
        <w:t xml:space="preserve"> </w:t>
      </w:r>
      <w:r w:rsidR="0DD904CD" w:rsidRPr="0C34660A">
        <w:rPr>
          <w:noProof/>
        </w:rPr>
        <w:t>(United Nations Environment Programme, 2013)</w:t>
      </w:r>
      <w:r>
        <w:t xml:space="preserve">. </w:t>
      </w:r>
      <w:r w:rsidR="3BB62837">
        <w:t xml:space="preserve">For the </w:t>
      </w:r>
      <w:r w:rsidR="085733C3">
        <w:t xml:space="preserve">2016 </w:t>
      </w:r>
      <w:r w:rsidR="3BB62837">
        <w:t>Inventor</w:t>
      </w:r>
      <w:r w:rsidR="085733C3">
        <w:t>y</w:t>
      </w:r>
      <w:r w:rsidR="3BB62837">
        <w:t xml:space="preserve"> t</w:t>
      </w:r>
      <w:r>
        <w:t xml:space="preserve">he annual usage in New Zealand was estimated at about </w:t>
      </w:r>
      <w:r w:rsidR="085733C3">
        <w:t xml:space="preserve">500 </w:t>
      </w:r>
      <w:r>
        <w:t>tonnes per year</w:t>
      </w:r>
      <w:r w:rsidR="085733C3">
        <w:t xml:space="preserve"> and current usage is thought to be at similar rates </w:t>
      </w:r>
      <w:r>
        <w:t xml:space="preserve">(A Cliffe, Nufarm NZ, Auckland, pers comm, </w:t>
      </w:r>
      <w:r w:rsidR="3BB62837">
        <w:t>20</w:t>
      </w:r>
      <w:r w:rsidR="085733C3">
        <w:t>22</w:t>
      </w:r>
      <w:r>
        <w:t>).</w:t>
      </w:r>
    </w:p>
    <w:p w14:paraId="7FA7BB76" w14:textId="3223B123" w:rsidR="006761D2" w:rsidRPr="003D73C3" w:rsidRDefault="00BE6081" w:rsidP="006761D2">
      <w:pPr>
        <w:spacing w:line="300" w:lineRule="atLeast"/>
        <w:jc w:val="both"/>
        <w:rPr>
          <w:szCs w:val="18"/>
        </w:rPr>
      </w:pPr>
      <w:r w:rsidRPr="003D73C3">
        <w:rPr>
          <w:szCs w:val="18"/>
        </w:rPr>
        <w:t xml:space="preserve">The Toolkit </w:t>
      </w:r>
      <w:r w:rsidR="006761D2" w:rsidRPr="003D73C3">
        <w:rPr>
          <w:szCs w:val="18"/>
        </w:rPr>
        <w:t>puts the</w:t>
      </w:r>
      <w:r w:rsidRPr="003D73C3">
        <w:rPr>
          <w:szCs w:val="18"/>
        </w:rPr>
        <w:t xml:space="preserve"> dioxin contamination level </w:t>
      </w:r>
      <w:r w:rsidR="006761D2" w:rsidRPr="003D73C3">
        <w:rPr>
          <w:szCs w:val="18"/>
        </w:rPr>
        <w:t>at 0.1 µg TEQ/tonne</w:t>
      </w:r>
      <w:r w:rsidRPr="003D73C3">
        <w:rPr>
          <w:szCs w:val="18"/>
        </w:rPr>
        <w:t xml:space="preserve"> of product </w:t>
      </w:r>
      <w:r w:rsidRPr="003D73C3">
        <w:rPr>
          <w:szCs w:val="18"/>
          <w:lang w:val="en-US"/>
        </w:rPr>
        <w:t>(1 µg TEQ/tonne = 1 x 10</w:t>
      </w:r>
      <w:r w:rsidRPr="003D73C3">
        <w:rPr>
          <w:szCs w:val="18"/>
          <w:vertAlign w:val="superscript"/>
          <w:lang w:val="en-US"/>
        </w:rPr>
        <w:t>-6</w:t>
      </w:r>
      <w:r w:rsidRPr="003D73C3">
        <w:rPr>
          <w:szCs w:val="18"/>
          <w:lang w:val="en-US"/>
        </w:rPr>
        <w:t xml:space="preserve"> g TEQ/tonne).</w:t>
      </w:r>
      <w:r w:rsidRPr="003D73C3">
        <w:rPr>
          <w:szCs w:val="18"/>
        </w:rPr>
        <w:t xml:space="preserve"> R</w:t>
      </w:r>
      <w:r w:rsidR="006761D2" w:rsidRPr="003D73C3">
        <w:rPr>
          <w:szCs w:val="18"/>
        </w:rPr>
        <w:t>elease estimate</w:t>
      </w:r>
      <w:r w:rsidRPr="003D73C3">
        <w:rPr>
          <w:szCs w:val="18"/>
        </w:rPr>
        <w:t>s for 2012</w:t>
      </w:r>
      <w:r w:rsidR="001B0AF6" w:rsidRPr="003D73C3">
        <w:rPr>
          <w:szCs w:val="18"/>
        </w:rPr>
        <w:t xml:space="preserve">, </w:t>
      </w:r>
      <w:r w:rsidRPr="003D73C3">
        <w:rPr>
          <w:szCs w:val="18"/>
        </w:rPr>
        <w:t>2016</w:t>
      </w:r>
      <w:r w:rsidR="001B0AF6" w:rsidRPr="003D73C3">
        <w:rPr>
          <w:szCs w:val="18"/>
        </w:rPr>
        <w:t xml:space="preserve"> and 2020</w:t>
      </w:r>
      <w:r w:rsidRPr="003D73C3">
        <w:rPr>
          <w:szCs w:val="18"/>
        </w:rPr>
        <w:t xml:space="preserve"> are </w:t>
      </w:r>
      <w:r w:rsidR="006761D2" w:rsidRPr="003D73C3">
        <w:rPr>
          <w:szCs w:val="18"/>
        </w:rPr>
        <w:t xml:space="preserve">shown in </w:t>
      </w:r>
      <w:r w:rsidR="006761D2" w:rsidRPr="003D73C3">
        <w:rPr>
          <w:szCs w:val="18"/>
        </w:rPr>
        <w:fldChar w:fldCharType="begin"/>
      </w:r>
      <w:r w:rsidR="006761D2" w:rsidRPr="003D73C3">
        <w:rPr>
          <w:szCs w:val="18"/>
        </w:rPr>
        <w:instrText xml:space="preserve"> REF _Ref386286020 \h  \* MERGEFORMAT </w:instrText>
      </w:r>
      <w:r w:rsidR="006761D2" w:rsidRPr="003D73C3">
        <w:rPr>
          <w:szCs w:val="18"/>
        </w:rPr>
      </w:r>
      <w:r w:rsidR="006761D2" w:rsidRPr="003D73C3">
        <w:rPr>
          <w:szCs w:val="18"/>
        </w:rPr>
        <w:fldChar w:fldCharType="separate"/>
      </w:r>
      <w:r w:rsidR="00141D7F" w:rsidRPr="00141D7F">
        <w:t xml:space="preserve">Table </w:t>
      </w:r>
      <w:r w:rsidR="00141D7F" w:rsidRPr="00141D7F">
        <w:rPr>
          <w:noProof/>
        </w:rPr>
        <w:t>9</w:t>
      </w:r>
      <w:r w:rsidR="00141D7F" w:rsidRPr="00141D7F">
        <w:rPr>
          <w:noProof/>
        </w:rPr>
        <w:noBreakHyphen/>
        <w:t>3</w:t>
      </w:r>
      <w:r w:rsidR="006761D2" w:rsidRPr="003D73C3">
        <w:rPr>
          <w:szCs w:val="18"/>
        </w:rPr>
        <w:fldChar w:fldCharType="end"/>
      </w:r>
      <w:r w:rsidR="006761D2" w:rsidRPr="003D73C3">
        <w:rPr>
          <w:szCs w:val="18"/>
        </w:rPr>
        <w:t>.</w:t>
      </w:r>
    </w:p>
    <w:p w14:paraId="60CF89B0" w14:textId="43CCD15C" w:rsidR="006761D2" w:rsidRPr="003D73C3" w:rsidRDefault="006761D2" w:rsidP="006761D2">
      <w:pPr>
        <w:pStyle w:val="Caption"/>
        <w:jc w:val="left"/>
        <w:rPr>
          <w:rFonts w:cs="Arial"/>
          <w:szCs w:val="18"/>
        </w:rPr>
      </w:pPr>
      <w:bookmarkStart w:id="370" w:name="_Ref386286020"/>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9</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bookmarkEnd w:id="370"/>
      <w:r w:rsidRPr="003D73C3">
        <w:rPr>
          <w:rFonts w:cs="Arial"/>
        </w:rPr>
        <w:t>: Dioxin releases to land (via product) from the use of 2,4-D</w:t>
      </w:r>
    </w:p>
    <w:tbl>
      <w:tblPr>
        <w:tblStyle w:val="TableGrid"/>
        <w:tblW w:w="0" w:type="auto"/>
        <w:tblLook w:val="04A0" w:firstRow="1" w:lastRow="0" w:firstColumn="1" w:lastColumn="0" w:noHBand="0" w:noVBand="1"/>
      </w:tblPr>
      <w:tblGrid>
        <w:gridCol w:w="868"/>
        <w:gridCol w:w="2592"/>
        <w:gridCol w:w="2873"/>
        <w:gridCol w:w="2728"/>
      </w:tblGrid>
      <w:tr w:rsidR="006761D2" w:rsidRPr="00B95A30" w14:paraId="11DC447D" w14:textId="77777777" w:rsidTr="0030171B">
        <w:tc>
          <w:tcPr>
            <w:tcW w:w="868" w:type="dxa"/>
            <w:vMerge w:val="restart"/>
            <w:vAlign w:val="center"/>
          </w:tcPr>
          <w:p w14:paraId="14E20D77"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92" w:type="dxa"/>
            <w:vMerge w:val="restart"/>
            <w:vAlign w:val="center"/>
          </w:tcPr>
          <w:p w14:paraId="3F2B509E"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371" w:name="_Int_Kq3PCTEm"/>
            <w:r w:rsidRPr="0C34660A">
              <w:rPr>
                <w:rFonts w:ascii="Arial" w:hAnsi="Arial" w:cs="Arial"/>
                <w:b/>
                <w:bCs/>
                <w:sz w:val="16"/>
                <w:szCs w:val="16"/>
              </w:rPr>
              <w:t>tonnes</w:t>
            </w:r>
            <w:bookmarkEnd w:id="371"/>
            <w:r w:rsidRPr="0C34660A">
              <w:rPr>
                <w:rFonts w:ascii="Arial" w:hAnsi="Arial" w:cs="Arial"/>
                <w:b/>
                <w:bCs/>
                <w:sz w:val="16"/>
                <w:szCs w:val="16"/>
              </w:rPr>
              <w:t xml:space="preserve"> of 2,4-D used/year)</w:t>
            </w:r>
          </w:p>
        </w:tc>
        <w:tc>
          <w:tcPr>
            <w:tcW w:w="2873" w:type="dxa"/>
            <w:vAlign w:val="center"/>
          </w:tcPr>
          <w:p w14:paraId="7BC094B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TEQ/tonne of product)</w:t>
            </w:r>
          </w:p>
        </w:tc>
        <w:tc>
          <w:tcPr>
            <w:tcW w:w="2728" w:type="dxa"/>
            <w:vAlign w:val="center"/>
          </w:tcPr>
          <w:p w14:paraId="2615153B"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B95A30" w14:paraId="5AD38804" w14:textId="77777777" w:rsidTr="00E95BD6">
        <w:tc>
          <w:tcPr>
            <w:tcW w:w="868" w:type="dxa"/>
            <w:vMerge/>
          </w:tcPr>
          <w:p w14:paraId="4A3C30E6" w14:textId="77777777" w:rsidR="006761D2" w:rsidRPr="003D73C3" w:rsidRDefault="006761D2" w:rsidP="009F7DB8">
            <w:pPr>
              <w:spacing w:before="120"/>
              <w:jc w:val="both"/>
              <w:rPr>
                <w:rFonts w:ascii="Arial" w:hAnsi="Arial" w:cs="Arial"/>
                <w:sz w:val="16"/>
                <w:szCs w:val="18"/>
              </w:rPr>
            </w:pPr>
          </w:p>
        </w:tc>
        <w:tc>
          <w:tcPr>
            <w:tcW w:w="2592" w:type="dxa"/>
            <w:vMerge/>
            <w:vAlign w:val="center"/>
          </w:tcPr>
          <w:p w14:paraId="022CB7F5" w14:textId="77777777" w:rsidR="006761D2" w:rsidRPr="003D73C3" w:rsidRDefault="006761D2" w:rsidP="009F7DB8">
            <w:pPr>
              <w:spacing w:before="120"/>
              <w:jc w:val="center"/>
              <w:rPr>
                <w:rFonts w:ascii="Arial" w:hAnsi="Arial" w:cs="Arial"/>
                <w:sz w:val="16"/>
                <w:szCs w:val="18"/>
              </w:rPr>
            </w:pPr>
          </w:p>
        </w:tc>
        <w:tc>
          <w:tcPr>
            <w:tcW w:w="2873" w:type="dxa"/>
            <w:vAlign w:val="center"/>
          </w:tcPr>
          <w:p w14:paraId="0899E1A9"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Land/Product</w:t>
            </w:r>
          </w:p>
        </w:tc>
        <w:tc>
          <w:tcPr>
            <w:tcW w:w="2728" w:type="dxa"/>
            <w:vAlign w:val="center"/>
          </w:tcPr>
          <w:p w14:paraId="1272D7F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6761D2" w:rsidRPr="00B95A30" w14:paraId="2476BAF1" w14:textId="77777777" w:rsidTr="00E95BD6">
        <w:tc>
          <w:tcPr>
            <w:tcW w:w="868" w:type="dxa"/>
            <w:vAlign w:val="center"/>
          </w:tcPr>
          <w:p w14:paraId="5FA16AA3" w14:textId="08A4E6D1" w:rsidR="006761D2" w:rsidRPr="003D73C3" w:rsidRDefault="002912DA" w:rsidP="009F7DB8">
            <w:pPr>
              <w:spacing w:before="120"/>
              <w:rPr>
                <w:rFonts w:ascii="Arial" w:hAnsi="Arial" w:cs="Arial"/>
                <w:b/>
                <w:sz w:val="16"/>
                <w:szCs w:val="18"/>
              </w:rPr>
            </w:pPr>
            <w:r w:rsidRPr="003D73C3">
              <w:rPr>
                <w:rFonts w:ascii="Arial" w:hAnsi="Arial" w:cs="Arial"/>
                <w:b/>
                <w:sz w:val="16"/>
                <w:szCs w:val="18"/>
              </w:rPr>
              <w:t>2012</w:t>
            </w:r>
          </w:p>
        </w:tc>
        <w:tc>
          <w:tcPr>
            <w:tcW w:w="2592" w:type="dxa"/>
            <w:vAlign w:val="center"/>
          </w:tcPr>
          <w:p w14:paraId="4E84D5A4" w14:textId="405C1975"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335</w:t>
            </w:r>
          </w:p>
        </w:tc>
        <w:tc>
          <w:tcPr>
            <w:tcW w:w="2873" w:type="dxa"/>
            <w:vAlign w:val="center"/>
          </w:tcPr>
          <w:p w14:paraId="5904DA08" w14:textId="263E5553"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0.1</w:t>
            </w:r>
          </w:p>
        </w:tc>
        <w:tc>
          <w:tcPr>
            <w:tcW w:w="2728" w:type="dxa"/>
            <w:vAlign w:val="center"/>
          </w:tcPr>
          <w:p w14:paraId="2A2D3C80" w14:textId="7E7694FB"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0.000034</w:t>
            </w:r>
          </w:p>
        </w:tc>
      </w:tr>
      <w:tr w:rsidR="006761D2" w:rsidRPr="00B95A30" w14:paraId="6E05D443" w14:textId="77777777" w:rsidTr="00E95BD6">
        <w:tc>
          <w:tcPr>
            <w:tcW w:w="868" w:type="dxa"/>
            <w:vAlign w:val="center"/>
          </w:tcPr>
          <w:p w14:paraId="79EE6B1E" w14:textId="3937A2C3" w:rsidR="006761D2" w:rsidRPr="003D73C3" w:rsidRDefault="002912DA" w:rsidP="009F7DB8">
            <w:pPr>
              <w:spacing w:before="120"/>
              <w:rPr>
                <w:rFonts w:ascii="Arial" w:hAnsi="Arial" w:cs="Arial"/>
                <w:b/>
                <w:sz w:val="16"/>
                <w:szCs w:val="18"/>
              </w:rPr>
            </w:pPr>
            <w:r w:rsidRPr="003D73C3">
              <w:rPr>
                <w:rFonts w:ascii="Arial" w:hAnsi="Arial" w:cs="Arial"/>
                <w:b/>
                <w:sz w:val="16"/>
                <w:szCs w:val="18"/>
              </w:rPr>
              <w:t>2016</w:t>
            </w:r>
          </w:p>
        </w:tc>
        <w:tc>
          <w:tcPr>
            <w:tcW w:w="2592" w:type="dxa"/>
            <w:vAlign w:val="center"/>
          </w:tcPr>
          <w:p w14:paraId="4A90473F" w14:textId="266BED94" w:rsidR="006761D2" w:rsidRPr="003D73C3" w:rsidRDefault="002912DA" w:rsidP="009F7DB8">
            <w:pPr>
              <w:spacing w:before="120"/>
              <w:jc w:val="center"/>
              <w:rPr>
                <w:rFonts w:ascii="Arial" w:hAnsi="Arial" w:cs="Arial"/>
                <w:sz w:val="16"/>
                <w:szCs w:val="18"/>
              </w:rPr>
            </w:pPr>
            <w:r w:rsidRPr="003D73C3">
              <w:rPr>
                <w:rFonts w:ascii="Arial" w:hAnsi="Arial" w:cs="Arial"/>
                <w:sz w:val="16"/>
                <w:szCs w:val="18"/>
              </w:rPr>
              <w:t>500</w:t>
            </w:r>
          </w:p>
        </w:tc>
        <w:tc>
          <w:tcPr>
            <w:tcW w:w="2873" w:type="dxa"/>
            <w:vAlign w:val="center"/>
          </w:tcPr>
          <w:p w14:paraId="1C0A2490"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0.1</w:t>
            </w:r>
          </w:p>
        </w:tc>
        <w:tc>
          <w:tcPr>
            <w:tcW w:w="2728" w:type="dxa"/>
            <w:vAlign w:val="center"/>
          </w:tcPr>
          <w:p w14:paraId="4C2978A3" w14:textId="15861F55"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0.0000</w:t>
            </w:r>
            <w:r w:rsidR="002912DA" w:rsidRPr="003D73C3">
              <w:rPr>
                <w:rFonts w:ascii="Arial" w:hAnsi="Arial" w:cs="Arial"/>
                <w:sz w:val="16"/>
                <w:szCs w:val="18"/>
              </w:rPr>
              <w:t>50</w:t>
            </w:r>
          </w:p>
        </w:tc>
      </w:tr>
      <w:tr w:rsidR="001B0AF6" w:rsidRPr="00B95A30" w14:paraId="34A9D31A" w14:textId="77777777" w:rsidTr="00E95BD6">
        <w:tc>
          <w:tcPr>
            <w:tcW w:w="868" w:type="dxa"/>
            <w:vAlign w:val="center"/>
          </w:tcPr>
          <w:p w14:paraId="61AB2BE3" w14:textId="0F0162CF" w:rsidR="001B0AF6" w:rsidRPr="003D73C3" w:rsidRDefault="001B0AF6" w:rsidP="009F7DB8">
            <w:pPr>
              <w:spacing w:before="120"/>
              <w:rPr>
                <w:rFonts w:ascii="Arial" w:hAnsi="Arial" w:cs="Arial"/>
                <w:b/>
                <w:sz w:val="16"/>
                <w:szCs w:val="18"/>
              </w:rPr>
            </w:pPr>
            <w:r w:rsidRPr="003D73C3">
              <w:rPr>
                <w:rFonts w:ascii="Arial" w:hAnsi="Arial" w:cs="Arial"/>
                <w:b/>
                <w:sz w:val="16"/>
                <w:szCs w:val="18"/>
              </w:rPr>
              <w:t>2020</w:t>
            </w:r>
          </w:p>
        </w:tc>
        <w:tc>
          <w:tcPr>
            <w:tcW w:w="2592" w:type="dxa"/>
            <w:vAlign w:val="center"/>
          </w:tcPr>
          <w:p w14:paraId="7EBF8B03" w14:textId="10251319" w:rsidR="001B0AF6" w:rsidRPr="003D73C3" w:rsidRDefault="001B0AF6" w:rsidP="009F7DB8">
            <w:pPr>
              <w:spacing w:before="120"/>
              <w:jc w:val="center"/>
              <w:rPr>
                <w:rFonts w:ascii="Arial" w:hAnsi="Arial" w:cs="Arial"/>
                <w:sz w:val="16"/>
                <w:szCs w:val="18"/>
              </w:rPr>
            </w:pPr>
            <w:r w:rsidRPr="003D73C3">
              <w:rPr>
                <w:rFonts w:ascii="Arial" w:hAnsi="Arial" w:cs="Arial"/>
                <w:sz w:val="16"/>
                <w:szCs w:val="18"/>
              </w:rPr>
              <w:t>500</w:t>
            </w:r>
          </w:p>
        </w:tc>
        <w:tc>
          <w:tcPr>
            <w:tcW w:w="2873" w:type="dxa"/>
            <w:vAlign w:val="center"/>
          </w:tcPr>
          <w:p w14:paraId="1544F358" w14:textId="015798D2" w:rsidR="001B0AF6" w:rsidRPr="003D73C3" w:rsidRDefault="001B0AF6" w:rsidP="009F7DB8">
            <w:pPr>
              <w:spacing w:before="120"/>
              <w:jc w:val="center"/>
              <w:rPr>
                <w:rFonts w:ascii="Arial" w:hAnsi="Arial" w:cs="Arial"/>
                <w:sz w:val="16"/>
                <w:szCs w:val="18"/>
              </w:rPr>
            </w:pPr>
            <w:r w:rsidRPr="003D73C3">
              <w:rPr>
                <w:rFonts w:ascii="Arial" w:hAnsi="Arial" w:cs="Arial"/>
                <w:sz w:val="16"/>
                <w:szCs w:val="18"/>
              </w:rPr>
              <w:t>0.1</w:t>
            </w:r>
          </w:p>
        </w:tc>
        <w:tc>
          <w:tcPr>
            <w:tcW w:w="2728" w:type="dxa"/>
            <w:vAlign w:val="center"/>
          </w:tcPr>
          <w:p w14:paraId="1138372F" w14:textId="4856D7DE" w:rsidR="001B0AF6" w:rsidRPr="003D73C3" w:rsidRDefault="00B95A30" w:rsidP="009F7DB8">
            <w:pPr>
              <w:spacing w:before="120"/>
              <w:jc w:val="center"/>
              <w:rPr>
                <w:rFonts w:ascii="Arial" w:hAnsi="Arial" w:cs="Arial"/>
                <w:sz w:val="16"/>
                <w:szCs w:val="18"/>
              </w:rPr>
            </w:pPr>
            <w:r w:rsidRPr="003D73C3">
              <w:rPr>
                <w:rFonts w:ascii="Arial" w:hAnsi="Arial" w:cs="Arial"/>
                <w:sz w:val="16"/>
                <w:szCs w:val="18"/>
              </w:rPr>
              <w:t>0.000050</w:t>
            </w:r>
          </w:p>
        </w:tc>
      </w:tr>
    </w:tbl>
    <w:p w14:paraId="70AD0061" w14:textId="37E7139E"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B95A30">
        <w:rPr>
          <w:rFonts w:ascii="Arial" w:hAnsi="Arial" w:cs="Arial"/>
          <w:b/>
          <w:szCs w:val="18"/>
        </w:rPr>
        <w:t>2020</w:t>
      </w:r>
    </w:p>
    <w:p w14:paraId="37F4749D"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High (because it is based on an industry estimate of national production)</w:t>
      </w:r>
    </w:p>
    <w:p w14:paraId="382A69C0"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Medium (because it is based on the Toolkit default factor supported by analytical data obtained previously from one of the manufacturers)</w:t>
      </w:r>
    </w:p>
    <w:p w14:paraId="01876A94" w14:textId="77777777" w:rsidR="006761D2" w:rsidRPr="003D73C3" w:rsidRDefault="006761D2" w:rsidP="006761D2">
      <w:pPr>
        <w:pStyle w:val="Heading3"/>
      </w:pPr>
      <w:bookmarkStart w:id="372" w:name="_Toc112768143"/>
      <w:r w:rsidRPr="003D73C3">
        <w:t>Chlorinated Paraffins</w:t>
      </w:r>
      <w:bookmarkEnd w:id="372"/>
    </w:p>
    <w:p w14:paraId="43105DFF" w14:textId="666D4F35" w:rsidR="006761D2" w:rsidRPr="003D73C3" w:rsidRDefault="24854215" w:rsidP="006761D2">
      <w:pPr>
        <w:spacing w:line="300" w:lineRule="atLeast"/>
        <w:jc w:val="both"/>
      </w:pPr>
      <w:r>
        <w:t xml:space="preserve">Chlorinated paraffins (CPs) are produced by chlorination of straight-chain hydrocarbons, with chain lengths </w:t>
      </w:r>
      <w:bookmarkStart w:id="373" w:name="_Int_Pw7yJUE3"/>
      <w:r>
        <w:t>generally ranging</w:t>
      </w:r>
      <w:bookmarkEnd w:id="373"/>
      <w:r>
        <w:t xml:space="preserve"> from C</w:t>
      </w:r>
      <w:r w:rsidRPr="0C34660A">
        <w:rPr>
          <w:vertAlign w:val="subscript"/>
        </w:rPr>
        <w:t>10</w:t>
      </w:r>
      <w:r>
        <w:t xml:space="preserve"> to C</w:t>
      </w:r>
      <w:r w:rsidRPr="0C34660A">
        <w:rPr>
          <w:vertAlign w:val="subscript"/>
        </w:rPr>
        <w:t>30</w:t>
      </w:r>
      <w:r>
        <w:t xml:space="preserve">. The largest use of CPs is in industrial cutting fluids, but they may also be present in paints, adhesives, </w:t>
      </w:r>
      <w:bookmarkStart w:id="374" w:name="_Int_LDgvU2rY"/>
      <w:r>
        <w:t>sealants,</w:t>
      </w:r>
      <w:bookmarkEnd w:id="374"/>
      <w:r>
        <w:t xml:space="preserve"> and caulks, as well as plasticizers for PVC and flame retardants in other plastics and rubber.</w:t>
      </w:r>
    </w:p>
    <w:p w14:paraId="65F2DC3F" w14:textId="77777777" w:rsidR="006761D2" w:rsidRPr="003D73C3" w:rsidRDefault="006761D2" w:rsidP="006761D2">
      <w:pPr>
        <w:spacing w:line="300" w:lineRule="atLeast"/>
        <w:jc w:val="both"/>
        <w:rPr>
          <w:szCs w:val="18"/>
        </w:rPr>
      </w:pPr>
      <w:r w:rsidRPr="003D73C3">
        <w:rPr>
          <w:szCs w:val="18"/>
        </w:rPr>
        <w:t xml:space="preserve">Given the nature of their uses, most chlorinated paraffins are likely to be imported as minor constituents of a wide range of manufactured products. As such, it would be virtually impossible to determine the total quantities of CPs entering the country, or the dioxin contamination levels. </w:t>
      </w:r>
    </w:p>
    <w:p w14:paraId="30F855AC" w14:textId="77777777" w:rsidR="006761D2" w:rsidRPr="003D73C3" w:rsidRDefault="006761D2" w:rsidP="006761D2">
      <w:pPr>
        <w:pStyle w:val="Heading3"/>
      </w:pPr>
      <w:bookmarkStart w:id="375" w:name="_Toc112768144"/>
      <w:r w:rsidRPr="003D73C3">
        <w:lastRenderedPageBreak/>
        <w:t>p-Chloranil</w:t>
      </w:r>
      <w:bookmarkEnd w:id="375"/>
    </w:p>
    <w:p w14:paraId="41FB79D5" w14:textId="1CD3AA2B" w:rsidR="006761D2" w:rsidRPr="003D73C3" w:rsidRDefault="006761D2" w:rsidP="006761D2">
      <w:pPr>
        <w:spacing w:line="300" w:lineRule="atLeast"/>
        <w:jc w:val="both"/>
        <w:rPr>
          <w:szCs w:val="18"/>
        </w:rPr>
      </w:pPr>
      <w:r w:rsidRPr="003D73C3">
        <w:rPr>
          <w:szCs w:val="18"/>
        </w:rPr>
        <w:t xml:space="preserve">Chloranil (2,3,5,6-tetrachloro-2,5-cyclohexadiene-1,4-dione) was used in the past as a fungicide and seed dressing, although these uses were discontinued in most countries by the early 1980s. It is still used in the manufacture of dioxazine dyes and as a laboratory reagent (eg, for the detection of primary and secondary amines). Chloranil has been shown to be contaminated with dioxins, but the level of contamination is highly dependent on the method of manufacture </w:t>
      </w:r>
      <w:r w:rsidR="003D73C3" w:rsidRPr="003D73C3">
        <w:rPr>
          <w:noProof/>
          <w:szCs w:val="18"/>
        </w:rPr>
        <w:t>(United Nations Environment Programme, 2013)</w:t>
      </w:r>
      <w:r w:rsidRPr="003D73C3">
        <w:rPr>
          <w:szCs w:val="18"/>
        </w:rPr>
        <w:t>.</w:t>
      </w:r>
    </w:p>
    <w:p w14:paraId="677DABC1" w14:textId="23C0A348" w:rsidR="006761D2" w:rsidRPr="003D73C3" w:rsidRDefault="24854215" w:rsidP="006761D2">
      <w:pPr>
        <w:spacing w:line="300" w:lineRule="atLeast"/>
        <w:jc w:val="both"/>
      </w:pPr>
      <w:r>
        <w:t xml:space="preserve">Chloranil is listed in the New Zealand Inventory of Chemicals maintained by the Environmental Protection Authority (see www.epa.govt.nz). The HSNO approval for chloranil lists it as a pesticide, veterinary </w:t>
      </w:r>
      <w:bookmarkStart w:id="376" w:name="_Int_SSptaaQ8"/>
      <w:r>
        <w:t>medicine,</w:t>
      </w:r>
      <w:bookmarkEnd w:id="376"/>
      <w:r>
        <w:t xml:space="preserve"> or pharmaceutical active ingredient. However, the substance is not currently registered under the Agricultural Chemicals and Veterinary Medicines Act 1997 (see </w:t>
      </w:r>
      <w:hyperlink r:id="rId30">
        <w:r w:rsidRPr="0C34660A">
          <w:rPr>
            <w:rStyle w:val="Hyperlink"/>
          </w:rPr>
          <w:t>www.foodsafety.govt.nz/-industry/acvm/registers-lists.htm</w:t>
        </w:r>
      </w:hyperlink>
      <w:r>
        <w:t>), and therefore, cannot be used in New Zealand for any of these applications.</w:t>
      </w:r>
    </w:p>
    <w:p w14:paraId="5B3300F9" w14:textId="77777777" w:rsidR="006761D2" w:rsidRPr="003D73C3" w:rsidRDefault="006761D2" w:rsidP="006761D2">
      <w:pPr>
        <w:spacing w:line="300" w:lineRule="atLeast"/>
        <w:jc w:val="both"/>
        <w:rPr>
          <w:szCs w:val="18"/>
        </w:rPr>
      </w:pPr>
      <w:r w:rsidRPr="003D73C3">
        <w:rPr>
          <w:szCs w:val="18"/>
        </w:rPr>
        <w:t>No current uses of chloranil have been specifically identified for New Zealand, although there may be some minor uses as a laboratory reagent.</w:t>
      </w:r>
    </w:p>
    <w:p w14:paraId="4EB945F2" w14:textId="77777777" w:rsidR="006761D2" w:rsidRPr="003D73C3" w:rsidRDefault="006761D2" w:rsidP="006761D2">
      <w:pPr>
        <w:pStyle w:val="Heading3"/>
      </w:pPr>
      <w:bookmarkStart w:id="377" w:name="_Toc112768145"/>
      <w:r w:rsidRPr="003D73C3">
        <w:t>Phthalocyanine dyes and pigments</w:t>
      </w:r>
      <w:bookmarkEnd w:id="377"/>
    </w:p>
    <w:p w14:paraId="15D77405" w14:textId="77EF8C3E" w:rsidR="00D30AD6" w:rsidRPr="003D73C3" w:rsidRDefault="24854215" w:rsidP="006761D2">
      <w:pPr>
        <w:spacing w:line="300" w:lineRule="atLeast"/>
        <w:jc w:val="both"/>
      </w:pPr>
      <w:r>
        <w:t xml:space="preserve">Phthalocyanine dyes are artificial organic pigments which can be used in a wide range of dye applications. However, the UNEP Toolkit is primarily concerned with two specific </w:t>
      </w:r>
      <w:bookmarkStart w:id="378" w:name="_Int_UpSpLJsA"/>
      <w:r>
        <w:t>substances;</w:t>
      </w:r>
      <w:bookmarkEnd w:id="378"/>
      <w:r>
        <w:t xml:space="preserve"> phthalocyanine copper (blue) and phthalocyanine green. The first of these can have minor levels of dioxin contamination (70 µg TEQ/tonne, </w:t>
      </w:r>
      <w:bookmarkStart w:id="379" w:name="_Int_lKiLc3eP"/>
      <w:r>
        <w:t>i</w:t>
      </w:r>
      <w:bookmarkEnd w:id="379"/>
      <w:r w:rsidR="005F2A59">
        <w:t>e,</w:t>
      </w:r>
      <w:r>
        <w:t xml:space="preserve"> 70 x 10</w:t>
      </w:r>
      <w:r w:rsidRPr="0C34660A">
        <w:rPr>
          <w:vertAlign w:val="superscript"/>
        </w:rPr>
        <w:t>-6</w:t>
      </w:r>
      <w:r>
        <w:t xml:space="preserve"> g TEQ/tonne) while the contamination levels in the latter can be 200 times greater</w:t>
      </w:r>
      <w:r w:rsidR="009B2481">
        <w:t>. P</w:t>
      </w:r>
      <w:r w:rsidR="46D52668">
        <w:t xml:space="preserve">hthalocyanine green is not listed in the New Zealand Inventory of Chemicals. </w:t>
      </w:r>
      <w:r>
        <w:t xml:space="preserve">These substances are </w:t>
      </w:r>
      <w:bookmarkStart w:id="380" w:name="_Int_xSAyqcVO"/>
      <w:r>
        <w:t>mainly used</w:t>
      </w:r>
      <w:bookmarkEnd w:id="380"/>
      <w:r>
        <w:t xml:space="preserve"> on textiles.</w:t>
      </w:r>
    </w:p>
    <w:p w14:paraId="34BD2790" w14:textId="798C28E4" w:rsidR="006761D2" w:rsidRPr="003D73C3" w:rsidRDefault="4DD34E05" w:rsidP="006761D2">
      <w:pPr>
        <w:spacing w:line="300" w:lineRule="atLeast"/>
        <w:jc w:val="both"/>
      </w:pPr>
      <w:r>
        <w:t xml:space="preserve">There is no specific import data available for phthalocyanine copper. </w:t>
      </w:r>
      <w:r w:rsidR="46D52668">
        <w:t xml:space="preserve">For the 2012 and 2016 Inventories it was assumed that the quantity annually in New Zealand would be </w:t>
      </w:r>
      <w:r>
        <w:t>no more than</w:t>
      </w:r>
      <w:r w:rsidR="46D52668">
        <w:t xml:space="preserve"> 10 tonnes per year</w:t>
      </w:r>
      <w:r w:rsidR="2FFF1017">
        <w:t xml:space="preserve"> and the same assumption will be made for this Inventory. For this </w:t>
      </w:r>
      <w:bookmarkStart w:id="381" w:name="_Int_edmeOY7c"/>
      <w:r w:rsidR="2FFF1017">
        <w:t>activity,</w:t>
      </w:r>
      <w:bookmarkEnd w:id="381"/>
      <w:r w:rsidR="2FFF1017">
        <w:t xml:space="preserve"> </w:t>
      </w:r>
      <w:r>
        <w:t>the associated dioxin release would be 0.0007 g TEQ per year. This would make only a very minor contribution to the New Zealand</w:t>
      </w:r>
      <w:r w:rsidR="2FFF1017">
        <w:t xml:space="preserve"> dioxin burden</w:t>
      </w:r>
      <w:r>
        <w:t xml:space="preserve"> so, given the lack of any specific import data, no releases will be reported for this Toolkit sub-category</w:t>
      </w:r>
    </w:p>
    <w:p w14:paraId="02DAD9E8" w14:textId="77777777" w:rsidR="006761D2" w:rsidRPr="003D73C3" w:rsidRDefault="006761D2" w:rsidP="006761D2">
      <w:pPr>
        <w:pStyle w:val="Heading3"/>
      </w:pPr>
      <w:bookmarkStart w:id="382" w:name="_Toc112768146"/>
      <w:r w:rsidRPr="003D73C3">
        <w:t>Tetrachlorophthalic acid (TCPA) and related pigments</w:t>
      </w:r>
      <w:bookmarkEnd w:id="382"/>
    </w:p>
    <w:p w14:paraId="20E65DD8" w14:textId="77777777" w:rsidR="006761D2" w:rsidRPr="003D73C3" w:rsidRDefault="006761D2" w:rsidP="006761D2">
      <w:pPr>
        <w:spacing w:line="300" w:lineRule="atLeast"/>
        <w:jc w:val="both"/>
        <w:rPr>
          <w:szCs w:val="18"/>
        </w:rPr>
      </w:pPr>
      <w:r w:rsidRPr="003D73C3">
        <w:rPr>
          <w:szCs w:val="18"/>
        </w:rPr>
        <w:t>TCPA is listed in the Toolkit as a potential source of dioxins but there are no data available on the possible contamination levels. There is no readily available information on the quantities of TCPA-based pigments imported into New Zealand.</w:t>
      </w:r>
    </w:p>
    <w:p w14:paraId="40AAE2AA" w14:textId="77777777" w:rsidR="006761D2" w:rsidRPr="003D73C3" w:rsidRDefault="006761D2" w:rsidP="006761D2">
      <w:pPr>
        <w:pStyle w:val="Heading3"/>
      </w:pPr>
      <w:bookmarkStart w:id="383" w:name="_Toc112768147"/>
      <w:r w:rsidRPr="003D73C3">
        <w:t>Dioxazine dyes and pigments</w:t>
      </w:r>
      <w:bookmarkEnd w:id="383"/>
    </w:p>
    <w:p w14:paraId="76C67144" w14:textId="4FFF40B7" w:rsidR="006761D2" w:rsidRPr="003D73C3" w:rsidRDefault="006761D2" w:rsidP="006761D2">
      <w:pPr>
        <w:spacing w:line="300" w:lineRule="atLeast"/>
        <w:jc w:val="both"/>
        <w:rPr>
          <w:szCs w:val="18"/>
        </w:rPr>
      </w:pPr>
      <w:r w:rsidRPr="003D73C3">
        <w:rPr>
          <w:szCs w:val="18"/>
        </w:rPr>
        <w:t xml:space="preserve">The dioxazine pigments with the potential for dioxin contamination are CI Pigment Violet 23, and CI Direct Blue 106 and 108. However, the contamination has only been reported for dyes made by a specific chemical process, which was replaced by a ‘cleaner’ method in the 1990s </w:t>
      </w:r>
      <w:r w:rsidR="003D73C3" w:rsidRPr="003D73C3">
        <w:rPr>
          <w:noProof/>
          <w:szCs w:val="18"/>
        </w:rPr>
        <w:t>(United Nations Environment Programme, 2013)</w:t>
      </w:r>
      <w:r w:rsidRPr="003D73C3">
        <w:rPr>
          <w:szCs w:val="18"/>
        </w:rPr>
        <w:t>.</w:t>
      </w:r>
    </w:p>
    <w:p w14:paraId="35F431EB" w14:textId="073AB13A" w:rsidR="006761D2" w:rsidRPr="003D73C3" w:rsidRDefault="24854215" w:rsidP="006761D2">
      <w:pPr>
        <w:spacing w:line="300" w:lineRule="atLeast"/>
        <w:jc w:val="both"/>
      </w:pPr>
      <w:r>
        <w:t xml:space="preserve">These pigments can be used in a wide range of materials, including plastics, </w:t>
      </w:r>
      <w:bookmarkStart w:id="384" w:name="_Int_5ltvwzDT"/>
      <w:r>
        <w:t>paints,</w:t>
      </w:r>
      <w:bookmarkEnd w:id="384"/>
      <w:r>
        <w:t xml:space="preserve"> and printing inks, and they are also used in the production of dyes for use on textiles and leather. Only the first of these pigments is listed in the New Zealand Inventory of Chemicals. It is also listed in Schedule 7 to the ACVM Act as being acceptable for use as a seed treatment, provided the total levels of dioxins are no more than 20 µg/kg (note: this refers to total dioxins rather than TEQ). This indicates that the pigment should be </w:t>
      </w:r>
      <w:bookmarkStart w:id="385" w:name="_Int_xH2j8W82"/>
      <w:r>
        <w:t>essentially dioxin-</w:t>
      </w:r>
      <w:bookmarkEnd w:id="385"/>
      <w:r>
        <w:t>free and is therefore not one of the highly contaminated forms of the product that are considered in the Toolkit.</w:t>
      </w:r>
    </w:p>
    <w:p w14:paraId="742BD3B8" w14:textId="77777777" w:rsidR="006761D2" w:rsidRPr="003D73C3" w:rsidRDefault="006761D2" w:rsidP="006761D2">
      <w:pPr>
        <w:pStyle w:val="Heading3"/>
      </w:pPr>
      <w:bookmarkStart w:id="386" w:name="_Toc112768148"/>
      <w:r w:rsidRPr="003D73C3">
        <w:lastRenderedPageBreak/>
        <w:t>Triclosan</w:t>
      </w:r>
      <w:bookmarkEnd w:id="386"/>
    </w:p>
    <w:p w14:paraId="50662165" w14:textId="28F321F3" w:rsidR="006761D2" w:rsidRPr="003D73C3" w:rsidRDefault="24854215" w:rsidP="006761D2">
      <w:pPr>
        <w:spacing w:line="300" w:lineRule="atLeast"/>
        <w:jc w:val="both"/>
      </w:pPr>
      <w:r>
        <w:t>Triclosan (5</w:t>
      </w:r>
      <w:r w:rsidR="0014465E">
        <w:t>-</w:t>
      </w:r>
      <w:r>
        <w:t>chloro</w:t>
      </w:r>
      <w:r w:rsidR="0014465E">
        <w:t>-</w:t>
      </w:r>
      <w:r>
        <w:t>2</w:t>
      </w:r>
      <w:r w:rsidR="0014465E">
        <w:t>-</w:t>
      </w:r>
      <w:r>
        <w:t>(2,4</w:t>
      </w:r>
      <w:bookmarkStart w:id="387" w:name="_Int_qyyOYSz2"/>
      <w:r w:rsidR="0014465E">
        <w:t>-</w:t>
      </w:r>
      <w:r>
        <w:t>dichlorophenoxy)phenol</w:t>
      </w:r>
      <w:bookmarkEnd w:id="387"/>
      <w:r>
        <w:t xml:space="preserve">) is used throughout the world as an antibacterial and antifungal agent in consumer products, including soaps, deodorants, toothpastes, shaving creams, mouth wash, and cleaning supplies. In New Zealand, its use in cosmetics is limited to a concentration of no more than 0.3%, under the </w:t>
      </w:r>
      <w:r w:rsidRPr="0C34660A">
        <w:rPr>
          <w:i/>
          <w:iCs/>
        </w:rPr>
        <w:t>Cosmetics Products Group Standard</w:t>
      </w:r>
      <w:r>
        <w:t xml:space="preserve">, issued under the HSNO Act. </w:t>
      </w:r>
    </w:p>
    <w:p w14:paraId="791BFA94" w14:textId="24B3204F" w:rsidR="006761D2" w:rsidRPr="003D73C3" w:rsidRDefault="006761D2" w:rsidP="006761D2">
      <w:pPr>
        <w:spacing w:line="300" w:lineRule="atLeast"/>
        <w:jc w:val="both"/>
        <w:rPr>
          <w:szCs w:val="18"/>
        </w:rPr>
      </w:pPr>
      <w:r w:rsidRPr="003D73C3">
        <w:rPr>
          <w:szCs w:val="18"/>
        </w:rPr>
        <w:t xml:space="preserve">There is no readily available information on the extent of triclosan usage in New Zealand. However, a recent assessment for Australia indicated total annual imports there of between 21 and 31 tonnes per year </w:t>
      </w:r>
      <w:r w:rsidR="003D73C3" w:rsidRPr="003D73C3">
        <w:rPr>
          <w:noProof/>
          <w:szCs w:val="18"/>
        </w:rPr>
        <w:t>(NICNAS, 2009)</w:t>
      </w:r>
      <w:r w:rsidRPr="003D73C3">
        <w:rPr>
          <w:szCs w:val="18"/>
        </w:rPr>
        <w:t>. On a simple pro rata basis this would suggest annual import</w:t>
      </w:r>
      <w:r w:rsidR="007B0D60" w:rsidRPr="003D73C3">
        <w:rPr>
          <w:szCs w:val="18"/>
        </w:rPr>
        <w:t>s for New Zealand of between 4 and 6</w:t>
      </w:r>
      <w:r w:rsidRPr="003D73C3">
        <w:rPr>
          <w:szCs w:val="18"/>
        </w:rPr>
        <w:t xml:space="preserve"> tonnes per year (based on </w:t>
      </w:r>
      <w:r w:rsidR="006A4DE9" w:rsidRPr="003D73C3">
        <w:rPr>
          <w:szCs w:val="18"/>
        </w:rPr>
        <w:t>2020</w:t>
      </w:r>
      <w:r w:rsidRPr="003D73C3">
        <w:rPr>
          <w:szCs w:val="18"/>
        </w:rPr>
        <w:t xml:space="preserve"> population fig</w:t>
      </w:r>
      <w:r w:rsidR="007B0D60" w:rsidRPr="003D73C3">
        <w:rPr>
          <w:szCs w:val="18"/>
        </w:rPr>
        <w:t xml:space="preserve">ures of </w:t>
      </w:r>
      <w:r w:rsidR="006A4DE9" w:rsidRPr="003D73C3">
        <w:rPr>
          <w:szCs w:val="18"/>
        </w:rPr>
        <w:t xml:space="preserve">25.7 </w:t>
      </w:r>
      <w:r w:rsidR="007B0D60" w:rsidRPr="003D73C3">
        <w:rPr>
          <w:szCs w:val="18"/>
        </w:rPr>
        <w:t xml:space="preserve">million and </w:t>
      </w:r>
      <w:r w:rsidR="006A4DE9" w:rsidRPr="003D73C3">
        <w:rPr>
          <w:szCs w:val="18"/>
        </w:rPr>
        <w:t xml:space="preserve">5.03 </w:t>
      </w:r>
      <w:r w:rsidR="007B0D60" w:rsidRPr="003D73C3">
        <w:rPr>
          <w:szCs w:val="18"/>
        </w:rPr>
        <w:t>million</w:t>
      </w:r>
      <w:r w:rsidRPr="003D73C3">
        <w:rPr>
          <w:szCs w:val="18"/>
        </w:rPr>
        <w:t>, respectively).</w:t>
      </w:r>
    </w:p>
    <w:p w14:paraId="4168E645" w14:textId="77777777" w:rsidR="006761D2" w:rsidRPr="00AF1200" w:rsidRDefault="24854215" w:rsidP="0C34660A">
      <w:pPr>
        <w:spacing w:line="300" w:lineRule="atLeast"/>
        <w:jc w:val="both"/>
        <w:rPr>
          <w:highlight w:val="yellow"/>
        </w:rPr>
      </w:pPr>
      <w:r>
        <w:t>The UNEP Toolkit indicates that triclosan can have dioxin contamination levels of 3 to 60 µg TEQ/tonne (</w:t>
      </w:r>
      <w:bookmarkStart w:id="388" w:name="_Int_fJbWxxAm"/>
      <w:r>
        <w:t>i.e.</w:t>
      </w:r>
      <w:bookmarkEnd w:id="388"/>
      <w:r>
        <w:t xml:space="preserve"> 3 to 60 x 10</w:t>
      </w:r>
      <w:r w:rsidRPr="0C34660A">
        <w:rPr>
          <w:vertAlign w:val="superscript"/>
        </w:rPr>
        <w:t>-6</w:t>
      </w:r>
      <w:r>
        <w:t xml:space="preserve"> g TEQ/tonne) when made using current manufacturing technologies. This suggests that the overall contribution to New Zealand releases would be in the range of 0.000011 and 0.000342 g TEQ/year. This would make only a very minor contribution to the total dioxin releases in New Zealand so, given the lack of any specific import data, no releases will be reported for this Toolkit sub-category.</w:t>
      </w:r>
    </w:p>
    <w:p w14:paraId="7056AB1F" w14:textId="77777777" w:rsidR="006761D2" w:rsidRPr="003D73C3" w:rsidRDefault="006761D2" w:rsidP="00261F78">
      <w:pPr>
        <w:pStyle w:val="Heading2"/>
      </w:pPr>
      <w:bookmarkStart w:id="389" w:name="_Toc112768149"/>
      <w:r w:rsidRPr="003D73C3">
        <w:t>Other chlorinated and non-chlorinated chemicals</w:t>
      </w:r>
      <w:bookmarkEnd w:id="389"/>
    </w:p>
    <w:p w14:paraId="47EFBE18" w14:textId="4D4C938B" w:rsidR="006761D2" w:rsidRPr="00AF1200" w:rsidRDefault="006761D2" w:rsidP="006761D2">
      <w:pPr>
        <w:spacing w:line="300" w:lineRule="atLeast"/>
        <w:jc w:val="both"/>
        <w:rPr>
          <w:szCs w:val="18"/>
          <w:highlight w:val="yellow"/>
        </w:rPr>
      </w:pPr>
      <w:r w:rsidRPr="003D73C3">
        <w:rPr>
          <w:szCs w:val="18"/>
        </w:rPr>
        <w:t xml:space="preserve">This section of the Toolkit covers dioxin releases from the manufacturing of titanium dioxide (via titanium tetrachloride) and caprolactam, which is a starting material for the manufacture of nylon </w:t>
      </w:r>
      <w:sdt>
        <w:sdtPr>
          <w:rPr>
            <w:szCs w:val="18"/>
          </w:rPr>
          <w:id w:val="-577593674"/>
          <w:citation/>
        </w:sdtPr>
        <w:sdtEndPr/>
        <w:sdtContent>
          <w:r w:rsidRPr="003D73C3">
            <w:rPr>
              <w:szCs w:val="18"/>
            </w:rPr>
            <w:fldChar w:fldCharType="begin"/>
          </w:r>
          <w:r w:rsidRPr="003D73C3">
            <w:rPr>
              <w:szCs w:val="18"/>
            </w:rPr>
            <w:instrText xml:space="preserve"> CITATION UNEP13 \l 5129 </w:instrText>
          </w:r>
          <w:r w:rsidRPr="003D73C3">
            <w:rPr>
              <w:szCs w:val="18"/>
            </w:rPr>
            <w:fldChar w:fldCharType="separate"/>
          </w:r>
          <w:r w:rsidR="00F1175E" w:rsidRPr="003D73C3">
            <w:rPr>
              <w:noProof/>
              <w:szCs w:val="18"/>
            </w:rPr>
            <w:t>(United Nations Environment Programme, 2013)</w:t>
          </w:r>
          <w:r w:rsidRPr="003D73C3">
            <w:rPr>
              <w:szCs w:val="18"/>
            </w:rPr>
            <w:fldChar w:fldCharType="end"/>
          </w:r>
        </w:sdtContent>
      </w:sdt>
      <w:r w:rsidRPr="003D73C3">
        <w:rPr>
          <w:szCs w:val="18"/>
        </w:rPr>
        <w:t>. Neither of these substances is produced in New Zealand.</w:t>
      </w:r>
    </w:p>
    <w:p w14:paraId="535C85E5" w14:textId="77777777" w:rsidR="006761D2" w:rsidRPr="003D73C3" w:rsidRDefault="006761D2" w:rsidP="00261F78">
      <w:pPr>
        <w:pStyle w:val="Heading2"/>
      </w:pPr>
      <w:bookmarkStart w:id="390" w:name="_Toc112768150"/>
      <w:r w:rsidRPr="003D73C3">
        <w:t>Petroleum production</w:t>
      </w:r>
      <w:bookmarkEnd w:id="390"/>
    </w:p>
    <w:p w14:paraId="1F89809A" w14:textId="616F95F8" w:rsidR="006761D2" w:rsidRPr="003D73C3" w:rsidRDefault="24854215" w:rsidP="006761D2">
      <w:pPr>
        <w:spacing w:line="300" w:lineRule="atLeast"/>
        <w:jc w:val="both"/>
      </w:pPr>
      <w:r>
        <w:t>New Zealand’s petroleum refining needs are served by a single refining plant</w:t>
      </w:r>
      <w:r w:rsidR="2B95B9D5">
        <w:t xml:space="preserve"> at Marsden Point</w:t>
      </w:r>
      <w:r>
        <w:t xml:space="preserve"> in Northland. </w:t>
      </w:r>
      <w:r w:rsidR="5EDDDB7E">
        <w:t xml:space="preserve">The refining process involves a catalytic reforming unit where naphtha is turned into high octane petrol products, but there is no coking unit at the plant. </w:t>
      </w:r>
      <w:r>
        <w:t xml:space="preserve">In </w:t>
      </w:r>
      <w:r w:rsidR="5EDDDB7E">
        <w:t>2020 throughput at the refinery was about 30% lower than for 2019 – a direct consequence of the C</w:t>
      </w:r>
      <w:r w:rsidR="4961BA68">
        <w:t>OVID</w:t>
      </w:r>
      <w:r w:rsidR="5EDDDB7E">
        <w:t xml:space="preserve">-19 pandemic. Land fuel volumes recovered to near normal levels by the end of the year, </w:t>
      </w:r>
      <w:r w:rsidR="4068F31E">
        <w:t>but jet fuel volumes remained weak.</w:t>
      </w:r>
      <w:r w:rsidR="63674BCE">
        <w:t xml:space="preserve"> </w:t>
      </w:r>
      <w:r w:rsidR="4068F31E" w:rsidRPr="0C34660A">
        <w:rPr>
          <w:noProof/>
        </w:rPr>
        <w:t>(Refining NZ, 2022</w:t>
      </w:r>
      <w:r w:rsidR="4068F31E">
        <w:t>).</w:t>
      </w:r>
      <w:r w:rsidR="63674BCE">
        <w:t xml:space="preserve"> </w:t>
      </w:r>
      <w:r w:rsidR="74A07FED">
        <w:t xml:space="preserve">It should be noted that on 1 April </w:t>
      </w:r>
      <w:r w:rsidR="2B95B9D5">
        <w:t>2022 Refining New Zealand relaunched its business as Channel Infrastructure New Zealand following a decision to cease refining operations at Marsden Point, mothball the plant and become an import only terminal for refined fuels.</w:t>
      </w:r>
    </w:p>
    <w:p w14:paraId="791768B0" w14:textId="487EFDB2" w:rsidR="006761D2" w:rsidRPr="003D73C3" w:rsidRDefault="006761D2" w:rsidP="006761D2">
      <w:pPr>
        <w:spacing w:line="300" w:lineRule="atLeast"/>
        <w:jc w:val="both"/>
        <w:rPr>
          <w:szCs w:val="18"/>
        </w:rPr>
      </w:pPr>
      <w:r w:rsidRPr="003D73C3">
        <w:rPr>
          <w:szCs w:val="18"/>
        </w:rPr>
        <w:t xml:space="preserve">Dioxin production during petroleum refining results from the combustion of volatile process gases in flares and complex reactions of hydrocarbons at elevated temperatures on catalytically active surfaces </w:t>
      </w:r>
      <w:r w:rsidR="003D73C3" w:rsidRPr="003D73C3">
        <w:rPr>
          <w:noProof/>
          <w:szCs w:val="18"/>
        </w:rPr>
        <w:t>(United Nations Environment Programme, 2013)</w:t>
      </w:r>
      <w:r w:rsidRPr="003D73C3">
        <w:rPr>
          <w:szCs w:val="18"/>
        </w:rPr>
        <w:t>. There can also be releases via wastewater and solid wastes.</w:t>
      </w:r>
    </w:p>
    <w:p w14:paraId="1218127D" w14:textId="69483C30" w:rsidR="006761D2" w:rsidRPr="003D73C3" w:rsidRDefault="24854215" w:rsidP="006761D2">
      <w:pPr>
        <w:spacing w:line="300" w:lineRule="atLeast"/>
        <w:jc w:val="both"/>
      </w:pPr>
      <w:r>
        <w:t xml:space="preserve">For the emissions to air, the UNEP Toolkit assigns an emission factor for flares of 0.25 µg TEQ per TJ of fuel burnt and for the catalytic refining unit an air emission factor of 0.017 µg TEQ per tonne of fuel processed is applicable </w:t>
      </w:r>
      <w:r w:rsidRPr="0C34660A">
        <w:rPr>
          <w:lang w:val="en-US"/>
        </w:rPr>
        <w:t xml:space="preserve">(1 </w:t>
      </w:r>
      <w:r>
        <w:t>µg</w:t>
      </w:r>
      <w:r w:rsidRPr="0C34660A">
        <w:rPr>
          <w:lang w:val="en-US"/>
        </w:rPr>
        <w:t xml:space="preserve"> = 10</w:t>
      </w:r>
      <w:r w:rsidRPr="0C34660A">
        <w:rPr>
          <w:vertAlign w:val="superscript"/>
          <w:lang w:val="en-US"/>
        </w:rPr>
        <w:t>-6</w:t>
      </w:r>
      <w:r w:rsidRPr="0C34660A">
        <w:rPr>
          <w:lang w:val="en-US"/>
        </w:rPr>
        <w:t xml:space="preserve"> g, and 1 TJ = 10</w:t>
      </w:r>
      <w:r w:rsidRPr="0C34660A">
        <w:rPr>
          <w:vertAlign w:val="superscript"/>
          <w:lang w:val="en-US"/>
        </w:rPr>
        <w:t>-12</w:t>
      </w:r>
      <w:r w:rsidRPr="0C34660A">
        <w:rPr>
          <w:lang w:val="en-US"/>
        </w:rPr>
        <w:t xml:space="preserve"> Joules)</w:t>
      </w:r>
      <w:r>
        <w:t xml:space="preserve">. In </w:t>
      </w:r>
      <w:r w:rsidR="4068F31E">
        <w:t>2020</w:t>
      </w:r>
      <w:r w:rsidR="6676CBFF">
        <w:t xml:space="preserve"> </w:t>
      </w:r>
      <w:r w:rsidR="4068F31E">
        <w:t>311</w:t>
      </w:r>
      <w:r>
        <w:t xml:space="preserve"> TJ of gas we</w:t>
      </w:r>
      <w:r w:rsidR="1DE81268">
        <w:t xml:space="preserve">re combusted in the flares (L Gillingham, </w:t>
      </w:r>
      <w:r w:rsidR="270B4B1D">
        <w:t xml:space="preserve">Channel Infrastructure </w:t>
      </w:r>
      <w:r w:rsidR="1DE81268">
        <w:t>NZ</w:t>
      </w:r>
      <w:r>
        <w:t>, pers comm,</w:t>
      </w:r>
      <w:r w:rsidR="4068F31E">
        <w:t xml:space="preserve"> 2022</w:t>
      </w:r>
      <w:r>
        <w:t>)</w:t>
      </w:r>
      <w:r w:rsidR="6676CBFF">
        <w:t xml:space="preserve">. This amount was significantly higher than the </w:t>
      </w:r>
      <w:r w:rsidR="4068F31E">
        <w:t>259</w:t>
      </w:r>
      <w:r w:rsidR="6676CBFF">
        <w:t xml:space="preserve"> TJ used</w:t>
      </w:r>
      <w:r w:rsidR="066A0203">
        <w:t xml:space="preserve"> in the </w:t>
      </w:r>
      <w:r w:rsidR="69241E9A">
        <w:t>2016</w:t>
      </w:r>
      <w:r w:rsidR="066A0203">
        <w:t xml:space="preserve"> Inventory and is the </w:t>
      </w:r>
      <w:r w:rsidR="6676CBFF">
        <w:t xml:space="preserve">result of </w:t>
      </w:r>
      <w:r w:rsidR="69241E9A">
        <w:t xml:space="preserve">plant operation interruptions </w:t>
      </w:r>
      <w:bookmarkStart w:id="391" w:name="_Int_cCX1lJ2t"/>
      <w:proofErr w:type="gramStart"/>
      <w:r w:rsidR="69241E9A">
        <w:t>as a result of</w:t>
      </w:r>
      <w:bookmarkEnd w:id="391"/>
      <w:proofErr w:type="gramEnd"/>
      <w:r w:rsidR="69241E9A">
        <w:t xml:space="preserve"> C</w:t>
      </w:r>
      <w:r w:rsidR="0014465E">
        <w:t>OVID</w:t>
      </w:r>
      <w:r w:rsidR="69241E9A">
        <w:t xml:space="preserve"> lockdowns.</w:t>
      </w:r>
      <w:r w:rsidR="6676CBFF">
        <w:t xml:space="preserve"> The flared gas</w:t>
      </w:r>
      <w:r>
        <w:t xml:space="preserve"> correspond</w:t>
      </w:r>
      <w:r w:rsidR="6676CBFF">
        <w:t>s</w:t>
      </w:r>
      <w:r>
        <w:t xml:space="preserve"> to a release to air of 0.0000</w:t>
      </w:r>
      <w:r w:rsidR="69241E9A">
        <w:t>78</w:t>
      </w:r>
      <w:r>
        <w:t xml:space="preserve"> g TEQ per annum. Also </w:t>
      </w:r>
      <w:r w:rsidR="69241E9A">
        <w:t xml:space="preserve">787,863 </w:t>
      </w:r>
      <w:r>
        <w:t>tonnes of oil were passed through the catalytic converter unit</w:t>
      </w:r>
      <w:r w:rsidR="066A0203">
        <w:t xml:space="preserve"> </w:t>
      </w:r>
      <w:r w:rsidR="1DE81268" w:rsidRPr="0C34660A">
        <w:rPr>
          <w:noProof/>
        </w:rPr>
        <w:t>(</w:t>
      </w:r>
      <w:r w:rsidR="270B4B1D" w:rsidRPr="0C34660A">
        <w:rPr>
          <w:noProof/>
        </w:rPr>
        <w:t>L Gillingham</w:t>
      </w:r>
      <w:r w:rsidR="1DE81268" w:rsidRPr="0C34660A">
        <w:rPr>
          <w:noProof/>
        </w:rPr>
        <w:t xml:space="preserve">, </w:t>
      </w:r>
      <w:r w:rsidR="270B4B1D" w:rsidRPr="0C34660A">
        <w:rPr>
          <w:noProof/>
        </w:rPr>
        <w:t>Channel Infrastructure</w:t>
      </w:r>
      <w:r w:rsidR="1DE81268" w:rsidRPr="0C34660A">
        <w:rPr>
          <w:noProof/>
        </w:rPr>
        <w:t xml:space="preserve"> NZ, pers comm,</w:t>
      </w:r>
      <w:r w:rsidR="270B4B1D" w:rsidRPr="0C34660A">
        <w:rPr>
          <w:noProof/>
        </w:rPr>
        <w:t xml:space="preserve"> 2022</w:t>
      </w:r>
      <w:r w:rsidR="1DE81268" w:rsidRPr="0C34660A">
        <w:rPr>
          <w:noProof/>
        </w:rPr>
        <w:t>)</w:t>
      </w:r>
      <w:r>
        <w:t xml:space="preserve">, resulting in a release to air of </w:t>
      </w:r>
      <w:r w:rsidR="066A0203">
        <w:t>0.01</w:t>
      </w:r>
      <w:r w:rsidR="270B4B1D">
        <w:t>34</w:t>
      </w:r>
      <w:r>
        <w:t xml:space="preserve"> g TEQ/annum.</w:t>
      </w:r>
    </w:p>
    <w:p w14:paraId="408A0420" w14:textId="32EB5CFD" w:rsidR="006761D2" w:rsidRPr="003D73C3" w:rsidRDefault="006761D2" w:rsidP="006761D2">
      <w:pPr>
        <w:spacing w:line="300" w:lineRule="atLeast"/>
        <w:jc w:val="both"/>
        <w:rPr>
          <w:szCs w:val="18"/>
        </w:rPr>
      </w:pPr>
      <w:r w:rsidRPr="003D73C3">
        <w:rPr>
          <w:szCs w:val="18"/>
        </w:rPr>
        <w:t>Refinery</w:t>
      </w:r>
      <w:r w:rsidR="004C18D5">
        <w:rPr>
          <w:szCs w:val="18"/>
        </w:rPr>
        <w:t xml:space="preserve"> </w:t>
      </w:r>
      <w:r w:rsidRPr="003D73C3">
        <w:rPr>
          <w:szCs w:val="18"/>
        </w:rPr>
        <w:t>wastewater treatment is assigned an emission factor of 5</w:t>
      </w:r>
      <w:r w:rsidR="004C18D5">
        <w:rPr>
          <w:szCs w:val="18"/>
        </w:rPr>
        <w:t xml:space="preserve"> </w:t>
      </w:r>
      <w:r w:rsidRPr="003D73C3">
        <w:rPr>
          <w:szCs w:val="18"/>
        </w:rPr>
        <w:t>pg TEQ per litre by the Toolkit (1 pg = 10</w:t>
      </w:r>
      <w:r w:rsidRPr="003D73C3">
        <w:rPr>
          <w:szCs w:val="18"/>
          <w:vertAlign w:val="superscript"/>
        </w:rPr>
        <w:t>-12</w:t>
      </w:r>
      <w:r w:rsidRPr="003D73C3">
        <w:rPr>
          <w:szCs w:val="18"/>
        </w:rPr>
        <w:t xml:space="preserve"> grams). In </w:t>
      </w:r>
      <w:r w:rsidR="00ED0293" w:rsidRPr="003D73C3">
        <w:rPr>
          <w:szCs w:val="18"/>
        </w:rPr>
        <w:t>202</w:t>
      </w:r>
      <w:r w:rsidR="0030213D" w:rsidRPr="003D73C3">
        <w:rPr>
          <w:szCs w:val="18"/>
        </w:rPr>
        <w:t>0</w:t>
      </w:r>
      <w:r w:rsidR="004F6740" w:rsidRPr="003D73C3">
        <w:rPr>
          <w:szCs w:val="18"/>
        </w:rPr>
        <w:t xml:space="preserve"> </w:t>
      </w:r>
      <w:r w:rsidRPr="003D73C3">
        <w:rPr>
          <w:szCs w:val="18"/>
        </w:rPr>
        <w:t xml:space="preserve">a total of </w:t>
      </w:r>
      <w:r w:rsidR="00ED0293" w:rsidRPr="003D73C3">
        <w:rPr>
          <w:szCs w:val="18"/>
        </w:rPr>
        <w:t xml:space="preserve">628,800 </w:t>
      </w:r>
      <w:r w:rsidRPr="003D73C3">
        <w:rPr>
          <w:szCs w:val="18"/>
        </w:rPr>
        <w:t xml:space="preserve">million cubic metres of wastewater was processed through the plant’s wastewater treatment system </w:t>
      </w:r>
      <w:r w:rsidR="00ED0293" w:rsidRPr="003D73C3">
        <w:rPr>
          <w:noProof/>
          <w:szCs w:val="18"/>
        </w:rPr>
        <w:t>(L Gillingham, Channel Infrastructure NZ, pers comm, 2022)</w:t>
      </w:r>
      <w:r w:rsidR="00ED0293" w:rsidRPr="003D73C3">
        <w:rPr>
          <w:szCs w:val="18"/>
        </w:rPr>
        <w:t xml:space="preserve">. </w:t>
      </w:r>
      <w:r w:rsidRPr="003D73C3">
        <w:rPr>
          <w:szCs w:val="18"/>
        </w:rPr>
        <w:t xml:space="preserve">This gives a release of </w:t>
      </w:r>
      <w:r w:rsidR="004F6740" w:rsidRPr="003D73C3">
        <w:rPr>
          <w:szCs w:val="18"/>
        </w:rPr>
        <w:t>0.00</w:t>
      </w:r>
      <w:r w:rsidR="0030213D" w:rsidRPr="003D73C3">
        <w:rPr>
          <w:szCs w:val="18"/>
        </w:rPr>
        <w:t>31</w:t>
      </w:r>
      <w:r w:rsidRPr="003D73C3">
        <w:rPr>
          <w:szCs w:val="18"/>
        </w:rPr>
        <w:t xml:space="preserve"> g TEQ/annum.</w:t>
      </w:r>
    </w:p>
    <w:p w14:paraId="09CD1ABE" w14:textId="1524A406" w:rsidR="006761D2" w:rsidRPr="003D73C3" w:rsidRDefault="24854215" w:rsidP="006761D2">
      <w:pPr>
        <w:spacing w:line="300" w:lineRule="atLeast"/>
        <w:jc w:val="both"/>
      </w:pPr>
      <w:r>
        <w:lastRenderedPageBreak/>
        <w:t xml:space="preserve">For releases in residues, the Toolkit assigns a factor of 14 µg TEQ per tonne of waste generated from the catalytic refining unit. A total of </w:t>
      </w:r>
      <w:r w:rsidR="41215424">
        <w:t>0.426</w:t>
      </w:r>
      <w:r>
        <w:t xml:space="preserve"> tonnes of waste was produced by this unit in </w:t>
      </w:r>
      <w:r w:rsidR="41215424">
        <w:t>2020</w:t>
      </w:r>
      <w:r w:rsidR="1DE81268">
        <w:t xml:space="preserve"> </w:t>
      </w:r>
      <w:r w:rsidR="41215424" w:rsidRPr="0C34660A">
        <w:rPr>
          <w:noProof/>
        </w:rPr>
        <w:t>(L Gillingham, Channel Infrastructure NZ, pers comm, 2022)</w:t>
      </w:r>
      <w:r w:rsidR="41215424">
        <w:t xml:space="preserve">, </w:t>
      </w:r>
      <w:r>
        <w:t>giving a release to residues of 0.</w:t>
      </w:r>
      <w:r w:rsidR="41215424">
        <w:t xml:space="preserve">0000059 g </w:t>
      </w:r>
      <w:r>
        <w:t>TEQ/annum</w:t>
      </w:r>
      <w:bookmarkStart w:id="392" w:name="_Int_IUixukdb"/>
      <w:r w:rsidR="1DE81268">
        <w:t xml:space="preserve">. </w:t>
      </w:r>
      <w:bookmarkEnd w:id="392"/>
    </w:p>
    <w:p w14:paraId="3DD9E7B7" w14:textId="4C09F995" w:rsidR="006761D2" w:rsidRPr="003D73C3" w:rsidRDefault="307CBD94" w:rsidP="006761D2">
      <w:pPr>
        <w:spacing w:line="300" w:lineRule="atLeast"/>
        <w:jc w:val="both"/>
      </w:pPr>
      <w:r w:rsidRPr="0C34660A">
        <w:t xml:space="preserve">2012, 2016 and </w:t>
      </w:r>
      <w:r w:rsidR="74A07FED" w:rsidRPr="0C34660A">
        <w:t>2020</w:t>
      </w:r>
      <w:r w:rsidR="24854215" w:rsidRPr="0C34660A">
        <w:t xml:space="preserve"> estimates for releases from petroleum production are shown in </w:t>
      </w:r>
      <w:r w:rsidR="006761D2" w:rsidRPr="003D73C3">
        <w:rPr>
          <w:szCs w:val="18"/>
        </w:rPr>
        <w:fldChar w:fldCharType="begin"/>
      </w:r>
      <w:r w:rsidR="006761D2" w:rsidRPr="003D73C3">
        <w:rPr>
          <w:szCs w:val="18"/>
        </w:rPr>
        <w:instrText xml:space="preserve"> REF _Ref391219831 \h </w:instrText>
      </w:r>
      <w:r w:rsidR="00AF1200" w:rsidRPr="003D73C3">
        <w:rPr>
          <w:szCs w:val="18"/>
        </w:rPr>
        <w:instrText xml:space="preserve"> \* MERGEFORMAT </w:instrText>
      </w:r>
      <w:r w:rsidR="006761D2" w:rsidRPr="003D73C3">
        <w:rPr>
          <w:szCs w:val="18"/>
        </w:rPr>
      </w:r>
      <w:r w:rsidR="006761D2" w:rsidRPr="003D73C3">
        <w:rPr>
          <w:szCs w:val="18"/>
        </w:rPr>
        <w:fldChar w:fldCharType="separate"/>
      </w:r>
      <w:r w:rsidR="00141D7F" w:rsidRPr="003D73C3">
        <w:rPr>
          <w:rFonts w:cs="Arial"/>
        </w:rPr>
        <w:t xml:space="preserve">Table </w:t>
      </w:r>
      <w:r w:rsidR="00141D7F">
        <w:rPr>
          <w:rFonts w:cs="Arial"/>
          <w:noProof/>
        </w:rPr>
        <w:t>9</w:t>
      </w:r>
      <w:r w:rsidR="00141D7F" w:rsidRPr="003D73C3">
        <w:rPr>
          <w:rFonts w:cs="Arial"/>
          <w:noProof/>
        </w:rPr>
        <w:noBreakHyphen/>
      </w:r>
      <w:r w:rsidR="00141D7F">
        <w:rPr>
          <w:rFonts w:cs="Arial"/>
          <w:noProof/>
        </w:rPr>
        <w:t>4</w:t>
      </w:r>
      <w:r w:rsidR="006761D2" w:rsidRPr="003D73C3">
        <w:rPr>
          <w:szCs w:val="18"/>
        </w:rPr>
        <w:fldChar w:fldCharType="end"/>
      </w:r>
      <w:r w:rsidR="24854215" w:rsidRPr="0C34660A">
        <w:t xml:space="preserve">. </w:t>
      </w:r>
      <w:r w:rsidR="00454548">
        <w:t>For</w:t>
      </w:r>
      <w:r w:rsidR="24854215" w:rsidRPr="0C34660A">
        <w:t xml:space="preserve"> clarity, the entries in the table have been limited to only the release estimates, rather than showing </w:t>
      </w:r>
      <w:bookmarkStart w:id="393" w:name="_Int_sM15J3bS"/>
      <w:proofErr w:type="gramStart"/>
      <w:r w:rsidR="24854215" w:rsidRPr="0C34660A">
        <w:t>all of</w:t>
      </w:r>
      <w:bookmarkEnd w:id="393"/>
      <w:proofErr w:type="gramEnd"/>
      <w:r w:rsidR="24854215" w:rsidRPr="0C34660A">
        <w:t xml:space="preserve"> the </w:t>
      </w:r>
      <w:bookmarkStart w:id="394" w:name="_Int_XUOoBml4"/>
      <w:r w:rsidR="24854215" w:rsidRPr="0C34660A">
        <w:t>different types</w:t>
      </w:r>
      <w:bookmarkEnd w:id="394"/>
      <w:r w:rsidR="24854215" w:rsidRPr="0C34660A">
        <w:t xml:space="preserve"> of activity data and related releases factors noted above. </w:t>
      </w:r>
    </w:p>
    <w:p w14:paraId="19206E74" w14:textId="6A6E3C00" w:rsidR="006761D2" w:rsidRPr="003D73C3" w:rsidRDefault="006761D2" w:rsidP="006761D2">
      <w:pPr>
        <w:pStyle w:val="Caption"/>
        <w:jc w:val="left"/>
        <w:rPr>
          <w:rFonts w:cs="Arial"/>
          <w:szCs w:val="18"/>
        </w:rPr>
      </w:pPr>
      <w:bookmarkStart w:id="395" w:name="_Ref391219831"/>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9</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4</w:t>
      </w:r>
      <w:r w:rsidRPr="003D73C3">
        <w:rPr>
          <w:rFonts w:cs="Arial"/>
        </w:rPr>
        <w:fldChar w:fldCharType="end"/>
      </w:r>
      <w:bookmarkEnd w:id="395"/>
      <w:r w:rsidRPr="003D73C3">
        <w:rPr>
          <w:rFonts w:cs="Arial"/>
        </w:rPr>
        <w:t>: Dioxin releases from petroleum production</w:t>
      </w:r>
    </w:p>
    <w:tbl>
      <w:tblPr>
        <w:tblStyle w:val="TableGrid"/>
        <w:tblW w:w="0" w:type="auto"/>
        <w:tblLook w:val="04A0" w:firstRow="1" w:lastRow="0" w:firstColumn="1" w:lastColumn="0" w:noHBand="0" w:noVBand="1"/>
      </w:tblPr>
      <w:tblGrid>
        <w:gridCol w:w="1349"/>
        <w:gridCol w:w="2202"/>
        <w:gridCol w:w="2765"/>
        <w:gridCol w:w="2745"/>
      </w:tblGrid>
      <w:tr w:rsidR="006761D2" w:rsidRPr="00E512AD" w14:paraId="639C5D95" w14:textId="77777777" w:rsidTr="00E95BD6">
        <w:tc>
          <w:tcPr>
            <w:tcW w:w="1349" w:type="dxa"/>
            <w:vMerge w:val="restart"/>
            <w:vAlign w:val="center"/>
          </w:tcPr>
          <w:p w14:paraId="0C3A066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7712" w:type="dxa"/>
            <w:gridSpan w:val="3"/>
            <w:vAlign w:val="center"/>
          </w:tcPr>
          <w:p w14:paraId="29134720"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E512AD" w14:paraId="5CB766F6" w14:textId="77777777" w:rsidTr="00E95BD6">
        <w:tc>
          <w:tcPr>
            <w:tcW w:w="1349" w:type="dxa"/>
            <w:vMerge/>
          </w:tcPr>
          <w:p w14:paraId="00BEF77F" w14:textId="77777777" w:rsidR="006761D2" w:rsidRPr="003D73C3" w:rsidRDefault="006761D2" w:rsidP="009F7DB8">
            <w:pPr>
              <w:spacing w:before="120"/>
              <w:jc w:val="both"/>
              <w:rPr>
                <w:rFonts w:ascii="Arial" w:hAnsi="Arial" w:cs="Arial"/>
                <w:sz w:val="16"/>
                <w:szCs w:val="18"/>
              </w:rPr>
            </w:pPr>
          </w:p>
        </w:tc>
        <w:tc>
          <w:tcPr>
            <w:tcW w:w="2202" w:type="dxa"/>
            <w:vAlign w:val="center"/>
          </w:tcPr>
          <w:p w14:paraId="392978DC"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Air</w:t>
            </w:r>
          </w:p>
        </w:tc>
        <w:tc>
          <w:tcPr>
            <w:tcW w:w="2765" w:type="dxa"/>
            <w:vAlign w:val="center"/>
          </w:tcPr>
          <w:p w14:paraId="070E72D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Water</w:t>
            </w:r>
          </w:p>
        </w:tc>
        <w:tc>
          <w:tcPr>
            <w:tcW w:w="2745" w:type="dxa"/>
            <w:vAlign w:val="center"/>
          </w:tcPr>
          <w:p w14:paraId="50580B5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Residues</w:t>
            </w:r>
          </w:p>
        </w:tc>
      </w:tr>
      <w:tr w:rsidR="006761D2" w:rsidRPr="00E512AD" w14:paraId="0A841308" w14:textId="77777777" w:rsidTr="00E95BD6">
        <w:tc>
          <w:tcPr>
            <w:tcW w:w="1349" w:type="dxa"/>
            <w:vAlign w:val="center"/>
          </w:tcPr>
          <w:p w14:paraId="02F5D638" w14:textId="14B1B7A2" w:rsidR="006761D2" w:rsidRPr="003D73C3" w:rsidRDefault="00C018B4" w:rsidP="009F7DB8">
            <w:pPr>
              <w:spacing w:before="120"/>
              <w:rPr>
                <w:rFonts w:ascii="Arial" w:hAnsi="Arial" w:cs="Arial"/>
                <w:b/>
                <w:sz w:val="16"/>
                <w:szCs w:val="18"/>
              </w:rPr>
            </w:pPr>
            <w:r w:rsidRPr="003D73C3">
              <w:rPr>
                <w:rFonts w:ascii="Arial" w:hAnsi="Arial" w:cs="Arial"/>
                <w:b/>
                <w:sz w:val="16"/>
                <w:szCs w:val="18"/>
              </w:rPr>
              <w:t>2012</w:t>
            </w:r>
          </w:p>
        </w:tc>
        <w:tc>
          <w:tcPr>
            <w:tcW w:w="2202" w:type="dxa"/>
            <w:vAlign w:val="center"/>
          </w:tcPr>
          <w:p w14:paraId="2C27D692"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0.018</w:t>
            </w:r>
          </w:p>
        </w:tc>
        <w:tc>
          <w:tcPr>
            <w:tcW w:w="2765" w:type="dxa"/>
            <w:vAlign w:val="center"/>
          </w:tcPr>
          <w:p w14:paraId="0F5F69AC" w14:textId="00DE8BA9"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0.007</w:t>
            </w:r>
            <w:r w:rsidR="00C018B4" w:rsidRPr="003D73C3">
              <w:rPr>
                <w:rFonts w:ascii="Arial" w:hAnsi="Arial" w:cs="Arial"/>
                <w:sz w:val="16"/>
                <w:szCs w:val="18"/>
              </w:rPr>
              <w:t>8</w:t>
            </w:r>
          </w:p>
        </w:tc>
        <w:tc>
          <w:tcPr>
            <w:tcW w:w="2745" w:type="dxa"/>
            <w:vAlign w:val="center"/>
          </w:tcPr>
          <w:p w14:paraId="5A65B2AA" w14:textId="77777777" w:rsidR="006761D2" w:rsidRPr="003D73C3" w:rsidRDefault="006761D2" w:rsidP="009F7DB8">
            <w:pPr>
              <w:spacing w:before="120"/>
              <w:jc w:val="center"/>
              <w:rPr>
                <w:rFonts w:ascii="Arial" w:hAnsi="Arial" w:cs="Arial"/>
                <w:sz w:val="16"/>
                <w:szCs w:val="18"/>
              </w:rPr>
            </w:pPr>
            <w:r w:rsidRPr="003D73C3">
              <w:rPr>
                <w:rFonts w:ascii="Arial" w:hAnsi="Arial" w:cs="Arial"/>
                <w:sz w:val="16"/>
                <w:szCs w:val="18"/>
              </w:rPr>
              <w:t>0.00007</w:t>
            </w:r>
          </w:p>
        </w:tc>
      </w:tr>
      <w:tr w:rsidR="00C018B4" w:rsidRPr="00E512AD" w14:paraId="179ACA37" w14:textId="77777777" w:rsidTr="00E95BD6">
        <w:tc>
          <w:tcPr>
            <w:tcW w:w="1349" w:type="dxa"/>
            <w:vAlign w:val="center"/>
          </w:tcPr>
          <w:p w14:paraId="58C647AC" w14:textId="74A082A5" w:rsidR="00C018B4" w:rsidRPr="003D73C3" w:rsidRDefault="00C018B4" w:rsidP="009F7DB8">
            <w:pPr>
              <w:spacing w:before="120"/>
              <w:rPr>
                <w:rFonts w:ascii="Arial" w:hAnsi="Arial" w:cs="Arial"/>
                <w:b/>
                <w:sz w:val="16"/>
                <w:szCs w:val="18"/>
              </w:rPr>
            </w:pPr>
            <w:r w:rsidRPr="003D73C3">
              <w:rPr>
                <w:rFonts w:ascii="Arial" w:hAnsi="Arial" w:cs="Arial"/>
                <w:b/>
                <w:sz w:val="16"/>
                <w:szCs w:val="18"/>
              </w:rPr>
              <w:t>2016</w:t>
            </w:r>
          </w:p>
        </w:tc>
        <w:tc>
          <w:tcPr>
            <w:tcW w:w="2202" w:type="dxa"/>
            <w:vAlign w:val="center"/>
          </w:tcPr>
          <w:p w14:paraId="49B8707E" w14:textId="509E024A" w:rsidR="00C018B4" w:rsidRPr="003D73C3" w:rsidRDefault="00C018B4" w:rsidP="009F7DB8">
            <w:pPr>
              <w:spacing w:before="120"/>
              <w:jc w:val="center"/>
              <w:rPr>
                <w:rFonts w:ascii="Arial" w:hAnsi="Arial" w:cs="Arial"/>
                <w:sz w:val="16"/>
                <w:szCs w:val="18"/>
              </w:rPr>
            </w:pPr>
            <w:r w:rsidRPr="003D73C3">
              <w:rPr>
                <w:rFonts w:ascii="Arial" w:hAnsi="Arial" w:cs="Arial"/>
                <w:sz w:val="16"/>
                <w:szCs w:val="18"/>
              </w:rPr>
              <w:t>0.019</w:t>
            </w:r>
          </w:p>
        </w:tc>
        <w:tc>
          <w:tcPr>
            <w:tcW w:w="2765" w:type="dxa"/>
            <w:vAlign w:val="center"/>
          </w:tcPr>
          <w:p w14:paraId="43C077E7" w14:textId="58CABA88" w:rsidR="00C018B4" w:rsidRPr="003D73C3" w:rsidRDefault="00C018B4" w:rsidP="009F7DB8">
            <w:pPr>
              <w:spacing w:before="120"/>
              <w:jc w:val="center"/>
              <w:rPr>
                <w:rFonts w:ascii="Arial" w:hAnsi="Arial" w:cs="Arial"/>
                <w:sz w:val="16"/>
                <w:szCs w:val="18"/>
              </w:rPr>
            </w:pPr>
            <w:r w:rsidRPr="003D73C3">
              <w:rPr>
                <w:rFonts w:ascii="Arial" w:hAnsi="Arial" w:cs="Arial"/>
                <w:sz w:val="16"/>
                <w:szCs w:val="18"/>
              </w:rPr>
              <w:t>0.0084</w:t>
            </w:r>
          </w:p>
        </w:tc>
        <w:tc>
          <w:tcPr>
            <w:tcW w:w="2745" w:type="dxa"/>
            <w:vAlign w:val="center"/>
          </w:tcPr>
          <w:p w14:paraId="49C4A27F" w14:textId="0E0F7410" w:rsidR="00C018B4" w:rsidRPr="003D73C3" w:rsidRDefault="00C018B4" w:rsidP="009F7DB8">
            <w:pPr>
              <w:spacing w:before="120"/>
              <w:jc w:val="center"/>
              <w:rPr>
                <w:rFonts w:ascii="Arial" w:hAnsi="Arial" w:cs="Arial"/>
                <w:sz w:val="16"/>
                <w:szCs w:val="18"/>
              </w:rPr>
            </w:pPr>
            <w:r w:rsidRPr="003D73C3">
              <w:rPr>
                <w:rFonts w:ascii="Arial" w:hAnsi="Arial" w:cs="Arial"/>
                <w:sz w:val="16"/>
                <w:szCs w:val="18"/>
              </w:rPr>
              <w:t>0.000017</w:t>
            </w:r>
          </w:p>
        </w:tc>
      </w:tr>
      <w:tr w:rsidR="00931AAA" w:rsidRPr="00E512AD" w14:paraId="30D897E7" w14:textId="77777777" w:rsidTr="00E95BD6">
        <w:tc>
          <w:tcPr>
            <w:tcW w:w="1349" w:type="dxa"/>
            <w:vAlign w:val="center"/>
          </w:tcPr>
          <w:p w14:paraId="7C3F4273" w14:textId="28ABA930" w:rsidR="00931AAA" w:rsidRPr="003D73C3" w:rsidRDefault="00931AAA" w:rsidP="009F7DB8">
            <w:pPr>
              <w:spacing w:before="120"/>
              <w:rPr>
                <w:rFonts w:ascii="Arial" w:hAnsi="Arial" w:cs="Arial"/>
                <w:b/>
                <w:sz w:val="16"/>
                <w:szCs w:val="18"/>
              </w:rPr>
            </w:pPr>
            <w:r w:rsidRPr="003D73C3">
              <w:rPr>
                <w:rFonts w:ascii="Arial" w:hAnsi="Arial" w:cs="Arial"/>
                <w:b/>
                <w:sz w:val="16"/>
                <w:szCs w:val="18"/>
              </w:rPr>
              <w:t>2020</w:t>
            </w:r>
          </w:p>
        </w:tc>
        <w:tc>
          <w:tcPr>
            <w:tcW w:w="2202" w:type="dxa"/>
            <w:vAlign w:val="center"/>
          </w:tcPr>
          <w:p w14:paraId="21E52C77" w14:textId="771B57E8" w:rsidR="00931AAA" w:rsidRPr="003D73C3" w:rsidRDefault="00310A4A" w:rsidP="009F7DB8">
            <w:pPr>
              <w:spacing w:before="120"/>
              <w:jc w:val="center"/>
              <w:rPr>
                <w:rFonts w:ascii="Arial" w:hAnsi="Arial" w:cs="Arial"/>
                <w:sz w:val="16"/>
                <w:szCs w:val="18"/>
              </w:rPr>
            </w:pPr>
            <w:r w:rsidRPr="003D73C3">
              <w:rPr>
                <w:rFonts w:ascii="Arial" w:hAnsi="Arial" w:cs="Arial"/>
                <w:sz w:val="16"/>
                <w:szCs w:val="18"/>
              </w:rPr>
              <w:t>0.0135</w:t>
            </w:r>
          </w:p>
        </w:tc>
        <w:tc>
          <w:tcPr>
            <w:tcW w:w="2765" w:type="dxa"/>
            <w:vAlign w:val="center"/>
          </w:tcPr>
          <w:p w14:paraId="6FE7A047" w14:textId="2410947D" w:rsidR="00931AAA" w:rsidRPr="003D73C3" w:rsidRDefault="00310A4A" w:rsidP="009F7DB8">
            <w:pPr>
              <w:spacing w:before="120"/>
              <w:jc w:val="center"/>
              <w:rPr>
                <w:rFonts w:ascii="Arial" w:hAnsi="Arial" w:cs="Arial"/>
                <w:sz w:val="16"/>
                <w:szCs w:val="18"/>
              </w:rPr>
            </w:pPr>
            <w:r w:rsidRPr="003D73C3">
              <w:rPr>
                <w:rFonts w:ascii="Arial" w:hAnsi="Arial" w:cs="Arial"/>
                <w:sz w:val="16"/>
                <w:szCs w:val="18"/>
              </w:rPr>
              <w:t>0.0031</w:t>
            </w:r>
          </w:p>
        </w:tc>
        <w:tc>
          <w:tcPr>
            <w:tcW w:w="2745" w:type="dxa"/>
            <w:vAlign w:val="center"/>
          </w:tcPr>
          <w:p w14:paraId="23FCB5D6" w14:textId="45BC7334" w:rsidR="00931AAA" w:rsidRPr="003D73C3" w:rsidRDefault="00310A4A" w:rsidP="009F7DB8">
            <w:pPr>
              <w:spacing w:before="120"/>
              <w:jc w:val="center"/>
              <w:rPr>
                <w:rFonts w:ascii="Arial" w:hAnsi="Arial" w:cs="Arial"/>
                <w:sz w:val="16"/>
                <w:szCs w:val="18"/>
              </w:rPr>
            </w:pPr>
            <w:r w:rsidRPr="003D73C3">
              <w:rPr>
                <w:rFonts w:ascii="Arial" w:hAnsi="Arial" w:cs="Arial"/>
                <w:sz w:val="16"/>
                <w:szCs w:val="18"/>
              </w:rPr>
              <w:t>0.0000039</w:t>
            </w:r>
          </w:p>
        </w:tc>
      </w:tr>
    </w:tbl>
    <w:p w14:paraId="07DAC345" w14:textId="1350A745"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931AAA" w:rsidRPr="003D73C3">
        <w:rPr>
          <w:rFonts w:ascii="Arial" w:hAnsi="Arial" w:cs="Arial"/>
          <w:b/>
          <w:szCs w:val="18"/>
        </w:rPr>
        <w:t>2020</w:t>
      </w:r>
    </w:p>
    <w:p w14:paraId="6E81EBBB"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High (because they are based on actual production data)</w:t>
      </w:r>
    </w:p>
    <w:p w14:paraId="093D5195"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they are based on the Toolkit default factors)</w:t>
      </w:r>
    </w:p>
    <w:p w14:paraId="1E6EC85D" w14:textId="77777777" w:rsidR="006761D2" w:rsidRPr="003D73C3" w:rsidRDefault="006761D2" w:rsidP="00261F78">
      <w:pPr>
        <w:pStyle w:val="Heading2"/>
      </w:pPr>
      <w:bookmarkStart w:id="396" w:name="_Toc112768151"/>
      <w:r w:rsidRPr="003D73C3">
        <w:t>Textile (and leather) production</w:t>
      </w:r>
      <w:bookmarkEnd w:id="396"/>
    </w:p>
    <w:p w14:paraId="1B0961F7" w14:textId="77777777" w:rsidR="006761D2" w:rsidRPr="003D73C3" w:rsidRDefault="24854215" w:rsidP="006761D2">
      <w:pPr>
        <w:spacing w:line="300" w:lineRule="atLeast"/>
        <w:jc w:val="both"/>
      </w:pPr>
      <w:r>
        <w:t xml:space="preserve">The UNEP Toolkit indicates that dioxins may be found in textile and leather products and production wastes </w:t>
      </w:r>
      <w:bookmarkStart w:id="397" w:name="_Int_9MyecL4Q"/>
      <w:proofErr w:type="gramStart"/>
      <w:r>
        <w:t>as a result of</w:t>
      </w:r>
      <w:bookmarkEnd w:id="397"/>
      <w:proofErr w:type="gramEnd"/>
      <w:r>
        <w:t xml:space="preserve"> </w:t>
      </w:r>
      <w:bookmarkStart w:id="398" w:name="_Int_29uafd2v"/>
      <w:r>
        <w:t>a number of</w:t>
      </w:r>
      <w:bookmarkEnd w:id="398"/>
      <w:r>
        <w:t xml:space="preserve"> factors, including:</w:t>
      </w:r>
    </w:p>
    <w:p w14:paraId="520013D3" w14:textId="77777777" w:rsidR="006761D2" w:rsidRPr="003D73C3" w:rsidRDefault="006761D2" w:rsidP="006761D2">
      <w:pPr>
        <w:tabs>
          <w:tab w:val="left" w:pos="993"/>
        </w:tabs>
        <w:spacing w:line="300" w:lineRule="atLeast"/>
        <w:ind w:left="567"/>
        <w:jc w:val="both"/>
        <w:rPr>
          <w:szCs w:val="18"/>
        </w:rPr>
      </w:pPr>
      <w:r w:rsidRPr="003D73C3">
        <w:rPr>
          <w:szCs w:val="18"/>
        </w:rPr>
        <w:t>•</w:t>
      </w:r>
      <w:r w:rsidRPr="003D73C3">
        <w:rPr>
          <w:szCs w:val="18"/>
        </w:rPr>
        <w:tab/>
        <w:t xml:space="preserve">the treatment of raw materials with agrichemicals, especially pentachlorophenol, </w:t>
      </w:r>
    </w:p>
    <w:p w14:paraId="68057059" w14:textId="16E6C05B" w:rsidR="006761D2" w:rsidRPr="003D73C3" w:rsidRDefault="006761D2" w:rsidP="006761D2">
      <w:pPr>
        <w:tabs>
          <w:tab w:val="left" w:pos="993"/>
        </w:tabs>
        <w:spacing w:line="300" w:lineRule="atLeast"/>
        <w:ind w:left="567"/>
        <w:jc w:val="both"/>
        <w:rPr>
          <w:szCs w:val="18"/>
        </w:rPr>
      </w:pPr>
      <w:r w:rsidRPr="003D73C3">
        <w:rPr>
          <w:szCs w:val="18"/>
        </w:rPr>
        <w:t>•</w:t>
      </w:r>
      <w:r w:rsidRPr="003D73C3">
        <w:rPr>
          <w:szCs w:val="18"/>
        </w:rPr>
        <w:tab/>
        <w:t>the use of dioxin-contaminated dyestuffs (</w:t>
      </w:r>
      <w:r w:rsidR="00AE12C7">
        <w:rPr>
          <w:szCs w:val="18"/>
        </w:rPr>
        <w:t>eg,</w:t>
      </w:r>
      <w:r w:rsidRPr="003D73C3">
        <w:rPr>
          <w:szCs w:val="18"/>
        </w:rPr>
        <w:t xml:space="preserve"> dioxazine dyes)</w:t>
      </w:r>
    </w:p>
    <w:p w14:paraId="33B3F959" w14:textId="77777777" w:rsidR="006761D2" w:rsidRPr="003D73C3" w:rsidRDefault="006761D2" w:rsidP="006761D2">
      <w:pPr>
        <w:tabs>
          <w:tab w:val="left" w:pos="993"/>
        </w:tabs>
        <w:spacing w:line="300" w:lineRule="atLeast"/>
        <w:ind w:left="567"/>
        <w:jc w:val="both"/>
        <w:rPr>
          <w:szCs w:val="18"/>
        </w:rPr>
      </w:pPr>
      <w:r w:rsidRPr="003D73C3">
        <w:rPr>
          <w:szCs w:val="18"/>
        </w:rPr>
        <w:t>•</w:t>
      </w:r>
      <w:r w:rsidRPr="003D73C3">
        <w:rPr>
          <w:szCs w:val="18"/>
        </w:rPr>
        <w:tab/>
        <w:t>the formation of dioxins as unintentional by-products in the production processes.</w:t>
      </w:r>
    </w:p>
    <w:p w14:paraId="1A719E35" w14:textId="0C0181A7" w:rsidR="006761D2" w:rsidRPr="003D73C3" w:rsidRDefault="24854215" w:rsidP="006761D2">
      <w:pPr>
        <w:spacing w:line="300" w:lineRule="atLeast"/>
        <w:jc w:val="both"/>
      </w:pPr>
      <w:r>
        <w:t xml:space="preserve">Pentachlorophenol and the sodium salt of pentachlorophenol were </w:t>
      </w:r>
      <w:bookmarkStart w:id="399" w:name="_Int_MgEMDOQB"/>
      <w:r>
        <w:t>mainly used</w:t>
      </w:r>
      <w:bookmarkEnd w:id="399"/>
      <w:r>
        <w:t xml:space="preserve"> in New Zealand for timber treatment (see section 9.4.3), but they may have also been used in the textiles and leather industries, </w:t>
      </w:r>
      <w:bookmarkStart w:id="400" w:name="_Int_2TsPd0dc"/>
      <w:r>
        <w:t>mainly as</w:t>
      </w:r>
      <w:bookmarkEnd w:id="400"/>
      <w:r>
        <w:t xml:space="preserve"> a fungicide or preservative. All uses of pentachlorophenol were deregistered by the Pesticides Board in 1989</w:t>
      </w:r>
      <w:r w:rsidR="307CBD94">
        <w:t xml:space="preserve"> </w:t>
      </w:r>
      <w:r>
        <w:t xml:space="preserve">and the substance approval under the HSNO Act was formally withdrawn in 2008 </w:t>
      </w:r>
      <w:r w:rsidR="0DD904CD" w:rsidRPr="0C34660A">
        <w:rPr>
          <w:noProof/>
        </w:rPr>
        <w:t>(Environmental Risk Management Authority, 2008)</w:t>
      </w:r>
      <w:r>
        <w:t>. In the 2008 Inventory it was noted that the testing of New Zealand pelts and hides intended for export had not shown any detectable levels of pentachlorophenol.</w:t>
      </w:r>
    </w:p>
    <w:p w14:paraId="13CF06B0" w14:textId="31473F17" w:rsidR="006761D2" w:rsidRPr="003D73C3" w:rsidRDefault="24854215" w:rsidP="006761D2">
      <w:pPr>
        <w:spacing w:line="300" w:lineRule="atLeast"/>
        <w:jc w:val="both"/>
      </w:pPr>
      <w:r>
        <w:t xml:space="preserve">The uses of pentachlorophenol have been either banned or severely restricted in many other countries. For example, the register maintained by the Secretariat of the Rotterdam Convention indicates that the substance has been banned or is no longer approved for use in at least 45 countries and is prohibited from import in a further 42 </w:t>
      </w:r>
      <w:r w:rsidR="0DD904CD" w:rsidRPr="0C34660A">
        <w:rPr>
          <w:noProof/>
        </w:rPr>
        <w:t>(Secretariat of the Rotterdam Convention, 2013)</w:t>
      </w:r>
      <w:r>
        <w:t>. Imports and/or uses may still be permitted in other countries, including Australia, and Canada, but with conditions, for example, a residue limit in finished products.</w:t>
      </w:r>
    </w:p>
    <w:p w14:paraId="08404098" w14:textId="77777777" w:rsidR="006761D2" w:rsidRPr="003D73C3" w:rsidRDefault="006761D2" w:rsidP="006761D2">
      <w:pPr>
        <w:spacing w:line="300" w:lineRule="atLeast"/>
        <w:jc w:val="both"/>
        <w:rPr>
          <w:szCs w:val="18"/>
        </w:rPr>
      </w:pPr>
      <w:r w:rsidRPr="003D73C3">
        <w:rPr>
          <w:szCs w:val="18"/>
        </w:rPr>
        <w:t>The potential for dioxin contamination from dioxazine dyes was discussed in section 9.4.12. In the previous inventory report it was noted that some of these dyes have been used in the past in the New Zealand leather and textiles industries, but there were no current known uses.</w:t>
      </w:r>
    </w:p>
    <w:p w14:paraId="23FAB29B" w14:textId="6F7DEA7F" w:rsidR="006761D2" w:rsidRPr="003D73C3" w:rsidRDefault="24854215" w:rsidP="006761D2">
      <w:pPr>
        <w:spacing w:line="300" w:lineRule="atLeast"/>
        <w:jc w:val="both"/>
      </w:pPr>
      <w:r>
        <w:t xml:space="preserve">Dioxins are expected to occur in the wastes from textile and leather-processing plants, especially wastewater discharges, but mainly </w:t>
      </w:r>
      <w:bookmarkStart w:id="401" w:name="_Int_wfw1vnjB"/>
      <w:proofErr w:type="gramStart"/>
      <w:r>
        <w:t>as a result of</w:t>
      </w:r>
      <w:bookmarkEnd w:id="401"/>
      <w:proofErr w:type="gramEnd"/>
      <w:r>
        <w:t xml:space="preserve"> contaminated inputs from the chemicals noted above </w:t>
      </w:r>
      <w:r w:rsidR="0DD904CD" w:rsidRPr="0C34660A">
        <w:rPr>
          <w:noProof/>
        </w:rPr>
        <w:t xml:space="preserve">(United Nations </w:t>
      </w:r>
      <w:r w:rsidR="0DD904CD" w:rsidRPr="0C34660A">
        <w:rPr>
          <w:noProof/>
        </w:rPr>
        <w:lastRenderedPageBreak/>
        <w:t>Environment Programme, 2013)</w:t>
      </w:r>
      <w:r>
        <w:t>. There is also the potential for dioxin production as unintentional by-products when incineration processes are used for waste disposal. However, incineration is not used in New Zealand.</w:t>
      </w:r>
    </w:p>
    <w:p w14:paraId="63A29E4D" w14:textId="77777777" w:rsidR="006761D2" w:rsidRPr="003D73C3" w:rsidRDefault="24854215" w:rsidP="006761D2">
      <w:pPr>
        <w:spacing w:line="300" w:lineRule="atLeast"/>
        <w:jc w:val="both"/>
      </w:pPr>
      <w:bookmarkStart w:id="402" w:name="_Int_p0XnzH42"/>
      <w:proofErr w:type="gramStart"/>
      <w:r>
        <w:t>On the basis of</w:t>
      </w:r>
      <w:bookmarkEnd w:id="402"/>
      <w:proofErr w:type="gramEnd"/>
      <w:r>
        <w:t xml:space="preserve"> the above information, there is no reason to expect any significant dioxin releases from the processing and manufacture of textiles and leather products within New Zealand. However, there is some potential for them to be present in imported products, especially those sourced from countries where pentachlorophenol or dioxazine dyes are still in use.</w:t>
      </w:r>
    </w:p>
    <w:p w14:paraId="709FE070" w14:textId="21CA9F32" w:rsidR="006761D2" w:rsidRPr="003D73C3" w:rsidRDefault="24854215" w:rsidP="006761D2">
      <w:pPr>
        <w:spacing w:line="300" w:lineRule="atLeast"/>
        <w:jc w:val="both"/>
      </w:pPr>
      <w:r>
        <w:t xml:space="preserve">In the </w:t>
      </w:r>
      <w:r w:rsidR="334A5A51">
        <w:t xml:space="preserve">2012 </w:t>
      </w:r>
      <w:r>
        <w:t xml:space="preserve">inventory report it was estimated that the total annual releases from dioxins present in imported textiles and leather goods would be no more than about 0.036 g TEQ. There is no </w:t>
      </w:r>
      <w:bookmarkStart w:id="403" w:name="_Int_FICjcr8V"/>
      <w:r>
        <w:t>new information</w:t>
      </w:r>
      <w:bookmarkEnd w:id="403"/>
      <w:r>
        <w:t xml:space="preserve"> available to suggest that this estimate will have changed significantly since </w:t>
      </w:r>
      <w:r w:rsidR="0D461A9C">
        <w:t>2012</w:t>
      </w:r>
      <w:r>
        <w:t xml:space="preserve">. The </w:t>
      </w:r>
      <w:r w:rsidR="334A5A51">
        <w:t xml:space="preserve">practice for the </w:t>
      </w:r>
      <w:r w:rsidR="0D461A9C">
        <w:t>2012</w:t>
      </w:r>
      <w:r w:rsidR="334A5A51">
        <w:t xml:space="preserve"> and 2016 Inventories was not to include this </w:t>
      </w:r>
      <w:r>
        <w:t xml:space="preserve">estimate in the inventory results because of the associated </w:t>
      </w:r>
      <w:bookmarkStart w:id="404" w:name="_Int_Liw3c0um"/>
      <w:r>
        <w:t>very high</w:t>
      </w:r>
      <w:bookmarkEnd w:id="404"/>
      <w:r>
        <w:t xml:space="preserve"> uncertainties, and the same approach will be adopted here.</w:t>
      </w:r>
    </w:p>
    <w:p w14:paraId="40721B2E" w14:textId="77777777" w:rsidR="006761D2" w:rsidRPr="003D73C3" w:rsidRDefault="006761D2" w:rsidP="00261F78">
      <w:pPr>
        <w:pStyle w:val="Heading2"/>
      </w:pPr>
      <w:bookmarkStart w:id="405" w:name="_Toc112768152"/>
      <w:r w:rsidRPr="003D73C3">
        <w:t>Leather refining</w:t>
      </w:r>
      <w:bookmarkEnd w:id="405"/>
    </w:p>
    <w:p w14:paraId="596D49E6" w14:textId="44A5D7C8" w:rsidR="006761D2" w:rsidRPr="00AF1200" w:rsidRDefault="006761D2" w:rsidP="00C018B4">
      <w:pPr>
        <w:spacing w:line="300" w:lineRule="atLeast"/>
        <w:jc w:val="both"/>
        <w:rPr>
          <w:szCs w:val="18"/>
          <w:highlight w:val="yellow"/>
        </w:rPr>
      </w:pPr>
      <w:r w:rsidRPr="003D73C3">
        <w:rPr>
          <w:szCs w:val="18"/>
        </w:rPr>
        <w:t>See section 9.7.</w:t>
      </w:r>
    </w:p>
    <w:p w14:paraId="50B8D2F2" w14:textId="77777777" w:rsidR="006761D2" w:rsidRPr="003D73C3" w:rsidRDefault="006761D2" w:rsidP="00261F78">
      <w:pPr>
        <w:pStyle w:val="Heading2"/>
        <w:rPr>
          <w:rFonts w:eastAsia="Calibri"/>
        </w:rPr>
      </w:pPr>
      <w:bookmarkStart w:id="406" w:name="_Toc112768153"/>
      <w:r w:rsidRPr="003D73C3">
        <w:rPr>
          <w:rFonts w:eastAsia="Calibri"/>
        </w:rPr>
        <w:t>Summary for this category</w:t>
      </w:r>
      <w:bookmarkEnd w:id="406"/>
      <w:r w:rsidRPr="003D73C3">
        <w:rPr>
          <w:rFonts w:eastAsia="Calibri"/>
        </w:rPr>
        <w:t xml:space="preserve"> </w:t>
      </w:r>
    </w:p>
    <w:p w14:paraId="5D817850" w14:textId="00BBAA2A" w:rsidR="006761D2" w:rsidRPr="003D73C3" w:rsidRDefault="24854215" w:rsidP="0C34660A">
      <w:pPr>
        <w:spacing w:line="300" w:lineRule="atLeast"/>
        <w:jc w:val="both"/>
        <w:rPr>
          <w:rFonts w:eastAsia="Calibri"/>
        </w:rPr>
      </w:pPr>
      <w:r w:rsidRPr="0C34660A">
        <w:rPr>
          <w:rFonts w:eastAsia="Calibri"/>
        </w:rPr>
        <w:t xml:space="preserve">The </w:t>
      </w:r>
      <w:r w:rsidR="334A5A51" w:rsidRPr="0C34660A">
        <w:rPr>
          <w:rFonts w:eastAsia="Calibri"/>
        </w:rPr>
        <w:t>2020</w:t>
      </w:r>
      <w:r w:rsidRPr="0C34660A">
        <w:rPr>
          <w:rFonts w:eastAsia="Calibri"/>
        </w:rPr>
        <w:t xml:space="preserve"> release estimates </w:t>
      </w:r>
      <w:bookmarkStart w:id="407" w:name="_Int_jxfaEE4l"/>
      <w:proofErr w:type="gramStart"/>
      <w:r w:rsidRPr="0C34660A">
        <w:rPr>
          <w:rFonts w:eastAsia="Calibri"/>
        </w:rPr>
        <w:t>for the production of</w:t>
      </w:r>
      <w:bookmarkEnd w:id="407"/>
      <w:proofErr w:type="gramEnd"/>
      <w:r w:rsidRPr="0C34660A">
        <w:rPr>
          <w:rFonts w:eastAsia="Calibri"/>
        </w:rPr>
        <w:t xml:space="preserve"> chemicals and consumer goods are summarised in </w:t>
      </w:r>
      <w:r w:rsidR="006761D2" w:rsidRPr="0C34660A">
        <w:rPr>
          <w:rFonts w:eastAsia="Calibri"/>
        </w:rPr>
        <w:fldChar w:fldCharType="begin"/>
      </w:r>
      <w:r w:rsidR="006761D2" w:rsidRPr="0C34660A">
        <w:rPr>
          <w:rFonts w:eastAsia="Calibri"/>
        </w:rPr>
        <w:instrText xml:space="preserve"> REF _Ref359771542 \h  \* MERGEFORMAT </w:instrText>
      </w:r>
      <w:r w:rsidR="006761D2" w:rsidRPr="0C34660A">
        <w:rPr>
          <w:rFonts w:eastAsia="Calibri"/>
        </w:rPr>
      </w:r>
      <w:r w:rsidR="006761D2" w:rsidRPr="0C34660A">
        <w:rPr>
          <w:rFonts w:eastAsia="Calibri"/>
        </w:rPr>
        <w:fldChar w:fldCharType="separate"/>
      </w:r>
      <w:r w:rsidR="00141D7F" w:rsidRPr="00141D7F">
        <w:t xml:space="preserve">Table </w:t>
      </w:r>
      <w:r w:rsidR="00141D7F" w:rsidRPr="00141D7F">
        <w:rPr>
          <w:noProof/>
        </w:rPr>
        <w:t>9</w:t>
      </w:r>
      <w:r w:rsidR="00141D7F" w:rsidRPr="00141D7F">
        <w:rPr>
          <w:noProof/>
        </w:rPr>
        <w:noBreakHyphen/>
        <w:t>5</w:t>
      </w:r>
      <w:r w:rsidR="006761D2" w:rsidRPr="0C34660A">
        <w:rPr>
          <w:rFonts w:eastAsia="Calibri"/>
        </w:rPr>
        <w:fldChar w:fldCharType="end"/>
      </w:r>
      <w:r w:rsidRPr="0C34660A">
        <w:rPr>
          <w:rFonts w:eastAsia="Calibri"/>
        </w:rPr>
        <w:t>,</w:t>
      </w:r>
      <w:r w:rsidRPr="003D73C3">
        <w:t xml:space="preserve"> </w:t>
      </w:r>
      <w:r w:rsidRPr="0C34660A">
        <w:rPr>
          <w:rFonts w:eastAsia="Calibri"/>
        </w:rPr>
        <w:t>along with the totals for</w:t>
      </w:r>
      <w:r w:rsidR="38DBD3F5" w:rsidRPr="0C34660A">
        <w:rPr>
          <w:rFonts w:eastAsia="Calibri"/>
        </w:rPr>
        <w:t xml:space="preserve"> </w:t>
      </w:r>
      <w:r w:rsidR="6471A651" w:rsidRPr="0C34660A">
        <w:rPr>
          <w:rFonts w:eastAsia="Calibri"/>
        </w:rPr>
        <w:t>2012</w:t>
      </w:r>
      <w:r w:rsidR="334A5A51" w:rsidRPr="0C34660A">
        <w:rPr>
          <w:rFonts w:eastAsia="Calibri"/>
        </w:rPr>
        <w:t xml:space="preserve"> and 2016</w:t>
      </w:r>
      <w:r w:rsidRPr="0C34660A">
        <w:rPr>
          <w:rFonts w:eastAsia="Calibri"/>
        </w:rPr>
        <w:t>.</w:t>
      </w:r>
    </w:p>
    <w:p w14:paraId="4AF16C34" w14:textId="4FF411C7" w:rsidR="006761D2" w:rsidRPr="003D73C3" w:rsidRDefault="24854215" w:rsidP="0C34660A">
      <w:pPr>
        <w:pStyle w:val="Caption"/>
        <w:jc w:val="left"/>
        <w:rPr>
          <w:rFonts w:cs="Arial"/>
        </w:rPr>
      </w:pPr>
      <w:bookmarkStart w:id="408" w:name="_Ref359771542"/>
      <w:r w:rsidRPr="003D73C3">
        <w:rPr>
          <w:rFonts w:cs="Arial"/>
        </w:rPr>
        <w:t xml:space="preserve">Table </w:t>
      </w:r>
      <w:r w:rsidR="006761D2" w:rsidRPr="003D73C3">
        <w:rPr>
          <w:rFonts w:cs="Arial"/>
        </w:rPr>
        <w:fldChar w:fldCharType="begin"/>
      </w:r>
      <w:r w:rsidR="006761D2" w:rsidRPr="003D73C3">
        <w:rPr>
          <w:rFonts w:cs="Arial"/>
        </w:rPr>
        <w:instrText xml:space="preserve"> STYLEREF 1 \s </w:instrText>
      </w:r>
      <w:r w:rsidR="006761D2" w:rsidRPr="003D73C3">
        <w:rPr>
          <w:rFonts w:cs="Arial"/>
        </w:rPr>
        <w:fldChar w:fldCharType="separate"/>
      </w:r>
      <w:r w:rsidR="00141D7F">
        <w:rPr>
          <w:rFonts w:cs="Arial"/>
          <w:noProof/>
        </w:rPr>
        <w:t>9</w:t>
      </w:r>
      <w:r w:rsidR="006761D2" w:rsidRPr="003D73C3">
        <w:rPr>
          <w:rFonts w:cs="Arial"/>
        </w:rPr>
        <w:fldChar w:fldCharType="end"/>
      </w:r>
      <w:r w:rsidR="006761D2" w:rsidRPr="003D73C3">
        <w:rPr>
          <w:rFonts w:cs="Arial"/>
        </w:rPr>
        <w:noBreakHyphen/>
      </w:r>
      <w:r w:rsidR="006761D2" w:rsidRPr="003D73C3">
        <w:rPr>
          <w:rFonts w:cs="Arial"/>
        </w:rPr>
        <w:fldChar w:fldCharType="begin"/>
      </w:r>
      <w:r w:rsidR="006761D2" w:rsidRPr="003D73C3">
        <w:rPr>
          <w:rFonts w:cs="Arial"/>
        </w:rPr>
        <w:instrText xml:space="preserve"> SEQ Table \* ARABIC \s 1 </w:instrText>
      </w:r>
      <w:r w:rsidR="006761D2" w:rsidRPr="003D73C3">
        <w:rPr>
          <w:rFonts w:cs="Arial"/>
        </w:rPr>
        <w:fldChar w:fldCharType="separate"/>
      </w:r>
      <w:r w:rsidR="00141D7F">
        <w:rPr>
          <w:rFonts w:cs="Arial"/>
          <w:noProof/>
        </w:rPr>
        <w:t>5</w:t>
      </w:r>
      <w:r w:rsidR="006761D2" w:rsidRPr="003D73C3">
        <w:rPr>
          <w:rFonts w:cs="Arial"/>
        </w:rPr>
        <w:fldChar w:fldCharType="end"/>
      </w:r>
      <w:bookmarkEnd w:id="408"/>
      <w:r w:rsidRPr="003D73C3">
        <w:rPr>
          <w:rFonts w:cs="Arial"/>
        </w:rPr>
        <w:t xml:space="preserve">: Summary of the release estimates </w:t>
      </w:r>
      <w:bookmarkStart w:id="409" w:name="_Int_LMBZVDsp"/>
      <w:proofErr w:type="gramStart"/>
      <w:r w:rsidRPr="003D73C3">
        <w:rPr>
          <w:rFonts w:cs="Arial"/>
        </w:rPr>
        <w:t>for the production of</w:t>
      </w:r>
      <w:bookmarkEnd w:id="409"/>
      <w:proofErr w:type="gramEnd"/>
      <w:r w:rsidRPr="003D73C3">
        <w:rPr>
          <w:rFonts w:cs="Arial"/>
        </w:rPr>
        <w:t xml:space="preserve"> chemicals and consumer goods</w:t>
      </w:r>
    </w:p>
    <w:tbl>
      <w:tblPr>
        <w:tblStyle w:val="TableGrid"/>
        <w:tblW w:w="9214" w:type="dxa"/>
        <w:tblInd w:w="108" w:type="dxa"/>
        <w:tblLook w:val="04A0" w:firstRow="1" w:lastRow="0" w:firstColumn="1" w:lastColumn="0" w:noHBand="0" w:noVBand="1"/>
      </w:tblPr>
      <w:tblGrid>
        <w:gridCol w:w="2474"/>
        <w:gridCol w:w="1169"/>
        <w:gridCol w:w="1211"/>
        <w:gridCol w:w="1169"/>
        <w:gridCol w:w="1551"/>
        <w:gridCol w:w="1640"/>
      </w:tblGrid>
      <w:tr w:rsidR="006761D2" w:rsidRPr="00AF1200" w14:paraId="313296D0" w14:textId="77777777" w:rsidTr="004B7446">
        <w:tc>
          <w:tcPr>
            <w:tcW w:w="2474" w:type="dxa"/>
            <w:vMerge w:val="restart"/>
            <w:vAlign w:val="center"/>
          </w:tcPr>
          <w:p w14:paraId="2AD0EA3F" w14:textId="77777777" w:rsidR="006761D2" w:rsidRPr="00AF1200" w:rsidRDefault="006761D2" w:rsidP="009F7DB8">
            <w:pPr>
              <w:spacing w:before="120"/>
              <w:rPr>
                <w:rFonts w:ascii="Arial" w:hAnsi="Arial" w:cs="Arial"/>
                <w:b/>
                <w:sz w:val="16"/>
                <w:szCs w:val="16"/>
                <w:highlight w:val="yellow"/>
              </w:rPr>
            </w:pPr>
            <w:r w:rsidRPr="003D73C3">
              <w:rPr>
                <w:rFonts w:ascii="Arial" w:hAnsi="Arial" w:cs="Arial"/>
                <w:b/>
                <w:sz w:val="16"/>
                <w:szCs w:val="16"/>
              </w:rPr>
              <w:t>Category</w:t>
            </w:r>
          </w:p>
        </w:tc>
        <w:tc>
          <w:tcPr>
            <w:tcW w:w="6740" w:type="dxa"/>
            <w:gridSpan w:val="5"/>
            <w:vAlign w:val="center"/>
          </w:tcPr>
          <w:p w14:paraId="2BB7472F" w14:textId="40AB965C" w:rsidR="006761D2" w:rsidRPr="00AF1200" w:rsidRDefault="00A03315" w:rsidP="009F7DB8">
            <w:pPr>
              <w:spacing w:before="120"/>
              <w:jc w:val="center"/>
              <w:rPr>
                <w:rFonts w:ascii="Arial" w:hAnsi="Arial" w:cs="Arial"/>
                <w:b/>
                <w:sz w:val="16"/>
                <w:szCs w:val="16"/>
                <w:highlight w:val="yellow"/>
              </w:rPr>
            </w:pPr>
            <w:r w:rsidRPr="003D73C3">
              <w:rPr>
                <w:rFonts w:ascii="Arial" w:hAnsi="Arial" w:cs="Arial"/>
                <w:b/>
                <w:sz w:val="16"/>
                <w:szCs w:val="16"/>
              </w:rPr>
              <w:t xml:space="preserve">2020 </w:t>
            </w:r>
            <w:r w:rsidR="006761D2" w:rsidRPr="003D73C3">
              <w:rPr>
                <w:rFonts w:ascii="Arial" w:hAnsi="Arial" w:cs="Arial"/>
                <w:b/>
                <w:sz w:val="16"/>
                <w:szCs w:val="16"/>
              </w:rPr>
              <w:t>dioxin releases (g TEQ/yr)</w:t>
            </w:r>
          </w:p>
        </w:tc>
      </w:tr>
      <w:tr w:rsidR="006761D2" w:rsidRPr="00AF1200" w14:paraId="3CDE885D" w14:textId="77777777" w:rsidTr="004B7446">
        <w:tc>
          <w:tcPr>
            <w:tcW w:w="2474" w:type="dxa"/>
            <w:vMerge/>
            <w:vAlign w:val="center"/>
          </w:tcPr>
          <w:p w14:paraId="7CD08100" w14:textId="77777777" w:rsidR="006761D2" w:rsidRPr="00AF1200" w:rsidRDefault="006761D2" w:rsidP="009F7DB8">
            <w:pPr>
              <w:spacing w:before="120"/>
              <w:rPr>
                <w:rFonts w:ascii="Arial" w:hAnsi="Arial" w:cs="Arial"/>
                <w:b/>
                <w:sz w:val="16"/>
                <w:szCs w:val="16"/>
                <w:highlight w:val="yellow"/>
              </w:rPr>
            </w:pPr>
          </w:p>
        </w:tc>
        <w:tc>
          <w:tcPr>
            <w:tcW w:w="1169" w:type="dxa"/>
            <w:vAlign w:val="center"/>
          </w:tcPr>
          <w:p w14:paraId="65F1DC3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Air</w:t>
            </w:r>
          </w:p>
        </w:tc>
        <w:tc>
          <w:tcPr>
            <w:tcW w:w="1211" w:type="dxa"/>
            <w:vAlign w:val="center"/>
          </w:tcPr>
          <w:p w14:paraId="0A9A873F"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Water</w:t>
            </w:r>
          </w:p>
        </w:tc>
        <w:tc>
          <w:tcPr>
            <w:tcW w:w="1169" w:type="dxa"/>
            <w:vAlign w:val="center"/>
          </w:tcPr>
          <w:p w14:paraId="65433E1F"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Land</w:t>
            </w:r>
          </w:p>
        </w:tc>
        <w:tc>
          <w:tcPr>
            <w:tcW w:w="1551" w:type="dxa"/>
            <w:vAlign w:val="center"/>
          </w:tcPr>
          <w:p w14:paraId="5FB31AF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Product</w:t>
            </w:r>
          </w:p>
        </w:tc>
        <w:tc>
          <w:tcPr>
            <w:tcW w:w="1640" w:type="dxa"/>
            <w:vAlign w:val="center"/>
          </w:tcPr>
          <w:p w14:paraId="751EE25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Residue</w:t>
            </w:r>
          </w:p>
        </w:tc>
      </w:tr>
      <w:tr w:rsidR="006761D2" w:rsidRPr="00AF1200" w14:paraId="71B605D8" w14:textId="77777777" w:rsidTr="004B7446">
        <w:tc>
          <w:tcPr>
            <w:tcW w:w="2474" w:type="dxa"/>
            <w:vAlign w:val="center"/>
          </w:tcPr>
          <w:p w14:paraId="40222064"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Black liquor combustion</w:t>
            </w:r>
          </w:p>
        </w:tc>
        <w:tc>
          <w:tcPr>
            <w:tcW w:w="1169" w:type="dxa"/>
            <w:vAlign w:val="center"/>
          </w:tcPr>
          <w:p w14:paraId="7841768A" w14:textId="15CA3230" w:rsidR="006761D2" w:rsidRPr="003D73C3" w:rsidRDefault="00D107FF" w:rsidP="009F7DB8">
            <w:pPr>
              <w:spacing w:before="120"/>
              <w:jc w:val="center"/>
              <w:rPr>
                <w:rFonts w:ascii="Arial" w:hAnsi="Arial" w:cs="Arial"/>
                <w:sz w:val="16"/>
                <w:szCs w:val="16"/>
              </w:rPr>
            </w:pPr>
            <w:r>
              <w:rPr>
                <w:rFonts w:ascii="Arial" w:hAnsi="Arial" w:cs="Arial"/>
                <w:sz w:val="16"/>
                <w:szCs w:val="16"/>
              </w:rPr>
              <w:t>0.0304</w:t>
            </w:r>
          </w:p>
        </w:tc>
        <w:tc>
          <w:tcPr>
            <w:tcW w:w="1211" w:type="dxa"/>
            <w:vAlign w:val="center"/>
          </w:tcPr>
          <w:p w14:paraId="026D80A7"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169" w:type="dxa"/>
            <w:vAlign w:val="center"/>
          </w:tcPr>
          <w:p w14:paraId="3DED252A"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551" w:type="dxa"/>
            <w:vAlign w:val="center"/>
          </w:tcPr>
          <w:p w14:paraId="4DB79354"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640" w:type="dxa"/>
            <w:vAlign w:val="center"/>
          </w:tcPr>
          <w:p w14:paraId="169BCA8B"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47F85498" w14:textId="77777777" w:rsidTr="004B7446">
        <w:tc>
          <w:tcPr>
            <w:tcW w:w="2474" w:type="dxa"/>
            <w:vAlign w:val="center"/>
          </w:tcPr>
          <w:p w14:paraId="6F0B1704"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Pulp &amp; paper sludge disposal</w:t>
            </w:r>
          </w:p>
        </w:tc>
        <w:tc>
          <w:tcPr>
            <w:tcW w:w="1169" w:type="dxa"/>
            <w:vAlign w:val="center"/>
          </w:tcPr>
          <w:p w14:paraId="177EF5B5"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1" w:type="dxa"/>
            <w:vAlign w:val="center"/>
          </w:tcPr>
          <w:p w14:paraId="7CA4E0F7"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169" w:type="dxa"/>
            <w:vAlign w:val="center"/>
          </w:tcPr>
          <w:p w14:paraId="5C57571E" w14:textId="1A7C2CDA" w:rsidR="006761D2" w:rsidRPr="003D73C3" w:rsidRDefault="00D107FF" w:rsidP="009F7DB8">
            <w:pPr>
              <w:spacing w:before="120"/>
              <w:jc w:val="center"/>
              <w:rPr>
                <w:rFonts w:ascii="Arial" w:hAnsi="Arial" w:cs="Arial"/>
                <w:sz w:val="16"/>
                <w:szCs w:val="16"/>
              </w:rPr>
            </w:pPr>
            <w:r>
              <w:rPr>
                <w:rFonts w:ascii="Arial" w:hAnsi="Arial" w:cs="Arial"/>
                <w:sz w:val="16"/>
                <w:szCs w:val="16"/>
              </w:rPr>
              <w:t>0.0484</w:t>
            </w:r>
          </w:p>
        </w:tc>
        <w:tc>
          <w:tcPr>
            <w:tcW w:w="1551" w:type="dxa"/>
            <w:vAlign w:val="center"/>
          </w:tcPr>
          <w:p w14:paraId="1DB60F9D" w14:textId="227F5735" w:rsidR="006761D2" w:rsidRPr="003D73C3" w:rsidRDefault="006B522E" w:rsidP="009F7DB8">
            <w:pPr>
              <w:spacing w:before="120"/>
              <w:jc w:val="center"/>
              <w:rPr>
                <w:rFonts w:ascii="Arial" w:hAnsi="Arial" w:cs="Arial"/>
                <w:sz w:val="16"/>
                <w:szCs w:val="16"/>
              </w:rPr>
            </w:pPr>
            <w:r>
              <w:rPr>
                <w:rFonts w:ascii="Arial" w:hAnsi="Arial" w:cs="Arial"/>
                <w:sz w:val="16"/>
                <w:szCs w:val="16"/>
              </w:rPr>
              <w:t>0.121</w:t>
            </w:r>
          </w:p>
        </w:tc>
        <w:tc>
          <w:tcPr>
            <w:tcW w:w="1640" w:type="dxa"/>
            <w:vAlign w:val="center"/>
          </w:tcPr>
          <w:p w14:paraId="6C81BB38"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2B0787F9" w14:textId="77777777" w:rsidTr="004B7446">
        <w:tc>
          <w:tcPr>
            <w:tcW w:w="2474" w:type="dxa"/>
            <w:vAlign w:val="center"/>
          </w:tcPr>
          <w:p w14:paraId="1CD231CC"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Use of 2,4-D</w:t>
            </w:r>
          </w:p>
        </w:tc>
        <w:tc>
          <w:tcPr>
            <w:tcW w:w="1169" w:type="dxa"/>
            <w:vAlign w:val="center"/>
          </w:tcPr>
          <w:p w14:paraId="46CD2C2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1" w:type="dxa"/>
            <w:vAlign w:val="center"/>
          </w:tcPr>
          <w:p w14:paraId="48230A10"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169" w:type="dxa"/>
            <w:vAlign w:val="center"/>
          </w:tcPr>
          <w:p w14:paraId="0345EF5E"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551" w:type="dxa"/>
            <w:vAlign w:val="center"/>
          </w:tcPr>
          <w:p w14:paraId="2CFC9DAD" w14:textId="11DA7CDA" w:rsidR="006761D2" w:rsidRPr="003D73C3" w:rsidRDefault="00465B1B" w:rsidP="009F7DB8">
            <w:pPr>
              <w:spacing w:before="120"/>
              <w:jc w:val="center"/>
              <w:rPr>
                <w:rFonts w:ascii="Arial" w:hAnsi="Arial" w:cs="Arial"/>
                <w:sz w:val="16"/>
                <w:szCs w:val="16"/>
              </w:rPr>
            </w:pPr>
            <w:r w:rsidRPr="003D73C3">
              <w:rPr>
                <w:rFonts w:ascii="Arial" w:hAnsi="Arial" w:cs="Arial"/>
                <w:sz w:val="16"/>
                <w:szCs w:val="16"/>
              </w:rPr>
              <w:t>0.000050</w:t>
            </w:r>
          </w:p>
        </w:tc>
        <w:tc>
          <w:tcPr>
            <w:tcW w:w="1640" w:type="dxa"/>
            <w:vAlign w:val="center"/>
          </w:tcPr>
          <w:p w14:paraId="7239B5F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7273AD0D" w14:textId="77777777" w:rsidTr="004B7446">
        <w:tc>
          <w:tcPr>
            <w:tcW w:w="2474" w:type="dxa"/>
            <w:vAlign w:val="center"/>
          </w:tcPr>
          <w:p w14:paraId="5AF825DC"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Petroleum production</w:t>
            </w:r>
          </w:p>
        </w:tc>
        <w:tc>
          <w:tcPr>
            <w:tcW w:w="1169" w:type="dxa"/>
            <w:vAlign w:val="center"/>
          </w:tcPr>
          <w:p w14:paraId="7CD150EB" w14:textId="4626335D" w:rsidR="006761D2" w:rsidRPr="003D73C3" w:rsidRDefault="00897272" w:rsidP="009F7DB8">
            <w:pPr>
              <w:spacing w:before="120"/>
              <w:jc w:val="center"/>
              <w:rPr>
                <w:rFonts w:ascii="Arial" w:hAnsi="Arial" w:cs="Arial"/>
                <w:sz w:val="16"/>
                <w:szCs w:val="16"/>
              </w:rPr>
            </w:pPr>
            <w:r w:rsidRPr="003D73C3">
              <w:rPr>
                <w:rFonts w:ascii="Arial" w:hAnsi="Arial" w:cs="Arial"/>
                <w:sz w:val="16"/>
                <w:szCs w:val="18"/>
              </w:rPr>
              <w:t>0.0135</w:t>
            </w:r>
          </w:p>
        </w:tc>
        <w:tc>
          <w:tcPr>
            <w:tcW w:w="1211" w:type="dxa"/>
            <w:vAlign w:val="center"/>
          </w:tcPr>
          <w:p w14:paraId="051A4C13" w14:textId="45093084" w:rsidR="006761D2" w:rsidRPr="003D73C3" w:rsidRDefault="00897272" w:rsidP="009F7DB8">
            <w:pPr>
              <w:spacing w:before="120"/>
              <w:jc w:val="center"/>
              <w:rPr>
                <w:rFonts w:ascii="Arial" w:hAnsi="Arial" w:cs="Arial"/>
                <w:sz w:val="16"/>
                <w:szCs w:val="16"/>
              </w:rPr>
            </w:pPr>
            <w:r w:rsidRPr="003D73C3">
              <w:rPr>
                <w:rFonts w:ascii="Arial" w:hAnsi="Arial" w:cs="Arial"/>
                <w:sz w:val="16"/>
                <w:szCs w:val="18"/>
              </w:rPr>
              <w:t>0.0031</w:t>
            </w:r>
          </w:p>
        </w:tc>
        <w:tc>
          <w:tcPr>
            <w:tcW w:w="1169" w:type="dxa"/>
            <w:vAlign w:val="center"/>
          </w:tcPr>
          <w:p w14:paraId="5CE51C6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551" w:type="dxa"/>
            <w:vAlign w:val="center"/>
          </w:tcPr>
          <w:p w14:paraId="5C7EF79A"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640" w:type="dxa"/>
            <w:vAlign w:val="center"/>
          </w:tcPr>
          <w:p w14:paraId="0DEDAF88" w14:textId="34FEF54B" w:rsidR="006761D2" w:rsidRPr="003D73C3" w:rsidRDefault="00897272" w:rsidP="00097F7C">
            <w:pPr>
              <w:spacing w:before="120"/>
              <w:jc w:val="center"/>
              <w:rPr>
                <w:rFonts w:ascii="Arial" w:hAnsi="Arial" w:cs="Arial"/>
                <w:sz w:val="16"/>
                <w:szCs w:val="16"/>
              </w:rPr>
            </w:pPr>
            <w:r w:rsidRPr="003D73C3">
              <w:rPr>
                <w:rFonts w:ascii="Arial" w:hAnsi="Arial" w:cs="Arial"/>
                <w:sz w:val="16"/>
                <w:szCs w:val="18"/>
              </w:rPr>
              <w:t>0.0000039</w:t>
            </w:r>
          </w:p>
        </w:tc>
      </w:tr>
      <w:tr w:rsidR="00E512AD" w:rsidRPr="00AF1200" w14:paraId="14DB8F8C" w14:textId="77777777" w:rsidTr="003D73C3">
        <w:tc>
          <w:tcPr>
            <w:tcW w:w="2474" w:type="dxa"/>
          </w:tcPr>
          <w:p w14:paraId="5AC2B1D9" w14:textId="196AD65C" w:rsidR="00E512AD" w:rsidRPr="003D73C3" w:rsidRDefault="00E512AD" w:rsidP="00E512AD">
            <w:pPr>
              <w:spacing w:before="120"/>
              <w:jc w:val="both"/>
              <w:rPr>
                <w:rFonts w:ascii="Arial" w:hAnsi="Arial" w:cs="Arial"/>
                <w:b/>
                <w:sz w:val="16"/>
                <w:szCs w:val="16"/>
              </w:rPr>
            </w:pPr>
            <w:r w:rsidRPr="003D73C3">
              <w:rPr>
                <w:rFonts w:ascii="Arial" w:hAnsi="Arial" w:cs="Arial"/>
                <w:b/>
                <w:sz w:val="16"/>
                <w:szCs w:val="16"/>
              </w:rPr>
              <w:t>2012 totals</w:t>
            </w:r>
          </w:p>
        </w:tc>
        <w:tc>
          <w:tcPr>
            <w:tcW w:w="1169" w:type="dxa"/>
          </w:tcPr>
          <w:p w14:paraId="7A2DC1D9" w14:textId="6F80601F"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0.054</w:t>
            </w:r>
          </w:p>
        </w:tc>
        <w:tc>
          <w:tcPr>
            <w:tcW w:w="1211" w:type="dxa"/>
          </w:tcPr>
          <w:p w14:paraId="487290E0" w14:textId="2AF46E63"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0.0078</w:t>
            </w:r>
          </w:p>
        </w:tc>
        <w:tc>
          <w:tcPr>
            <w:tcW w:w="1169" w:type="dxa"/>
          </w:tcPr>
          <w:p w14:paraId="6E2CC28E" w14:textId="3343A28A"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0.093</w:t>
            </w:r>
          </w:p>
        </w:tc>
        <w:tc>
          <w:tcPr>
            <w:tcW w:w="1551" w:type="dxa"/>
          </w:tcPr>
          <w:p w14:paraId="4630B1FA" w14:textId="68BDFD8F"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w:t>
            </w:r>
            <w:r w:rsidR="006B522E">
              <w:rPr>
                <w:rFonts w:ascii="Arial" w:hAnsi="Arial" w:cs="Arial"/>
                <w:b/>
                <w:sz w:val="16"/>
                <w:szCs w:val="16"/>
              </w:rPr>
              <w:t>232</w:t>
            </w:r>
          </w:p>
        </w:tc>
        <w:tc>
          <w:tcPr>
            <w:tcW w:w="1640" w:type="dxa"/>
          </w:tcPr>
          <w:p w14:paraId="5528AF57" w14:textId="06C90626"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0.00007</w:t>
            </w:r>
          </w:p>
        </w:tc>
      </w:tr>
      <w:tr w:rsidR="00E512AD" w:rsidRPr="00AF1200" w14:paraId="7E015BFE" w14:textId="77777777" w:rsidTr="003D73C3">
        <w:tc>
          <w:tcPr>
            <w:tcW w:w="2474" w:type="dxa"/>
          </w:tcPr>
          <w:p w14:paraId="461EB9C3" w14:textId="65241ABF" w:rsidR="00E512AD" w:rsidRPr="003D73C3" w:rsidRDefault="00E512AD" w:rsidP="00E512AD">
            <w:pPr>
              <w:spacing w:before="120"/>
              <w:jc w:val="both"/>
              <w:rPr>
                <w:rFonts w:ascii="Arial" w:hAnsi="Arial" w:cs="Arial"/>
                <w:b/>
                <w:sz w:val="16"/>
                <w:szCs w:val="16"/>
              </w:rPr>
            </w:pPr>
            <w:r w:rsidRPr="003D73C3">
              <w:rPr>
                <w:rFonts w:ascii="Arial" w:hAnsi="Arial" w:cs="Arial"/>
                <w:b/>
                <w:sz w:val="16"/>
                <w:szCs w:val="16"/>
              </w:rPr>
              <w:t>2016 totals</w:t>
            </w:r>
            <w:r w:rsidRPr="003D73C3" w:rsidDel="00E512AD">
              <w:rPr>
                <w:rFonts w:ascii="Arial" w:hAnsi="Arial" w:cs="Arial"/>
                <w:b/>
                <w:sz w:val="16"/>
                <w:szCs w:val="16"/>
              </w:rPr>
              <w:t xml:space="preserve"> </w:t>
            </w:r>
          </w:p>
        </w:tc>
        <w:tc>
          <w:tcPr>
            <w:tcW w:w="1169" w:type="dxa"/>
            <w:vAlign w:val="center"/>
          </w:tcPr>
          <w:p w14:paraId="23C947C1" w14:textId="74B773E7"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0.067</w:t>
            </w:r>
          </w:p>
        </w:tc>
        <w:tc>
          <w:tcPr>
            <w:tcW w:w="1211" w:type="dxa"/>
            <w:vAlign w:val="center"/>
          </w:tcPr>
          <w:p w14:paraId="7BD28FC0" w14:textId="519ED62D"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0.0084</w:t>
            </w:r>
          </w:p>
        </w:tc>
        <w:tc>
          <w:tcPr>
            <w:tcW w:w="1169" w:type="dxa"/>
            <w:vAlign w:val="center"/>
          </w:tcPr>
          <w:p w14:paraId="57E1B461" w14:textId="20D34FF0"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0.146</w:t>
            </w:r>
          </w:p>
        </w:tc>
        <w:tc>
          <w:tcPr>
            <w:tcW w:w="1551" w:type="dxa"/>
            <w:vAlign w:val="center"/>
          </w:tcPr>
          <w:p w14:paraId="08D1E234" w14:textId="4486635E"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w:t>
            </w:r>
            <w:r w:rsidR="006B522E">
              <w:rPr>
                <w:rFonts w:ascii="Arial" w:hAnsi="Arial" w:cs="Arial"/>
                <w:b/>
                <w:sz w:val="16"/>
                <w:szCs w:val="16"/>
              </w:rPr>
              <w:t>366</w:t>
            </w:r>
          </w:p>
        </w:tc>
        <w:tc>
          <w:tcPr>
            <w:tcW w:w="1640" w:type="dxa"/>
            <w:vAlign w:val="center"/>
          </w:tcPr>
          <w:p w14:paraId="76DFAD1E" w14:textId="6ED02046" w:rsidR="00E512AD" w:rsidRPr="003D73C3" w:rsidRDefault="00E512AD" w:rsidP="00E512AD">
            <w:pPr>
              <w:spacing w:before="120"/>
              <w:jc w:val="center"/>
              <w:rPr>
                <w:rFonts w:ascii="Arial" w:hAnsi="Arial" w:cs="Arial"/>
                <w:b/>
                <w:sz w:val="16"/>
                <w:szCs w:val="16"/>
              </w:rPr>
            </w:pPr>
            <w:r w:rsidRPr="003D73C3">
              <w:rPr>
                <w:rFonts w:ascii="Arial" w:hAnsi="Arial" w:cs="Arial"/>
                <w:b/>
                <w:sz w:val="16"/>
                <w:szCs w:val="16"/>
              </w:rPr>
              <w:t>0.000017</w:t>
            </w:r>
          </w:p>
        </w:tc>
      </w:tr>
      <w:tr w:rsidR="004B7446" w:rsidRPr="00AF1200" w14:paraId="75B9E658" w14:textId="77777777" w:rsidTr="004B7446">
        <w:tc>
          <w:tcPr>
            <w:tcW w:w="2474" w:type="dxa"/>
          </w:tcPr>
          <w:p w14:paraId="35D6C7BF" w14:textId="78DA85B5" w:rsidR="004B7446" w:rsidRPr="00AF1200" w:rsidRDefault="004B7446" w:rsidP="004B7446">
            <w:pPr>
              <w:spacing w:before="120"/>
              <w:jc w:val="both"/>
              <w:rPr>
                <w:rFonts w:ascii="Arial" w:hAnsi="Arial" w:cs="Arial"/>
                <w:b/>
                <w:sz w:val="16"/>
                <w:szCs w:val="16"/>
                <w:highlight w:val="yellow"/>
              </w:rPr>
            </w:pPr>
            <w:r w:rsidRPr="003D73C3">
              <w:rPr>
                <w:rFonts w:ascii="Arial" w:hAnsi="Arial" w:cs="Arial"/>
                <w:b/>
                <w:sz w:val="16"/>
                <w:szCs w:val="16"/>
              </w:rPr>
              <w:t>2020 totals</w:t>
            </w:r>
          </w:p>
        </w:tc>
        <w:tc>
          <w:tcPr>
            <w:tcW w:w="1169" w:type="dxa"/>
            <w:vAlign w:val="center"/>
          </w:tcPr>
          <w:p w14:paraId="0BB9C607" w14:textId="146991A0" w:rsidR="004B7446" w:rsidRPr="003D73C3" w:rsidRDefault="004B7446" w:rsidP="004B7446">
            <w:pPr>
              <w:spacing w:before="120"/>
              <w:jc w:val="center"/>
              <w:rPr>
                <w:rFonts w:ascii="Arial" w:hAnsi="Arial" w:cs="Arial"/>
                <w:b/>
                <w:sz w:val="16"/>
                <w:szCs w:val="16"/>
              </w:rPr>
            </w:pPr>
            <w:r w:rsidRPr="003D73C3">
              <w:rPr>
                <w:rFonts w:ascii="Arial" w:hAnsi="Arial" w:cs="Arial"/>
                <w:b/>
                <w:sz w:val="16"/>
                <w:szCs w:val="16"/>
              </w:rPr>
              <w:t>0.0</w:t>
            </w:r>
            <w:r w:rsidR="00355933">
              <w:rPr>
                <w:rFonts w:ascii="Arial" w:hAnsi="Arial" w:cs="Arial"/>
                <w:b/>
                <w:sz w:val="16"/>
                <w:szCs w:val="16"/>
              </w:rPr>
              <w:t>4</w:t>
            </w:r>
            <w:r w:rsidR="00D107FF">
              <w:rPr>
                <w:rFonts w:ascii="Arial" w:hAnsi="Arial" w:cs="Arial"/>
                <w:b/>
                <w:sz w:val="16"/>
                <w:szCs w:val="16"/>
              </w:rPr>
              <w:t>39</w:t>
            </w:r>
          </w:p>
        </w:tc>
        <w:tc>
          <w:tcPr>
            <w:tcW w:w="1211" w:type="dxa"/>
            <w:vAlign w:val="center"/>
          </w:tcPr>
          <w:p w14:paraId="70EEB3A3" w14:textId="56899BB1" w:rsidR="004B7446" w:rsidRPr="003D73C3" w:rsidRDefault="004B7446" w:rsidP="004B7446">
            <w:pPr>
              <w:spacing w:before="120"/>
              <w:jc w:val="center"/>
              <w:rPr>
                <w:rFonts w:ascii="Arial" w:hAnsi="Arial" w:cs="Arial"/>
                <w:b/>
                <w:sz w:val="16"/>
                <w:szCs w:val="16"/>
              </w:rPr>
            </w:pPr>
            <w:r w:rsidRPr="003D73C3">
              <w:rPr>
                <w:rFonts w:ascii="Arial" w:hAnsi="Arial" w:cs="Arial"/>
                <w:b/>
                <w:sz w:val="16"/>
                <w:szCs w:val="16"/>
              </w:rPr>
              <w:t>0.0031</w:t>
            </w:r>
          </w:p>
        </w:tc>
        <w:tc>
          <w:tcPr>
            <w:tcW w:w="1169" w:type="dxa"/>
            <w:vAlign w:val="center"/>
          </w:tcPr>
          <w:p w14:paraId="106E5DCB" w14:textId="505594AB" w:rsidR="004B7446" w:rsidRPr="003D73C3" w:rsidRDefault="004B7446" w:rsidP="004B7446">
            <w:pPr>
              <w:spacing w:before="120"/>
              <w:jc w:val="center"/>
              <w:rPr>
                <w:rFonts w:ascii="Arial" w:hAnsi="Arial" w:cs="Arial"/>
                <w:b/>
                <w:sz w:val="16"/>
                <w:szCs w:val="16"/>
              </w:rPr>
            </w:pPr>
            <w:r w:rsidRPr="003D73C3">
              <w:rPr>
                <w:rFonts w:ascii="Arial" w:hAnsi="Arial" w:cs="Arial"/>
                <w:b/>
                <w:sz w:val="16"/>
                <w:szCs w:val="16"/>
              </w:rPr>
              <w:t>0.0</w:t>
            </w:r>
            <w:r w:rsidR="00D57D21">
              <w:rPr>
                <w:rFonts w:ascii="Arial" w:hAnsi="Arial" w:cs="Arial"/>
                <w:b/>
                <w:sz w:val="16"/>
                <w:szCs w:val="16"/>
              </w:rPr>
              <w:t>484</w:t>
            </w:r>
          </w:p>
        </w:tc>
        <w:tc>
          <w:tcPr>
            <w:tcW w:w="1551" w:type="dxa"/>
            <w:vAlign w:val="center"/>
          </w:tcPr>
          <w:p w14:paraId="7510E5AC" w14:textId="79324763" w:rsidR="004B7446" w:rsidRPr="003D73C3" w:rsidRDefault="004B7446" w:rsidP="004B7446">
            <w:pPr>
              <w:spacing w:before="120"/>
              <w:jc w:val="center"/>
              <w:rPr>
                <w:rFonts w:ascii="Arial" w:hAnsi="Arial" w:cs="Arial"/>
                <w:b/>
                <w:sz w:val="16"/>
                <w:szCs w:val="16"/>
              </w:rPr>
            </w:pPr>
            <w:r w:rsidRPr="004B7446">
              <w:rPr>
                <w:rFonts w:ascii="Arial" w:hAnsi="Arial" w:cs="Arial"/>
                <w:b/>
                <w:sz w:val="16"/>
                <w:szCs w:val="16"/>
              </w:rPr>
              <w:t>0.</w:t>
            </w:r>
            <w:r w:rsidR="006B522E">
              <w:rPr>
                <w:rFonts w:ascii="Arial" w:hAnsi="Arial" w:cs="Arial"/>
                <w:b/>
                <w:sz w:val="16"/>
                <w:szCs w:val="16"/>
              </w:rPr>
              <w:t>121</w:t>
            </w:r>
          </w:p>
        </w:tc>
        <w:tc>
          <w:tcPr>
            <w:tcW w:w="1640" w:type="dxa"/>
            <w:vAlign w:val="center"/>
          </w:tcPr>
          <w:p w14:paraId="2447E8C7" w14:textId="18AD8630" w:rsidR="004B7446" w:rsidRPr="00A00FF3" w:rsidRDefault="004B7446" w:rsidP="004B7446">
            <w:pPr>
              <w:spacing w:before="120"/>
              <w:jc w:val="center"/>
              <w:rPr>
                <w:rFonts w:ascii="Arial" w:hAnsi="Arial" w:cs="Arial"/>
                <w:b/>
                <w:bCs/>
                <w:sz w:val="16"/>
                <w:szCs w:val="16"/>
              </w:rPr>
            </w:pPr>
            <w:r w:rsidRPr="00A00FF3">
              <w:rPr>
                <w:rFonts w:ascii="Arial" w:hAnsi="Arial" w:cs="Arial"/>
                <w:b/>
                <w:bCs/>
                <w:sz w:val="16"/>
                <w:szCs w:val="18"/>
              </w:rPr>
              <w:t>0.0000039</w:t>
            </w:r>
          </w:p>
        </w:tc>
      </w:tr>
    </w:tbl>
    <w:p w14:paraId="15332878" w14:textId="77777777" w:rsidR="006761D2" w:rsidRPr="00AF1200" w:rsidRDefault="006761D2" w:rsidP="006761D2">
      <w:pPr>
        <w:spacing w:line="300" w:lineRule="atLeast"/>
        <w:jc w:val="both"/>
        <w:rPr>
          <w:szCs w:val="18"/>
          <w:highlight w:val="yellow"/>
        </w:rPr>
      </w:pPr>
    </w:p>
    <w:p w14:paraId="66A44D8C" w14:textId="77777777" w:rsidR="006761D2" w:rsidRPr="003D73C3" w:rsidRDefault="006761D2" w:rsidP="00261F78">
      <w:pPr>
        <w:pStyle w:val="Heading1"/>
      </w:pPr>
      <w:r w:rsidRPr="00AF1200">
        <w:rPr>
          <w:rFonts w:ascii="Verdana" w:hAnsi="Verdana"/>
          <w:highlight w:val="yellow"/>
        </w:rPr>
        <w:br w:type="page"/>
      </w:r>
      <w:bookmarkStart w:id="410" w:name="_Toc112768154"/>
      <w:r w:rsidRPr="003D73C3">
        <w:lastRenderedPageBreak/>
        <w:t>Miscellaneous sources</w:t>
      </w:r>
      <w:bookmarkEnd w:id="410"/>
    </w:p>
    <w:p w14:paraId="483FD86A" w14:textId="4024881B" w:rsidR="006761D2" w:rsidRPr="003D73C3" w:rsidRDefault="006761D2" w:rsidP="00C95E68">
      <w:pPr>
        <w:spacing w:after="0" w:line="300" w:lineRule="atLeast"/>
        <w:jc w:val="both"/>
        <w:rPr>
          <w:szCs w:val="18"/>
        </w:rPr>
      </w:pPr>
      <w:r w:rsidRPr="003D73C3">
        <w:rPr>
          <w:szCs w:val="18"/>
        </w:rPr>
        <w:t xml:space="preserve">This category covers dioxin releases from the following sub-categories </w:t>
      </w:r>
      <w:r w:rsidR="003D73C3" w:rsidRPr="003D73C3">
        <w:rPr>
          <w:noProof/>
          <w:szCs w:val="18"/>
        </w:rPr>
        <w:t>(United Nations Environment Programme, 2013)</w:t>
      </w:r>
      <w:r w:rsidRPr="003D73C3">
        <w:rPr>
          <w:szCs w:val="18"/>
        </w:rPr>
        <w:t>:</w:t>
      </w:r>
    </w:p>
    <w:p w14:paraId="545E2B34" w14:textId="77777777" w:rsidR="006761D2" w:rsidRPr="003D73C3" w:rsidRDefault="006761D2" w:rsidP="00C95E68">
      <w:pPr>
        <w:spacing w:after="0" w:line="300" w:lineRule="atLeast"/>
        <w:ind w:left="720"/>
        <w:jc w:val="both"/>
        <w:rPr>
          <w:szCs w:val="18"/>
        </w:rPr>
      </w:pPr>
      <w:r w:rsidRPr="003D73C3">
        <w:rPr>
          <w:szCs w:val="18"/>
        </w:rPr>
        <w:t>8a</w:t>
      </w:r>
      <w:r w:rsidRPr="003D73C3">
        <w:rPr>
          <w:szCs w:val="18"/>
        </w:rPr>
        <w:tab/>
        <w:t>Drying of Biomass</w:t>
      </w:r>
    </w:p>
    <w:p w14:paraId="3BAC5BC8" w14:textId="77777777" w:rsidR="006761D2" w:rsidRPr="003D73C3" w:rsidRDefault="006761D2" w:rsidP="00C95E68">
      <w:pPr>
        <w:spacing w:after="0" w:line="300" w:lineRule="atLeast"/>
        <w:ind w:left="720"/>
        <w:jc w:val="both"/>
        <w:rPr>
          <w:szCs w:val="18"/>
        </w:rPr>
      </w:pPr>
      <w:r w:rsidRPr="003D73C3">
        <w:rPr>
          <w:szCs w:val="18"/>
        </w:rPr>
        <w:t>8b</w:t>
      </w:r>
      <w:r w:rsidRPr="003D73C3">
        <w:rPr>
          <w:szCs w:val="18"/>
        </w:rPr>
        <w:tab/>
        <w:t>Crematoria</w:t>
      </w:r>
    </w:p>
    <w:p w14:paraId="5E49E517" w14:textId="77777777" w:rsidR="006761D2" w:rsidRPr="003D73C3" w:rsidRDefault="006761D2" w:rsidP="00C95E68">
      <w:pPr>
        <w:spacing w:after="0" w:line="300" w:lineRule="atLeast"/>
        <w:ind w:left="720"/>
        <w:jc w:val="both"/>
        <w:rPr>
          <w:szCs w:val="18"/>
        </w:rPr>
      </w:pPr>
      <w:r w:rsidRPr="003D73C3">
        <w:rPr>
          <w:szCs w:val="18"/>
        </w:rPr>
        <w:t>8c</w:t>
      </w:r>
      <w:r w:rsidRPr="003D73C3">
        <w:rPr>
          <w:szCs w:val="18"/>
        </w:rPr>
        <w:tab/>
        <w:t>Smoke houses</w:t>
      </w:r>
    </w:p>
    <w:p w14:paraId="53E6909A" w14:textId="77777777" w:rsidR="006761D2" w:rsidRPr="003D73C3" w:rsidRDefault="006761D2" w:rsidP="00C95E68">
      <w:pPr>
        <w:spacing w:after="0" w:line="300" w:lineRule="atLeast"/>
        <w:ind w:left="720"/>
        <w:jc w:val="both"/>
        <w:rPr>
          <w:szCs w:val="18"/>
        </w:rPr>
      </w:pPr>
      <w:r w:rsidRPr="003D73C3">
        <w:rPr>
          <w:szCs w:val="18"/>
        </w:rPr>
        <w:t>8d</w:t>
      </w:r>
      <w:r w:rsidRPr="003D73C3">
        <w:rPr>
          <w:szCs w:val="18"/>
        </w:rPr>
        <w:tab/>
        <w:t>Dry cleaning</w:t>
      </w:r>
    </w:p>
    <w:p w14:paraId="4F463757" w14:textId="77777777" w:rsidR="006761D2" w:rsidRPr="003D73C3" w:rsidRDefault="006761D2" w:rsidP="00C95E68">
      <w:pPr>
        <w:spacing w:after="0" w:line="300" w:lineRule="atLeast"/>
        <w:ind w:left="720"/>
        <w:jc w:val="both"/>
        <w:rPr>
          <w:szCs w:val="18"/>
        </w:rPr>
      </w:pPr>
      <w:r w:rsidRPr="003D73C3">
        <w:rPr>
          <w:szCs w:val="18"/>
        </w:rPr>
        <w:t>8e</w:t>
      </w:r>
      <w:r w:rsidRPr="003D73C3">
        <w:rPr>
          <w:szCs w:val="18"/>
        </w:rPr>
        <w:tab/>
        <w:t>Tobacco smoking</w:t>
      </w:r>
    </w:p>
    <w:p w14:paraId="53C5E4D0" w14:textId="31207018" w:rsidR="006761D2" w:rsidRPr="003D73C3" w:rsidRDefault="24854215" w:rsidP="006761D2">
      <w:pPr>
        <w:spacing w:line="300" w:lineRule="atLeast"/>
        <w:jc w:val="both"/>
      </w:pPr>
      <w:r>
        <w:t xml:space="preserve">The dioxin releases from most of these sources are combustion-related, and they </w:t>
      </w:r>
      <w:bookmarkStart w:id="411" w:name="_Int_O1iUBmhB"/>
      <w:r>
        <w:t>mainly arise</w:t>
      </w:r>
      <w:bookmarkEnd w:id="411"/>
      <w:r>
        <w:t xml:space="preserve"> from the incomplete combustion of the fuels and/or materials being burned. The only exception is </w:t>
      </w:r>
      <w:r w:rsidR="000D9500">
        <w:t xml:space="preserve">dry </w:t>
      </w:r>
      <w:r w:rsidR="518E071C">
        <w:t>cleaning</w:t>
      </w:r>
      <w:r>
        <w:t xml:space="preserve"> where the dioxins arise </w:t>
      </w:r>
      <w:bookmarkStart w:id="412" w:name="_Int_0sl0jWjk"/>
      <w:proofErr w:type="gramStart"/>
      <w:r>
        <w:t>as a result of</w:t>
      </w:r>
      <w:bookmarkEnd w:id="412"/>
      <w:proofErr w:type="gramEnd"/>
      <w:r>
        <w:t xml:space="preserve"> incoming contamination on the materials being cleaned.</w:t>
      </w:r>
    </w:p>
    <w:p w14:paraId="69E7E217" w14:textId="77777777" w:rsidR="006761D2" w:rsidRPr="003D73C3" w:rsidRDefault="006761D2" w:rsidP="00261F78">
      <w:pPr>
        <w:pStyle w:val="Heading2"/>
      </w:pPr>
      <w:bookmarkStart w:id="413" w:name="_Toc112768155"/>
      <w:r w:rsidRPr="003D73C3">
        <w:t>Drying of Biomass</w:t>
      </w:r>
      <w:bookmarkEnd w:id="413"/>
    </w:p>
    <w:p w14:paraId="7FD98716" w14:textId="77777777" w:rsidR="006761D2" w:rsidRPr="003D73C3" w:rsidRDefault="24854215" w:rsidP="006761D2">
      <w:pPr>
        <w:spacing w:line="300" w:lineRule="atLeast"/>
        <w:jc w:val="both"/>
      </w:pPr>
      <w:r>
        <w:t xml:space="preserve">This Toolkit category refers to the drying of biomass such as wood chips or animal fodder using direct heating methods, in which the material to be dried is exposed directly to combustion off-gases. The biomass can become contaminated with dioxins if the fuel being used is contaminated with dioxin precursor materials, such as pentachlorophenol. Thus, the category </w:t>
      </w:r>
      <w:bookmarkStart w:id="414" w:name="_Int_xmGwQj6f"/>
      <w:r>
        <w:t>mainly applies</w:t>
      </w:r>
      <w:bookmarkEnd w:id="414"/>
      <w:r>
        <w:t xml:space="preserve"> to biomass drying using other biomass as the fuel.</w:t>
      </w:r>
    </w:p>
    <w:p w14:paraId="57204510" w14:textId="35F19CC0" w:rsidR="006761D2" w:rsidRPr="003D73C3" w:rsidRDefault="24854215" w:rsidP="006761D2">
      <w:pPr>
        <w:spacing w:line="300" w:lineRule="atLeast"/>
        <w:jc w:val="both"/>
      </w:pPr>
      <w:r>
        <w:t xml:space="preserve">The most significant biomass drying operations in New Zealand, by size, take place in the board and fibreboard mills already considered in section </w:t>
      </w:r>
      <w:r w:rsidR="00265858">
        <w:fldChar w:fldCharType="begin"/>
      </w:r>
      <w:r w:rsidR="00265858">
        <w:instrText>REF _Ref381351218 \r  \* MERGEFORMAT</w:instrText>
      </w:r>
      <w:r w:rsidR="00265858">
        <w:fldChar w:fldCharType="separate"/>
      </w:r>
      <w:r w:rsidR="00141D7F">
        <w:t>5.2</w:t>
      </w:r>
      <w:r w:rsidR="00265858">
        <w:fldChar w:fldCharType="end"/>
      </w:r>
      <w:r>
        <w:t xml:space="preserve">, and the potential releases have already been accounted for under the heat and power generation source category. Other biomass drying in New Zealand (eg, grain drying) is carried out using dryers fired by fossil fuels, especially natural gas, </w:t>
      </w:r>
      <w:bookmarkStart w:id="415" w:name="_Int_Jd4r6kT2"/>
      <w:r>
        <w:t>LPG,</w:t>
      </w:r>
      <w:bookmarkEnd w:id="415"/>
      <w:r>
        <w:t xml:space="preserve"> or diesel. The dioxin releases from these activities have already been accounted for under section 5.</w:t>
      </w:r>
    </w:p>
    <w:p w14:paraId="0C064A36" w14:textId="77777777" w:rsidR="006761D2" w:rsidRPr="003D73C3" w:rsidRDefault="006761D2" w:rsidP="00261F78">
      <w:pPr>
        <w:pStyle w:val="Heading2"/>
      </w:pPr>
      <w:bookmarkStart w:id="416" w:name="_Toc112768156"/>
      <w:r w:rsidRPr="003D73C3">
        <w:t>Crematoria</w:t>
      </w:r>
      <w:bookmarkEnd w:id="416"/>
    </w:p>
    <w:p w14:paraId="6859B376" w14:textId="06CC7EAB" w:rsidR="006761D2" w:rsidRPr="003D73C3" w:rsidRDefault="006761D2" w:rsidP="006761D2">
      <w:pPr>
        <w:spacing w:line="300" w:lineRule="atLeast"/>
        <w:jc w:val="both"/>
        <w:rPr>
          <w:szCs w:val="18"/>
        </w:rPr>
      </w:pPr>
      <w:r w:rsidRPr="003D73C3">
        <w:rPr>
          <w:szCs w:val="18"/>
        </w:rPr>
        <w:t xml:space="preserve">The Law Commission reported that in 2013 there </w:t>
      </w:r>
      <w:r w:rsidR="00E4608A" w:rsidRPr="003D73C3">
        <w:rPr>
          <w:szCs w:val="18"/>
        </w:rPr>
        <w:t>were</w:t>
      </w:r>
      <w:r w:rsidRPr="003D73C3">
        <w:rPr>
          <w:szCs w:val="18"/>
        </w:rPr>
        <w:t xml:space="preserve"> 52 crematoria in New Zealand, 15 of which are operated by local authorities with the remainder being run by private providers.</w:t>
      </w:r>
      <w:r w:rsidR="00220CAC" w:rsidRPr="003D73C3">
        <w:rPr>
          <w:noProof/>
          <w:szCs w:val="18"/>
        </w:rPr>
        <w:t xml:space="preserve"> (New Zealand Law Commission, 2013)</w:t>
      </w:r>
    </w:p>
    <w:p w14:paraId="54469866" w14:textId="791541F6" w:rsidR="00D82CF4" w:rsidRPr="003D73C3" w:rsidRDefault="00057355" w:rsidP="006761D2">
      <w:pPr>
        <w:spacing w:line="300" w:lineRule="atLeast"/>
        <w:jc w:val="both"/>
        <w:rPr>
          <w:szCs w:val="18"/>
          <w:lang w:val="en-US"/>
        </w:rPr>
      </w:pPr>
      <w:r w:rsidRPr="003D73C3">
        <w:rPr>
          <w:szCs w:val="18"/>
        </w:rPr>
        <w:t xml:space="preserve">Annual dioxin release estimates from crematoria are </w:t>
      </w:r>
      <w:r w:rsidR="006761D2" w:rsidRPr="003D73C3">
        <w:rPr>
          <w:szCs w:val="18"/>
        </w:rPr>
        <w:t xml:space="preserve">based on the annual numbers of cremations multiplied by the default factor given in the UNEP Toolkit for releases to air. There </w:t>
      </w:r>
      <w:r w:rsidRPr="003D73C3">
        <w:rPr>
          <w:szCs w:val="18"/>
        </w:rPr>
        <w:t xml:space="preserve">are </w:t>
      </w:r>
      <w:r w:rsidR="006761D2" w:rsidRPr="003D73C3">
        <w:rPr>
          <w:szCs w:val="18"/>
        </w:rPr>
        <w:t>no significant releases to land, water, or in products or residues. Annual data obtained from the Department of Internal Affairs (V Millar, pers comm,</w:t>
      </w:r>
      <w:r w:rsidRPr="003D73C3">
        <w:rPr>
          <w:szCs w:val="18"/>
        </w:rPr>
        <w:t xml:space="preserve"> 2022</w:t>
      </w:r>
      <w:r w:rsidR="006761D2" w:rsidRPr="003D73C3">
        <w:rPr>
          <w:szCs w:val="18"/>
        </w:rPr>
        <w:t xml:space="preserve">) show that for </w:t>
      </w:r>
      <w:r w:rsidRPr="003D73C3">
        <w:rPr>
          <w:szCs w:val="18"/>
        </w:rPr>
        <w:t>2020</w:t>
      </w:r>
      <w:r w:rsidR="006761D2" w:rsidRPr="003D73C3">
        <w:rPr>
          <w:szCs w:val="18"/>
        </w:rPr>
        <w:t xml:space="preserve"> there were </w:t>
      </w:r>
      <w:r w:rsidR="00D82CF4" w:rsidRPr="003D73C3">
        <w:rPr>
          <w:szCs w:val="18"/>
        </w:rPr>
        <w:t xml:space="preserve">32,712 </w:t>
      </w:r>
      <w:r w:rsidR="006761D2" w:rsidRPr="003D73C3">
        <w:rPr>
          <w:szCs w:val="18"/>
        </w:rPr>
        <w:t xml:space="preserve">registered deaths with </w:t>
      </w:r>
      <w:r w:rsidR="00D82CF4" w:rsidRPr="003D73C3">
        <w:rPr>
          <w:szCs w:val="18"/>
        </w:rPr>
        <w:t>22,073</w:t>
      </w:r>
      <w:r w:rsidR="006761D2" w:rsidRPr="003D73C3">
        <w:rPr>
          <w:szCs w:val="18"/>
        </w:rPr>
        <w:t xml:space="preserve"> estimated cremations</w:t>
      </w:r>
      <w:r w:rsidR="002016F6" w:rsidRPr="003D73C3">
        <w:rPr>
          <w:rStyle w:val="FootnoteReference"/>
          <w:szCs w:val="18"/>
        </w:rPr>
        <w:footnoteReference w:id="6"/>
      </w:r>
      <w:r w:rsidR="006761D2" w:rsidRPr="003D73C3">
        <w:rPr>
          <w:szCs w:val="18"/>
        </w:rPr>
        <w:t xml:space="preserve"> or 6</w:t>
      </w:r>
      <w:r w:rsidR="00D82CF4" w:rsidRPr="003D73C3">
        <w:rPr>
          <w:szCs w:val="18"/>
        </w:rPr>
        <w:t xml:space="preserve">8 </w:t>
      </w:r>
      <w:r w:rsidR="006761D2" w:rsidRPr="003D73C3">
        <w:rPr>
          <w:szCs w:val="18"/>
        </w:rPr>
        <w:t xml:space="preserve">% of the total. </w:t>
      </w:r>
      <w:bookmarkStart w:id="417" w:name="_Ref359775325"/>
      <w:r w:rsidR="006761D2" w:rsidRPr="003D73C3">
        <w:rPr>
          <w:szCs w:val="18"/>
        </w:rPr>
        <w:t xml:space="preserve">Applying the UNEP Toolkit factor of </w:t>
      </w:r>
      <w:r w:rsidR="006761D2" w:rsidRPr="003D73C3">
        <w:rPr>
          <w:szCs w:val="18"/>
          <w:lang w:val="en-US"/>
        </w:rPr>
        <w:t xml:space="preserve">10 µg TEQ per cremation </w:t>
      </w:r>
      <w:r w:rsidR="006761D2" w:rsidRPr="003D73C3">
        <w:rPr>
          <w:szCs w:val="18"/>
        </w:rPr>
        <w:t>(10 x 10</w:t>
      </w:r>
      <w:r w:rsidR="006761D2" w:rsidRPr="003D73C3">
        <w:rPr>
          <w:szCs w:val="18"/>
          <w:vertAlign w:val="superscript"/>
        </w:rPr>
        <w:t>-6</w:t>
      </w:r>
      <w:r w:rsidR="006761D2" w:rsidRPr="003D73C3">
        <w:rPr>
          <w:szCs w:val="18"/>
        </w:rPr>
        <w:t xml:space="preserve"> g TEQ/cremation) </w:t>
      </w:r>
      <w:r w:rsidR="006761D2" w:rsidRPr="003D73C3">
        <w:rPr>
          <w:szCs w:val="18"/>
          <w:lang w:val="en-US"/>
        </w:rPr>
        <w:t>gives the release estimates shown in Table 10-1, along with the corresponding estimates from the 2012</w:t>
      </w:r>
      <w:r w:rsidR="00D82CF4" w:rsidRPr="003D73C3">
        <w:rPr>
          <w:szCs w:val="18"/>
          <w:lang w:val="en-US"/>
        </w:rPr>
        <w:t xml:space="preserve"> and 2016</w:t>
      </w:r>
      <w:r w:rsidR="006761D2" w:rsidRPr="003D73C3">
        <w:rPr>
          <w:szCs w:val="18"/>
          <w:lang w:val="en-US"/>
        </w:rPr>
        <w:t xml:space="preserve"> Inventor</w:t>
      </w:r>
      <w:r w:rsidR="00D82CF4" w:rsidRPr="003D73C3">
        <w:rPr>
          <w:szCs w:val="18"/>
          <w:lang w:val="en-US"/>
        </w:rPr>
        <w:t>ies</w:t>
      </w:r>
      <w:r w:rsidR="006761D2" w:rsidRPr="003D73C3">
        <w:rPr>
          <w:szCs w:val="18"/>
          <w:lang w:val="en-US"/>
        </w:rPr>
        <w:t>.</w:t>
      </w:r>
    </w:p>
    <w:p w14:paraId="6135FDCC" w14:textId="77777777" w:rsidR="00D82CF4" w:rsidRDefault="00D82CF4">
      <w:pPr>
        <w:spacing w:after="0"/>
        <w:rPr>
          <w:szCs w:val="18"/>
          <w:highlight w:val="yellow"/>
          <w:lang w:val="en-US"/>
        </w:rPr>
      </w:pPr>
      <w:r>
        <w:rPr>
          <w:szCs w:val="18"/>
          <w:highlight w:val="yellow"/>
          <w:lang w:val="en-US"/>
        </w:rPr>
        <w:br w:type="page"/>
      </w:r>
    </w:p>
    <w:p w14:paraId="24943CB8" w14:textId="4D1F19AF" w:rsidR="006761D2" w:rsidRPr="003D73C3" w:rsidRDefault="006761D2" w:rsidP="006761D2">
      <w:pPr>
        <w:pStyle w:val="Caption"/>
        <w:jc w:val="left"/>
        <w:rPr>
          <w:rFonts w:cs="Arial"/>
          <w:szCs w:val="18"/>
        </w:rPr>
      </w:pPr>
      <w:r w:rsidRPr="003D73C3">
        <w:rPr>
          <w:rFonts w:cs="Arial"/>
        </w:rPr>
        <w:lastRenderedPageBreak/>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10</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1</w:t>
      </w:r>
      <w:r w:rsidRPr="003D73C3">
        <w:rPr>
          <w:rFonts w:cs="Arial"/>
        </w:rPr>
        <w:fldChar w:fldCharType="end"/>
      </w:r>
      <w:bookmarkEnd w:id="417"/>
      <w:r w:rsidRPr="003D73C3">
        <w:rPr>
          <w:rFonts w:cs="Arial"/>
        </w:rPr>
        <w:t>: Dioxin releases from crematoria</w:t>
      </w:r>
    </w:p>
    <w:tbl>
      <w:tblPr>
        <w:tblStyle w:val="TableGrid"/>
        <w:tblW w:w="0" w:type="auto"/>
        <w:tblLook w:val="04A0" w:firstRow="1" w:lastRow="0" w:firstColumn="1" w:lastColumn="0" w:noHBand="0" w:noVBand="1"/>
      </w:tblPr>
      <w:tblGrid>
        <w:gridCol w:w="908"/>
        <w:gridCol w:w="2600"/>
        <w:gridCol w:w="2855"/>
        <w:gridCol w:w="2698"/>
      </w:tblGrid>
      <w:tr w:rsidR="006761D2" w:rsidRPr="00D82CF4" w14:paraId="61B95FC9" w14:textId="77777777" w:rsidTr="00E95BD6">
        <w:tc>
          <w:tcPr>
            <w:tcW w:w="908" w:type="dxa"/>
            <w:vMerge w:val="restart"/>
            <w:vAlign w:val="center"/>
          </w:tcPr>
          <w:p w14:paraId="65EA32D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600" w:type="dxa"/>
            <w:vMerge w:val="restart"/>
            <w:vAlign w:val="center"/>
          </w:tcPr>
          <w:p w14:paraId="64AD2D55"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418" w:name="_Int_3FjPUsRF"/>
            <w:r w:rsidRPr="0C34660A">
              <w:rPr>
                <w:rFonts w:ascii="Arial" w:hAnsi="Arial" w:cs="Arial"/>
                <w:b/>
                <w:bCs/>
                <w:sz w:val="16"/>
                <w:szCs w:val="16"/>
              </w:rPr>
              <w:t>no</w:t>
            </w:r>
            <w:bookmarkEnd w:id="418"/>
            <w:r w:rsidRPr="0C34660A">
              <w:rPr>
                <w:rFonts w:ascii="Arial" w:hAnsi="Arial" w:cs="Arial"/>
                <w:b/>
                <w:bCs/>
                <w:sz w:val="16"/>
                <w:szCs w:val="16"/>
              </w:rPr>
              <w:t xml:space="preserve"> of cremations/year)</w:t>
            </w:r>
          </w:p>
        </w:tc>
        <w:tc>
          <w:tcPr>
            <w:tcW w:w="2855" w:type="dxa"/>
            <w:vAlign w:val="center"/>
          </w:tcPr>
          <w:p w14:paraId="62B0FDCD"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µg TEQ/cremation)</w:t>
            </w:r>
          </w:p>
        </w:tc>
        <w:tc>
          <w:tcPr>
            <w:tcW w:w="2698" w:type="dxa"/>
            <w:vAlign w:val="center"/>
          </w:tcPr>
          <w:p w14:paraId="3B059F3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D82CF4" w14:paraId="7FF09D1D" w14:textId="77777777" w:rsidTr="00E95BD6">
        <w:tc>
          <w:tcPr>
            <w:tcW w:w="908" w:type="dxa"/>
            <w:vMerge/>
          </w:tcPr>
          <w:p w14:paraId="1F9C9051" w14:textId="77777777" w:rsidR="006761D2" w:rsidRPr="003D73C3" w:rsidRDefault="006761D2" w:rsidP="009F7DB8">
            <w:pPr>
              <w:spacing w:before="120"/>
              <w:jc w:val="both"/>
              <w:rPr>
                <w:rFonts w:ascii="Arial" w:hAnsi="Arial" w:cs="Arial"/>
                <w:sz w:val="16"/>
                <w:szCs w:val="18"/>
              </w:rPr>
            </w:pPr>
          </w:p>
        </w:tc>
        <w:tc>
          <w:tcPr>
            <w:tcW w:w="2600" w:type="dxa"/>
            <w:vMerge/>
            <w:vAlign w:val="center"/>
          </w:tcPr>
          <w:p w14:paraId="54593549" w14:textId="77777777" w:rsidR="006761D2" w:rsidRPr="003D73C3" w:rsidRDefault="006761D2" w:rsidP="009F7DB8">
            <w:pPr>
              <w:spacing w:before="120"/>
              <w:jc w:val="center"/>
              <w:rPr>
                <w:rFonts w:ascii="Arial" w:hAnsi="Arial" w:cs="Arial"/>
                <w:sz w:val="16"/>
                <w:szCs w:val="18"/>
              </w:rPr>
            </w:pPr>
          </w:p>
        </w:tc>
        <w:tc>
          <w:tcPr>
            <w:tcW w:w="2855" w:type="dxa"/>
            <w:vAlign w:val="center"/>
          </w:tcPr>
          <w:p w14:paraId="7D5E24C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698" w:type="dxa"/>
            <w:vAlign w:val="center"/>
          </w:tcPr>
          <w:p w14:paraId="1FB50E4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141201" w:rsidRPr="00D82CF4" w14:paraId="4050BFDE" w14:textId="77777777" w:rsidTr="00E95BD6">
        <w:tc>
          <w:tcPr>
            <w:tcW w:w="908" w:type="dxa"/>
            <w:vAlign w:val="center"/>
          </w:tcPr>
          <w:p w14:paraId="4CC86901" w14:textId="4A01741F" w:rsidR="00141201" w:rsidRPr="003D73C3" w:rsidRDefault="00141201" w:rsidP="009F7DB8">
            <w:pPr>
              <w:spacing w:before="120"/>
              <w:rPr>
                <w:rFonts w:ascii="Arial" w:hAnsi="Arial" w:cs="Arial"/>
                <w:b/>
                <w:sz w:val="16"/>
                <w:szCs w:val="18"/>
              </w:rPr>
            </w:pPr>
            <w:r w:rsidRPr="003D73C3">
              <w:rPr>
                <w:rFonts w:ascii="Arial" w:hAnsi="Arial" w:cs="Arial"/>
                <w:b/>
                <w:sz w:val="16"/>
                <w:szCs w:val="18"/>
              </w:rPr>
              <w:t>2012</w:t>
            </w:r>
          </w:p>
        </w:tc>
        <w:tc>
          <w:tcPr>
            <w:tcW w:w="2600" w:type="dxa"/>
            <w:vAlign w:val="center"/>
          </w:tcPr>
          <w:p w14:paraId="3F7134CA" w14:textId="34D09816"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19,053</w:t>
            </w:r>
          </w:p>
        </w:tc>
        <w:tc>
          <w:tcPr>
            <w:tcW w:w="2855" w:type="dxa"/>
            <w:vAlign w:val="center"/>
          </w:tcPr>
          <w:p w14:paraId="7502F2A9" w14:textId="41676121"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10</w:t>
            </w:r>
          </w:p>
        </w:tc>
        <w:tc>
          <w:tcPr>
            <w:tcW w:w="2698" w:type="dxa"/>
            <w:vAlign w:val="center"/>
          </w:tcPr>
          <w:p w14:paraId="0D242FF7" w14:textId="3606005D"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0.1905</w:t>
            </w:r>
          </w:p>
        </w:tc>
      </w:tr>
      <w:tr w:rsidR="00141201" w:rsidRPr="00D82CF4" w14:paraId="08D54CBF" w14:textId="77777777" w:rsidTr="00E95BD6">
        <w:tc>
          <w:tcPr>
            <w:tcW w:w="908" w:type="dxa"/>
            <w:vAlign w:val="center"/>
          </w:tcPr>
          <w:p w14:paraId="74DD76C5" w14:textId="1F48AD4E" w:rsidR="00141201" w:rsidRPr="003D73C3" w:rsidRDefault="00141201" w:rsidP="009F7DB8">
            <w:pPr>
              <w:spacing w:before="120"/>
              <w:rPr>
                <w:rFonts w:ascii="Arial" w:hAnsi="Arial" w:cs="Arial"/>
                <w:b/>
                <w:sz w:val="16"/>
                <w:szCs w:val="18"/>
              </w:rPr>
            </w:pPr>
            <w:r w:rsidRPr="003D73C3">
              <w:rPr>
                <w:rFonts w:ascii="Arial" w:hAnsi="Arial" w:cs="Arial"/>
                <w:b/>
                <w:sz w:val="16"/>
                <w:szCs w:val="18"/>
              </w:rPr>
              <w:t>2016</w:t>
            </w:r>
          </w:p>
        </w:tc>
        <w:tc>
          <w:tcPr>
            <w:tcW w:w="2600" w:type="dxa"/>
            <w:vAlign w:val="center"/>
          </w:tcPr>
          <w:p w14:paraId="6F225C93" w14:textId="422D41AF"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20,129</w:t>
            </w:r>
          </w:p>
        </w:tc>
        <w:tc>
          <w:tcPr>
            <w:tcW w:w="2855" w:type="dxa"/>
            <w:vAlign w:val="center"/>
          </w:tcPr>
          <w:p w14:paraId="14465ABB" w14:textId="5D3DA0D4"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10</w:t>
            </w:r>
          </w:p>
        </w:tc>
        <w:tc>
          <w:tcPr>
            <w:tcW w:w="2698" w:type="dxa"/>
            <w:vAlign w:val="center"/>
          </w:tcPr>
          <w:p w14:paraId="6A137DFD" w14:textId="204FBF15"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0.201</w:t>
            </w:r>
          </w:p>
        </w:tc>
      </w:tr>
      <w:tr w:rsidR="00D82CF4" w:rsidRPr="00AF1200" w14:paraId="7DFFB87D" w14:textId="77777777" w:rsidTr="00E95BD6">
        <w:tc>
          <w:tcPr>
            <w:tcW w:w="908" w:type="dxa"/>
            <w:vAlign w:val="center"/>
          </w:tcPr>
          <w:p w14:paraId="7CB539BA" w14:textId="55EF04E6" w:rsidR="00D82CF4" w:rsidRPr="003D73C3" w:rsidRDefault="00D82CF4" w:rsidP="009F7DB8">
            <w:pPr>
              <w:spacing w:before="120"/>
              <w:rPr>
                <w:rFonts w:ascii="Arial" w:hAnsi="Arial" w:cs="Arial"/>
                <w:b/>
                <w:sz w:val="16"/>
                <w:szCs w:val="18"/>
              </w:rPr>
            </w:pPr>
            <w:r w:rsidRPr="003D73C3">
              <w:rPr>
                <w:rFonts w:ascii="Arial" w:hAnsi="Arial" w:cs="Arial"/>
                <w:b/>
                <w:sz w:val="16"/>
                <w:szCs w:val="18"/>
              </w:rPr>
              <w:t>2020</w:t>
            </w:r>
          </w:p>
        </w:tc>
        <w:tc>
          <w:tcPr>
            <w:tcW w:w="2600" w:type="dxa"/>
            <w:vAlign w:val="center"/>
          </w:tcPr>
          <w:p w14:paraId="4F7492F9" w14:textId="6FE87BBB" w:rsidR="00D82CF4" w:rsidRPr="003D73C3" w:rsidRDefault="00D82CF4" w:rsidP="009F7DB8">
            <w:pPr>
              <w:spacing w:before="120"/>
              <w:jc w:val="center"/>
              <w:rPr>
                <w:rFonts w:ascii="Arial" w:hAnsi="Arial" w:cs="Arial"/>
                <w:sz w:val="16"/>
                <w:szCs w:val="18"/>
              </w:rPr>
            </w:pPr>
            <w:r w:rsidRPr="003D73C3">
              <w:rPr>
                <w:rFonts w:ascii="Arial" w:hAnsi="Arial" w:cs="Arial"/>
                <w:sz w:val="16"/>
                <w:szCs w:val="18"/>
              </w:rPr>
              <w:t>22,073</w:t>
            </w:r>
          </w:p>
        </w:tc>
        <w:tc>
          <w:tcPr>
            <w:tcW w:w="2855" w:type="dxa"/>
            <w:vAlign w:val="center"/>
          </w:tcPr>
          <w:p w14:paraId="463744C8" w14:textId="5C919824" w:rsidR="00D82CF4" w:rsidRPr="003D73C3" w:rsidRDefault="00D82CF4" w:rsidP="009F7DB8">
            <w:pPr>
              <w:spacing w:before="120"/>
              <w:jc w:val="center"/>
              <w:rPr>
                <w:rFonts w:ascii="Arial" w:hAnsi="Arial" w:cs="Arial"/>
                <w:sz w:val="16"/>
                <w:szCs w:val="18"/>
              </w:rPr>
            </w:pPr>
            <w:r w:rsidRPr="003D73C3">
              <w:rPr>
                <w:rFonts w:ascii="Arial" w:hAnsi="Arial" w:cs="Arial"/>
                <w:sz w:val="16"/>
                <w:szCs w:val="18"/>
              </w:rPr>
              <w:t>10</w:t>
            </w:r>
          </w:p>
        </w:tc>
        <w:tc>
          <w:tcPr>
            <w:tcW w:w="2698" w:type="dxa"/>
            <w:vAlign w:val="center"/>
          </w:tcPr>
          <w:p w14:paraId="51567CD4" w14:textId="213A37C4" w:rsidR="00D82CF4" w:rsidRPr="003D73C3" w:rsidRDefault="00D82CF4" w:rsidP="009F7DB8">
            <w:pPr>
              <w:spacing w:before="120"/>
              <w:jc w:val="center"/>
              <w:rPr>
                <w:rFonts w:ascii="Arial" w:hAnsi="Arial" w:cs="Arial"/>
                <w:sz w:val="16"/>
                <w:szCs w:val="18"/>
              </w:rPr>
            </w:pPr>
            <w:r w:rsidRPr="003D73C3">
              <w:rPr>
                <w:rFonts w:ascii="Arial" w:hAnsi="Arial" w:cs="Arial"/>
                <w:sz w:val="16"/>
                <w:szCs w:val="18"/>
              </w:rPr>
              <w:t>0.221</w:t>
            </w:r>
          </w:p>
        </w:tc>
      </w:tr>
    </w:tbl>
    <w:p w14:paraId="1A606A86" w14:textId="4D3B73DB" w:rsidR="00C95E68" w:rsidRPr="003D73C3" w:rsidRDefault="00C95E68" w:rsidP="00C95E68">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D82CF4" w:rsidRPr="003D73C3">
        <w:rPr>
          <w:rFonts w:ascii="Arial" w:hAnsi="Arial" w:cs="Arial"/>
          <w:b/>
          <w:szCs w:val="18"/>
        </w:rPr>
        <w:t>2020</w:t>
      </w:r>
    </w:p>
    <w:p w14:paraId="7FE3449B" w14:textId="77777777" w:rsidR="00C95E68" w:rsidRPr="003D73C3" w:rsidRDefault="00C95E68" w:rsidP="00C95E68">
      <w:pPr>
        <w:tabs>
          <w:tab w:val="left" w:pos="1701"/>
        </w:tabs>
        <w:spacing w:after="0" w:line="300" w:lineRule="atLeast"/>
        <w:jc w:val="both"/>
        <w:rPr>
          <w:szCs w:val="18"/>
        </w:rPr>
      </w:pPr>
      <w:r w:rsidRPr="003D73C3">
        <w:rPr>
          <w:szCs w:val="18"/>
        </w:rPr>
        <w:t xml:space="preserve">Activity data: </w:t>
      </w:r>
      <w:r w:rsidRPr="003D73C3">
        <w:rPr>
          <w:szCs w:val="18"/>
        </w:rPr>
        <w:tab/>
        <w:t>Medium (because it is based on national death registration data)</w:t>
      </w:r>
    </w:p>
    <w:p w14:paraId="4CCBFBC6" w14:textId="77777777" w:rsidR="00C95E68" w:rsidRPr="003D73C3" w:rsidRDefault="00C95E68" w:rsidP="00C95E68">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default factor given in the UNEP Toolkit)</w:t>
      </w:r>
    </w:p>
    <w:p w14:paraId="6FD6E1EE" w14:textId="77777777" w:rsidR="006761D2" w:rsidRPr="003D73C3" w:rsidRDefault="006761D2" w:rsidP="00261F78">
      <w:pPr>
        <w:pStyle w:val="Heading2"/>
      </w:pPr>
      <w:bookmarkStart w:id="419" w:name="_Toc112768157"/>
      <w:r w:rsidRPr="003D73C3">
        <w:t>Smokehouses</w:t>
      </w:r>
      <w:bookmarkEnd w:id="419"/>
    </w:p>
    <w:p w14:paraId="04A4FBCF" w14:textId="24330E27" w:rsidR="006761D2" w:rsidRPr="003D73C3" w:rsidRDefault="24854215" w:rsidP="006761D2">
      <w:pPr>
        <w:spacing w:line="300" w:lineRule="atLeast"/>
        <w:jc w:val="both"/>
      </w:pPr>
      <w:r>
        <w:t xml:space="preserve">Smoking is used to add flavour, </w:t>
      </w:r>
      <w:bookmarkStart w:id="420" w:name="_Int_P3OWHX3R"/>
      <w:r>
        <w:t>colour,</w:t>
      </w:r>
      <w:bookmarkEnd w:id="420"/>
      <w:r>
        <w:t xml:space="preserve"> and aroma to various meats, including pork, beef, poultry, and fish. Several methods are used to produce the smoke, but the most common approach is based on the pyrolysis of wood chips or sawdust. In a typical smoke generator, the wood is placed on a heated metal surface at 350° to 400°C. Another method involves use of the heat generated by constantly rubbing blocks of wood against a blunt metal blade, or vice versa. Liquid smoke, which is a washed and concentrated natural smoke, is also used. </w:t>
      </w:r>
    </w:p>
    <w:p w14:paraId="485CE8F3" w14:textId="29E6DCF9" w:rsidR="006761D2" w:rsidRPr="003D73C3" w:rsidRDefault="24854215" w:rsidP="006761D2">
      <w:pPr>
        <w:spacing w:line="300" w:lineRule="atLeast"/>
        <w:jc w:val="both"/>
      </w:pPr>
      <w:r>
        <w:t xml:space="preserve">The release factors given in the UNEP Toolkit relate to smoking processes based on wood pyrolysis. No data is available on the amount of fuel used in New Zealand for this purpose and there is also no information on the proportion of smoked meats that are produced in this way. Hence, there is insufficient information to allow any reliable estimates of the releases for this source. However, it can be noted that the </w:t>
      </w:r>
      <w:r w:rsidR="7E87C594">
        <w:t>2008</w:t>
      </w:r>
      <w:r>
        <w:t xml:space="preserve"> </w:t>
      </w:r>
      <w:r w:rsidR="7E87C594">
        <w:t>I</w:t>
      </w:r>
      <w:r>
        <w:t xml:space="preserve">nventory produced a worst-case estimate, based on total smoked food production, of no more than 0.15 g TEQ per year </w:t>
      </w:r>
      <w:r w:rsidR="0DD904CD" w:rsidRPr="0C34660A">
        <w:rPr>
          <w:noProof/>
        </w:rPr>
        <w:t>(Ministry for the Environment, 2011a)</w:t>
      </w:r>
      <w:r>
        <w:t xml:space="preserve">. This estimate </w:t>
      </w:r>
      <w:r w:rsidR="62615DE7">
        <w:t xml:space="preserve">has </w:t>
      </w:r>
      <w:r>
        <w:t>not</w:t>
      </w:r>
      <w:r w:rsidR="62615DE7">
        <w:t xml:space="preserve"> been</w:t>
      </w:r>
      <w:r>
        <w:t xml:space="preserve"> included in </w:t>
      </w:r>
      <w:r w:rsidR="62615DE7">
        <w:t xml:space="preserve">any of </w:t>
      </w:r>
      <w:r>
        <w:t>the</w:t>
      </w:r>
      <w:r w:rsidR="62615DE7">
        <w:t xml:space="preserve"> subsequent</w:t>
      </w:r>
      <w:r>
        <w:t xml:space="preserve"> inventory totals because of the associated </w:t>
      </w:r>
      <w:bookmarkStart w:id="421" w:name="_Int_mwtb7GB8"/>
      <w:r>
        <w:t>very high</w:t>
      </w:r>
      <w:bookmarkEnd w:id="421"/>
      <w:r>
        <w:t xml:space="preserve"> uncertainties.</w:t>
      </w:r>
    </w:p>
    <w:p w14:paraId="2F618753" w14:textId="77777777" w:rsidR="006761D2" w:rsidRPr="003D73C3" w:rsidRDefault="006761D2" w:rsidP="00261F78">
      <w:pPr>
        <w:pStyle w:val="Heading2"/>
      </w:pPr>
      <w:bookmarkStart w:id="422" w:name="_Toc112768158"/>
      <w:r w:rsidRPr="003D73C3">
        <w:t>Dry cleaning</w:t>
      </w:r>
      <w:bookmarkEnd w:id="422"/>
    </w:p>
    <w:p w14:paraId="4B9134D9" w14:textId="095E29D6" w:rsidR="006761D2" w:rsidRPr="003D73C3" w:rsidRDefault="24854215" w:rsidP="006761D2">
      <w:pPr>
        <w:spacing w:line="300" w:lineRule="atLeast"/>
        <w:jc w:val="both"/>
      </w:pPr>
      <w:r w:rsidRPr="0C34660A">
        <w:t>Dioxins have been detected in the distillation residues from dry</w:t>
      </w:r>
      <w:r w:rsidR="68BF27DA" w:rsidRPr="003D73C3">
        <w:rPr>
          <w:szCs w:val="18"/>
        </w:rPr>
        <w:t xml:space="preserve"> </w:t>
      </w:r>
      <w:r w:rsidRPr="0C34660A">
        <w:t xml:space="preserve">cleaning, but this is believed to originate from contaminants already present on the textiles from the use of chemicals such as pentachlorophenol and dioxazine dyes </w:t>
      </w:r>
      <w:sdt>
        <w:sdtPr>
          <w:rPr>
            <w:szCs w:val="18"/>
          </w:rPr>
          <w:id w:val="1492530707"/>
          <w:lock w:val="contentLocked"/>
          <w:placeholder>
            <w:docPart w:val="DefaultPlaceholder_1081868574"/>
          </w:placeholder>
          <w:citation/>
        </w:sdtPr>
        <w:sdtEndPr/>
        <w:sdtContent>
          <w:r w:rsidR="006761D2" w:rsidRPr="003D73C3">
            <w:rPr>
              <w:szCs w:val="18"/>
            </w:rPr>
            <w:fldChar w:fldCharType="begin"/>
          </w:r>
          <w:r w:rsidR="006761D2" w:rsidRPr="003D73C3">
            <w:rPr>
              <w:szCs w:val="18"/>
            </w:rPr>
            <w:instrText xml:space="preserve"> CITATION UNEP13 \l 5129 </w:instrText>
          </w:r>
          <w:r w:rsidR="006761D2" w:rsidRPr="003D73C3">
            <w:rPr>
              <w:szCs w:val="18"/>
            </w:rPr>
            <w:fldChar w:fldCharType="separate"/>
          </w:r>
          <w:r w:rsidR="25EC959F" w:rsidRPr="0C34660A">
            <w:rPr>
              <w:noProof/>
            </w:rPr>
            <w:t>(United Nations Environment Programme, 2013)</w:t>
          </w:r>
          <w:r w:rsidR="006761D2" w:rsidRPr="003D73C3">
            <w:rPr>
              <w:szCs w:val="18"/>
            </w:rPr>
            <w:fldChar w:fldCharType="end"/>
          </w:r>
        </w:sdtContent>
      </w:sdt>
      <w:r w:rsidRPr="0C34660A">
        <w:t xml:space="preserve">. The dry-cleaning process itself does not generate any dioxins. The UNEP Toolkit recommends release factors of 3000 µg TEQ per tonne of residue for cleaning of textiles with </w:t>
      </w:r>
      <w:bookmarkStart w:id="423" w:name="_Int_t6bb4MZF"/>
      <w:r w:rsidRPr="0C34660A">
        <w:t>high levels</w:t>
      </w:r>
      <w:bookmarkEnd w:id="423"/>
      <w:r w:rsidRPr="0C34660A">
        <w:t xml:space="preserve"> of PCDD/PCDF contamination, and 50 µg TEQ per tonne of residue for ‘normal’ textiles (1 µg = 10</w:t>
      </w:r>
      <w:r w:rsidRPr="0C34660A">
        <w:rPr>
          <w:vertAlign w:val="superscript"/>
        </w:rPr>
        <w:t>-6</w:t>
      </w:r>
      <w:r w:rsidRPr="0C34660A">
        <w:t xml:space="preserve"> g). These factors are based on European work published in 1992 and 1993, and it is likely that the current contamination levels in New Zealand will be much lower than those reported, simply because there is now little or no use of the contaminated chemicals.</w:t>
      </w:r>
    </w:p>
    <w:p w14:paraId="0A325B36" w14:textId="3AC282A3" w:rsidR="006761D2" w:rsidRPr="003D73C3" w:rsidRDefault="24854215" w:rsidP="005A6D60">
      <w:pPr>
        <w:spacing w:line="300" w:lineRule="atLeast"/>
        <w:jc w:val="both"/>
      </w:pPr>
      <w:r>
        <w:t xml:space="preserve">There is no accurate data available on the quantities of </w:t>
      </w:r>
      <w:r w:rsidR="000D9500">
        <w:t>dry-cleaning</w:t>
      </w:r>
      <w:r>
        <w:t xml:space="preserve"> distillation residues produced in New Zealand. In the </w:t>
      </w:r>
      <w:r w:rsidR="7E87C594">
        <w:t>2008 I</w:t>
      </w:r>
      <w:r>
        <w:t xml:space="preserve">nventory report it was estimated that the potential releases could be in the order of only 0.007 grams TEQ per year, but this figure was not included in the inventory totals because it was highly uncertain </w:t>
      </w:r>
      <w:r w:rsidR="0DD904CD" w:rsidRPr="0C34660A">
        <w:rPr>
          <w:noProof/>
        </w:rPr>
        <w:t>(Ministry for the Environment, 2011a)</w:t>
      </w:r>
      <w:r>
        <w:t xml:space="preserve">. There is no reason to believe that the current releases would be </w:t>
      </w:r>
      <w:bookmarkStart w:id="424" w:name="_Int_oSCyklNm"/>
      <w:r>
        <w:t>substantially different</w:t>
      </w:r>
      <w:bookmarkEnd w:id="424"/>
      <w:r>
        <w:t xml:space="preserve"> from the 2008 estimate.</w:t>
      </w:r>
    </w:p>
    <w:p w14:paraId="48E1ED93" w14:textId="77777777" w:rsidR="006761D2" w:rsidRPr="003D73C3" w:rsidRDefault="006761D2" w:rsidP="00261F78">
      <w:pPr>
        <w:pStyle w:val="Heading2"/>
      </w:pPr>
      <w:bookmarkStart w:id="425" w:name="_Toc112768159"/>
      <w:r w:rsidRPr="003D73C3">
        <w:lastRenderedPageBreak/>
        <w:t>Tobacco smoking</w:t>
      </w:r>
      <w:bookmarkEnd w:id="425"/>
    </w:p>
    <w:p w14:paraId="306AEB24" w14:textId="5FF24C27" w:rsidR="00F360CE" w:rsidRPr="003D73C3" w:rsidRDefault="24854215" w:rsidP="0C34660A">
      <w:pPr>
        <w:spacing w:line="300" w:lineRule="atLeast"/>
        <w:jc w:val="both"/>
        <w:rPr>
          <w:lang w:val="en-US"/>
        </w:rPr>
      </w:pPr>
      <w:r w:rsidRPr="0C34660A">
        <w:rPr>
          <w:lang w:val="en-US"/>
        </w:rPr>
        <w:t>National statistics on tobacco consumption are only available up to the end of 2009</w:t>
      </w:r>
      <w:r w:rsidR="006761D2" w:rsidRPr="0C34660A">
        <w:rPr>
          <w:rStyle w:val="FootnoteReference"/>
          <w:lang w:val="en-US"/>
        </w:rPr>
        <w:footnoteReference w:id="7"/>
      </w:r>
      <w:r w:rsidRPr="0C34660A">
        <w:rPr>
          <w:lang w:val="en-US"/>
        </w:rPr>
        <w:t xml:space="preserve">. </w:t>
      </w:r>
      <w:r w:rsidR="190AE0F9" w:rsidRPr="0C34660A">
        <w:rPr>
          <w:lang w:val="en-US"/>
        </w:rPr>
        <w:t xml:space="preserve">Consequently, it is difficult to obtain an accurate estimate of current tobacco consumption. The trendline for the 4-weekly equivalent cigarette sales volume </w:t>
      </w:r>
      <w:r w:rsidR="65DFF983" w:rsidRPr="0C34660A">
        <w:rPr>
          <w:lang w:val="en-US"/>
        </w:rPr>
        <w:t>(</w:t>
      </w:r>
      <w:r w:rsidR="360A7783" w:rsidRPr="0C34660A">
        <w:rPr>
          <w:lang w:val="en-US"/>
        </w:rPr>
        <w:t xml:space="preserve">based on sales data) </w:t>
      </w:r>
      <w:r w:rsidR="190AE0F9" w:rsidRPr="0C34660A">
        <w:rPr>
          <w:lang w:val="en-US"/>
        </w:rPr>
        <w:t>stands at 61.18 million cigarettes for 16 June 2019, the latest statistical data available</w:t>
      </w:r>
      <w:r w:rsidR="3B0A1B65" w:rsidRPr="0C34660A">
        <w:rPr>
          <w:lang w:val="en-US"/>
        </w:rPr>
        <w:t xml:space="preserve"> (Health Promotion Agency, 2022)</w:t>
      </w:r>
      <w:r w:rsidR="2C3B58A6" w:rsidRPr="0C34660A">
        <w:rPr>
          <w:lang w:val="en-US"/>
        </w:rPr>
        <w:t xml:space="preserve">. </w:t>
      </w:r>
      <w:r w:rsidR="190AE0F9" w:rsidRPr="0C34660A">
        <w:rPr>
          <w:lang w:val="en-US"/>
        </w:rPr>
        <w:t xml:space="preserve">Multiplying by 13 this </w:t>
      </w:r>
      <w:r w:rsidR="3B0A1B65" w:rsidRPr="0C34660A">
        <w:rPr>
          <w:lang w:val="en-US"/>
        </w:rPr>
        <w:t>volume of sales equates to an annual consumption of 795.3 million cigarettes</w:t>
      </w:r>
      <w:bookmarkStart w:id="426" w:name="_Int_pYKv3WCH"/>
      <w:r w:rsidR="3B0A1B65" w:rsidRPr="0C34660A">
        <w:rPr>
          <w:lang w:val="en-US"/>
        </w:rPr>
        <w:t xml:space="preserve">. </w:t>
      </w:r>
      <w:bookmarkEnd w:id="426"/>
    </w:p>
    <w:p w14:paraId="7C980D49" w14:textId="06A49DC2" w:rsidR="006761D2" w:rsidRPr="003D73C3" w:rsidRDefault="360A7783" w:rsidP="0C34660A">
      <w:pPr>
        <w:spacing w:line="300" w:lineRule="atLeast"/>
        <w:jc w:val="both"/>
        <w:rPr>
          <w:lang w:val="en-US"/>
        </w:rPr>
      </w:pPr>
      <w:r w:rsidRPr="0C34660A">
        <w:rPr>
          <w:lang w:val="en-US"/>
        </w:rPr>
        <w:t xml:space="preserve">However, this data applies to legal purchases of tobacco products. It is </w:t>
      </w:r>
      <w:bookmarkStart w:id="427" w:name="_Int_DHIT4qrb"/>
      <w:r w:rsidRPr="0C34660A">
        <w:rPr>
          <w:lang w:val="en-US"/>
        </w:rPr>
        <w:t>though</w:t>
      </w:r>
      <w:bookmarkEnd w:id="427"/>
      <w:r w:rsidR="009246A5">
        <w:rPr>
          <w:lang w:val="en-US"/>
        </w:rPr>
        <w:t>t</w:t>
      </w:r>
      <w:r w:rsidRPr="0C34660A">
        <w:rPr>
          <w:lang w:val="en-US"/>
        </w:rPr>
        <w:t xml:space="preserve"> that annual consumption of illicit looseleaf tobacco in 2021 totalled 185.8 tonnes (Scoop, 2021). </w:t>
      </w:r>
      <w:bookmarkStart w:id="428" w:name="_Int_rsB6bmz5"/>
      <w:proofErr w:type="gramStart"/>
      <w:r w:rsidR="2C3B58A6" w:rsidRPr="0C34660A">
        <w:rPr>
          <w:lang w:val="en-US"/>
        </w:rPr>
        <w:t>Assuming that</w:t>
      </w:r>
      <w:bookmarkEnd w:id="428"/>
      <w:proofErr w:type="gramEnd"/>
      <w:r w:rsidR="2C3B58A6" w:rsidRPr="0C34660A">
        <w:rPr>
          <w:lang w:val="en-US"/>
        </w:rPr>
        <w:t xml:space="preserve"> 1 tonne of tobacco is the equivalent of 1 million cigarettes, </w:t>
      </w:r>
      <w:r w:rsidR="53A93CB1" w:rsidRPr="0C34660A">
        <w:rPr>
          <w:lang w:val="en-US"/>
        </w:rPr>
        <w:t>an extra 185.8 million cigarettes must be added</w:t>
      </w:r>
      <w:r w:rsidR="65DFF983" w:rsidRPr="0C34660A">
        <w:rPr>
          <w:lang w:val="en-US"/>
        </w:rPr>
        <w:t>,</w:t>
      </w:r>
      <w:r w:rsidR="53A93CB1" w:rsidRPr="0C34660A">
        <w:rPr>
          <w:lang w:val="en-US"/>
        </w:rPr>
        <w:t xml:space="preserve"> giving a total annual estimated consumption of 981.1 million cigarettes in 2020.</w:t>
      </w:r>
    </w:p>
    <w:p w14:paraId="7042B2C9" w14:textId="2605A4EF" w:rsidR="006761D2" w:rsidRPr="003D73C3" w:rsidRDefault="006761D2" w:rsidP="006761D2">
      <w:pPr>
        <w:spacing w:line="300" w:lineRule="atLeast"/>
        <w:jc w:val="both"/>
        <w:rPr>
          <w:szCs w:val="18"/>
          <w:lang w:val="en-US"/>
        </w:rPr>
      </w:pPr>
      <w:r w:rsidRPr="003D73C3">
        <w:rPr>
          <w:szCs w:val="18"/>
          <w:lang w:val="en-US"/>
        </w:rPr>
        <w:t xml:space="preserve">The UNEP Toolkit default factor of 0.1 pg TEQ per cigarette for releases to air </w:t>
      </w:r>
      <w:r w:rsidRPr="003D73C3">
        <w:rPr>
          <w:szCs w:val="18"/>
        </w:rPr>
        <w:t>(0.1 x 10</w:t>
      </w:r>
      <w:r w:rsidRPr="003D73C3">
        <w:rPr>
          <w:szCs w:val="18"/>
          <w:vertAlign w:val="superscript"/>
        </w:rPr>
        <w:t>-12</w:t>
      </w:r>
      <w:r w:rsidRPr="003D73C3">
        <w:rPr>
          <w:szCs w:val="18"/>
        </w:rPr>
        <w:t xml:space="preserve"> g TEQ/cigarette)</w:t>
      </w:r>
      <w:r w:rsidRPr="003D73C3">
        <w:rPr>
          <w:szCs w:val="18"/>
          <w:lang w:val="en-US"/>
        </w:rPr>
        <w:t xml:space="preserve">, has been applied to this total </w:t>
      </w:r>
      <w:r w:rsidR="00491245" w:rsidRPr="003D73C3">
        <w:rPr>
          <w:szCs w:val="18"/>
          <w:lang w:val="en-US"/>
        </w:rPr>
        <w:t xml:space="preserve">as </w:t>
      </w:r>
      <w:r w:rsidRPr="003D73C3">
        <w:rPr>
          <w:szCs w:val="18"/>
          <w:lang w:val="en-US"/>
        </w:rPr>
        <w:t xml:space="preserve">shown in </w:t>
      </w:r>
      <w:r w:rsidRPr="003D73C3">
        <w:rPr>
          <w:szCs w:val="18"/>
          <w:lang w:val="en-US"/>
        </w:rPr>
        <w:fldChar w:fldCharType="begin"/>
      </w:r>
      <w:r w:rsidRPr="003D73C3">
        <w:rPr>
          <w:szCs w:val="18"/>
          <w:lang w:val="en-US"/>
        </w:rPr>
        <w:instrText xml:space="preserve"> REF _Ref359775402 \h  \* MERGEFORMAT </w:instrText>
      </w:r>
      <w:r w:rsidRPr="003D73C3">
        <w:rPr>
          <w:szCs w:val="18"/>
          <w:lang w:val="en-US"/>
        </w:rPr>
      </w:r>
      <w:r w:rsidRPr="003D73C3">
        <w:rPr>
          <w:szCs w:val="18"/>
          <w:lang w:val="en-US"/>
        </w:rPr>
        <w:fldChar w:fldCharType="separate"/>
      </w:r>
      <w:r w:rsidR="00141D7F" w:rsidRPr="00141D7F">
        <w:t xml:space="preserve">Table </w:t>
      </w:r>
      <w:r w:rsidR="00141D7F" w:rsidRPr="00141D7F">
        <w:rPr>
          <w:noProof/>
        </w:rPr>
        <w:t>10</w:t>
      </w:r>
      <w:r w:rsidR="00141D7F" w:rsidRPr="00141D7F">
        <w:rPr>
          <w:noProof/>
        </w:rPr>
        <w:noBreakHyphen/>
        <w:t>2</w:t>
      </w:r>
      <w:r w:rsidRPr="003D73C3">
        <w:rPr>
          <w:szCs w:val="18"/>
          <w:lang w:val="en-US"/>
        </w:rPr>
        <w:fldChar w:fldCharType="end"/>
      </w:r>
      <w:r w:rsidRPr="003D73C3">
        <w:rPr>
          <w:szCs w:val="18"/>
          <w:lang w:val="en-US"/>
        </w:rPr>
        <w:t>, along with the corresponding estimates from 2012</w:t>
      </w:r>
      <w:r w:rsidR="00491245" w:rsidRPr="003D73C3">
        <w:rPr>
          <w:szCs w:val="18"/>
          <w:lang w:val="en-US"/>
        </w:rPr>
        <w:t xml:space="preserve"> and 2016.</w:t>
      </w:r>
    </w:p>
    <w:p w14:paraId="49D1C03B" w14:textId="7B260931" w:rsidR="006761D2" w:rsidRPr="003D73C3" w:rsidRDefault="006761D2" w:rsidP="006761D2">
      <w:pPr>
        <w:pStyle w:val="Caption"/>
        <w:jc w:val="left"/>
        <w:rPr>
          <w:rFonts w:cs="Arial"/>
          <w:szCs w:val="18"/>
        </w:rPr>
      </w:pPr>
      <w:bookmarkStart w:id="429" w:name="_Ref35977540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10</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2</w:t>
      </w:r>
      <w:r w:rsidRPr="003D73C3">
        <w:rPr>
          <w:rFonts w:cs="Arial"/>
        </w:rPr>
        <w:fldChar w:fldCharType="end"/>
      </w:r>
      <w:bookmarkEnd w:id="429"/>
      <w:r w:rsidRPr="003D73C3">
        <w:rPr>
          <w:rFonts w:cs="Arial"/>
        </w:rPr>
        <w:t>: Dioxin releases from tobacco smoking</w:t>
      </w:r>
    </w:p>
    <w:tbl>
      <w:tblPr>
        <w:tblStyle w:val="TableGrid"/>
        <w:tblW w:w="0" w:type="auto"/>
        <w:tblLook w:val="04A0" w:firstRow="1" w:lastRow="0" w:firstColumn="1" w:lastColumn="0" w:noHBand="0" w:noVBand="1"/>
      </w:tblPr>
      <w:tblGrid>
        <w:gridCol w:w="909"/>
        <w:gridCol w:w="2594"/>
        <w:gridCol w:w="2850"/>
        <w:gridCol w:w="2708"/>
      </w:tblGrid>
      <w:tr w:rsidR="006761D2" w:rsidRPr="001B2237" w14:paraId="18C8955F" w14:textId="77777777" w:rsidTr="000800E6">
        <w:tc>
          <w:tcPr>
            <w:tcW w:w="909" w:type="dxa"/>
            <w:vMerge w:val="restart"/>
            <w:vAlign w:val="center"/>
          </w:tcPr>
          <w:p w14:paraId="0EC870FA"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94" w:type="dxa"/>
            <w:vMerge w:val="restart"/>
            <w:vAlign w:val="center"/>
          </w:tcPr>
          <w:p w14:paraId="3AA2DC9F" w14:textId="77777777" w:rsidR="006761D2" w:rsidRPr="003D73C3" w:rsidRDefault="24854215" w:rsidP="0C34660A">
            <w:pPr>
              <w:spacing w:before="120"/>
              <w:jc w:val="center"/>
              <w:rPr>
                <w:rFonts w:ascii="Arial" w:hAnsi="Arial" w:cs="Arial"/>
                <w:b/>
                <w:bCs/>
                <w:sz w:val="16"/>
                <w:szCs w:val="16"/>
              </w:rPr>
            </w:pPr>
            <w:r w:rsidRPr="0C34660A">
              <w:rPr>
                <w:rFonts w:ascii="Arial" w:hAnsi="Arial" w:cs="Arial"/>
                <w:b/>
                <w:bCs/>
                <w:sz w:val="16"/>
                <w:szCs w:val="16"/>
              </w:rPr>
              <w:t xml:space="preserve">Activity Rate </w:t>
            </w:r>
            <w:r w:rsidR="006761D2">
              <w:br/>
            </w:r>
            <w:r w:rsidRPr="0C34660A">
              <w:rPr>
                <w:rFonts w:ascii="Arial" w:hAnsi="Arial" w:cs="Arial"/>
                <w:b/>
                <w:bCs/>
                <w:sz w:val="16"/>
                <w:szCs w:val="16"/>
              </w:rPr>
              <w:t>(</w:t>
            </w:r>
            <w:bookmarkStart w:id="430" w:name="_Int_OdQxbp5I"/>
            <w:r w:rsidRPr="0C34660A">
              <w:rPr>
                <w:rFonts w:ascii="Arial" w:hAnsi="Arial" w:cs="Arial"/>
                <w:b/>
                <w:bCs/>
                <w:sz w:val="16"/>
                <w:szCs w:val="16"/>
              </w:rPr>
              <w:t>million</w:t>
            </w:r>
            <w:bookmarkEnd w:id="430"/>
            <w:r w:rsidRPr="0C34660A">
              <w:rPr>
                <w:rFonts w:ascii="Arial" w:hAnsi="Arial" w:cs="Arial"/>
                <w:b/>
                <w:bCs/>
                <w:sz w:val="16"/>
                <w:szCs w:val="16"/>
              </w:rPr>
              <w:t xml:space="preserve"> cigarettes/year)</w:t>
            </w:r>
          </w:p>
        </w:tc>
        <w:tc>
          <w:tcPr>
            <w:tcW w:w="2850" w:type="dxa"/>
            <w:vAlign w:val="center"/>
          </w:tcPr>
          <w:p w14:paraId="14F6834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r w:rsidRPr="003D73C3">
              <w:rPr>
                <w:rFonts w:ascii="Arial" w:hAnsi="Arial" w:cs="Arial"/>
                <w:sz w:val="16"/>
                <w:szCs w:val="18"/>
              </w:rPr>
              <w:br/>
              <w:t>(</w:t>
            </w:r>
            <w:r w:rsidRPr="003D73C3">
              <w:rPr>
                <w:rFonts w:ascii="Arial" w:hAnsi="Arial" w:cs="Arial"/>
                <w:b/>
                <w:sz w:val="16"/>
                <w:szCs w:val="18"/>
              </w:rPr>
              <w:t>pg TEQ/cigarette)</w:t>
            </w:r>
          </w:p>
        </w:tc>
        <w:tc>
          <w:tcPr>
            <w:tcW w:w="2708" w:type="dxa"/>
            <w:vAlign w:val="center"/>
          </w:tcPr>
          <w:p w14:paraId="5016E128"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1B2237" w14:paraId="425201F4" w14:textId="77777777" w:rsidTr="00E95BD6">
        <w:tc>
          <w:tcPr>
            <w:tcW w:w="909" w:type="dxa"/>
            <w:vMerge/>
          </w:tcPr>
          <w:p w14:paraId="62172F2F" w14:textId="77777777" w:rsidR="006761D2" w:rsidRPr="003D73C3" w:rsidRDefault="006761D2" w:rsidP="009F7DB8">
            <w:pPr>
              <w:spacing w:before="120"/>
              <w:jc w:val="both"/>
              <w:rPr>
                <w:rFonts w:ascii="Arial" w:hAnsi="Arial" w:cs="Arial"/>
                <w:sz w:val="16"/>
                <w:szCs w:val="18"/>
              </w:rPr>
            </w:pPr>
          </w:p>
        </w:tc>
        <w:tc>
          <w:tcPr>
            <w:tcW w:w="2594" w:type="dxa"/>
            <w:vMerge/>
            <w:vAlign w:val="center"/>
          </w:tcPr>
          <w:p w14:paraId="2E79F777" w14:textId="77777777" w:rsidR="006761D2" w:rsidRPr="003D73C3" w:rsidRDefault="006761D2" w:rsidP="009F7DB8">
            <w:pPr>
              <w:spacing w:before="120"/>
              <w:jc w:val="center"/>
              <w:rPr>
                <w:rFonts w:ascii="Arial" w:hAnsi="Arial" w:cs="Arial"/>
                <w:sz w:val="16"/>
                <w:szCs w:val="18"/>
              </w:rPr>
            </w:pPr>
          </w:p>
        </w:tc>
        <w:tc>
          <w:tcPr>
            <w:tcW w:w="2850" w:type="dxa"/>
            <w:vAlign w:val="center"/>
          </w:tcPr>
          <w:p w14:paraId="18175E75"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c>
          <w:tcPr>
            <w:tcW w:w="2708" w:type="dxa"/>
            <w:vAlign w:val="center"/>
          </w:tcPr>
          <w:p w14:paraId="538F7A4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Air</w:t>
            </w:r>
          </w:p>
        </w:tc>
      </w:tr>
      <w:tr w:rsidR="00141201" w:rsidRPr="001B2237" w14:paraId="0619BBCE" w14:textId="77777777" w:rsidTr="00E95BD6">
        <w:tc>
          <w:tcPr>
            <w:tcW w:w="909" w:type="dxa"/>
            <w:vAlign w:val="center"/>
          </w:tcPr>
          <w:p w14:paraId="5F21CE85" w14:textId="2AF9C25C" w:rsidR="00141201" w:rsidRPr="003D73C3" w:rsidRDefault="00141201" w:rsidP="009F7DB8">
            <w:pPr>
              <w:spacing w:before="120"/>
              <w:rPr>
                <w:rFonts w:ascii="Arial" w:hAnsi="Arial" w:cs="Arial"/>
                <w:b/>
                <w:sz w:val="16"/>
                <w:szCs w:val="18"/>
              </w:rPr>
            </w:pPr>
            <w:r w:rsidRPr="003D73C3">
              <w:rPr>
                <w:rFonts w:ascii="Arial" w:hAnsi="Arial" w:cs="Arial"/>
                <w:b/>
                <w:sz w:val="16"/>
                <w:szCs w:val="18"/>
              </w:rPr>
              <w:t>2012</w:t>
            </w:r>
          </w:p>
        </w:tc>
        <w:tc>
          <w:tcPr>
            <w:tcW w:w="2594" w:type="dxa"/>
            <w:vAlign w:val="center"/>
          </w:tcPr>
          <w:p w14:paraId="2EFCBF33" w14:textId="4AA22008"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2769</w:t>
            </w:r>
          </w:p>
        </w:tc>
        <w:tc>
          <w:tcPr>
            <w:tcW w:w="2850" w:type="dxa"/>
            <w:vAlign w:val="center"/>
          </w:tcPr>
          <w:p w14:paraId="313FDD2C" w14:textId="48B3C03A"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0.1</w:t>
            </w:r>
          </w:p>
        </w:tc>
        <w:tc>
          <w:tcPr>
            <w:tcW w:w="2708" w:type="dxa"/>
            <w:vAlign w:val="center"/>
          </w:tcPr>
          <w:p w14:paraId="7A14AC0F" w14:textId="32E24B6F"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0.00028</w:t>
            </w:r>
          </w:p>
        </w:tc>
      </w:tr>
      <w:tr w:rsidR="00141201" w:rsidRPr="001B2237" w14:paraId="72ECAFCB" w14:textId="77777777" w:rsidTr="00E95BD6">
        <w:tc>
          <w:tcPr>
            <w:tcW w:w="909" w:type="dxa"/>
            <w:vAlign w:val="center"/>
          </w:tcPr>
          <w:p w14:paraId="24468728" w14:textId="2E74BD6A" w:rsidR="00141201" w:rsidRPr="003D73C3" w:rsidRDefault="00141201" w:rsidP="009F7DB8">
            <w:pPr>
              <w:spacing w:before="120"/>
              <w:rPr>
                <w:rFonts w:ascii="Arial" w:hAnsi="Arial" w:cs="Arial"/>
                <w:b/>
                <w:sz w:val="16"/>
                <w:szCs w:val="18"/>
              </w:rPr>
            </w:pPr>
            <w:r w:rsidRPr="003D73C3">
              <w:rPr>
                <w:rFonts w:ascii="Arial" w:hAnsi="Arial" w:cs="Arial"/>
                <w:b/>
                <w:sz w:val="16"/>
                <w:szCs w:val="18"/>
              </w:rPr>
              <w:t>2016</w:t>
            </w:r>
          </w:p>
        </w:tc>
        <w:tc>
          <w:tcPr>
            <w:tcW w:w="2594" w:type="dxa"/>
            <w:vAlign w:val="center"/>
          </w:tcPr>
          <w:p w14:paraId="40BBE1A6" w14:textId="4F93480D"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2132</w:t>
            </w:r>
          </w:p>
        </w:tc>
        <w:tc>
          <w:tcPr>
            <w:tcW w:w="2850" w:type="dxa"/>
            <w:vAlign w:val="center"/>
          </w:tcPr>
          <w:p w14:paraId="02CC682A" w14:textId="603FEB92"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0.1</w:t>
            </w:r>
          </w:p>
        </w:tc>
        <w:tc>
          <w:tcPr>
            <w:tcW w:w="2708" w:type="dxa"/>
            <w:vAlign w:val="center"/>
          </w:tcPr>
          <w:p w14:paraId="76C4B1FA" w14:textId="0F3D1982" w:rsidR="00141201" w:rsidRPr="003D73C3" w:rsidRDefault="00141201" w:rsidP="009F7DB8">
            <w:pPr>
              <w:spacing w:before="120"/>
              <w:jc w:val="center"/>
              <w:rPr>
                <w:rFonts w:ascii="Arial" w:hAnsi="Arial" w:cs="Arial"/>
                <w:sz w:val="16"/>
                <w:szCs w:val="18"/>
              </w:rPr>
            </w:pPr>
            <w:r w:rsidRPr="003D73C3">
              <w:rPr>
                <w:rFonts w:ascii="Arial" w:hAnsi="Arial" w:cs="Arial"/>
                <w:sz w:val="16"/>
                <w:szCs w:val="18"/>
              </w:rPr>
              <w:t>0.00021</w:t>
            </w:r>
          </w:p>
        </w:tc>
      </w:tr>
      <w:tr w:rsidR="00491245" w:rsidRPr="001B2237" w14:paraId="710A784E" w14:textId="77777777" w:rsidTr="00E95BD6">
        <w:tc>
          <w:tcPr>
            <w:tcW w:w="909" w:type="dxa"/>
            <w:vAlign w:val="center"/>
          </w:tcPr>
          <w:p w14:paraId="11F7AC6D" w14:textId="4F95BF84" w:rsidR="00491245" w:rsidRPr="003D73C3" w:rsidRDefault="00491245" w:rsidP="009F7DB8">
            <w:pPr>
              <w:spacing w:before="120"/>
              <w:rPr>
                <w:rFonts w:ascii="Arial" w:hAnsi="Arial" w:cs="Arial"/>
                <w:b/>
                <w:sz w:val="16"/>
                <w:szCs w:val="18"/>
              </w:rPr>
            </w:pPr>
            <w:r w:rsidRPr="003D73C3">
              <w:rPr>
                <w:rFonts w:ascii="Arial" w:hAnsi="Arial" w:cs="Arial"/>
                <w:b/>
                <w:sz w:val="16"/>
                <w:szCs w:val="18"/>
              </w:rPr>
              <w:t>2020</w:t>
            </w:r>
          </w:p>
        </w:tc>
        <w:tc>
          <w:tcPr>
            <w:tcW w:w="2594" w:type="dxa"/>
            <w:vAlign w:val="center"/>
          </w:tcPr>
          <w:p w14:paraId="659E8359" w14:textId="4E8FED1F" w:rsidR="00491245" w:rsidRPr="003D73C3" w:rsidRDefault="00491245" w:rsidP="009F7DB8">
            <w:pPr>
              <w:spacing w:before="120"/>
              <w:jc w:val="center"/>
              <w:rPr>
                <w:rFonts w:ascii="Arial" w:hAnsi="Arial" w:cs="Arial"/>
                <w:sz w:val="16"/>
                <w:szCs w:val="18"/>
              </w:rPr>
            </w:pPr>
            <w:r w:rsidRPr="003D73C3">
              <w:rPr>
                <w:rFonts w:ascii="Arial" w:hAnsi="Arial" w:cs="Arial"/>
                <w:sz w:val="16"/>
                <w:szCs w:val="18"/>
              </w:rPr>
              <w:t>981.1</w:t>
            </w:r>
          </w:p>
        </w:tc>
        <w:tc>
          <w:tcPr>
            <w:tcW w:w="2850" w:type="dxa"/>
            <w:vAlign w:val="center"/>
          </w:tcPr>
          <w:p w14:paraId="0D21DE8D" w14:textId="4CC3085E" w:rsidR="00491245" w:rsidRPr="003D73C3" w:rsidRDefault="00491245" w:rsidP="009F7DB8">
            <w:pPr>
              <w:spacing w:before="120"/>
              <w:jc w:val="center"/>
              <w:rPr>
                <w:rFonts w:ascii="Arial" w:hAnsi="Arial" w:cs="Arial"/>
                <w:sz w:val="16"/>
                <w:szCs w:val="18"/>
              </w:rPr>
            </w:pPr>
            <w:r w:rsidRPr="003D73C3">
              <w:rPr>
                <w:rFonts w:ascii="Arial" w:hAnsi="Arial" w:cs="Arial"/>
                <w:sz w:val="16"/>
                <w:szCs w:val="18"/>
              </w:rPr>
              <w:t>0.1</w:t>
            </w:r>
          </w:p>
        </w:tc>
        <w:tc>
          <w:tcPr>
            <w:tcW w:w="2708" w:type="dxa"/>
            <w:vAlign w:val="center"/>
          </w:tcPr>
          <w:p w14:paraId="67638C4E" w14:textId="164BADCB" w:rsidR="00491245" w:rsidRPr="003D73C3" w:rsidRDefault="00491245" w:rsidP="009F7DB8">
            <w:pPr>
              <w:spacing w:before="120"/>
              <w:jc w:val="center"/>
              <w:rPr>
                <w:rFonts w:ascii="Arial" w:hAnsi="Arial" w:cs="Arial"/>
                <w:sz w:val="16"/>
                <w:szCs w:val="18"/>
              </w:rPr>
            </w:pPr>
            <w:r w:rsidRPr="003D73C3">
              <w:rPr>
                <w:rFonts w:ascii="Arial" w:hAnsi="Arial" w:cs="Arial"/>
                <w:sz w:val="16"/>
                <w:szCs w:val="18"/>
              </w:rPr>
              <w:t>0.000098</w:t>
            </w:r>
          </w:p>
        </w:tc>
      </w:tr>
    </w:tbl>
    <w:p w14:paraId="7D20E5C5" w14:textId="4DFC6320"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1B2237" w:rsidRPr="003D73C3">
        <w:rPr>
          <w:rFonts w:ascii="Arial" w:hAnsi="Arial" w:cs="Arial"/>
          <w:b/>
          <w:szCs w:val="18"/>
        </w:rPr>
        <w:t>2020</w:t>
      </w:r>
    </w:p>
    <w:p w14:paraId="721BAD7A" w14:textId="77777777" w:rsidR="006761D2" w:rsidRPr="003D73C3" w:rsidRDefault="006761D2" w:rsidP="006761D2">
      <w:pPr>
        <w:tabs>
          <w:tab w:val="left" w:pos="1701"/>
        </w:tabs>
        <w:spacing w:after="0" w:line="300" w:lineRule="atLeast"/>
        <w:jc w:val="both"/>
        <w:rPr>
          <w:szCs w:val="18"/>
        </w:rPr>
      </w:pPr>
      <w:r w:rsidRPr="003D73C3">
        <w:rPr>
          <w:szCs w:val="18"/>
        </w:rPr>
        <w:t xml:space="preserve">Activity data: </w:t>
      </w:r>
      <w:r w:rsidRPr="003D73C3">
        <w:rPr>
          <w:szCs w:val="18"/>
        </w:rPr>
        <w:tab/>
        <w:t>Medium (because it is based on national statistics)</w:t>
      </w:r>
    </w:p>
    <w:p w14:paraId="57861734" w14:textId="77777777" w:rsidR="00141201" w:rsidRPr="003D73C3" w:rsidRDefault="006761D2" w:rsidP="006761D2">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it is based on the default factor given in the UNEP Toolkit)</w:t>
      </w:r>
    </w:p>
    <w:p w14:paraId="128794A2" w14:textId="77777777" w:rsidR="006761D2" w:rsidRPr="003D73C3" w:rsidRDefault="006761D2" w:rsidP="00261F78">
      <w:pPr>
        <w:pStyle w:val="Heading2"/>
        <w:rPr>
          <w:rFonts w:eastAsia="Calibri"/>
        </w:rPr>
      </w:pPr>
      <w:bookmarkStart w:id="431" w:name="_Toc112768160"/>
      <w:r w:rsidRPr="003D73C3">
        <w:rPr>
          <w:rFonts w:eastAsia="Calibri"/>
        </w:rPr>
        <w:t>Summary for this category</w:t>
      </w:r>
      <w:bookmarkEnd w:id="431"/>
      <w:r w:rsidRPr="003D73C3">
        <w:rPr>
          <w:rFonts w:eastAsia="Calibri"/>
        </w:rPr>
        <w:t xml:space="preserve"> </w:t>
      </w:r>
    </w:p>
    <w:p w14:paraId="765DD879" w14:textId="76FB58F9" w:rsidR="006761D2" w:rsidRPr="003D73C3" w:rsidRDefault="006761D2" w:rsidP="006761D2">
      <w:pPr>
        <w:spacing w:line="300" w:lineRule="atLeast"/>
        <w:jc w:val="both"/>
        <w:rPr>
          <w:rFonts w:eastAsia="Calibri"/>
          <w:szCs w:val="22"/>
        </w:rPr>
      </w:pPr>
      <w:r w:rsidRPr="003D73C3">
        <w:rPr>
          <w:rFonts w:eastAsia="Calibri"/>
          <w:szCs w:val="22"/>
        </w:rPr>
        <w:t>The</w:t>
      </w:r>
      <w:r w:rsidR="00C95E68" w:rsidRPr="003D73C3">
        <w:rPr>
          <w:rFonts w:eastAsia="Calibri"/>
          <w:szCs w:val="22"/>
        </w:rPr>
        <w:t xml:space="preserve"> 2012</w:t>
      </w:r>
      <w:r w:rsidR="001B2237" w:rsidRPr="003D73C3">
        <w:rPr>
          <w:rFonts w:eastAsia="Calibri"/>
          <w:szCs w:val="22"/>
        </w:rPr>
        <w:t xml:space="preserve">, </w:t>
      </w:r>
      <w:r w:rsidR="00506F97" w:rsidRPr="003D73C3">
        <w:rPr>
          <w:rFonts w:eastAsia="Calibri"/>
          <w:szCs w:val="22"/>
        </w:rPr>
        <w:t>2016</w:t>
      </w:r>
      <w:r w:rsidR="001B2237" w:rsidRPr="003D73C3">
        <w:rPr>
          <w:rFonts w:eastAsia="Calibri"/>
          <w:szCs w:val="22"/>
        </w:rPr>
        <w:t xml:space="preserve"> and 2020</w:t>
      </w:r>
      <w:r w:rsidRPr="003D73C3">
        <w:rPr>
          <w:rFonts w:eastAsia="Calibri"/>
          <w:szCs w:val="22"/>
        </w:rPr>
        <w:t xml:space="preserve"> release estimates for miscellaneous sources are summarised in </w:t>
      </w:r>
      <w:r w:rsidRPr="003D73C3">
        <w:rPr>
          <w:rFonts w:eastAsia="Calibri"/>
          <w:szCs w:val="22"/>
        </w:rPr>
        <w:fldChar w:fldCharType="begin"/>
      </w:r>
      <w:r w:rsidRPr="003D73C3">
        <w:rPr>
          <w:rFonts w:eastAsia="Calibri"/>
          <w:szCs w:val="22"/>
        </w:rPr>
        <w:instrText xml:space="preserve"> REF _Ref359814942 \h  \* MERGEFORMAT </w:instrText>
      </w:r>
      <w:r w:rsidRPr="003D73C3">
        <w:rPr>
          <w:rFonts w:eastAsia="Calibri"/>
          <w:szCs w:val="22"/>
        </w:rPr>
      </w:r>
      <w:r w:rsidRPr="003D73C3">
        <w:rPr>
          <w:rFonts w:eastAsia="Calibri"/>
          <w:szCs w:val="22"/>
        </w:rPr>
        <w:fldChar w:fldCharType="separate"/>
      </w:r>
      <w:r w:rsidR="00141D7F" w:rsidRPr="00141D7F">
        <w:t xml:space="preserve">Table </w:t>
      </w:r>
      <w:r w:rsidR="00141D7F" w:rsidRPr="00141D7F">
        <w:rPr>
          <w:noProof/>
        </w:rPr>
        <w:t>10</w:t>
      </w:r>
      <w:r w:rsidR="00141D7F" w:rsidRPr="00141D7F">
        <w:rPr>
          <w:noProof/>
        </w:rPr>
        <w:noBreakHyphen/>
        <w:t>3</w:t>
      </w:r>
      <w:r w:rsidRPr="003D73C3">
        <w:rPr>
          <w:rFonts w:eastAsia="Calibri"/>
          <w:szCs w:val="22"/>
        </w:rPr>
        <w:fldChar w:fldCharType="end"/>
      </w:r>
      <w:r w:rsidRPr="003D73C3">
        <w:rPr>
          <w:rFonts w:eastAsia="Calibri"/>
          <w:szCs w:val="22"/>
        </w:rPr>
        <w:t>.</w:t>
      </w:r>
    </w:p>
    <w:p w14:paraId="0946A10E" w14:textId="6DB7CAB0" w:rsidR="006761D2" w:rsidRPr="003D73C3" w:rsidRDefault="006761D2" w:rsidP="006761D2">
      <w:pPr>
        <w:pStyle w:val="Caption"/>
        <w:jc w:val="left"/>
        <w:rPr>
          <w:rFonts w:cs="Arial"/>
          <w:szCs w:val="18"/>
        </w:rPr>
      </w:pPr>
      <w:bookmarkStart w:id="432" w:name="_Ref359814942"/>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10</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bookmarkEnd w:id="432"/>
      <w:r w:rsidRPr="003D73C3">
        <w:rPr>
          <w:rFonts w:cs="Arial"/>
        </w:rPr>
        <w:t>: Summary of the release estimates for miscellaneous sources</w:t>
      </w:r>
    </w:p>
    <w:tbl>
      <w:tblPr>
        <w:tblStyle w:val="TableGrid"/>
        <w:tblW w:w="9214" w:type="dxa"/>
        <w:tblInd w:w="108" w:type="dxa"/>
        <w:tblLook w:val="04A0" w:firstRow="1" w:lastRow="0" w:firstColumn="1" w:lastColumn="0" w:noHBand="0" w:noVBand="1"/>
      </w:tblPr>
      <w:tblGrid>
        <w:gridCol w:w="3038"/>
        <w:gridCol w:w="1373"/>
        <w:gridCol w:w="1198"/>
        <w:gridCol w:w="1196"/>
        <w:gridCol w:w="1204"/>
        <w:gridCol w:w="1205"/>
      </w:tblGrid>
      <w:tr w:rsidR="006761D2" w:rsidRPr="001B2237" w14:paraId="467C82F2" w14:textId="77777777" w:rsidTr="00141201">
        <w:tc>
          <w:tcPr>
            <w:tcW w:w="3038" w:type="dxa"/>
            <w:vMerge w:val="restart"/>
            <w:vAlign w:val="center"/>
          </w:tcPr>
          <w:p w14:paraId="759D5CBE" w14:textId="77777777" w:rsidR="006761D2" w:rsidRPr="003D73C3" w:rsidRDefault="006761D2" w:rsidP="009F7DB8">
            <w:pPr>
              <w:spacing w:before="120"/>
              <w:rPr>
                <w:rFonts w:ascii="Arial" w:hAnsi="Arial" w:cs="Arial"/>
                <w:b/>
                <w:sz w:val="16"/>
                <w:szCs w:val="16"/>
              </w:rPr>
            </w:pPr>
            <w:r w:rsidRPr="003D73C3">
              <w:rPr>
                <w:rFonts w:ascii="Arial" w:hAnsi="Arial" w:cs="Arial"/>
                <w:b/>
                <w:sz w:val="16"/>
                <w:szCs w:val="16"/>
              </w:rPr>
              <w:t>Category</w:t>
            </w:r>
          </w:p>
        </w:tc>
        <w:tc>
          <w:tcPr>
            <w:tcW w:w="6176" w:type="dxa"/>
            <w:gridSpan w:val="5"/>
            <w:vAlign w:val="center"/>
          </w:tcPr>
          <w:p w14:paraId="30FBC9E1" w14:textId="2C8B0207" w:rsidR="006761D2" w:rsidRPr="003D73C3" w:rsidRDefault="00506F97" w:rsidP="009F7DB8">
            <w:pPr>
              <w:spacing w:before="120"/>
              <w:jc w:val="center"/>
              <w:rPr>
                <w:rFonts w:ascii="Arial" w:hAnsi="Arial" w:cs="Arial"/>
                <w:b/>
                <w:sz w:val="16"/>
                <w:szCs w:val="16"/>
              </w:rPr>
            </w:pPr>
            <w:r w:rsidRPr="003D73C3">
              <w:rPr>
                <w:rFonts w:ascii="Arial" w:hAnsi="Arial" w:cs="Arial"/>
                <w:b/>
                <w:sz w:val="16"/>
                <w:szCs w:val="16"/>
              </w:rPr>
              <w:t>2016</w:t>
            </w:r>
            <w:r w:rsidR="006761D2" w:rsidRPr="003D73C3">
              <w:rPr>
                <w:rFonts w:ascii="Arial" w:hAnsi="Arial" w:cs="Arial"/>
                <w:b/>
                <w:sz w:val="16"/>
                <w:szCs w:val="16"/>
              </w:rPr>
              <w:t xml:space="preserve"> dioxin releases (g TEQ/yr)</w:t>
            </w:r>
          </w:p>
        </w:tc>
      </w:tr>
      <w:tr w:rsidR="006761D2" w:rsidRPr="001B2237" w14:paraId="40954528" w14:textId="77777777" w:rsidTr="00141201">
        <w:tc>
          <w:tcPr>
            <w:tcW w:w="3038" w:type="dxa"/>
            <w:vMerge/>
            <w:vAlign w:val="center"/>
          </w:tcPr>
          <w:p w14:paraId="31B85F52" w14:textId="77777777" w:rsidR="006761D2" w:rsidRPr="003D73C3" w:rsidRDefault="006761D2" w:rsidP="009F7DB8">
            <w:pPr>
              <w:spacing w:before="120"/>
              <w:rPr>
                <w:rFonts w:ascii="Arial" w:hAnsi="Arial" w:cs="Arial"/>
                <w:b/>
                <w:sz w:val="16"/>
                <w:szCs w:val="16"/>
              </w:rPr>
            </w:pPr>
          </w:p>
        </w:tc>
        <w:tc>
          <w:tcPr>
            <w:tcW w:w="1373" w:type="dxa"/>
            <w:vAlign w:val="center"/>
          </w:tcPr>
          <w:p w14:paraId="092DABB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Air</w:t>
            </w:r>
          </w:p>
        </w:tc>
        <w:tc>
          <w:tcPr>
            <w:tcW w:w="1198" w:type="dxa"/>
            <w:vAlign w:val="center"/>
          </w:tcPr>
          <w:p w14:paraId="3821B75E"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Water</w:t>
            </w:r>
          </w:p>
        </w:tc>
        <w:tc>
          <w:tcPr>
            <w:tcW w:w="1196" w:type="dxa"/>
            <w:vAlign w:val="center"/>
          </w:tcPr>
          <w:p w14:paraId="00845ED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Land</w:t>
            </w:r>
          </w:p>
        </w:tc>
        <w:tc>
          <w:tcPr>
            <w:tcW w:w="1204" w:type="dxa"/>
            <w:vAlign w:val="center"/>
          </w:tcPr>
          <w:p w14:paraId="71379288"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Product</w:t>
            </w:r>
          </w:p>
        </w:tc>
        <w:tc>
          <w:tcPr>
            <w:tcW w:w="1205" w:type="dxa"/>
            <w:vAlign w:val="center"/>
          </w:tcPr>
          <w:p w14:paraId="7BFD543B"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Residue</w:t>
            </w:r>
          </w:p>
        </w:tc>
      </w:tr>
      <w:tr w:rsidR="006761D2" w:rsidRPr="001B2237" w14:paraId="2EAE1A00" w14:textId="77777777" w:rsidTr="00141201">
        <w:tc>
          <w:tcPr>
            <w:tcW w:w="3038" w:type="dxa"/>
            <w:vAlign w:val="center"/>
          </w:tcPr>
          <w:p w14:paraId="398AF4C3"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Crematoria</w:t>
            </w:r>
          </w:p>
        </w:tc>
        <w:tc>
          <w:tcPr>
            <w:tcW w:w="1373" w:type="dxa"/>
            <w:vAlign w:val="center"/>
          </w:tcPr>
          <w:p w14:paraId="22DC9F87" w14:textId="3FC850AE" w:rsidR="006761D2" w:rsidRPr="003D73C3" w:rsidRDefault="00141201" w:rsidP="009F7DB8">
            <w:pPr>
              <w:spacing w:before="120"/>
              <w:jc w:val="center"/>
              <w:rPr>
                <w:rFonts w:ascii="Arial" w:hAnsi="Arial" w:cs="Arial"/>
                <w:sz w:val="16"/>
                <w:szCs w:val="16"/>
              </w:rPr>
            </w:pPr>
            <w:r w:rsidRPr="003D73C3">
              <w:rPr>
                <w:rFonts w:ascii="Arial" w:hAnsi="Arial" w:cs="Arial"/>
                <w:sz w:val="16"/>
                <w:szCs w:val="16"/>
              </w:rPr>
              <w:t>0.2</w:t>
            </w:r>
            <w:r w:rsidR="001B2237" w:rsidRPr="003D73C3">
              <w:rPr>
                <w:rFonts w:ascii="Arial" w:hAnsi="Arial" w:cs="Arial"/>
                <w:sz w:val="16"/>
                <w:szCs w:val="16"/>
              </w:rPr>
              <w:t>21</w:t>
            </w:r>
          </w:p>
        </w:tc>
        <w:tc>
          <w:tcPr>
            <w:tcW w:w="1198" w:type="dxa"/>
            <w:vAlign w:val="center"/>
          </w:tcPr>
          <w:p w14:paraId="04E0CAD9"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196" w:type="dxa"/>
            <w:vAlign w:val="center"/>
          </w:tcPr>
          <w:p w14:paraId="3ED2A147"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4" w:type="dxa"/>
            <w:vAlign w:val="center"/>
          </w:tcPr>
          <w:p w14:paraId="3181EE58"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5" w:type="dxa"/>
            <w:vAlign w:val="center"/>
          </w:tcPr>
          <w:p w14:paraId="60A17FBB"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1B2237" w14:paraId="5F0CE7CF" w14:textId="77777777" w:rsidTr="00141201">
        <w:tc>
          <w:tcPr>
            <w:tcW w:w="3038" w:type="dxa"/>
            <w:vAlign w:val="center"/>
          </w:tcPr>
          <w:p w14:paraId="68284F82"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Tobacco smoking</w:t>
            </w:r>
          </w:p>
        </w:tc>
        <w:tc>
          <w:tcPr>
            <w:tcW w:w="1373" w:type="dxa"/>
            <w:vAlign w:val="center"/>
          </w:tcPr>
          <w:p w14:paraId="6D7F2270" w14:textId="721455EA" w:rsidR="006761D2" w:rsidRPr="003D73C3" w:rsidRDefault="00141201" w:rsidP="009F7DB8">
            <w:pPr>
              <w:spacing w:before="120"/>
              <w:jc w:val="center"/>
              <w:rPr>
                <w:rFonts w:ascii="Arial" w:hAnsi="Arial" w:cs="Arial"/>
                <w:sz w:val="16"/>
                <w:szCs w:val="16"/>
              </w:rPr>
            </w:pPr>
            <w:r w:rsidRPr="003D73C3">
              <w:rPr>
                <w:rFonts w:ascii="Arial" w:hAnsi="Arial" w:cs="Arial"/>
                <w:sz w:val="16"/>
                <w:szCs w:val="16"/>
              </w:rPr>
              <w:t>0.000</w:t>
            </w:r>
            <w:r w:rsidR="001B2237" w:rsidRPr="003D73C3">
              <w:rPr>
                <w:rFonts w:ascii="Arial" w:hAnsi="Arial" w:cs="Arial"/>
                <w:sz w:val="16"/>
                <w:szCs w:val="16"/>
              </w:rPr>
              <w:t>098</w:t>
            </w:r>
          </w:p>
        </w:tc>
        <w:tc>
          <w:tcPr>
            <w:tcW w:w="1198" w:type="dxa"/>
            <w:vAlign w:val="center"/>
          </w:tcPr>
          <w:p w14:paraId="41591853"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196" w:type="dxa"/>
            <w:vAlign w:val="center"/>
          </w:tcPr>
          <w:p w14:paraId="120708BD"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4" w:type="dxa"/>
            <w:vAlign w:val="center"/>
          </w:tcPr>
          <w:p w14:paraId="32E6F34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05" w:type="dxa"/>
            <w:vAlign w:val="center"/>
          </w:tcPr>
          <w:p w14:paraId="6110DD76"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1B2237" w:rsidRPr="001B2237" w14:paraId="7490D0C5" w14:textId="77777777" w:rsidTr="00141201">
        <w:tc>
          <w:tcPr>
            <w:tcW w:w="3038" w:type="dxa"/>
          </w:tcPr>
          <w:p w14:paraId="0D25D847" w14:textId="5860F028" w:rsidR="001B2237" w:rsidRPr="003D73C3" w:rsidRDefault="001B2237" w:rsidP="001B2237">
            <w:pPr>
              <w:spacing w:before="120"/>
              <w:jc w:val="both"/>
              <w:rPr>
                <w:rFonts w:ascii="Arial" w:hAnsi="Arial" w:cs="Arial"/>
                <w:b/>
                <w:sz w:val="16"/>
                <w:szCs w:val="16"/>
              </w:rPr>
            </w:pPr>
            <w:r w:rsidRPr="003D73C3">
              <w:rPr>
                <w:rFonts w:ascii="Arial" w:hAnsi="Arial" w:cs="Arial"/>
                <w:b/>
                <w:sz w:val="16"/>
                <w:szCs w:val="16"/>
              </w:rPr>
              <w:t>2012 totals</w:t>
            </w:r>
          </w:p>
        </w:tc>
        <w:tc>
          <w:tcPr>
            <w:tcW w:w="1373" w:type="dxa"/>
            <w:vAlign w:val="center"/>
          </w:tcPr>
          <w:p w14:paraId="7FE6DABB" w14:textId="1A2B1303" w:rsidR="001B2237" w:rsidRPr="003D73C3" w:rsidRDefault="001B2237" w:rsidP="001B2237">
            <w:pPr>
              <w:spacing w:before="120"/>
              <w:jc w:val="center"/>
              <w:rPr>
                <w:rFonts w:ascii="Arial" w:hAnsi="Arial" w:cs="Arial"/>
                <w:b/>
                <w:sz w:val="16"/>
                <w:szCs w:val="16"/>
              </w:rPr>
            </w:pPr>
            <w:r w:rsidRPr="003D73C3">
              <w:rPr>
                <w:rFonts w:ascii="Arial" w:hAnsi="Arial" w:cs="Arial"/>
                <w:b/>
                <w:sz w:val="16"/>
                <w:szCs w:val="16"/>
              </w:rPr>
              <w:t>0.191</w:t>
            </w:r>
          </w:p>
        </w:tc>
        <w:tc>
          <w:tcPr>
            <w:tcW w:w="1198" w:type="dxa"/>
            <w:vAlign w:val="center"/>
          </w:tcPr>
          <w:p w14:paraId="566227F3" w14:textId="57335468"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196" w:type="dxa"/>
            <w:vAlign w:val="center"/>
          </w:tcPr>
          <w:p w14:paraId="0EA38466" w14:textId="673A0155"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204" w:type="dxa"/>
            <w:vAlign w:val="center"/>
          </w:tcPr>
          <w:p w14:paraId="321AFED8" w14:textId="3751F4C5"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205" w:type="dxa"/>
            <w:vAlign w:val="center"/>
          </w:tcPr>
          <w:p w14:paraId="50AF6A60" w14:textId="5E27E9B4"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r>
      <w:tr w:rsidR="001B2237" w:rsidRPr="001B2237" w14:paraId="37F33029" w14:textId="77777777" w:rsidTr="00E4608A">
        <w:tc>
          <w:tcPr>
            <w:tcW w:w="3038" w:type="dxa"/>
          </w:tcPr>
          <w:p w14:paraId="72A604FB" w14:textId="3C420017" w:rsidR="001B2237" w:rsidRPr="003D73C3" w:rsidRDefault="001B2237" w:rsidP="001B2237">
            <w:pPr>
              <w:spacing w:before="120"/>
              <w:jc w:val="both"/>
              <w:rPr>
                <w:rFonts w:ascii="Arial" w:hAnsi="Arial" w:cs="Arial"/>
                <w:b/>
                <w:sz w:val="16"/>
                <w:szCs w:val="16"/>
              </w:rPr>
            </w:pPr>
            <w:r w:rsidRPr="003D73C3">
              <w:rPr>
                <w:rFonts w:ascii="Arial" w:hAnsi="Arial" w:cs="Arial"/>
                <w:b/>
                <w:sz w:val="16"/>
                <w:szCs w:val="16"/>
              </w:rPr>
              <w:t>2016 totals</w:t>
            </w:r>
          </w:p>
        </w:tc>
        <w:tc>
          <w:tcPr>
            <w:tcW w:w="1373" w:type="dxa"/>
            <w:vAlign w:val="center"/>
          </w:tcPr>
          <w:p w14:paraId="661A1548" w14:textId="7D1C8C3B" w:rsidR="001B2237" w:rsidRPr="003D73C3" w:rsidRDefault="001B2237" w:rsidP="001B2237">
            <w:pPr>
              <w:spacing w:before="120"/>
              <w:jc w:val="center"/>
              <w:rPr>
                <w:rFonts w:ascii="Arial" w:hAnsi="Arial" w:cs="Arial"/>
                <w:b/>
                <w:sz w:val="16"/>
                <w:szCs w:val="16"/>
              </w:rPr>
            </w:pPr>
            <w:r w:rsidRPr="003D73C3">
              <w:rPr>
                <w:rFonts w:ascii="Arial" w:hAnsi="Arial" w:cs="Arial"/>
                <w:b/>
                <w:sz w:val="16"/>
                <w:szCs w:val="16"/>
              </w:rPr>
              <w:t>0.202</w:t>
            </w:r>
          </w:p>
        </w:tc>
        <w:tc>
          <w:tcPr>
            <w:tcW w:w="1198" w:type="dxa"/>
          </w:tcPr>
          <w:p w14:paraId="11AF4DFD" w14:textId="77777777"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196" w:type="dxa"/>
          </w:tcPr>
          <w:p w14:paraId="0D4FACCB" w14:textId="77777777"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204" w:type="dxa"/>
          </w:tcPr>
          <w:p w14:paraId="44A49EF8" w14:textId="77777777" w:rsidR="001B2237" w:rsidRPr="003D73C3" w:rsidRDefault="001B2237" w:rsidP="001B2237">
            <w:pPr>
              <w:spacing w:before="120"/>
              <w:jc w:val="center"/>
              <w:rPr>
                <w:rFonts w:ascii="Arial" w:hAnsi="Arial" w:cs="Arial"/>
                <w:b/>
                <w:strike/>
                <w:sz w:val="16"/>
                <w:szCs w:val="16"/>
              </w:rPr>
            </w:pPr>
            <w:r w:rsidRPr="003D73C3">
              <w:rPr>
                <w:rFonts w:ascii="Arial" w:hAnsi="Arial" w:cs="Arial"/>
                <w:b/>
                <w:strike/>
                <w:sz w:val="16"/>
                <w:szCs w:val="16"/>
              </w:rPr>
              <w:t>-</w:t>
            </w:r>
          </w:p>
        </w:tc>
        <w:tc>
          <w:tcPr>
            <w:tcW w:w="1205" w:type="dxa"/>
          </w:tcPr>
          <w:p w14:paraId="7A7364E9" w14:textId="77777777" w:rsidR="001B2237" w:rsidRPr="003D73C3" w:rsidRDefault="001B2237" w:rsidP="001B2237">
            <w:pPr>
              <w:spacing w:before="120"/>
              <w:jc w:val="center"/>
              <w:rPr>
                <w:rFonts w:ascii="Arial" w:hAnsi="Arial" w:cs="Arial"/>
                <w:b/>
                <w:sz w:val="16"/>
                <w:szCs w:val="16"/>
              </w:rPr>
            </w:pPr>
            <w:r w:rsidRPr="003D73C3">
              <w:rPr>
                <w:rFonts w:ascii="Arial" w:hAnsi="Arial" w:cs="Arial"/>
                <w:b/>
                <w:sz w:val="16"/>
                <w:szCs w:val="16"/>
              </w:rPr>
              <w:t>-</w:t>
            </w:r>
          </w:p>
        </w:tc>
      </w:tr>
      <w:tr w:rsidR="00A411F4" w:rsidRPr="00AF1200" w14:paraId="3612E368" w14:textId="77777777" w:rsidTr="009C4E50">
        <w:tc>
          <w:tcPr>
            <w:tcW w:w="3038" w:type="dxa"/>
          </w:tcPr>
          <w:p w14:paraId="6E82A946" w14:textId="66859C32" w:rsidR="00A411F4" w:rsidRPr="003D73C3" w:rsidRDefault="001B2237" w:rsidP="009F7DB8">
            <w:pPr>
              <w:spacing w:before="120"/>
              <w:jc w:val="both"/>
              <w:rPr>
                <w:rFonts w:ascii="Arial" w:hAnsi="Arial" w:cs="Arial"/>
                <w:b/>
                <w:sz w:val="16"/>
                <w:szCs w:val="16"/>
              </w:rPr>
            </w:pPr>
            <w:r w:rsidRPr="003D73C3">
              <w:rPr>
                <w:rFonts w:ascii="Arial" w:hAnsi="Arial" w:cs="Arial"/>
                <w:b/>
                <w:sz w:val="16"/>
                <w:szCs w:val="16"/>
              </w:rPr>
              <w:t>2020 totals</w:t>
            </w:r>
          </w:p>
        </w:tc>
        <w:tc>
          <w:tcPr>
            <w:tcW w:w="1373" w:type="dxa"/>
            <w:vAlign w:val="center"/>
          </w:tcPr>
          <w:p w14:paraId="25A4D17A" w14:textId="675F0CA9" w:rsidR="00A411F4" w:rsidRPr="003D73C3" w:rsidRDefault="001B2237" w:rsidP="009F7DB8">
            <w:pPr>
              <w:spacing w:before="120"/>
              <w:jc w:val="center"/>
              <w:rPr>
                <w:rFonts w:ascii="Arial" w:hAnsi="Arial" w:cs="Arial"/>
                <w:b/>
                <w:sz w:val="16"/>
                <w:szCs w:val="16"/>
              </w:rPr>
            </w:pPr>
            <w:r w:rsidRPr="003D73C3">
              <w:rPr>
                <w:rFonts w:ascii="Arial" w:hAnsi="Arial" w:cs="Arial"/>
                <w:b/>
                <w:sz w:val="16"/>
                <w:szCs w:val="16"/>
              </w:rPr>
              <w:t>0.221</w:t>
            </w:r>
          </w:p>
        </w:tc>
        <w:tc>
          <w:tcPr>
            <w:tcW w:w="1198" w:type="dxa"/>
            <w:vAlign w:val="center"/>
          </w:tcPr>
          <w:p w14:paraId="3F04F024" w14:textId="3EE41DCB" w:rsidR="00A411F4" w:rsidRPr="003D73C3" w:rsidRDefault="00A411F4" w:rsidP="009F7DB8">
            <w:pPr>
              <w:spacing w:before="120"/>
              <w:jc w:val="center"/>
              <w:rPr>
                <w:rFonts w:ascii="Arial" w:hAnsi="Arial" w:cs="Arial"/>
                <w:b/>
                <w:strike/>
                <w:sz w:val="16"/>
                <w:szCs w:val="16"/>
              </w:rPr>
            </w:pPr>
            <w:r w:rsidRPr="003D73C3">
              <w:rPr>
                <w:rFonts w:ascii="Arial" w:hAnsi="Arial" w:cs="Arial"/>
                <w:b/>
                <w:strike/>
                <w:sz w:val="16"/>
                <w:szCs w:val="16"/>
              </w:rPr>
              <w:t>-</w:t>
            </w:r>
          </w:p>
        </w:tc>
        <w:tc>
          <w:tcPr>
            <w:tcW w:w="1196" w:type="dxa"/>
            <w:vAlign w:val="center"/>
          </w:tcPr>
          <w:p w14:paraId="3B7D5F1C" w14:textId="5057BF00" w:rsidR="00A411F4" w:rsidRPr="003D73C3" w:rsidRDefault="00A411F4" w:rsidP="009F7DB8">
            <w:pPr>
              <w:spacing w:before="120"/>
              <w:jc w:val="center"/>
              <w:rPr>
                <w:rFonts w:ascii="Arial" w:hAnsi="Arial" w:cs="Arial"/>
                <w:b/>
                <w:strike/>
                <w:sz w:val="16"/>
                <w:szCs w:val="16"/>
              </w:rPr>
            </w:pPr>
            <w:r w:rsidRPr="003D73C3">
              <w:rPr>
                <w:rFonts w:ascii="Arial" w:hAnsi="Arial" w:cs="Arial"/>
                <w:b/>
                <w:strike/>
                <w:sz w:val="16"/>
                <w:szCs w:val="16"/>
              </w:rPr>
              <w:t>-</w:t>
            </w:r>
          </w:p>
        </w:tc>
        <w:tc>
          <w:tcPr>
            <w:tcW w:w="1204" w:type="dxa"/>
            <w:vAlign w:val="center"/>
          </w:tcPr>
          <w:p w14:paraId="53B67A54" w14:textId="51473D10" w:rsidR="00A411F4" w:rsidRPr="003D73C3" w:rsidRDefault="00A411F4" w:rsidP="009F7DB8">
            <w:pPr>
              <w:spacing w:before="120"/>
              <w:jc w:val="center"/>
              <w:rPr>
                <w:rFonts w:ascii="Arial" w:hAnsi="Arial" w:cs="Arial"/>
                <w:b/>
                <w:strike/>
                <w:sz w:val="16"/>
                <w:szCs w:val="16"/>
              </w:rPr>
            </w:pPr>
            <w:r w:rsidRPr="003D73C3">
              <w:rPr>
                <w:rFonts w:ascii="Arial" w:hAnsi="Arial" w:cs="Arial"/>
                <w:b/>
                <w:strike/>
                <w:sz w:val="16"/>
                <w:szCs w:val="16"/>
              </w:rPr>
              <w:t>-</w:t>
            </w:r>
          </w:p>
        </w:tc>
        <w:tc>
          <w:tcPr>
            <w:tcW w:w="1205" w:type="dxa"/>
            <w:vAlign w:val="center"/>
          </w:tcPr>
          <w:p w14:paraId="1A7FDB75" w14:textId="34FE7564" w:rsidR="00A411F4" w:rsidRPr="003D73C3" w:rsidRDefault="00A411F4" w:rsidP="009F7DB8">
            <w:pPr>
              <w:spacing w:before="120"/>
              <w:jc w:val="center"/>
              <w:rPr>
                <w:rFonts w:ascii="Arial" w:hAnsi="Arial" w:cs="Arial"/>
                <w:b/>
                <w:sz w:val="16"/>
                <w:szCs w:val="16"/>
              </w:rPr>
            </w:pPr>
            <w:r w:rsidRPr="003D73C3">
              <w:rPr>
                <w:rFonts w:ascii="Arial" w:hAnsi="Arial" w:cs="Arial"/>
                <w:b/>
                <w:strike/>
                <w:sz w:val="16"/>
                <w:szCs w:val="16"/>
              </w:rPr>
              <w:t>-</w:t>
            </w:r>
          </w:p>
        </w:tc>
      </w:tr>
    </w:tbl>
    <w:p w14:paraId="078B75EE" w14:textId="77777777" w:rsidR="006761D2" w:rsidRPr="00AF1200" w:rsidRDefault="006761D2" w:rsidP="006761D2">
      <w:pPr>
        <w:spacing w:after="0"/>
        <w:rPr>
          <w:szCs w:val="18"/>
          <w:highlight w:val="yellow"/>
        </w:rPr>
      </w:pPr>
      <w:r w:rsidRPr="00AF1200">
        <w:rPr>
          <w:szCs w:val="18"/>
          <w:highlight w:val="yellow"/>
        </w:rPr>
        <w:br w:type="page"/>
      </w:r>
    </w:p>
    <w:p w14:paraId="0C37E78F" w14:textId="77777777" w:rsidR="006761D2" w:rsidRPr="003D73C3" w:rsidRDefault="006761D2" w:rsidP="00261F78">
      <w:pPr>
        <w:pStyle w:val="Heading1"/>
      </w:pPr>
      <w:bookmarkStart w:id="433" w:name="_Toc112768161"/>
      <w:r w:rsidRPr="003D73C3">
        <w:lastRenderedPageBreak/>
        <w:t>Disposal and landfill</w:t>
      </w:r>
      <w:bookmarkEnd w:id="433"/>
    </w:p>
    <w:p w14:paraId="57BAFFFC" w14:textId="3A7D2D7C" w:rsidR="006761D2" w:rsidRPr="003D73C3" w:rsidRDefault="006761D2" w:rsidP="006761D2">
      <w:pPr>
        <w:spacing w:line="300" w:lineRule="atLeast"/>
        <w:jc w:val="both"/>
        <w:rPr>
          <w:szCs w:val="18"/>
        </w:rPr>
      </w:pPr>
      <w:r w:rsidRPr="003D73C3">
        <w:rPr>
          <w:szCs w:val="18"/>
        </w:rPr>
        <w:t xml:space="preserve">This category covers dioxin releases from the following sub-categories </w:t>
      </w:r>
      <w:r w:rsidR="003D73C3" w:rsidRPr="003D73C3">
        <w:rPr>
          <w:noProof/>
          <w:szCs w:val="18"/>
        </w:rPr>
        <w:t>(United Nations Environment Programme, 2013)</w:t>
      </w:r>
      <w:r w:rsidRPr="003D73C3">
        <w:rPr>
          <w:szCs w:val="18"/>
        </w:rPr>
        <w:t>:</w:t>
      </w:r>
    </w:p>
    <w:p w14:paraId="3BFB58BD" w14:textId="77777777" w:rsidR="006761D2" w:rsidRPr="003D73C3" w:rsidRDefault="006761D2" w:rsidP="006761D2">
      <w:pPr>
        <w:spacing w:line="300" w:lineRule="atLeast"/>
        <w:ind w:left="720"/>
        <w:jc w:val="both"/>
        <w:rPr>
          <w:szCs w:val="18"/>
        </w:rPr>
      </w:pPr>
      <w:r w:rsidRPr="003D73C3">
        <w:rPr>
          <w:szCs w:val="18"/>
        </w:rPr>
        <w:t>9a</w:t>
      </w:r>
      <w:r w:rsidRPr="003D73C3">
        <w:rPr>
          <w:szCs w:val="18"/>
        </w:rPr>
        <w:tab/>
        <w:t>Landfills, waste dumps and landfill mining</w:t>
      </w:r>
    </w:p>
    <w:p w14:paraId="34881D9B" w14:textId="77777777" w:rsidR="006761D2" w:rsidRPr="003D73C3" w:rsidRDefault="006761D2" w:rsidP="006761D2">
      <w:pPr>
        <w:spacing w:line="300" w:lineRule="atLeast"/>
        <w:ind w:left="720"/>
        <w:jc w:val="both"/>
        <w:rPr>
          <w:szCs w:val="18"/>
        </w:rPr>
      </w:pPr>
      <w:r w:rsidRPr="003D73C3">
        <w:rPr>
          <w:szCs w:val="18"/>
        </w:rPr>
        <w:t>9b</w:t>
      </w:r>
      <w:r w:rsidRPr="003D73C3">
        <w:rPr>
          <w:szCs w:val="18"/>
        </w:rPr>
        <w:tab/>
        <w:t>Sewage/sewage treatment</w:t>
      </w:r>
    </w:p>
    <w:p w14:paraId="64E4A011" w14:textId="77777777" w:rsidR="006761D2" w:rsidRPr="003D73C3" w:rsidRDefault="006761D2" w:rsidP="006761D2">
      <w:pPr>
        <w:spacing w:line="300" w:lineRule="atLeast"/>
        <w:ind w:left="720"/>
        <w:jc w:val="both"/>
        <w:rPr>
          <w:szCs w:val="18"/>
        </w:rPr>
      </w:pPr>
      <w:r w:rsidRPr="003D73C3">
        <w:rPr>
          <w:szCs w:val="18"/>
        </w:rPr>
        <w:t>9c</w:t>
      </w:r>
      <w:r w:rsidRPr="003D73C3">
        <w:rPr>
          <w:szCs w:val="18"/>
        </w:rPr>
        <w:tab/>
        <w:t>Open water dumping</w:t>
      </w:r>
    </w:p>
    <w:p w14:paraId="31DDA76F" w14:textId="77777777" w:rsidR="006761D2" w:rsidRPr="003D73C3" w:rsidRDefault="006761D2" w:rsidP="006761D2">
      <w:pPr>
        <w:spacing w:line="300" w:lineRule="atLeast"/>
        <w:ind w:left="720"/>
        <w:jc w:val="both"/>
        <w:rPr>
          <w:szCs w:val="18"/>
        </w:rPr>
      </w:pPr>
      <w:r w:rsidRPr="003D73C3">
        <w:rPr>
          <w:szCs w:val="18"/>
        </w:rPr>
        <w:t>9d</w:t>
      </w:r>
      <w:r w:rsidRPr="003D73C3">
        <w:rPr>
          <w:szCs w:val="18"/>
        </w:rPr>
        <w:tab/>
        <w:t>Composting</w:t>
      </w:r>
    </w:p>
    <w:p w14:paraId="1F6D1F73" w14:textId="77777777" w:rsidR="006761D2" w:rsidRPr="003D73C3" w:rsidRDefault="006761D2" w:rsidP="006761D2">
      <w:pPr>
        <w:spacing w:line="300" w:lineRule="atLeast"/>
        <w:ind w:left="720"/>
        <w:jc w:val="both"/>
        <w:rPr>
          <w:szCs w:val="18"/>
        </w:rPr>
      </w:pPr>
      <w:r w:rsidRPr="003D73C3">
        <w:rPr>
          <w:szCs w:val="18"/>
        </w:rPr>
        <w:t>9e</w:t>
      </w:r>
      <w:r w:rsidRPr="003D73C3">
        <w:rPr>
          <w:szCs w:val="18"/>
        </w:rPr>
        <w:tab/>
        <w:t>Waste oil disposal</w:t>
      </w:r>
    </w:p>
    <w:p w14:paraId="385C3540" w14:textId="77777777" w:rsidR="006761D2" w:rsidRPr="003D73C3" w:rsidRDefault="24854215" w:rsidP="006761D2">
      <w:pPr>
        <w:spacing w:line="300" w:lineRule="atLeast"/>
        <w:jc w:val="both"/>
      </w:pPr>
      <w:bookmarkStart w:id="434" w:name="_Int_ncDi5y9K"/>
      <w:proofErr w:type="gramStart"/>
      <w:r>
        <w:t>All of</w:t>
      </w:r>
      <w:bookmarkEnd w:id="434"/>
      <w:proofErr w:type="gramEnd"/>
      <w:r>
        <w:t xml:space="preserve"> the sources in this category should be considered as secondary dioxin sources, in that there are no new dioxins being produced. The dioxins are simply associated with the incoming and outgoing wastes.</w:t>
      </w:r>
    </w:p>
    <w:p w14:paraId="4473B41D" w14:textId="77777777" w:rsidR="006761D2" w:rsidRPr="003D73C3" w:rsidRDefault="006761D2" w:rsidP="00261F78">
      <w:pPr>
        <w:pStyle w:val="Heading2"/>
      </w:pPr>
      <w:bookmarkStart w:id="435" w:name="_Toc112768162"/>
      <w:r w:rsidRPr="003D73C3">
        <w:t>Landfills, waste dumps and landfill mining</w:t>
      </w:r>
      <w:bookmarkEnd w:id="435"/>
    </w:p>
    <w:p w14:paraId="25D18A8A" w14:textId="37AC1E6C" w:rsidR="006761D2" w:rsidRPr="003D73C3" w:rsidRDefault="24854215" w:rsidP="006761D2">
      <w:pPr>
        <w:spacing w:line="300" w:lineRule="atLeast"/>
        <w:jc w:val="both"/>
      </w:pPr>
      <w:r>
        <w:t xml:space="preserve">According to the UNEP Toolkit this category covers wastes generated at a national level which are landfilled. In </w:t>
      </w:r>
      <w:r w:rsidR="712DD0AE">
        <w:t xml:space="preserve">2020 </w:t>
      </w:r>
      <w:r>
        <w:t xml:space="preserve">there were </w:t>
      </w:r>
      <w:r w:rsidR="712DD0AE">
        <w:t xml:space="preserve">39 significant </w:t>
      </w:r>
      <w:r>
        <w:t>landfill facilities in New Zealand receiving municipal solid waste</w:t>
      </w:r>
      <w:r w:rsidR="22971157">
        <w:t xml:space="preserve"> </w:t>
      </w:r>
      <w:r w:rsidR="712DD0AE" w:rsidRPr="0C34660A">
        <w:rPr>
          <w:noProof/>
        </w:rPr>
        <w:t>(Ministry for the Environment, 2022)</w:t>
      </w:r>
      <w:r>
        <w:t xml:space="preserve">. </w:t>
      </w:r>
      <w:r w:rsidR="5F6E268A">
        <w:t xml:space="preserve">These receive treated hazardous waste, industrial waste, commercial waste, household waste, municipal solid waste, construction and demolition waste, managed fill material and clean-fill material. </w:t>
      </w:r>
      <w:r>
        <w:t xml:space="preserve">In addition to these there were </w:t>
      </w:r>
      <w:bookmarkStart w:id="436" w:name="_Int_dRp4qhbf"/>
      <w:proofErr w:type="gramStart"/>
      <w:r>
        <w:t>a number of</w:t>
      </w:r>
      <w:bookmarkEnd w:id="436"/>
      <w:proofErr w:type="gramEnd"/>
      <w:r>
        <w:t xml:space="preserve"> cleanfills or construction</w:t>
      </w:r>
      <w:r w:rsidR="00495A35">
        <w:t xml:space="preserve"> </w:t>
      </w:r>
      <w:r>
        <w:t>and demolition fills</w:t>
      </w:r>
      <w:r w:rsidR="00495A35">
        <w:t>,</w:t>
      </w:r>
      <w:r w:rsidR="712DD0AE">
        <w:t xml:space="preserve"> and </w:t>
      </w:r>
      <w:r w:rsidR="13B46B4F">
        <w:t>farm fills which are used for disposal of household waste and other on-farm waste to land.</w:t>
      </w:r>
      <w:r w:rsidR="0DD904CD">
        <w:t xml:space="preserve"> </w:t>
      </w:r>
      <w:r>
        <w:t xml:space="preserve">The latter are not adjudged to be significant sources of dioxins and their activity has not been included in this dioxin release assessment. There is one example of a dedicated hazardous waste landfill in New Zealand which no longer receives wastes </w:t>
      </w:r>
      <w:r w:rsidR="0DD904CD" w:rsidRPr="0C34660A">
        <w:rPr>
          <w:noProof/>
        </w:rPr>
        <w:t>(Bell &amp; Wilson, 1988)</w:t>
      </w:r>
      <w:r>
        <w:t>. There are also a small number of private industrial landfills. Industrial wastes containing dioxins have already been accounted for in the other sections of this report dealing with individual processes, and there is no landfill mining done in New Zealand. Consequently, municipal solid waste is the sole focus for this waste category.</w:t>
      </w:r>
    </w:p>
    <w:p w14:paraId="72BC86FA" w14:textId="3B4FDDCF" w:rsidR="006761D2" w:rsidRPr="003D73C3" w:rsidRDefault="24854215" w:rsidP="006761D2">
      <w:pPr>
        <w:spacing w:line="300" w:lineRule="atLeast"/>
        <w:jc w:val="both"/>
      </w:pPr>
      <w:r>
        <w:t>New Zealand’s waste disposal levy scheme is currently the best means of estimating domestic waste activity</w:t>
      </w:r>
      <w:r w:rsidR="3FD505A1">
        <w:t>.</w:t>
      </w:r>
      <w:r>
        <w:t xml:space="preserve"> The Waste Minimisation Act </w:t>
      </w:r>
      <w:r w:rsidR="3FD505A1">
        <w:t xml:space="preserve">was introduced in </w:t>
      </w:r>
      <w:r>
        <w:t>2008</w:t>
      </w:r>
      <w:r w:rsidR="3FD505A1">
        <w:t xml:space="preserve"> with the purpose of encouraging waste minimisation </w:t>
      </w:r>
      <w:r w:rsidR="7C2C63AC">
        <w:t xml:space="preserve">and a decrease in waste disposal. To achieve this aim </w:t>
      </w:r>
      <w:r>
        <w:t>a levy of $10 for every tonne of waste arriving at domestic waste landfills</w:t>
      </w:r>
      <w:r w:rsidR="7C2C63AC">
        <w:t xml:space="preserve"> was introduced in 2009</w:t>
      </w:r>
      <w:r w:rsidR="000D9500">
        <w:t xml:space="preserve">. </w:t>
      </w:r>
      <w:r w:rsidR="7C2C63AC">
        <w:t>Imposition of the levy has</w:t>
      </w:r>
      <w:r>
        <w:t xml:space="preserve"> resulted in more accurate monitoring of waste quantities disposed. </w:t>
      </w:r>
    </w:p>
    <w:p w14:paraId="044A87F2" w14:textId="5A42A73A" w:rsidR="00A55DC5" w:rsidRPr="003D73C3" w:rsidRDefault="7C2C63AC" w:rsidP="00A24695">
      <w:pPr>
        <w:spacing w:line="300" w:lineRule="atLeast"/>
        <w:jc w:val="both"/>
      </w:pPr>
      <w:r>
        <w:t>Waste deposition data</w:t>
      </w:r>
      <w:r w:rsidR="22971157">
        <w:t xml:space="preserve"> </w:t>
      </w:r>
      <w:r w:rsidR="24854215">
        <w:t xml:space="preserve">is available on the </w:t>
      </w:r>
      <w:r w:rsidR="478EF7FC">
        <w:t>“</w:t>
      </w:r>
      <w:r w:rsidR="24854215">
        <w:t>Waste</w:t>
      </w:r>
      <w:r w:rsidR="478EF7FC">
        <w:t>”</w:t>
      </w:r>
      <w:r w:rsidR="24854215">
        <w:t xml:space="preserve"> </w:t>
      </w:r>
      <w:r w:rsidR="478EF7FC">
        <w:t>site of the Ministry for the Environment’s “Facts and Science” web pages (Ministry for th</w:t>
      </w:r>
      <w:r w:rsidR="782E4F66">
        <w:t xml:space="preserve">e </w:t>
      </w:r>
      <w:r w:rsidR="478EF7FC">
        <w:t>Environment</w:t>
      </w:r>
      <w:r w:rsidR="782E4F66">
        <w:t>, 2021)</w:t>
      </w:r>
      <w:bookmarkStart w:id="437" w:name="_Int_L8dFCbpf"/>
      <w:r w:rsidR="782E4F66">
        <w:t xml:space="preserve">. </w:t>
      </w:r>
      <w:bookmarkEnd w:id="437"/>
      <w:r w:rsidR="782E4F66">
        <w:t>This</w:t>
      </w:r>
      <w:r w:rsidR="24854215">
        <w:t xml:space="preserve"> shows that </w:t>
      </w:r>
      <w:r w:rsidR="782E4F66">
        <w:t xml:space="preserve">from July 2019 to June 2020 3,352,322 tonnes were recorded, with 3,547,485 tonnes listed for July 2020 to June. Averaging these quantities gives an estimated total quantity of 3,449,904 tonnes of waste for 2020. The Ministry for the Environment comment that there was a slight decrease of waste to class 1 landfills in 2019 and 2020 with the decrease in 2020 </w:t>
      </w:r>
      <w:bookmarkStart w:id="438" w:name="_Int_9ccXebNi"/>
      <w:r w:rsidR="782E4F66">
        <w:t>likely due</w:t>
      </w:r>
      <w:bookmarkEnd w:id="438"/>
      <w:r w:rsidR="782E4F66">
        <w:t xml:space="preserve"> to COVID</w:t>
      </w:r>
      <w:r w:rsidR="39E07332">
        <w:t>-</w:t>
      </w:r>
      <w:r w:rsidR="782E4F66">
        <w:t>19. However longer-term trends suggest that the rate of disposal is increasing for many sites around the country. Over time there has been a change in waste composition with inert waste (such as plastics) increasing, food waste decreasing</w:t>
      </w:r>
      <w:r w:rsidR="00D046EF">
        <w:t>,</w:t>
      </w:r>
      <w:r w:rsidR="782E4F66">
        <w:t xml:space="preserve"> and wood waste increasing.</w:t>
      </w:r>
    </w:p>
    <w:p w14:paraId="38C6AB84" w14:textId="77777777" w:rsidR="006761D2" w:rsidRPr="003D73C3" w:rsidRDefault="006761D2" w:rsidP="006761D2">
      <w:pPr>
        <w:spacing w:after="60" w:line="300" w:lineRule="atLeast"/>
        <w:jc w:val="both"/>
        <w:rPr>
          <w:szCs w:val="18"/>
        </w:rPr>
      </w:pPr>
      <w:r w:rsidRPr="003D73C3">
        <w:rPr>
          <w:szCs w:val="18"/>
        </w:rPr>
        <w:t>The UNEP Toolkit gives three classifications for landfills:</w:t>
      </w:r>
    </w:p>
    <w:p w14:paraId="38AEA6A5" w14:textId="77777777" w:rsidR="006761D2" w:rsidRPr="003D73C3" w:rsidRDefault="006761D2" w:rsidP="006761D2">
      <w:pPr>
        <w:spacing w:after="60" w:line="300" w:lineRule="atLeast"/>
        <w:ind w:left="720"/>
        <w:jc w:val="both"/>
        <w:rPr>
          <w:szCs w:val="18"/>
        </w:rPr>
      </w:pPr>
      <w:r w:rsidRPr="003D73C3">
        <w:rPr>
          <w:szCs w:val="18"/>
        </w:rPr>
        <w:t xml:space="preserve">Class 1 applies to landfills where wastes from (Toolkit) source groups 1 to 8 are deposited. </w:t>
      </w:r>
    </w:p>
    <w:p w14:paraId="1F3BCA8E" w14:textId="77777777" w:rsidR="006761D2" w:rsidRPr="003D73C3" w:rsidRDefault="006761D2" w:rsidP="006761D2">
      <w:pPr>
        <w:spacing w:after="60" w:line="300" w:lineRule="atLeast"/>
        <w:ind w:left="720"/>
        <w:jc w:val="both"/>
        <w:rPr>
          <w:szCs w:val="18"/>
        </w:rPr>
      </w:pPr>
      <w:r w:rsidRPr="003D73C3">
        <w:rPr>
          <w:szCs w:val="18"/>
        </w:rPr>
        <w:t>Class 2 applies to landfilling of waste which may contain some hazardous components. A typical situation is where a country has no organised waste management systems.</w:t>
      </w:r>
    </w:p>
    <w:p w14:paraId="53D66F6B" w14:textId="77777777" w:rsidR="006761D2" w:rsidRPr="003D73C3" w:rsidRDefault="006761D2" w:rsidP="006761D2">
      <w:pPr>
        <w:spacing w:line="300" w:lineRule="atLeast"/>
        <w:ind w:left="720"/>
        <w:jc w:val="both"/>
        <w:rPr>
          <w:szCs w:val="18"/>
        </w:rPr>
      </w:pPr>
      <w:r w:rsidRPr="003D73C3">
        <w:rPr>
          <w:szCs w:val="18"/>
        </w:rPr>
        <w:t>Class 3 applies to landfilling of non</w:t>
      </w:r>
      <w:r w:rsidRPr="003D73C3">
        <w:rPr>
          <w:rFonts w:ascii="Cambria Math" w:hAnsi="Cambria Math" w:cs="Cambria Math"/>
          <w:szCs w:val="18"/>
        </w:rPr>
        <w:t>‐</w:t>
      </w:r>
      <w:r w:rsidRPr="003D73C3">
        <w:rPr>
          <w:szCs w:val="18"/>
        </w:rPr>
        <w:t>hazardous wastes.</w:t>
      </w:r>
    </w:p>
    <w:p w14:paraId="647D40CC" w14:textId="5374C4DC" w:rsidR="006761D2" w:rsidRPr="003D73C3" w:rsidRDefault="24854215" w:rsidP="006761D2">
      <w:pPr>
        <w:spacing w:line="300" w:lineRule="atLeast"/>
        <w:jc w:val="both"/>
      </w:pPr>
      <w:r>
        <w:lastRenderedPageBreak/>
        <w:t xml:space="preserve">The greenhouse gas inventory report commented that New Zealand has insufficient data to </w:t>
      </w:r>
      <w:r w:rsidR="13B46B4F">
        <w:t xml:space="preserve">determine how much of the waste disposed to </w:t>
      </w:r>
      <w:r w:rsidR="78EE304E">
        <w:t xml:space="preserve">municipal landfills comes from industrial sources </w:t>
      </w:r>
      <w:r w:rsidR="78EE304E" w:rsidRPr="0C34660A">
        <w:rPr>
          <w:noProof/>
        </w:rPr>
        <w:t>(Ministry for the Environment, 2022)</w:t>
      </w:r>
      <w:bookmarkStart w:id="439" w:name="_Int_FogXEQrC"/>
      <w:r>
        <w:t xml:space="preserve">. </w:t>
      </w:r>
      <w:bookmarkEnd w:id="439"/>
      <w:r>
        <w:t>However current New Zealand landfill practice does involve waste assessment and would reject for disposal any industrial wastes which were known to contain significant quantities of dioxins. Landfills in New Zealand are engineered facilities where the wastes deposited are contained by impermeable liners and water ingress prevented by capping materials. Consequently, the Toolkit class 3 category is considered appropriate for all waste currently being deposited in landfills.</w:t>
      </w:r>
    </w:p>
    <w:p w14:paraId="342BC5A6" w14:textId="62FFC5C4" w:rsidR="006761D2" w:rsidRPr="003D73C3" w:rsidRDefault="24854215" w:rsidP="006761D2">
      <w:pPr>
        <w:spacing w:line="300" w:lineRule="atLeast"/>
        <w:jc w:val="both"/>
      </w:pPr>
      <w:bookmarkStart w:id="440" w:name="_Int_RKgcz2UE"/>
      <w:proofErr w:type="gramStart"/>
      <w:r>
        <w:t>With regard to</w:t>
      </w:r>
      <w:bookmarkEnd w:id="440"/>
      <w:proofErr w:type="gramEnd"/>
      <w:r>
        <w:t xml:space="preserve"> releases to water</w:t>
      </w:r>
      <w:r w:rsidR="39E07332">
        <w:t xml:space="preserve">, </w:t>
      </w:r>
      <w:r>
        <w:t xml:space="preserve">the situation is more complicated. The leachate produced by a landfill is not solely associated with the waste currently being deposited. It may originate, or </w:t>
      </w:r>
      <w:bookmarkStart w:id="441" w:name="_Int_TYCcMxP1"/>
      <w:proofErr w:type="gramStart"/>
      <w:r>
        <w:t>come in contact with</w:t>
      </w:r>
      <w:bookmarkEnd w:id="441"/>
      <w:proofErr w:type="gramEnd"/>
      <w:r>
        <w:t xml:space="preserve"> waste from earlier periods, which may have had higher concentrations of dioxins. Class 2 emission factors are seen as more appropriate for New Zealand landfill leachate.</w:t>
      </w:r>
    </w:p>
    <w:p w14:paraId="0E4A4E98" w14:textId="22AA569B" w:rsidR="006761D2" w:rsidRPr="003D73C3" w:rsidRDefault="006761D2" w:rsidP="006761D2">
      <w:pPr>
        <w:spacing w:line="300" w:lineRule="atLeast"/>
        <w:jc w:val="both"/>
        <w:rPr>
          <w:szCs w:val="18"/>
        </w:rPr>
      </w:pPr>
      <w:r w:rsidRPr="003D73C3">
        <w:rPr>
          <w:szCs w:val="18"/>
        </w:rPr>
        <w:t xml:space="preserve">The estimates for dioxin releases from landfilling for </w:t>
      </w:r>
      <w:r w:rsidR="00C530B8" w:rsidRPr="003D73C3">
        <w:rPr>
          <w:szCs w:val="18"/>
        </w:rPr>
        <w:t>2020</w:t>
      </w:r>
      <w:r w:rsidR="0020409C" w:rsidRPr="003D73C3">
        <w:rPr>
          <w:szCs w:val="18"/>
        </w:rPr>
        <w:t xml:space="preserve"> </w:t>
      </w:r>
      <w:r w:rsidRPr="003D73C3">
        <w:rPr>
          <w:szCs w:val="18"/>
        </w:rPr>
        <w:t xml:space="preserve">are shown in </w:t>
      </w:r>
      <w:r w:rsidRPr="003D73C3">
        <w:rPr>
          <w:szCs w:val="18"/>
        </w:rPr>
        <w:fldChar w:fldCharType="begin"/>
      </w:r>
      <w:r w:rsidRPr="003D73C3">
        <w:rPr>
          <w:szCs w:val="18"/>
        </w:rPr>
        <w:instrText xml:space="preserve"> REF _Ref382401706 \h  \* MERGEFORMAT </w:instrText>
      </w:r>
      <w:r w:rsidRPr="003D73C3">
        <w:rPr>
          <w:szCs w:val="18"/>
        </w:rPr>
      </w:r>
      <w:r w:rsidRPr="003D73C3">
        <w:rPr>
          <w:szCs w:val="18"/>
        </w:rPr>
        <w:fldChar w:fldCharType="separate"/>
      </w:r>
      <w:r w:rsidR="00141D7F" w:rsidRPr="00141D7F">
        <w:t xml:space="preserve">Table </w:t>
      </w:r>
      <w:r w:rsidR="00141D7F" w:rsidRPr="00141D7F">
        <w:rPr>
          <w:noProof/>
        </w:rPr>
        <w:t>11</w:t>
      </w:r>
      <w:r w:rsidR="00141D7F" w:rsidRPr="00141D7F">
        <w:rPr>
          <w:noProof/>
        </w:rPr>
        <w:noBreakHyphen/>
        <w:t>1</w:t>
      </w:r>
      <w:r w:rsidRPr="003D73C3">
        <w:rPr>
          <w:szCs w:val="18"/>
        </w:rPr>
        <w:fldChar w:fldCharType="end"/>
      </w:r>
      <w:r w:rsidRPr="003D73C3">
        <w:rPr>
          <w:szCs w:val="18"/>
        </w:rPr>
        <w:t xml:space="preserve">, along with the corresponding estimates made in the </w:t>
      </w:r>
      <w:r w:rsidR="0020409C" w:rsidRPr="003D73C3">
        <w:rPr>
          <w:szCs w:val="18"/>
        </w:rPr>
        <w:t xml:space="preserve">2012 </w:t>
      </w:r>
      <w:r w:rsidR="00C530B8" w:rsidRPr="003D73C3">
        <w:rPr>
          <w:szCs w:val="18"/>
        </w:rPr>
        <w:t>and 2016 Inventories.</w:t>
      </w:r>
    </w:p>
    <w:p w14:paraId="53B5D62A" w14:textId="6F0FEAAE" w:rsidR="006761D2" w:rsidRPr="003D73C3" w:rsidRDefault="006761D2" w:rsidP="006761D2">
      <w:pPr>
        <w:pStyle w:val="Caption"/>
        <w:jc w:val="left"/>
        <w:rPr>
          <w:rFonts w:cs="Arial"/>
          <w:szCs w:val="18"/>
        </w:rPr>
      </w:pPr>
      <w:bookmarkStart w:id="442" w:name="_Ref382401706"/>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11</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1</w:t>
      </w:r>
      <w:r w:rsidRPr="003D73C3">
        <w:rPr>
          <w:rFonts w:cs="Arial"/>
        </w:rPr>
        <w:fldChar w:fldCharType="end"/>
      </w:r>
      <w:bookmarkEnd w:id="442"/>
      <w:r w:rsidRPr="003D73C3">
        <w:rPr>
          <w:rFonts w:cs="Arial"/>
        </w:rPr>
        <w:t>: Dioxin releases from landfills, waste dumps and landfill mining</w:t>
      </w:r>
    </w:p>
    <w:tbl>
      <w:tblPr>
        <w:tblStyle w:val="TableGrid"/>
        <w:tblW w:w="0" w:type="auto"/>
        <w:tblLook w:val="04A0" w:firstRow="1" w:lastRow="0" w:firstColumn="1" w:lastColumn="0" w:noHBand="0" w:noVBand="1"/>
      </w:tblPr>
      <w:tblGrid>
        <w:gridCol w:w="864"/>
        <w:gridCol w:w="2566"/>
        <w:gridCol w:w="1441"/>
        <w:gridCol w:w="1458"/>
        <w:gridCol w:w="1345"/>
        <w:gridCol w:w="1387"/>
      </w:tblGrid>
      <w:tr w:rsidR="006761D2" w:rsidRPr="005C3004" w14:paraId="15886E44" w14:textId="77777777" w:rsidTr="000800E6">
        <w:tc>
          <w:tcPr>
            <w:tcW w:w="864" w:type="dxa"/>
            <w:vMerge w:val="restart"/>
            <w:vAlign w:val="center"/>
          </w:tcPr>
          <w:p w14:paraId="01E5E4E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Year</w:t>
            </w:r>
          </w:p>
        </w:tc>
        <w:tc>
          <w:tcPr>
            <w:tcW w:w="2566" w:type="dxa"/>
            <w:vMerge w:val="restart"/>
            <w:vAlign w:val="center"/>
          </w:tcPr>
          <w:p w14:paraId="6B8B04A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 xml:space="preserve">Activity Rate </w:t>
            </w:r>
            <w:r w:rsidRPr="003D73C3">
              <w:rPr>
                <w:rFonts w:ascii="Arial" w:hAnsi="Arial" w:cs="Arial"/>
                <w:b/>
                <w:sz w:val="16"/>
                <w:szCs w:val="18"/>
              </w:rPr>
              <w:br/>
            </w:r>
          </w:p>
        </w:tc>
        <w:tc>
          <w:tcPr>
            <w:tcW w:w="2899" w:type="dxa"/>
            <w:gridSpan w:val="2"/>
            <w:vAlign w:val="center"/>
          </w:tcPr>
          <w:p w14:paraId="4F3E3DE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p>
        </w:tc>
        <w:tc>
          <w:tcPr>
            <w:tcW w:w="2732" w:type="dxa"/>
            <w:gridSpan w:val="2"/>
            <w:vAlign w:val="center"/>
          </w:tcPr>
          <w:p w14:paraId="21D8CEF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Annual releases (g TEQ/yr)</w:t>
            </w:r>
          </w:p>
        </w:tc>
      </w:tr>
      <w:tr w:rsidR="006761D2" w:rsidRPr="005C3004" w14:paraId="40ED2483" w14:textId="77777777" w:rsidTr="00E95BD6">
        <w:tc>
          <w:tcPr>
            <w:tcW w:w="864" w:type="dxa"/>
            <w:vMerge/>
          </w:tcPr>
          <w:p w14:paraId="2DFAD157" w14:textId="77777777" w:rsidR="006761D2" w:rsidRPr="003D73C3" w:rsidRDefault="006761D2" w:rsidP="009F7DB8">
            <w:pPr>
              <w:spacing w:before="120"/>
              <w:jc w:val="both"/>
              <w:rPr>
                <w:rFonts w:ascii="Arial" w:hAnsi="Arial" w:cs="Arial"/>
                <w:sz w:val="16"/>
                <w:szCs w:val="18"/>
              </w:rPr>
            </w:pPr>
          </w:p>
        </w:tc>
        <w:tc>
          <w:tcPr>
            <w:tcW w:w="2566" w:type="dxa"/>
            <w:vMerge/>
            <w:vAlign w:val="center"/>
          </w:tcPr>
          <w:p w14:paraId="0A3DB7A6" w14:textId="77777777" w:rsidR="006761D2" w:rsidRPr="003D73C3" w:rsidRDefault="006761D2" w:rsidP="009F7DB8">
            <w:pPr>
              <w:spacing w:before="120"/>
              <w:jc w:val="center"/>
              <w:rPr>
                <w:rFonts w:ascii="Arial" w:hAnsi="Arial" w:cs="Arial"/>
                <w:sz w:val="16"/>
                <w:szCs w:val="18"/>
              </w:rPr>
            </w:pPr>
          </w:p>
        </w:tc>
        <w:tc>
          <w:tcPr>
            <w:tcW w:w="1441" w:type="dxa"/>
            <w:vAlign w:val="center"/>
          </w:tcPr>
          <w:p w14:paraId="7CBB01E4"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Water</w:t>
            </w:r>
            <w:r w:rsidRPr="003D73C3">
              <w:rPr>
                <w:rFonts w:ascii="Arial" w:hAnsi="Arial" w:cs="Arial"/>
                <w:b/>
                <w:sz w:val="16"/>
                <w:szCs w:val="18"/>
              </w:rPr>
              <w:br/>
              <w:t>(µg TEQ/m</w:t>
            </w:r>
            <w:r w:rsidRPr="003D73C3">
              <w:rPr>
                <w:rFonts w:ascii="Arial" w:hAnsi="Arial" w:cs="Arial"/>
                <w:b/>
                <w:sz w:val="16"/>
                <w:szCs w:val="18"/>
                <w:vertAlign w:val="superscript"/>
              </w:rPr>
              <w:t>3</w:t>
            </w:r>
            <w:r w:rsidRPr="003D73C3">
              <w:rPr>
                <w:rFonts w:ascii="Arial" w:hAnsi="Arial" w:cs="Arial"/>
                <w:b/>
                <w:sz w:val="16"/>
                <w:szCs w:val="18"/>
              </w:rPr>
              <w:t>)</w:t>
            </w:r>
          </w:p>
        </w:tc>
        <w:tc>
          <w:tcPr>
            <w:tcW w:w="1458" w:type="dxa"/>
            <w:vAlign w:val="center"/>
          </w:tcPr>
          <w:p w14:paraId="2D447693"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r w:rsidRPr="003D73C3">
              <w:rPr>
                <w:rFonts w:ascii="Arial" w:hAnsi="Arial" w:cs="Arial"/>
                <w:b/>
                <w:sz w:val="16"/>
                <w:szCs w:val="18"/>
              </w:rPr>
              <w:br/>
            </w:r>
            <w:r w:rsidRPr="003D73C3">
              <w:rPr>
                <w:rFonts w:ascii="Arial" w:hAnsi="Arial" w:cs="Arial"/>
                <w:sz w:val="16"/>
                <w:szCs w:val="18"/>
              </w:rPr>
              <w:t>(</w:t>
            </w:r>
            <w:r w:rsidRPr="003D73C3">
              <w:rPr>
                <w:rFonts w:ascii="Arial" w:hAnsi="Arial" w:cs="Arial"/>
                <w:b/>
                <w:sz w:val="16"/>
                <w:szCs w:val="18"/>
              </w:rPr>
              <w:t>µg TEQ/tonne)</w:t>
            </w:r>
          </w:p>
        </w:tc>
        <w:tc>
          <w:tcPr>
            <w:tcW w:w="1345" w:type="dxa"/>
            <w:vAlign w:val="center"/>
          </w:tcPr>
          <w:p w14:paraId="3685AAB6"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Water</w:t>
            </w:r>
          </w:p>
        </w:tc>
        <w:tc>
          <w:tcPr>
            <w:tcW w:w="1387" w:type="dxa"/>
            <w:vAlign w:val="center"/>
          </w:tcPr>
          <w:p w14:paraId="40F2E2A1" w14:textId="77777777" w:rsidR="006761D2" w:rsidRPr="003D73C3" w:rsidRDefault="006761D2" w:rsidP="009F7DB8">
            <w:pPr>
              <w:spacing w:before="120"/>
              <w:jc w:val="center"/>
              <w:rPr>
                <w:rFonts w:ascii="Arial" w:hAnsi="Arial" w:cs="Arial"/>
                <w:b/>
                <w:sz w:val="16"/>
                <w:szCs w:val="18"/>
              </w:rPr>
            </w:pPr>
            <w:r w:rsidRPr="003D73C3">
              <w:rPr>
                <w:rFonts w:ascii="Arial" w:hAnsi="Arial" w:cs="Arial"/>
                <w:b/>
                <w:sz w:val="16"/>
                <w:szCs w:val="18"/>
              </w:rPr>
              <w:t>Land</w:t>
            </w:r>
          </w:p>
        </w:tc>
      </w:tr>
      <w:tr w:rsidR="0020409C" w:rsidRPr="005C3004" w14:paraId="3858CB78" w14:textId="77777777" w:rsidTr="00E95BD6">
        <w:tc>
          <w:tcPr>
            <w:tcW w:w="864" w:type="dxa"/>
            <w:vMerge w:val="restart"/>
            <w:vAlign w:val="center"/>
          </w:tcPr>
          <w:p w14:paraId="7671061C" w14:textId="1CF38EC7" w:rsidR="0020409C" w:rsidRPr="003D73C3" w:rsidRDefault="0020409C" w:rsidP="009F7DB8">
            <w:pPr>
              <w:spacing w:before="120"/>
              <w:rPr>
                <w:rFonts w:ascii="Arial" w:hAnsi="Arial" w:cs="Arial"/>
                <w:b/>
                <w:sz w:val="16"/>
                <w:szCs w:val="18"/>
              </w:rPr>
            </w:pPr>
            <w:r w:rsidRPr="003D73C3">
              <w:rPr>
                <w:rFonts w:ascii="Arial" w:hAnsi="Arial" w:cs="Arial"/>
                <w:b/>
                <w:sz w:val="16"/>
                <w:szCs w:val="18"/>
              </w:rPr>
              <w:t>2012</w:t>
            </w:r>
          </w:p>
        </w:tc>
        <w:tc>
          <w:tcPr>
            <w:tcW w:w="2566" w:type="dxa"/>
            <w:vMerge w:val="restart"/>
            <w:vAlign w:val="center"/>
          </w:tcPr>
          <w:p w14:paraId="690454FC" w14:textId="46B937B8"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2,514,182</w:t>
            </w:r>
          </w:p>
        </w:tc>
        <w:tc>
          <w:tcPr>
            <w:tcW w:w="1441" w:type="dxa"/>
            <w:vAlign w:val="center"/>
          </w:tcPr>
          <w:p w14:paraId="663D2847" w14:textId="4A9B5600"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0.5</w:t>
            </w:r>
          </w:p>
        </w:tc>
        <w:tc>
          <w:tcPr>
            <w:tcW w:w="1458" w:type="dxa"/>
            <w:vAlign w:val="center"/>
          </w:tcPr>
          <w:p w14:paraId="533F18BD" w14:textId="443F14C4"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w:t>
            </w:r>
          </w:p>
        </w:tc>
        <w:tc>
          <w:tcPr>
            <w:tcW w:w="1345" w:type="dxa"/>
            <w:vAlign w:val="center"/>
          </w:tcPr>
          <w:p w14:paraId="36A4E88C" w14:textId="430C8A14"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1.257</w:t>
            </w:r>
          </w:p>
        </w:tc>
        <w:tc>
          <w:tcPr>
            <w:tcW w:w="1387" w:type="dxa"/>
            <w:vAlign w:val="center"/>
          </w:tcPr>
          <w:p w14:paraId="6F7A0D30" w14:textId="531A0A2A"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w:t>
            </w:r>
          </w:p>
        </w:tc>
      </w:tr>
      <w:tr w:rsidR="0020409C" w:rsidRPr="005C3004" w14:paraId="013FC902" w14:textId="77777777" w:rsidTr="00E95BD6">
        <w:tc>
          <w:tcPr>
            <w:tcW w:w="864" w:type="dxa"/>
            <w:vMerge/>
            <w:vAlign w:val="center"/>
          </w:tcPr>
          <w:p w14:paraId="41829D20" w14:textId="77777777" w:rsidR="0020409C" w:rsidRPr="003D73C3" w:rsidRDefault="0020409C" w:rsidP="009F7DB8">
            <w:pPr>
              <w:spacing w:before="120"/>
              <w:rPr>
                <w:rFonts w:ascii="Arial" w:hAnsi="Arial" w:cs="Arial"/>
                <w:b/>
                <w:sz w:val="16"/>
                <w:szCs w:val="18"/>
              </w:rPr>
            </w:pPr>
          </w:p>
        </w:tc>
        <w:tc>
          <w:tcPr>
            <w:tcW w:w="2566" w:type="dxa"/>
            <w:vMerge/>
            <w:vAlign w:val="center"/>
          </w:tcPr>
          <w:p w14:paraId="4AD2A8FE" w14:textId="77777777" w:rsidR="0020409C" w:rsidRPr="003D73C3" w:rsidRDefault="0020409C" w:rsidP="009F7DB8">
            <w:pPr>
              <w:spacing w:before="120"/>
              <w:jc w:val="center"/>
              <w:rPr>
                <w:rFonts w:ascii="Arial" w:hAnsi="Arial" w:cs="Arial"/>
                <w:sz w:val="16"/>
                <w:szCs w:val="18"/>
              </w:rPr>
            </w:pPr>
          </w:p>
        </w:tc>
        <w:tc>
          <w:tcPr>
            <w:tcW w:w="1441" w:type="dxa"/>
            <w:vAlign w:val="center"/>
          </w:tcPr>
          <w:p w14:paraId="0EAA0659" w14:textId="2904D27D"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w:t>
            </w:r>
          </w:p>
        </w:tc>
        <w:tc>
          <w:tcPr>
            <w:tcW w:w="1458" w:type="dxa"/>
            <w:vAlign w:val="center"/>
          </w:tcPr>
          <w:p w14:paraId="2BC2314A" w14:textId="390BC819"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5</w:t>
            </w:r>
          </w:p>
        </w:tc>
        <w:tc>
          <w:tcPr>
            <w:tcW w:w="1345" w:type="dxa"/>
            <w:vAlign w:val="center"/>
          </w:tcPr>
          <w:p w14:paraId="53E9BD1F" w14:textId="140833E3"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w:t>
            </w:r>
          </w:p>
        </w:tc>
        <w:tc>
          <w:tcPr>
            <w:tcW w:w="1387" w:type="dxa"/>
            <w:vAlign w:val="center"/>
          </w:tcPr>
          <w:p w14:paraId="490934EA" w14:textId="19BB45E9" w:rsidR="0020409C" w:rsidRPr="003D73C3" w:rsidRDefault="0020409C" w:rsidP="009F7DB8">
            <w:pPr>
              <w:spacing w:before="120"/>
              <w:jc w:val="center"/>
              <w:rPr>
                <w:rFonts w:ascii="Arial" w:hAnsi="Arial" w:cs="Arial"/>
                <w:sz w:val="16"/>
                <w:szCs w:val="18"/>
              </w:rPr>
            </w:pPr>
            <w:r w:rsidRPr="003D73C3">
              <w:rPr>
                <w:rFonts w:ascii="Arial" w:hAnsi="Arial" w:cs="Arial"/>
                <w:sz w:val="16"/>
                <w:szCs w:val="18"/>
              </w:rPr>
              <w:t>12.57</w:t>
            </w:r>
          </w:p>
        </w:tc>
      </w:tr>
      <w:tr w:rsidR="006761D2" w:rsidRPr="005C3004" w14:paraId="2ED1B773" w14:textId="77777777" w:rsidTr="00E95BD6">
        <w:tc>
          <w:tcPr>
            <w:tcW w:w="864" w:type="dxa"/>
            <w:vMerge w:val="restart"/>
            <w:vAlign w:val="center"/>
          </w:tcPr>
          <w:p w14:paraId="070EF698" w14:textId="4075C932" w:rsidR="006761D2" w:rsidRPr="003D73C3" w:rsidRDefault="0020409C" w:rsidP="009F7DB8">
            <w:pPr>
              <w:spacing w:before="120"/>
              <w:rPr>
                <w:rFonts w:ascii="Arial" w:hAnsi="Arial" w:cs="Arial"/>
                <w:b/>
                <w:sz w:val="16"/>
                <w:szCs w:val="18"/>
              </w:rPr>
            </w:pPr>
            <w:r w:rsidRPr="003D73C3">
              <w:rPr>
                <w:rFonts w:ascii="Arial" w:hAnsi="Arial" w:cs="Arial"/>
                <w:b/>
                <w:sz w:val="16"/>
                <w:szCs w:val="18"/>
              </w:rPr>
              <w:t>2016</w:t>
            </w:r>
          </w:p>
        </w:tc>
        <w:tc>
          <w:tcPr>
            <w:tcW w:w="2566" w:type="dxa"/>
            <w:vMerge w:val="restart"/>
            <w:vAlign w:val="center"/>
          </w:tcPr>
          <w:p w14:paraId="6416E6C8" w14:textId="01B45CEF" w:rsidR="006761D2" w:rsidRPr="003D73C3" w:rsidRDefault="0020409C" w:rsidP="009F7DB8">
            <w:pPr>
              <w:spacing w:before="120"/>
              <w:jc w:val="center"/>
              <w:rPr>
                <w:rFonts w:ascii="Arial" w:hAnsi="Arial" w:cs="Arial"/>
                <w:sz w:val="16"/>
                <w:szCs w:val="18"/>
              </w:rPr>
            </w:pPr>
            <w:r w:rsidRPr="003D73C3">
              <w:rPr>
                <w:rFonts w:ascii="Arial" w:hAnsi="Arial" w:cs="Arial"/>
                <w:sz w:val="16"/>
                <w:szCs w:val="18"/>
              </w:rPr>
              <w:t>3,406,031</w:t>
            </w:r>
          </w:p>
        </w:tc>
        <w:tc>
          <w:tcPr>
            <w:tcW w:w="1441" w:type="dxa"/>
            <w:vAlign w:val="center"/>
          </w:tcPr>
          <w:p w14:paraId="5DA06986" w14:textId="7F5DE129" w:rsidR="006761D2" w:rsidRPr="003D73C3" w:rsidRDefault="00A43043" w:rsidP="009F7DB8">
            <w:pPr>
              <w:spacing w:before="120"/>
              <w:jc w:val="center"/>
              <w:rPr>
                <w:rFonts w:ascii="Arial" w:hAnsi="Arial" w:cs="Arial"/>
                <w:sz w:val="16"/>
                <w:szCs w:val="18"/>
              </w:rPr>
            </w:pPr>
            <w:r w:rsidRPr="003D73C3">
              <w:rPr>
                <w:rFonts w:ascii="Arial" w:hAnsi="Arial" w:cs="Arial"/>
                <w:sz w:val="16"/>
                <w:szCs w:val="18"/>
              </w:rPr>
              <w:t>0.5</w:t>
            </w:r>
          </w:p>
        </w:tc>
        <w:tc>
          <w:tcPr>
            <w:tcW w:w="1458" w:type="dxa"/>
            <w:vAlign w:val="center"/>
          </w:tcPr>
          <w:p w14:paraId="6DFD1A43" w14:textId="4F93E5C5" w:rsidR="006761D2" w:rsidRPr="003D73C3" w:rsidRDefault="006761D2" w:rsidP="009F7DB8">
            <w:pPr>
              <w:spacing w:before="120"/>
              <w:jc w:val="center"/>
              <w:rPr>
                <w:rFonts w:ascii="Arial" w:hAnsi="Arial" w:cs="Arial"/>
                <w:sz w:val="16"/>
                <w:szCs w:val="18"/>
              </w:rPr>
            </w:pPr>
          </w:p>
        </w:tc>
        <w:tc>
          <w:tcPr>
            <w:tcW w:w="1345" w:type="dxa"/>
            <w:vAlign w:val="center"/>
          </w:tcPr>
          <w:p w14:paraId="21E55B5A" w14:textId="77E29B58" w:rsidR="006761D2" w:rsidRPr="003D73C3" w:rsidRDefault="00A43043" w:rsidP="009F7DB8">
            <w:pPr>
              <w:spacing w:before="120"/>
              <w:jc w:val="center"/>
              <w:rPr>
                <w:rFonts w:ascii="Arial" w:hAnsi="Arial" w:cs="Arial"/>
                <w:sz w:val="16"/>
                <w:szCs w:val="18"/>
              </w:rPr>
            </w:pPr>
            <w:r w:rsidRPr="003D73C3">
              <w:rPr>
                <w:rFonts w:ascii="Arial" w:hAnsi="Arial" w:cs="Arial"/>
                <w:sz w:val="16"/>
                <w:szCs w:val="18"/>
              </w:rPr>
              <w:t>1.703</w:t>
            </w:r>
          </w:p>
        </w:tc>
        <w:tc>
          <w:tcPr>
            <w:tcW w:w="1387" w:type="dxa"/>
            <w:vAlign w:val="center"/>
          </w:tcPr>
          <w:p w14:paraId="76EE4B75" w14:textId="4B6E6492" w:rsidR="006761D2" w:rsidRPr="003D73C3" w:rsidRDefault="006761D2" w:rsidP="009F7DB8">
            <w:pPr>
              <w:spacing w:before="120"/>
              <w:jc w:val="center"/>
              <w:rPr>
                <w:rFonts w:ascii="Arial" w:hAnsi="Arial" w:cs="Arial"/>
                <w:sz w:val="16"/>
                <w:szCs w:val="18"/>
              </w:rPr>
            </w:pPr>
          </w:p>
        </w:tc>
      </w:tr>
      <w:tr w:rsidR="006761D2" w:rsidRPr="005C3004" w14:paraId="24FFB5D0" w14:textId="77777777" w:rsidTr="00E95BD6">
        <w:tc>
          <w:tcPr>
            <w:tcW w:w="864" w:type="dxa"/>
            <w:vMerge/>
            <w:vAlign w:val="center"/>
          </w:tcPr>
          <w:p w14:paraId="3E77787D" w14:textId="77777777" w:rsidR="006761D2" w:rsidRPr="003D73C3" w:rsidRDefault="006761D2" w:rsidP="009F7DB8">
            <w:pPr>
              <w:spacing w:before="120"/>
              <w:rPr>
                <w:rFonts w:ascii="Arial" w:hAnsi="Arial" w:cs="Arial"/>
                <w:b/>
                <w:sz w:val="16"/>
                <w:szCs w:val="18"/>
              </w:rPr>
            </w:pPr>
          </w:p>
        </w:tc>
        <w:tc>
          <w:tcPr>
            <w:tcW w:w="2566" w:type="dxa"/>
            <w:vMerge/>
            <w:vAlign w:val="center"/>
          </w:tcPr>
          <w:p w14:paraId="085638B8" w14:textId="77777777" w:rsidR="006761D2" w:rsidRPr="003D73C3" w:rsidRDefault="006761D2" w:rsidP="009F7DB8">
            <w:pPr>
              <w:spacing w:before="120"/>
              <w:jc w:val="center"/>
              <w:rPr>
                <w:rFonts w:ascii="Arial" w:hAnsi="Arial" w:cs="Arial"/>
                <w:sz w:val="16"/>
                <w:szCs w:val="18"/>
              </w:rPr>
            </w:pPr>
          </w:p>
        </w:tc>
        <w:tc>
          <w:tcPr>
            <w:tcW w:w="1441" w:type="dxa"/>
            <w:vAlign w:val="center"/>
          </w:tcPr>
          <w:p w14:paraId="6ECA8E22" w14:textId="65151A91" w:rsidR="006761D2" w:rsidRPr="003D73C3" w:rsidRDefault="006761D2" w:rsidP="009F7DB8">
            <w:pPr>
              <w:spacing w:before="120"/>
              <w:jc w:val="center"/>
              <w:rPr>
                <w:rFonts w:ascii="Arial" w:hAnsi="Arial" w:cs="Arial"/>
                <w:sz w:val="16"/>
                <w:szCs w:val="18"/>
              </w:rPr>
            </w:pPr>
          </w:p>
        </w:tc>
        <w:tc>
          <w:tcPr>
            <w:tcW w:w="1458" w:type="dxa"/>
            <w:vAlign w:val="center"/>
          </w:tcPr>
          <w:p w14:paraId="6BBB9D65" w14:textId="75A90B3B" w:rsidR="006761D2" w:rsidRPr="003D73C3" w:rsidRDefault="00A43043" w:rsidP="009F7DB8">
            <w:pPr>
              <w:spacing w:before="120"/>
              <w:jc w:val="center"/>
              <w:rPr>
                <w:rFonts w:ascii="Arial" w:hAnsi="Arial" w:cs="Arial"/>
                <w:sz w:val="16"/>
                <w:szCs w:val="18"/>
              </w:rPr>
            </w:pPr>
            <w:r w:rsidRPr="003D73C3">
              <w:rPr>
                <w:rFonts w:ascii="Arial" w:hAnsi="Arial" w:cs="Arial"/>
                <w:sz w:val="16"/>
                <w:szCs w:val="18"/>
              </w:rPr>
              <w:t>5</w:t>
            </w:r>
          </w:p>
        </w:tc>
        <w:tc>
          <w:tcPr>
            <w:tcW w:w="1345" w:type="dxa"/>
            <w:vAlign w:val="center"/>
          </w:tcPr>
          <w:p w14:paraId="17920CE0" w14:textId="7120DF7A" w:rsidR="006761D2" w:rsidRPr="003D73C3" w:rsidRDefault="006761D2" w:rsidP="009F7DB8">
            <w:pPr>
              <w:spacing w:before="120"/>
              <w:jc w:val="center"/>
              <w:rPr>
                <w:rFonts w:ascii="Arial" w:hAnsi="Arial" w:cs="Arial"/>
                <w:sz w:val="16"/>
                <w:szCs w:val="18"/>
              </w:rPr>
            </w:pPr>
          </w:p>
        </w:tc>
        <w:tc>
          <w:tcPr>
            <w:tcW w:w="1387" w:type="dxa"/>
            <w:vAlign w:val="center"/>
          </w:tcPr>
          <w:p w14:paraId="5904B77A" w14:textId="152A2DB4" w:rsidR="006761D2" w:rsidRPr="003D73C3" w:rsidRDefault="00A43043" w:rsidP="009F7DB8">
            <w:pPr>
              <w:spacing w:before="120"/>
              <w:jc w:val="center"/>
              <w:rPr>
                <w:rFonts w:ascii="Arial" w:hAnsi="Arial" w:cs="Arial"/>
                <w:sz w:val="16"/>
                <w:szCs w:val="18"/>
              </w:rPr>
            </w:pPr>
            <w:r w:rsidRPr="003D73C3">
              <w:rPr>
                <w:rFonts w:ascii="Arial" w:hAnsi="Arial" w:cs="Arial"/>
                <w:sz w:val="16"/>
                <w:szCs w:val="18"/>
              </w:rPr>
              <w:t>17.03</w:t>
            </w:r>
          </w:p>
        </w:tc>
      </w:tr>
      <w:tr w:rsidR="00C530B8" w:rsidRPr="005C3004" w14:paraId="3EB1A787" w14:textId="77777777" w:rsidTr="00E95BD6">
        <w:tc>
          <w:tcPr>
            <w:tcW w:w="864" w:type="dxa"/>
            <w:vMerge w:val="restart"/>
            <w:vAlign w:val="center"/>
          </w:tcPr>
          <w:p w14:paraId="4D58CD53" w14:textId="12AEC7AA" w:rsidR="00C530B8" w:rsidRPr="003D73C3" w:rsidRDefault="00C530B8" w:rsidP="009F7DB8">
            <w:pPr>
              <w:spacing w:before="120"/>
              <w:rPr>
                <w:rFonts w:ascii="Arial" w:hAnsi="Arial" w:cs="Arial"/>
                <w:b/>
                <w:sz w:val="16"/>
                <w:szCs w:val="18"/>
              </w:rPr>
            </w:pPr>
            <w:r w:rsidRPr="003D73C3">
              <w:rPr>
                <w:rFonts w:ascii="Arial" w:hAnsi="Arial" w:cs="Arial"/>
                <w:b/>
                <w:sz w:val="16"/>
                <w:szCs w:val="18"/>
              </w:rPr>
              <w:t>2020</w:t>
            </w:r>
          </w:p>
        </w:tc>
        <w:tc>
          <w:tcPr>
            <w:tcW w:w="2566" w:type="dxa"/>
            <w:vMerge w:val="restart"/>
            <w:vAlign w:val="center"/>
          </w:tcPr>
          <w:p w14:paraId="62C9CF81" w14:textId="45CB2A4A" w:rsidR="00C530B8" w:rsidRPr="003D73C3" w:rsidRDefault="00C530B8" w:rsidP="009F7DB8">
            <w:pPr>
              <w:spacing w:before="120"/>
              <w:jc w:val="center"/>
              <w:rPr>
                <w:rFonts w:ascii="Arial" w:hAnsi="Arial" w:cs="Arial"/>
                <w:sz w:val="16"/>
                <w:szCs w:val="18"/>
              </w:rPr>
            </w:pPr>
            <w:r w:rsidRPr="003D73C3">
              <w:rPr>
                <w:rFonts w:ascii="Arial" w:hAnsi="Arial" w:cs="Arial"/>
                <w:sz w:val="16"/>
                <w:szCs w:val="18"/>
              </w:rPr>
              <w:t>3,449,904</w:t>
            </w:r>
          </w:p>
        </w:tc>
        <w:tc>
          <w:tcPr>
            <w:tcW w:w="1441" w:type="dxa"/>
            <w:vAlign w:val="center"/>
          </w:tcPr>
          <w:p w14:paraId="732A6658" w14:textId="0C98F0AD" w:rsidR="00C530B8" w:rsidRPr="003D73C3" w:rsidRDefault="00C530B8" w:rsidP="009F7DB8">
            <w:pPr>
              <w:spacing w:before="120"/>
              <w:jc w:val="center"/>
              <w:rPr>
                <w:rFonts w:ascii="Arial" w:hAnsi="Arial" w:cs="Arial"/>
                <w:sz w:val="16"/>
                <w:szCs w:val="18"/>
              </w:rPr>
            </w:pPr>
            <w:r w:rsidRPr="003D73C3">
              <w:rPr>
                <w:rFonts w:ascii="Arial" w:hAnsi="Arial" w:cs="Arial"/>
                <w:sz w:val="16"/>
                <w:szCs w:val="18"/>
              </w:rPr>
              <w:t>0.5</w:t>
            </w:r>
          </w:p>
        </w:tc>
        <w:tc>
          <w:tcPr>
            <w:tcW w:w="1458" w:type="dxa"/>
            <w:vAlign w:val="center"/>
          </w:tcPr>
          <w:p w14:paraId="3CA5400B" w14:textId="77777777" w:rsidR="00C530B8" w:rsidRPr="003D73C3" w:rsidRDefault="00C530B8" w:rsidP="009F7DB8">
            <w:pPr>
              <w:spacing w:before="120"/>
              <w:jc w:val="center"/>
              <w:rPr>
                <w:rFonts w:ascii="Arial" w:hAnsi="Arial" w:cs="Arial"/>
                <w:sz w:val="16"/>
                <w:szCs w:val="18"/>
              </w:rPr>
            </w:pPr>
          </w:p>
        </w:tc>
        <w:tc>
          <w:tcPr>
            <w:tcW w:w="1345" w:type="dxa"/>
            <w:vAlign w:val="center"/>
          </w:tcPr>
          <w:p w14:paraId="2A96CC6D" w14:textId="291864DF" w:rsidR="00C530B8" w:rsidRPr="003D73C3" w:rsidRDefault="005C3004" w:rsidP="009F7DB8">
            <w:pPr>
              <w:spacing w:before="120"/>
              <w:jc w:val="center"/>
              <w:rPr>
                <w:rFonts w:ascii="Arial" w:hAnsi="Arial" w:cs="Arial"/>
                <w:sz w:val="16"/>
                <w:szCs w:val="18"/>
              </w:rPr>
            </w:pPr>
            <w:r w:rsidRPr="003D73C3">
              <w:rPr>
                <w:rFonts w:ascii="Arial" w:hAnsi="Arial" w:cs="Arial"/>
                <w:sz w:val="16"/>
                <w:szCs w:val="18"/>
              </w:rPr>
              <w:t>1.7</w:t>
            </w:r>
            <w:r w:rsidR="00355933">
              <w:rPr>
                <w:rFonts w:ascii="Arial" w:hAnsi="Arial" w:cs="Arial"/>
                <w:sz w:val="16"/>
                <w:szCs w:val="18"/>
              </w:rPr>
              <w:t>25</w:t>
            </w:r>
          </w:p>
        </w:tc>
        <w:tc>
          <w:tcPr>
            <w:tcW w:w="1387" w:type="dxa"/>
            <w:vAlign w:val="center"/>
          </w:tcPr>
          <w:p w14:paraId="762D30AF" w14:textId="77777777" w:rsidR="00C530B8" w:rsidRPr="003D73C3" w:rsidRDefault="00C530B8" w:rsidP="009F7DB8">
            <w:pPr>
              <w:spacing w:before="120"/>
              <w:jc w:val="center"/>
              <w:rPr>
                <w:rFonts w:ascii="Arial" w:hAnsi="Arial" w:cs="Arial"/>
                <w:sz w:val="16"/>
                <w:szCs w:val="18"/>
              </w:rPr>
            </w:pPr>
          </w:p>
        </w:tc>
      </w:tr>
      <w:tr w:rsidR="00C530B8" w:rsidRPr="005C3004" w14:paraId="20D0ED28" w14:textId="77777777" w:rsidTr="00E95BD6">
        <w:tc>
          <w:tcPr>
            <w:tcW w:w="864" w:type="dxa"/>
            <w:vMerge/>
            <w:vAlign w:val="center"/>
          </w:tcPr>
          <w:p w14:paraId="090DA948" w14:textId="77777777" w:rsidR="00C530B8" w:rsidRPr="003D73C3" w:rsidRDefault="00C530B8" w:rsidP="009F7DB8">
            <w:pPr>
              <w:spacing w:before="120"/>
              <w:rPr>
                <w:rFonts w:ascii="Arial" w:hAnsi="Arial" w:cs="Arial"/>
                <w:b/>
                <w:sz w:val="16"/>
                <w:szCs w:val="18"/>
              </w:rPr>
            </w:pPr>
          </w:p>
        </w:tc>
        <w:tc>
          <w:tcPr>
            <w:tcW w:w="2566" w:type="dxa"/>
            <w:vMerge/>
            <w:vAlign w:val="center"/>
          </w:tcPr>
          <w:p w14:paraId="6C23E374" w14:textId="77777777" w:rsidR="00C530B8" w:rsidRPr="003D73C3" w:rsidRDefault="00C530B8" w:rsidP="009F7DB8">
            <w:pPr>
              <w:spacing w:before="120"/>
              <w:jc w:val="center"/>
              <w:rPr>
                <w:rFonts w:ascii="Arial" w:hAnsi="Arial" w:cs="Arial"/>
                <w:sz w:val="16"/>
                <w:szCs w:val="18"/>
              </w:rPr>
            </w:pPr>
          </w:p>
        </w:tc>
        <w:tc>
          <w:tcPr>
            <w:tcW w:w="1441" w:type="dxa"/>
            <w:vAlign w:val="center"/>
          </w:tcPr>
          <w:p w14:paraId="37D9D11A" w14:textId="77777777" w:rsidR="00C530B8" w:rsidRPr="003D73C3" w:rsidRDefault="00C530B8" w:rsidP="009F7DB8">
            <w:pPr>
              <w:spacing w:before="120"/>
              <w:jc w:val="center"/>
              <w:rPr>
                <w:rFonts w:ascii="Arial" w:hAnsi="Arial" w:cs="Arial"/>
                <w:sz w:val="16"/>
                <w:szCs w:val="18"/>
              </w:rPr>
            </w:pPr>
          </w:p>
        </w:tc>
        <w:tc>
          <w:tcPr>
            <w:tcW w:w="1458" w:type="dxa"/>
            <w:vAlign w:val="center"/>
          </w:tcPr>
          <w:p w14:paraId="3A37A4F1" w14:textId="66D2272E" w:rsidR="00C530B8" w:rsidRPr="003D73C3" w:rsidRDefault="00C530B8" w:rsidP="009F7DB8">
            <w:pPr>
              <w:spacing w:before="120"/>
              <w:jc w:val="center"/>
              <w:rPr>
                <w:rFonts w:ascii="Arial" w:hAnsi="Arial" w:cs="Arial"/>
                <w:sz w:val="16"/>
                <w:szCs w:val="18"/>
              </w:rPr>
            </w:pPr>
            <w:r w:rsidRPr="003D73C3">
              <w:rPr>
                <w:rFonts w:ascii="Arial" w:hAnsi="Arial" w:cs="Arial"/>
                <w:sz w:val="16"/>
                <w:szCs w:val="18"/>
              </w:rPr>
              <w:t>5</w:t>
            </w:r>
          </w:p>
        </w:tc>
        <w:tc>
          <w:tcPr>
            <w:tcW w:w="1345" w:type="dxa"/>
            <w:vAlign w:val="center"/>
          </w:tcPr>
          <w:p w14:paraId="03BF8ADF" w14:textId="77777777" w:rsidR="00C530B8" w:rsidRPr="003D73C3" w:rsidRDefault="00C530B8" w:rsidP="009F7DB8">
            <w:pPr>
              <w:spacing w:before="120"/>
              <w:jc w:val="center"/>
              <w:rPr>
                <w:rFonts w:ascii="Arial" w:hAnsi="Arial" w:cs="Arial"/>
                <w:sz w:val="16"/>
                <w:szCs w:val="18"/>
              </w:rPr>
            </w:pPr>
          </w:p>
        </w:tc>
        <w:tc>
          <w:tcPr>
            <w:tcW w:w="1387" w:type="dxa"/>
            <w:vAlign w:val="center"/>
          </w:tcPr>
          <w:p w14:paraId="663F2DE7" w14:textId="3570A259" w:rsidR="00C530B8" w:rsidRPr="003D73C3" w:rsidRDefault="005C3004" w:rsidP="009F7DB8">
            <w:pPr>
              <w:spacing w:before="120"/>
              <w:jc w:val="center"/>
              <w:rPr>
                <w:rFonts w:ascii="Arial" w:hAnsi="Arial" w:cs="Arial"/>
                <w:sz w:val="16"/>
                <w:szCs w:val="18"/>
              </w:rPr>
            </w:pPr>
            <w:r w:rsidRPr="003D73C3">
              <w:rPr>
                <w:rFonts w:ascii="Arial" w:hAnsi="Arial" w:cs="Arial"/>
                <w:sz w:val="16"/>
                <w:szCs w:val="18"/>
              </w:rPr>
              <w:t>17.</w:t>
            </w:r>
            <w:r w:rsidR="00355933">
              <w:rPr>
                <w:rFonts w:ascii="Arial" w:hAnsi="Arial" w:cs="Arial"/>
                <w:sz w:val="16"/>
                <w:szCs w:val="18"/>
              </w:rPr>
              <w:t>25</w:t>
            </w:r>
          </w:p>
        </w:tc>
      </w:tr>
    </w:tbl>
    <w:p w14:paraId="00EEB506" w14:textId="567FBDE0" w:rsidR="006761D2" w:rsidRPr="003D73C3" w:rsidRDefault="006761D2" w:rsidP="006761D2">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5C3004" w:rsidRPr="003D73C3">
        <w:rPr>
          <w:rFonts w:ascii="Arial" w:hAnsi="Arial" w:cs="Arial"/>
          <w:b/>
          <w:szCs w:val="18"/>
        </w:rPr>
        <w:t>2020</w:t>
      </w:r>
    </w:p>
    <w:p w14:paraId="60A34D17" w14:textId="77777777" w:rsidR="006761D2" w:rsidRPr="003D73C3" w:rsidRDefault="006761D2" w:rsidP="006761D2">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High (because it is based on the national waste levy data)</w:t>
      </w:r>
    </w:p>
    <w:p w14:paraId="73D1681C" w14:textId="77777777" w:rsidR="006761D2" w:rsidRPr="003D73C3" w:rsidRDefault="006761D2" w:rsidP="006761D2">
      <w:pPr>
        <w:tabs>
          <w:tab w:val="left" w:pos="1701"/>
        </w:tabs>
        <w:spacing w:line="300" w:lineRule="atLeast"/>
        <w:ind w:left="1701" w:hanging="1701"/>
        <w:jc w:val="both"/>
        <w:rPr>
          <w:szCs w:val="18"/>
        </w:rPr>
      </w:pPr>
      <w:r w:rsidRPr="003D73C3">
        <w:rPr>
          <w:szCs w:val="18"/>
        </w:rPr>
        <w:t xml:space="preserve">Emission factors: </w:t>
      </w:r>
      <w:r w:rsidRPr="003D73C3">
        <w:rPr>
          <w:szCs w:val="18"/>
        </w:rPr>
        <w:tab/>
        <w:t>Low (because they are based on the Toolkit default factors)</w:t>
      </w:r>
    </w:p>
    <w:p w14:paraId="47EF4D62" w14:textId="77777777" w:rsidR="006761D2" w:rsidRPr="003D73C3" w:rsidRDefault="006761D2" w:rsidP="00261F78">
      <w:pPr>
        <w:pStyle w:val="Heading2"/>
      </w:pPr>
      <w:bookmarkStart w:id="443" w:name="_Toc112768163"/>
      <w:r w:rsidRPr="003D73C3">
        <w:t>Sewage/sewage treatment</w:t>
      </w:r>
      <w:bookmarkEnd w:id="443"/>
    </w:p>
    <w:p w14:paraId="28CD5931" w14:textId="5A36E12E" w:rsidR="007D2C81" w:rsidRPr="00404040" w:rsidRDefault="38FE20CB" w:rsidP="007D2C81">
      <w:pPr>
        <w:spacing w:line="300" w:lineRule="atLeast"/>
        <w:jc w:val="both"/>
      </w:pPr>
      <w:r>
        <w:t xml:space="preserve">The Ministry for the Environment commissioned a major review of the wastewater sector in New Zealand in 2020 (Beca, GHD and Boffa Miskell, 2020). The report indicated that there were 318 active municipal wastewater treatment plants in New Zealand servicing 79% of the population. Many of these will have full secondary treatment and produce digested dewatered sludge. The remaining 21%, who live </w:t>
      </w:r>
      <w:bookmarkStart w:id="444" w:name="_Int_Jp8AFPPo"/>
      <w:r>
        <w:t>largely in</w:t>
      </w:r>
      <w:bookmarkEnd w:id="444"/>
      <w:r>
        <w:t xml:space="preserve"> rural areas, must treat their own household wastewater flows using an on-site wastewater management system (OWMS) such as a septic tank. An OWMS </w:t>
      </w:r>
      <w:r w:rsidR="3EC1A18F">
        <w:t xml:space="preserve">typically </w:t>
      </w:r>
      <w:r>
        <w:t xml:space="preserve">discharges treated wastewater effluent to land on the property </w:t>
      </w:r>
      <w:r w:rsidR="3EC1A18F">
        <w:t>via</w:t>
      </w:r>
      <w:r>
        <w:t xml:space="preserve"> a drainage field. </w:t>
      </w:r>
      <w:r w:rsidR="32C13CF7">
        <w:t>In addition, s</w:t>
      </w:r>
      <w:r>
        <w:t xml:space="preserve">eptic tanks </w:t>
      </w:r>
      <w:r w:rsidR="32C13CF7">
        <w:t>are recommended</w:t>
      </w:r>
      <w:r w:rsidR="6A6E0ED3">
        <w:t xml:space="preserve"> </w:t>
      </w:r>
      <w:r w:rsidR="32C13CF7">
        <w:t xml:space="preserve">to </w:t>
      </w:r>
      <w:r w:rsidR="6A6E0ED3">
        <w:t>have</w:t>
      </w:r>
      <w:r w:rsidR="32C13CF7">
        <w:t xml:space="preserve"> accumulated</w:t>
      </w:r>
      <w:r w:rsidR="6A6E0ED3">
        <w:t xml:space="preserve"> sludge </w:t>
      </w:r>
      <w:r w:rsidR="2438A502">
        <w:t>removed at least every three years (Auckland Council, 2022)</w:t>
      </w:r>
      <w:r w:rsidR="6A6E0ED3">
        <w:t xml:space="preserve">. </w:t>
      </w:r>
    </w:p>
    <w:p w14:paraId="68E38870" w14:textId="77777777" w:rsidR="007D2C81" w:rsidRPr="00404040" w:rsidRDefault="007D2C81" w:rsidP="007D2C81">
      <w:pPr>
        <w:spacing w:line="300" w:lineRule="atLeast"/>
        <w:jc w:val="both"/>
        <w:rPr>
          <w:szCs w:val="18"/>
        </w:rPr>
      </w:pPr>
      <w:r w:rsidRPr="00404040">
        <w:rPr>
          <w:szCs w:val="18"/>
        </w:rPr>
        <w:t>The total volume of wastewater produced annually in New Zealand will be the sum of wastewater treated in wastewater treatment plants per annum and the volume of water discharged from OWMS annually.</w:t>
      </w:r>
    </w:p>
    <w:p w14:paraId="7BF61025" w14:textId="54B11BCB" w:rsidR="007D2C81" w:rsidRPr="00404040" w:rsidRDefault="38FE20CB" w:rsidP="007D2C81">
      <w:pPr>
        <w:spacing w:line="300" w:lineRule="atLeast"/>
        <w:jc w:val="both"/>
      </w:pPr>
      <w:r>
        <w:lastRenderedPageBreak/>
        <w:t xml:space="preserve">Water New Zealand collate information on the volumes of liquid waste treated through New Zealand wastewater plants and this data is presented in a publicly available spreadsheet: “2020-2021 Combined </w:t>
      </w:r>
      <w:bookmarkStart w:id="445" w:name="_Int_2w0eweK8"/>
      <w:r>
        <w:t>WWTP</w:t>
      </w:r>
      <w:bookmarkEnd w:id="445"/>
      <w:r>
        <w:t xml:space="preserve"> Data.xlsx” (Water N</w:t>
      </w:r>
      <w:r w:rsidR="6F63E37F">
        <w:t xml:space="preserve">ew </w:t>
      </w:r>
      <w:r>
        <w:t>Z</w:t>
      </w:r>
      <w:r w:rsidR="6F63E37F">
        <w:t>ealand</w:t>
      </w:r>
      <w:r>
        <w:t>,</w:t>
      </w:r>
      <w:r w:rsidR="7D44ADC9">
        <w:t xml:space="preserve"> </w:t>
      </w:r>
      <w:r>
        <w:t>2022). Averaging data for 2019-2020 and 2020-2021 from the spreadsheet gives a total estimated volume of 497,162,000 m</w:t>
      </w:r>
      <w:r w:rsidRPr="0C34660A">
        <w:rPr>
          <w:vertAlign w:val="superscript"/>
        </w:rPr>
        <w:t>3</w:t>
      </w:r>
      <w:r>
        <w:t>/year handled by New Zealand wastewater treatment plants in 2020.</w:t>
      </w:r>
    </w:p>
    <w:p w14:paraId="5249E2F4" w14:textId="380B2B23" w:rsidR="007D2C81" w:rsidRPr="003D73C3" w:rsidRDefault="38FE20CB" w:rsidP="006761D2">
      <w:pPr>
        <w:spacing w:line="300" w:lineRule="atLeast"/>
        <w:jc w:val="both"/>
      </w:pPr>
      <w:r>
        <w:t>Similar records are not kept for OWMS. For the purposes of this inventory people using OWMS are assumed to discharge wastewater at the same rate as individuals who are connected to a wastewater treatment plant. In June 2020 New Zealand’s estimated population was 5,025,000 (Stats NZ, 2020) so the 21% of individuals not connected to a treatment plant number 1,055,250. Consequently, OWMS are estimated to have discharged 132,117,300 m</w:t>
      </w:r>
      <w:r w:rsidRPr="0C34660A">
        <w:rPr>
          <w:vertAlign w:val="superscript"/>
        </w:rPr>
        <w:t>3</w:t>
      </w:r>
      <w:r>
        <w:t>/year and therefore New Zealand’s total wastewater production for 2020 was 629,279,000 m</w:t>
      </w:r>
      <w:r w:rsidRPr="0C34660A">
        <w:rPr>
          <w:vertAlign w:val="superscript"/>
        </w:rPr>
        <w:t>3</w:t>
      </w:r>
      <w:r>
        <w:t>.</w:t>
      </w:r>
    </w:p>
    <w:p w14:paraId="6DFD0DA6" w14:textId="0AE7D96A" w:rsidR="000A762C" w:rsidRPr="003D73C3" w:rsidRDefault="24854215" w:rsidP="006761D2">
      <w:pPr>
        <w:spacing w:line="300" w:lineRule="atLeast"/>
        <w:jc w:val="both"/>
      </w:pPr>
      <w:r>
        <w:t xml:space="preserve">Total dewatered sludge production for all </w:t>
      </w:r>
      <w:bookmarkStart w:id="446" w:name="_Int_p7KUClhW"/>
      <w:r>
        <w:t>WWTPs (wastewater treatment plants)</w:t>
      </w:r>
      <w:bookmarkEnd w:id="446"/>
      <w:r>
        <w:t xml:space="preserve"> in </w:t>
      </w:r>
      <w:r w:rsidR="4BDBA10C">
        <w:t xml:space="preserve">the </w:t>
      </w:r>
      <w:r>
        <w:t xml:space="preserve">2012 </w:t>
      </w:r>
      <w:r w:rsidR="4BDBA10C">
        <w:t xml:space="preserve">and 2016 </w:t>
      </w:r>
      <w:r w:rsidR="123F7962">
        <w:t xml:space="preserve">Inventories </w:t>
      </w:r>
      <w:r>
        <w:t xml:space="preserve">was estimated at 320,000 </w:t>
      </w:r>
      <w:r w:rsidR="4BDBA10C">
        <w:t xml:space="preserve">and 343,120 </w:t>
      </w:r>
      <w:r>
        <w:t xml:space="preserve">tonnes per </w:t>
      </w:r>
      <w:bookmarkStart w:id="447" w:name="_Int_lUTSqUNz"/>
      <w:r>
        <w:t>annum,</w:t>
      </w:r>
      <w:bookmarkEnd w:id="447"/>
      <w:r w:rsidR="4BDBA10C">
        <w:t xml:space="preserve"> respectively. </w:t>
      </w:r>
      <w:r>
        <w:t>Th</w:t>
      </w:r>
      <w:r w:rsidR="4A5F68A5">
        <w:t>ese</w:t>
      </w:r>
      <w:r>
        <w:t xml:space="preserve"> figure</w:t>
      </w:r>
      <w:r w:rsidR="4A5F68A5">
        <w:t>s</w:t>
      </w:r>
      <w:r>
        <w:t xml:space="preserve"> w</w:t>
      </w:r>
      <w:r w:rsidR="4A5F68A5">
        <w:t>ere</w:t>
      </w:r>
      <w:r>
        <w:t xml:space="preserve"> derived from the assumption of a per capita biological oxygen demand (BOD) of between 70 and 90 g per person per day</w:t>
      </w:r>
      <w:r w:rsidR="4A5F68A5">
        <w:t xml:space="preserve"> (Walmsley, 2012) and were therefore not quantitative measurements of sludge produced.</w:t>
      </w:r>
    </w:p>
    <w:p w14:paraId="6C083196" w14:textId="74E7C87D" w:rsidR="000A762C" w:rsidRPr="003D73C3" w:rsidRDefault="4A5F68A5" w:rsidP="006761D2">
      <w:pPr>
        <w:spacing w:line="300" w:lineRule="atLeast"/>
        <w:jc w:val="both"/>
      </w:pPr>
      <w:r>
        <w:t>Water New Zealand now record details of wastewater treatment plant</w:t>
      </w:r>
      <w:r w:rsidR="7D44ADC9">
        <w:t xml:space="preserve">s’ annual sludge production in </w:t>
      </w:r>
      <w:r w:rsidR="4C43473C">
        <w:t xml:space="preserve">their database, </w:t>
      </w:r>
      <w:r w:rsidR="7D44ADC9">
        <w:t>where plants submit this data (Water N</w:t>
      </w:r>
      <w:r w:rsidR="6F63E37F">
        <w:t xml:space="preserve">ew </w:t>
      </w:r>
      <w:r w:rsidR="7D44ADC9">
        <w:t>Z</w:t>
      </w:r>
      <w:r w:rsidR="6F63E37F">
        <w:t>ealand</w:t>
      </w:r>
      <w:r w:rsidR="7D44ADC9">
        <w:t>, 2022). The percentage of wastewater solids present in the sludge is a parameter which is also recorded</w:t>
      </w:r>
      <w:r w:rsidR="4C43473C">
        <w:t>. This</w:t>
      </w:r>
      <w:r w:rsidR="7D44ADC9">
        <w:t xml:space="preserve"> allows amounts of sludge generated </w:t>
      </w:r>
      <w:r w:rsidR="4C43473C">
        <w:t xml:space="preserve">to be calculated </w:t>
      </w:r>
      <w:r w:rsidR="7D44ADC9">
        <w:t xml:space="preserve">on a dry basis to allow compatibility with </w:t>
      </w:r>
      <w:r w:rsidR="4C43473C">
        <w:t>emission factors.</w:t>
      </w:r>
    </w:p>
    <w:p w14:paraId="0058C5FC" w14:textId="070E02C3" w:rsidR="00E57FCB" w:rsidRPr="003D73C3" w:rsidRDefault="4C43473C" w:rsidP="006761D2">
      <w:pPr>
        <w:spacing w:line="300" w:lineRule="atLeast"/>
        <w:jc w:val="both"/>
      </w:pPr>
      <w:r>
        <w:t xml:space="preserve">Because sludge quantities in the Water New Zealand database are incomplete, </w:t>
      </w:r>
      <w:r w:rsidR="123F7962">
        <w:t xml:space="preserve">for the 2020 Inventory </w:t>
      </w:r>
      <w:r>
        <w:t xml:space="preserve">an alternative strategy of using a high volume </w:t>
      </w:r>
      <w:r w:rsidR="1C5AFA87">
        <w:t xml:space="preserve">well characterised treatment plant as being representative of the country </w:t>
      </w:r>
      <w:bookmarkStart w:id="448" w:name="_Int_5dy6Fq5C"/>
      <w:proofErr w:type="gramStart"/>
      <w:r w:rsidR="1C5AFA87">
        <w:t>as a whole was</w:t>
      </w:r>
      <w:bookmarkEnd w:id="448"/>
      <w:proofErr w:type="gramEnd"/>
      <w:r w:rsidR="1C5AFA87">
        <w:t xml:space="preserve"> adopted. In this case Mangere Wastewater </w:t>
      </w:r>
      <w:r w:rsidR="2F3DE313">
        <w:t>T</w:t>
      </w:r>
      <w:r w:rsidR="1C5AFA87">
        <w:t xml:space="preserve">reatment </w:t>
      </w:r>
      <w:r w:rsidR="2F3DE313">
        <w:t>P</w:t>
      </w:r>
      <w:r w:rsidR="1C5AFA87">
        <w:t xml:space="preserve">lant was </w:t>
      </w:r>
      <w:r w:rsidR="6D93C04E">
        <w:t>chosen</w:t>
      </w:r>
      <w:r w:rsidR="1C5AFA87">
        <w:t xml:space="preserve">. </w:t>
      </w:r>
      <w:r w:rsidR="6D93C04E">
        <w:t xml:space="preserve">For 2019-2020 the </w:t>
      </w:r>
      <w:r w:rsidR="2F3DE313">
        <w:t xml:space="preserve">Water NZ </w:t>
      </w:r>
      <w:r w:rsidR="6D93C04E">
        <w:t>database list</w:t>
      </w:r>
      <w:r w:rsidR="2F3DE313">
        <w:t>s</w:t>
      </w:r>
      <w:r w:rsidR="6D93C04E">
        <w:t xml:space="preserve"> Mangere’s sludge production as 118,000 tonnes per annum </w:t>
      </w:r>
      <w:r w:rsidR="2F3DE313">
        <w:t xml:space="preserve">at a </w:t>
      </w:r>
      <w:r w:rsidR="6D93C04E">
        <w:t>wastewater solids co</w:t>
      </w:r>
      <w:r w:rsidR="2F3DE313">
        <w:t>ntent</w:t>
      </w:r>
      <w:r w:rsidR="6D93C04E">
        <w:t xml:space="preserve"> 19%</w:t>
      </w:r>
      <w:r w:rsidR="2F3DE313">
        <w:t xml:space="preserve"> and </w:t>
      </w:r>
      <w:r w:rsidR="096C1FD3">
        <w:t>with the treatment plant’s population coverage as 997,242. However, it was possible to obtain sludge data for the 2020 calendar year directly from the treatment plant which was 135,295 tonnes per annum at 20.6% wastewater solids</w:t>
      </w:r>
      <w:r w:rsidR="2F3DE313">
        <w:t xml:space="preserve"> (Y. Sun, Watercare Services Ltd, pers comm, 2022)</w:t>
      </w:r>
      <w:r w:rsidR="096C1FD3">
        <w:t xml:space="preserve">. </w:t>
      </w:r>
    </w:p>
    <w:p w14:paraId="6560DD27" w14:textId="6147DDFA" w:rsidR="002249C6" w:rsidRPr="003D73C3" w:rsidRDefault="00B60EA0" w:rsidP="006761D2">
      <w:pPr>
        <w:spacing w:line="300" w:lineRule="atLeast"/>
        <w:jc w:val="both"/>
        <w:rPr>
          <w:szCs w:val="18"/>
        </w:rPr>
      </w:pPr>
      <w:r w:rsidRPr="003D73C3">
        <w:rPr>
          <w:szCs w:val="18"/>
        </w:rPr>
        <w:t>Applying these numbers to New Zealand’s population of 5,025,000 in 2020 allows a national annual sewage sludge production</w:t>
      </w:r>
      <w:r w:rsidR="007A286B" w:rsidRPr="003D73C3">
        <w:rPr>
          <w:szCs w:val="18"/>
        </w:rPr>
        <w:t xml:space="preserve"> of </w:t>
      </w:r>
      <w:r w:rsidR="0084512C">
        <w:rPr>
          <w:szCs w:val="18"/>
        </w:rPr>
        <w:t>140,439</w:t>
      </w:r>
      <w:r w:rsidR="00D62B15">
        <w:rPr>
          <w:szCs w:val="18"/>
        </w:rPr>
        <w:t xml:space="preserve"> </w:t>
      </w:r>
      <w:r w:rsidR="007A286B" w:rsidRPr="003D73C3">
        <w:rPr>
          <w:szCs w:val="18"/>
        </w:rPr>
        <w:t>tonnes to be estimated.</w:t>
      </w:r>
      <w:r w:rsidRPr="003D73C3">
        <w:rPr>
          <w:szCs w:val="18"/>
        </w:rPr>
        <w:t xml:space="preserve"> </w:t>
      </w:r>
    </w:p>
    <w:p w14:paraId="1DB807A0" w14:textId="5DABBD6B" w:rsidR="006761D2" w:rsidRPr="003D73C3" w:rsidRDefault="1668824C" w:rsidP="006761D2">
      <w:pPr>
        <w:spacing w:line="300" w:lineRule="atLeast"/>
        <w:jc w:val="both"/>
      </w:pPr>
      <w:bookmarkStart w:id="449" w:name="_Int_563fDgNv"/>
      <w:proofErr w:type="gramStart"/>
      <w:r>
        <w:t>With regard to</w:t>
      </w:r>
      <w:bookmarkEnd w:id="449"/>
      <w:proofErr w:type="gramEnd"/>
      <w:r>
        <w:t xml:space="preserve"> the Toolkit emission factors</w:t>
      </w:r>
      <w:r w:rsidR="62C4CEA0">
        <w:t>,</w:t>
      </w:r>
      <w:r>
        <w:t xml:space="preserve"> </w:t>
      </w:r>
      <w:r w:rsidR="24854215">
        <w:t xml:space="preserve">Class 2 – “urban and industrial inputs” and class 3 – “domestic inputs” are appropriate for New Zealand. </w:t>
      </w:r>
      <w:r>
        <w:t xml:space="preserve">For the 2012 </w:t>
      </w:r>
      <w:r w:rsidR="62C4CEA0">
        <w:t xml:space="preserve">and 2016 </w:t>
      </w:r>
      <w:r>
        <w:t>Inventor</w:t>
      </w:r>
      <w:r w:rsidR="62C4CEA0">
        <w:t>ies</w:t>
      </w:r>
      <w:r>
        <w:t xml:space="preserve"> it</w:t>
      </w:r>
      <w:r w:rsidR="3AB6EAC8">
        <w:t xml:space="preserve"> </w:t>
      </w:r>
      <w:r>
        <w:t>was</w:t>
      </w:r>
      <w:r w:rsidR="24854215">
        <w:t xml:space="preserve"> decided that the distinction between the two classes should be </w:t>
      </w:r>
      <w:bookmarkStart w:id="450" w:name="_Int_0jLVvRPa"/>
      <w:proofErr w:type="gramStart"/>
      <w:r w:rsidR="24854215">
        <w:t>on the basis of</w:t>
      </w:r>
      <w:bookmarkEnd w:id="450"/>
      <w:proofErr w:type="gramEnd"/>
      <w:r w:rsidR="24854215">
        <w:t xml:space="preserve"> </w:t>
      </w:r>
      <w:bookmarkStart w:id="451" w:name="_Int_27sKyPiT"/>
      <w:r w:rsidR="24854215">
        <w:t>whether or not</w:t>
      </w:r>
      <w:bookmarkEnd w:id="451"/>
      <w:r w:rsidR="24854215">
        <w:t xml:space="preserve"> the wastewater is reticulated, and that Class 2 should be used for all WWTP releases and Class 3 for septic tank releases. It </w:t>
      </w:r>
      <w:r>
        <w:t xml:space="preserve">was </w:t>
      </w:r>
      <w:r w:rsidR="24854215">
        <w:t>also decided that all WWTP releases to water be classified as “sludge removed</w:t>
      </w:r>
      <w:bookmarkStart w:id="452" w:name="_Int_UgirGh2m"/>
      <w:r w:rsidR="24854215">
        <w:t>”</w:t>
      </w:r>
      <w:r>
        <w:t>.</w:t>
      </w:r>
      <w:bookmarkEnd w:id="452"/>
      <w:r>
        <w:t xml:space="preserve"> This approach has been continued here.</w:t>
      </w:r>
      <w:r w:rsidR="3AB6EAC8">
        <w:t xml:space="preserve"> </w:t>
      </w:r>
      <w:r>
        <w:t>F</w:t>
      </w:r>
      <w:r w:rsidR="24854215">
        <w:t xml:space="preserve">or Class 2 discharges of treated wastewater from a WWTP to water involving sludge removal, the emission factor </w:t>
      </w:r>
      <w:r>
        <w:t xml:space="preserve">is </w:t>
      </w:r>
      <w:r w:rsidR="24854215">
        <w:t>0.2 pg TEQ/litre (0.2 x 10</w:t>
      </w:r>
      <w:r w:rsidR="24854215" w:rsidRPr="0C34660A">
        <w:rPr>
          <w:vertAlign w:val="superscript"/>
        </w:rPr>
        <w:t>-12</w:t>
      </w:r>
      <w:r w:rsidR="24854215">
        <w:t xml:space="preserve"> g TEQ/litre).</w:t>
      </w:r>
      <w:r w:rsidR="3AB6EAC8">
        <w:t xml:space="preserve"> </w:t>
      </w:r>
      <w:r w:rsidR="24EFAA53">
        <w:t>For Class 3 discharges of wastewater</w:t>
      </w:r>
      <w:r w:rsidR="2F3DE313">
        <w:t>,</w:t>
      </w:r>
      <w:r w:rsidR="24EFAA53">
        <w:t xml:space="preserve"> the emission factor is 0.04 pg TEQ/litre (0.04 x 10</w:t>
      </w:r>
      <w:r w:rsidR="24EFAA53" w:rsidRPr="0C34660A">
        <w:rPr>
          <w:vertAlign w:val="superscript"/>
        </w:rPr>
        <w:t>-12</w:t>
      </w:r>
      <w:r w:rsidR="24EFAA53">
        <w:t xml:space="preserve"> g TEQ/litre)</w:t>
      </w:r>
      <w:r w:rsidR="000D9500">
        <w:t>.</w:t>
      </w:r>
      <w:r w:rsidR="24854215">
        <w:t xml:space="preserve"> </w:t>
      </w:r>
      <w:r>
        <w:t>F</w:t>
      </w:r>
      <w:r w:rsidR="24854215">
        <w:t xml:space="preserve">or Class 2 releases of sludge, the emission factor </w:t>
      </w:r>
      <w:r>
        <w:t>is</w:t>
      </w:r>
      <w:r w:rsidR="62C4CEA0">
        <w:t xml:space="preserve"> </w:t>
      </w:r>
      <w:r w:rsidR="24854215">
        <w:t>20µg TEQ/tonne dried sludge (20 x 10</w:t>
      </w:r>
      <w:r w:rsidR="24854215" w:rsidRPr="0C34660A">
        <w:rPr>
          <w:vertAlign w:val="superscript"/>
        </w:rPr>
        <w:t>-6</w:t>
      </w:r>
      <w:r w:rsidR="24854215">
        <w:t xml:space="preserve"> g TEQ/tonne of sludge). </w:t>
      </w:r>
    </w:p>
    <w:p w14:paraId="0C907316" w14:textId="76879938" w:rsidR="0058293D" w:rsidRPr="003D73C3" w:rsidRDefault="007A286B" w:rsidP="006761D2">
      <w:pPr>
        <w:spacing w:line="300" w:lineRule="atLeast"/>
        <w:jc w:val="both"/>
        <w:rPr>
          <w:szCs w:val="18"/>
        </w:rPr>
      </w:pPr>
      <w:r w:rsidRPr="003D73C3">
        <w:rPr>
          <w:szCs w:val="18"/>
        </w:rPr>
        <w:t xml:space="preserve">2020 </w:t>
      </w:r>
      <w:r w:rsidR="00D60804" w:rsidRPr="003D73C3">
        <w:rPr>
          <w:szCs w:val="18"/>
        </w:rPr>
        <w:t xml:space="preserve">release estimates </w:t>
      </w:r>
      <w:r w:rsidR="006761D2" w:rsidRPr="003D73C3">
        <w:rPr>
          <w:szCs w:val="18"/>
        </w:rPr>
        <w:t xml:space="preserve">are shown in Table 11-2, along with the corresponding estimates made in the </w:t>
      </w:r>
      <w:r w:rsidR="00351010" w:rsidRPr="003D73C3">
        <w:rPr>
          <w:szCs w:val="18"/>
        </w:rPr>
        <w:t xml:space="preserve">2012 </w:t>
      </w:r>
      <w:r w:rsidRPr="003D73C3">
        <w:rPr>
          <w:szCs w:val="18"/>
        </w:rPr>
        <w:t xml:space="preserve">and 2016 </w:t>
      </w:r>
      <w:r w:rsidR="006761D2" w:rsidRPr="003D73C3">
        <w:rPr>
          <w:szCs w:val="18"/>
        </w:rPr>
        <w:t>Inventor</w:t>
      </w:r>
      <w:r w:rsidRPr="003D73C3">
        <w:rPr>
          <w:szCs w:val="18"/>
        </w:rPr>
        <w:t xml:space="preserve">ies. It should be noted that the </w:t>
      </w:r>
      <w:r w:rsidR="0058293D" w:rsidRPr="003D73C3">
        <w:rPr>
          <w:szCs w:val="18"/>
        </w:rPr>
        <w:t>2012 and 2016 values have undergone a back calculation which is explained more fully below.</w:t>
      </w:r>
      <w:r w:rsidR="006761D2" w:rsidRPr="003D73C3">
        <w:rPr>
          <w:szCs w:val="18"/>
        </w:rPr>
        <w:t xml:space="preserve"> </w:t>
      </w:r>
    </w:p>
    <w:p w14:paraId="1F3F1996" w14:textId="77777777" w:rsidR="0058293D" w:rsidRPr="003D73C3" w:rsidRDefault="0058293D">
      <w:pPr>
        <w:spacing w:after="0"/>
        <w:rPr>
          <w:szCs w:val="18"/>
        </w:rPr>
      </w:pPr>
      <w:r w:rsidRPr="003D73C3">
        <w:rPr>
          <w:szCs w:val="18"/>
        </w:rPr>
        <w:br w:type="page"/>
      </w:r>
    </w:p>
    <w:p w14:paraId="267EF56F" w14:textId="0CF0BA92" w:rsidR="00C95E68" w:rsidRPr="003D73C3" w:rsidRDefault="00C95E68" w:rsidP="00C95E68">
      <w:pPr>
        <w:pStyle w:val="Caption"/>
        <w:jc w:val="left"/>
        <w:rPr>
          <w:rFonts w:cs="Arial"/>
          <w:szCs w:val="18"/>
        </w:rPr>
      </w:pPr>
      <w:bookmarkStart w:id="453" w:name="_Ref381688951"/>
      <w:r w:rsidRPr="003D73C3">
        <w:rPr>
          <w:rFonts w:cs="Arial"/>
        </w:rPr>
        <w:lastRenderedPageBreak/>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11</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2</w:t>
      </w:r>
      <w:r w:rsidRPr="003D73C3">
        <w:rPr>
          <w:rFonts w:cs="Arial"/>
        </w:rPr>
        <w:fldChar w:fldCharType="end"/>
      </w:r>
      <w:bookmarkEnd w:id="453"/>
      <w:r w:rsidRPr="003D73C3">
        <w:rPr>
          <w:rFonts w:cs="Arial"/>
        </w:rPr>
        <w:t>: Dioxin releases from sewage/sewage treatment</w:t>
      </w:r>
    </w:p>
    <w:tbl>
      <w:tblPr>
        <w:tblStyle w:val="TableGrid"/>
        <w:tblW w:w="9287" w:type="dxa"/>
        <w:tblLayout w:type="fixed"/>
        <w:tblLook w:val="04A0" w:firstRow="1" w:lastRow="0" w:firstColumn="1" w:lastColumn="0" w:noHBand="0" w:noVBand="1"/>
      </w:tblPr>
      <w:tblGrid>
        <w:gridCol w:w="959"/>
        <w:gridCol w:w="992"/>
        <w:gridCol w:w="71"/>
        <w:gridCol w:w="1063"/>
        <w:gridCol w:w="1134"/>
        <w:gridCol w:w="1276"/>
        <w:gridCol w:w="1417"/>
        <w:gridCol w:w="1276"/>
        <w:gridCol w:w="1099"/>
      </w:tblGrid>
      <w:tr w:rsidR="00C95E68" w:rsidRPr="00AF1200" w14:paraId="1EC2E311" w14:textId="77777777" w:rsidTr="0058293D">
        <w:tc>
          <w:tcPr>
            <w:tcW w:w="959" w:type="dxa"/>
            <w:vMerge w:val="restart"/>
            <w:vAlign w:val="center"/>
          </w:tcPr>
          <w:p w14:paraId="6F9A7AD6"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Year</w:t>
            </w:r>
          </w:p>
        </w:tc>
        <w:tc>
          <w:tcPr>
            <w:tcW w:w="992" w:type="dxa"/>
            <w:vMerge w:val="restart"/>
            <w:vAlign w:val="center"/>
          </w:tcPr>
          <w:p w14:paraId="146769F1"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Class</w:t>
            </w:r>
          </w:p>
        </w:tc>
        <w:tc>
          <w:tcPr>
            <w:tcW w:w="2268" w:type="dxa"/>
            <w:gridSpan w:val="3"/>
            <w:vAlign w:val="center"/>
          </w:tcPr>
          <w:p w14:paraId="5E580250"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Activity Rates</w:t>
            </w:r>
          </w:p>
        </w:tc>
        <w:tc>
          <w:tcPr>
            <w:tcW w:w="2693" w:type="dxa"/>
            <w:gridSpan w:val="2"/>
            <w:vAlign w:val="center"/>
          </w:tcPr>
          <w:p w14:paraId="715DA701"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Release factors</w:t>
            </w:r>
            <w:r w:rsidRPr="003D73C3">
              <w:rPr>
                <w:rFonts w:ascii="Arial" w:hAnsi="Arial" w:cs="Arial"/>
                <w:sz w:val="16"/>
                <w:szCs w:val="18"/>
              </w:rPr>
              <w:t xml:space="preserve"> </w:t>
            </w:r>
          </w:p>
        </w:tc>
        <w:tc>
          <w:tcPr>
            <w:tcW w:w="2375" w:type="dxa"/>
            <w:gridSpan w:val="2"/>
            <w:vAlign w:val="center"/>
          </w:tcPr>
          <w:p w14:paraId="30DCB971"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Annual releases</w:t>
            </w:r>
          </w:p>
        </w:tc>
      </w:tr>
      <w:tr w:rsidR="00C95E68" w:rsidRPr="00AF1200" w14:paraId="6C7FBACE" w14:textId="77777777" w:rsidTr="0058293D">
        <w:tc>
          <w:tcPr>
            <w:tcW w:w="959" w:type="dxa"/>
            <w:vMerge/>
          </w:tcPr>
          <w:p w14:paraId="358DD3CD" w14:textId="77777777" w:rsidR="00C95E68" w:rsidRPr="003D73C3" w:rsidRDefault="00C95E68" w:rsidP="009C4E50">
            <w:pPr>
              <w:spacing w:before="120"/>
              <w:jc w:val="both"/>
              <w:rPr>
                <w:rFonts w:ascii="Arial" w:hAnsi="Arial" w:cs="Arial"/>
                <w:sz w:val="16"/>
                <w:szCs w:val="18"/>
              </w:rPr>
            </w:pPr>
          </w:p>
        </w:tc>
        <w:tc>
          <w:tcPr>
            <w:tcW w:w="992" w:type="dxa"/>
            <w:vMerge/>
            <w:vAlign w:val="center"/>
          </w:tcPr>
          <w:p w14:paraId="1D032409" w14:textId="77777777" w:rsidR="00C95E68" w:rsidRPr="003D73C3" w:rsidRDefault="00C95E68" w:rsidP="009C4E50">
            <w:pPr>
              <w:spacing w:before="120"/>
              <w:jc w:val="center"/>
              <w:rPr>
                <w:rFonts w:ascii="Arial" w:hAnsi="Arial" w:cs="Arial"/>
                <w:b/>
                <w:sz w:val="16"/>
                <w:szCs w:val="18"/>
              </w:rPr>
            </w:pPr>
          </w:p>
        </w:tc>
        <w:tc>
          <w:tcPr>
            <w:tcW w:w="1134" w:type="dxa"/>
            <w:gridSpan w:val="2"/>
            <w:vAlign w:val="center"/>
          </w:tcPr>
          <w:p w14:paraId="1C8A2877"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Water (10</w:t>
            </w:r>
            <w:r w:rsidRPr="003D73C3">
              <w:rPr>
                <w:rFonts w:ascii="Arial" w:hAnsi="Arial" w:cs="Arial"/>
                <w:b/>
                <w:sz w:val="16"/>
                <w:szCs w:val="18"/>
                <w:vertAlign w:val="superscript"/>
              </w:rPr>
              <w:t>9</w:t>
            </w:r>
            <w:r w:rsidRPr="003D73C3">
              <w:rPr>
                <w:rFonts w:ascii="Arial" w:hAnsi="Arial" w:cs="Arial"/>
                <w:b/>
                <w:sz w:val="16"/>
                <w:szCs w:val="18"/>
              </w:rPr>
              <w:t xml:space="preserve"> litres/yr)</w:t>
            </w:r>
          </w:p>
        </w:tc>
        <w:tc>
          <w:tcPr>
            <w:tcW w:w="1134" w:type="dxa"/>
            <w:vAlign w:val="center"/>
          </w:tcPr>
          <w:p w14:paraId="7B3F23BC"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Residue</w:t>
            </w:r>
            <w:r w:rsidRPr="003D73C3">
              <w:rPr>
                <w:rFonts w:ascii="Arial" w:hAnsi="Arial" w:cs="Arial"/>
                <w:b/>
                <w:sz w:val="16"/>
                <w:szCs w:val="18"/>
              </w:rPr>
              <w:br/>
              <w:t>(tonnes/yr)</w:t>
            </w:r>
          </w:p>
        </w:tc>
        <w:tc>
          <w:tcPr>
            <w:tcW w:w="1276" w:type="dxa"/>
            <w:vAlign w:val="center"/>
          </w:tcPr>
          <w:p w14:paraId="404AE094"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Water</w:t>
            </w:r>
            <w:r w:rsidRPr="003D73C3">
              <w:rPr>
                <w:rFonts w:ascii="Arial" w:hAnsi="Arial" w:cs="Arial"/>
                <w:b/>
                <w:sz w:val="16"/>
                <w:szCs w:val="18"/>
              </w:rPr>
              <w:br/>
            </w:r>
            <w:r w:rsidRPr="003D73C3">
              <w:rPr>
                <w:rFonts w:ascii="Arial" w:hAnsi="Arial" w:cs="Arial"/>
                <w:sz w:val="16"/>
                <w:szCs w:val="18"/>
              </w:rPr>
              <w:t>(</w:t>
            </w:r>
            <w:r w:rsidRPr="003D73C3">
              <w:rPr>
                <w:rFonts w:ascii="Arial" w:hAnsi="Arial" w:cs="Arial"/>
                <w:b/>
                <w:sz w:val="16"/>
                <w:szCs w:val="18"/>
              </w:rPr>
              <w:t>pg TEQ/litre)</w:t>
            </w:r>
          </w:p>
        </w:tc>
        <w:tc>
          <w:tcPr>
            <w:tcW w:w="1417" w:type="dxa"/>
            <w:vAlign w:val="center"/>
          </w:tcPr>
          <w:p w14:paraId="13965C38"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Residue</w:t>
            </w:r>
            <w:r w:rsidRPr="003D73C3">
              <w:rPr>
                <w:rFonts w:ascii="Arial" w:hAnsi="Arial" w:cs="Arial"/>
                <w:b/>
                <w:sz w:val="16"/>
                <w:szCs w:val="18"/>
              </w:rPr>
              <w:br/>
            </w:r>
            <w:r w:rsidRPr="003D73C3">
              <w:rPr>
                <w:rFonts w:ascii="Arial" w:hAnsi="Arial" w:cs="Arial"/>
                <w:sz w:val="16"/>
                <w:szCs w:val="18"/>
              </w:rPr>
              <w:t>(</w:t>
            </w:r>
            <w:r w:rsidRPr="003D73C3">
              <w:rPr>
                <w:rFonts w:ascii="Arial" w:hAnsi="Arial" w:cs="Arial"/>
                <w:b/>
                <w:sz w:val="16"/>
                <w:szCs w:val="18"/>
              </w:rPr>
              <w:t>µg TEQ/tonne)</w:t>
            </w:r>
          </w:p>
        </w:tc>
        <w:tc>
          <w:tcPr>
            <w:tcW w:w="1276" w:type="dxa"/>
            <w:vAlign w:val="center"/>
          </w:tcPr>
          <w:p w14:paraId="0A5C8AA4"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 xml:space="preserve">Water </w:t>
            </w:r>
            <w:r w:rsidRPr="003D73C3">
              <w:rPr>
                <w:rFonts w:ascii="Arial" w:hAnsi="Arial" w:cs="Arial"/>
                <w:b/>
                <w:sz w:val="16"/>
                <w:szCs w:val="18"/>
              </w:rPr>
              <w:br/>
              <w:t>(g TEQ/yr)</w:t>
            </w:r>
          </w:p>
        </w:tc>
        <w:tc>
          <w:tcPr>
            <w:tcW w:w="1099" w:type="dxa"/>
            <w:vAlign w:val="center"/>
          </w:tcPr>
          <w:p w14:paraId="1B3F7532"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 xml:space="preserve">Residue </w:t>
            </w:r>
            <w:r w:rsidRPr="003D73C3">
              <w:rPr>
                <w:rFonts w:ascii="Arial" w:hAnsi="Arial" w:cs="Arial"/>
                <w:b/>
                <w:sz w:val="16"/>
                <w:szCs w:val="18"/>
              </w:rPr>
              <w:br/>
              <w:t>(g TEQ/yr)</w:t>
            </w:r>
          </w:p>
        </w:tc>
      </w:tr>
      <w:tr w:rsidR="00C95E68" w:rsidRPr="00AF1200" w14:paraId="31534B87" w14:textId="77777777" w:rsidTr="0058293D">
        <w:tc>
          <w:tcPr>
            <w:tcW w:w="959" w:type="dxa"/>
            <w:vMerge w:val="restart"/>
            <w:vAlign w:val="center"/>
          </w:tcPr>
          <w:p w14:paraId="7B2E6126" w14:textId="77777777" w:rsidR="00C95E68" w:rsidRPr="003D73C3" w:rsidRDefault="00C95E68" w:rsidP="009C4E50">
            <w:pPr>
              <w:spacing w:before="120"/>
              <w:rPr>
                <w:rFonts w:ascii="Arial" w:hAnsi="Arial" w:cs="Arial"/>
                <w:b/>
                <w:sz w:val="16"/>
                <w:szCs w:val="18"/>
              </w:rPr>
            </w:pPr>
            <w:r w:rsidRPr="003D73C3">
              <w:rPr>
                <w:rFonts w:ascii="Arial" w:hAnsi="Arial" w:cs="Arial"/>
                <w:b/>
                <w:sz w:val="16"/>
                <w:szCs w:val="18"/>
              </w:rPr>
              <w:t xml:space="preserve">2012 </w:t>
            </w:r>
          </w:p>
        </w:tc>
        <w:tc>
          <w:tcPr>
            <w:tcW w:w="992" w:type="dxa"/>
            <w:vMerge w:val="restart"/>
            <w:vAlign w:val="center"/>
          </w:tcPr>
          <w:p w14:paraId="3D51F9CC"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 xml:space="preserve">Class 2 </w:t>
            </w:r>
          </w:p>
        </w:tc>
        <w:tc>
          <w:tcPr>
            <w:tcW w:w="1134" w:type="dxa"/>
            <w:gridSpan w:val="2"/>
            <w:vAlign w:val="center"/>
          </w:tcPr>
          <w:p w14:paraId="0CE8DEDB"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657</w:t>
            </w:r>
          </w:p>
        </w:tc>
        <w:tc>
          <w:tcPr>
            <w:tcW w:w="1134" w:type="dxa"/>
            <w:vAlign w:val="center"/>
          </w:tcPr>
          <w:p w14:paraId="5CBA1F92"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6B59FDBA"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0.2</w:t>
            </w:r>
          </w:p>
        </w:tc>
        <w:tc>
          <w:tcPr>
            <w:tcW w:w="1417" w:type="dxa"/>
            <w:vAlign w:val="center"/>
          </w:tcPr>
          <w:p w14:paraId="7667B2AA"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033E2BC2"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0.131</w:t>
            </w:r>
          </w:p>
        </w:tc>
        <w:tc>
          <w:tcPr>
            <w:tcW w:w="1099" w:type="dxa"/>
            <w:vAlign w:val="center"/>
          </w:tcPr>
          <w:p w14:paraId="032158AB" w14:textId="77777777" w:rsidR="00C95E68" w:rsidRPr="003D73C3" w:rsidRDefault="00C95E68" w:rsidP="009C4E50">
            <w:pPr>
              <w:spacing w:before="120"/>
              <w:jc w:val="center"/>
              <w:rPr>
                <w:rFonts w:ascii="Arial" w:hAnsi="Arial" w:cs="Arial"/>
                <w:sz w:val="16"/>
                <w:szCs w:val="18"/>
              </w:rPr>
            </w:pPr>
          </w:p>
        </w:tc>
      </w:tr>
      <w:tr w:rsidR="00C95E68" w:rsidRPr="00AF1200" w14:paraId="47F31F0E" w14:textId="77777777" w:rsidTr="0058293D">
        <w:tc>
          <w:tcPr>
            <w:tcW w:w="959" w:type="dxa"/>
            <w:vMerge/>
            <w:vAlign w:val="center"/>
          </w:tcPr>
          <w:p w14:paraId="63853561" w14:textId="77777777" w:rsidR="00C95E68" w:rsidRPr="003D73C3" w:rsidRDefault="00C95E68" w:rsidP="009C4E50">
            <w:pPr>
              <w:spacing w:before="120"/>
              <w:rPr>
                <w:rFonts w:ascii="Arial" w:hAnsi="Arial" w:cs="Arial"/>
                <w:b/>
                <w:sz w:val="16"/>
                <w:szCs w:val="18"/>
              </w:rPr>
            </w:pPr>
          </w:p>
        </w:tc>
        <w:tc>
          <w:tcPr>
            <w:tcW w:w="992" w:type="dxa"/>
            <w:vMerge/>
            <w:vAlign w:val="center"/>
          </w:tcPr>
          <w:p w14:paraId="085DBD68" w14:textId="77777777" w:rsidR="00C95E68" w:rsidRPr="003D73C3" w:rsidRDefault="00C95E68" w:rsidP="009C4E50">
            <w:pPr>
              <w:spacing w:before="120"/>
              <w:jc w:val="center"/>
              <w:rPr>
                <w:rFonts w:ascii="Arial" w:hAnsi="Arial" w:cs="Arial"/>
                <w:sz w:val="16"/>
                <w:szCs w:val="18"/>
              </w:rPr>
            </w:pPr>
          </w:p>
        </w:tc>
        <w:tc>
          <w:tcPr>
            <w:tcW w:w="1134" w:type="dxa"/>
            <w:gridSpan w:val="2"/>
            <w:vAlign w:val="center"/>
          </w:tcPr>
          <w:p w14:paraId="0F37F93B" w14:textId="77777777" w:rsidR="00C95E68" w:rsidRPr="003D73C3" w:rsidRDefault="00C95E68" w:rsidP="009C4E50">
            <w:pPr>
              <w:spacing w:before="120"/>
              <w:jc w:val="center"/>
              <w:rPr>
                <w:rFonts w:ascii="Arial" w:hAnsi="Arial" w:cs="Arial"/>
                <w:sz w:val="16"/>
                <w:szCs w:val="18"/>
              </w:rPr>
            </w:pPr>
          </w:p>
        </w:tc>
        <w:tc>
          <w:tcPr>
            <w:tcW w:w="1134" w:type="dxa"/>
            <w:vAlign w:val="center"/>
          </w:tcPr>
          <w:p w14:paraId="7160F39E" w14:textId="2CD5D1CE" w:rsidR="00C95E68" w:rsidRPr="003D73C3" w:rsidRDefault="0084512C" w:rsidP="009C4E50">
            <w:pPr>
              <w:spacing w:before="120"/>
              <w:jc w:val="center"/>
              <w:rPr>
                <w:rFonts w:ascii="Arial" w:hAnsi="Arial" w:cs="Arial"/>
                <w:sz w:val="16"/>
                <w:szCs w:val="18"/>
              </w:rPr>
            </w:pPr>
            <w:r>
              <w:rPr>
                <w:rFonts w:ascii="Arial" w:hAnsi="Arial" w:cs="Arial"/>
                <w:sz w:val="16"/>
                <w:szCs w:val="18"/>
              </w:rPr>
              <w:t>121,620</w:t>
            </w:r>
          </w:p>
        </w:tc>
        <w:tc>
          <w:tcPr>
            <w:tcW w:w="1276" w:type="dxa"/>
            <w:vAlign w:val="center"/>
          </w:tcPr>
          <w:p w14:paraId="2F6EF487" w14:textId="77777777" w:rsidR="00C95E68" w:rsidRPr="003D73C3" w:rsidRDefault="00C95E68" w:rsidP="009C4E50">
            <w:pPr>
              <w:spacing w:before="120"/>
              <w:jc w:val="center"/>
              <w:rPr>
                <w:rFonts w:ascii="Arial" w:hAnsi="Arial" w:cs="Arial"/>
                <w:sz w:val="16"/>
                <w:szCs w:val="18"/>
              </w:rPr>
            </w:pPr>
          </w:p>
        </w:tc>
        <w:tc>
          <w:tcPr>
            <w:tcW w:w="1417" w:type="dxa"/>
            <w:vAlign w:val="center"/>
          </w:tcPr>
          <w:p w14:paraId="4EA7A9BF"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20</w:t>
            </w:r>
          </w:p>
        </w:tc>
        <w:tc>
          <w:tcPr>
            <w:tcW w:w="1276" w:type="dxa"/>
            <w:vAlign w:val="center"/>
          </w:tcPr>
          <w:p w14:paraId="1127E1E7" w14:textId="77777777" w:rsidR="00C95E68" w:rsidRPr="003D73C3" w:rsidRDefault="00C95E68" w:rsidP="009C4E50">
            <w:pPr>
              <w:spacing w:before="120"/>
              <w:jc w:val="center"/>
              <w:rPr>
                <w:rFonts w:ascii="Arial" w:hAnsi="Arial" w:cs="Arial"/>
                <w:sz w:val="16"/>
                <w:szCs w:val="18"/>
              </w:rPr>
            </w:pPr>
          </w:p>
        </w:tc>
        <w:tc>
          <w:tcPr>
            <w:tcW w:w="1099" w:type="dxa"/>
            <w:vAlign w:val="center"/>
          </w:tcPr>
          <w:p w14:paraId="42120268" w14:textId="4B7BC698" w:rsidR="00C95E68" w:rsidRPr="003D73C3" w:rsidRDefault="0084512C" w:rsidP="009C4E50">
            <w:pPr>
              <w:spacing w:before="120"/>
              <w:jc w:val="center"/>
              <w:rPr>
                <w:rFonts w:ascii="Arial" w:hAnsi="Arial" w:cs="Arial"/>
                <w:sz w:val="16"/>
                <w:szCs w:val="18"/>
              </w:rPr>
            </w:pPr>
            <w:r>
              <w:rPr>
                <w:rFonts w:ascii="Arial" w:hAnsi="Arial" w:cs="Arial"/>
                <w:sz w:val="16"/>
                <w:szCs w:val="18"/>
              </w:rPr>
              <w:t>2.432</w:t>
            </w:r>
          </w:p>
        </w:tc>
      </w:tr>
      <w:tr w:rsidR="00C95E68" w:rsidRPr="00AF1200" w14:paraId="5BE1C07B" w14:textId="77777777" w:rsidTr="0058293D">
        <w:tc>
          <w:tcPr>
            <w:tcW w:w="959" w:type="dxa"/>
            <w:vMerge/>
            <w:vAlign w:val="center"/>
          </w:tcPr>
          <w:p w14:paraId="54FB3CAB" w14:textId="77777777" w:rsidR="00C95E68" w:rsidRPr="003D73C3" w:rsidRDefault="00C95E68" w:rsidP="009C4E50">
            <w:pPr>
              <w:spacing w:before="120"/>
              <w:rPr>
                <w:rFonts w:ascii="Arial" w:hAnsi="Arial" w:cs="Arial"/>
                <w:b/>
                <w:sz w:val="16"/>
                <w:szCs w:val="18"/>
              </w:rPr>
            </w:pPr>
          </w:p>
        </w:tc>
        <w:tc>
          <w:tcPr>
            <w:tcW w:w="992" w:type="dxa"/>
            <w:vAlign w:val="center"/>
          </w:tcPr>
          <w:p w14:paraId="45534B21"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 xml:space="preserve">Class 3 </w:t>
            </w:r>
          </w:p>
        </w:tc>
        <w:tc>
          <w:tcPr>
            <w:tcW w:w="1134" w:type="dxa"/>
            <w:gridSpan w:val="2"/>
            <w:vAlign w:val="center"/>
          </w:tcPr>
          <w:p w14:paraId="2776171E"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54.6</w:t>
            </w:r>
          </w:p>
        </w:tc>
        <w:tc>
          <w:tcPr>
            <w:tcW w:w="1134" w:type="dxa"/>
            <w:vAlign w:val="center"/>
          </w:tcPr>
          <w:p w14:paraId="7861A37A"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54C96765"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0.04</w:t>
            </w:r>
          </w:p>
        </w:tc>
        <w:tc>
          <w:tcPr>
            <w:tcW w:w="1417" w:type="dxa"/>
            <w:vAlign w:val="center"/>
          </w:tcPr>
          <w:p w14:paraId="4D907312"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399B4A2A"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0.0022</w:t>
            </w:r>
          </w:p>
        </w:tc>
        <w:tc>
          <w:tcPr>
            <w:tcW w:w="1099" w:type="dxa"/>
            <w:vAlign w:val="center"/>
          </w:tcPr>
          <w:p w14:paraId="1578F1D2" w14:textId="77777777" w:rsidR="00C95E68" w:rsidRPr="003D73C3" w:rsidRDefault="00C95E68" w:rsidP="009C4E50">
            <w:pPr>
              <w:spacing w:before="120"/>
              <w:jc w:val="center"/>
              <w:rPr>
                <w:rFonts w:ascii="Arial" w:hAnsi="Arial" w:cs="Arial"/>
                <w:sz w:val="16"/>
                <w:szCs w:val="18"/>
              </w:rPr>
            </w:pPr>
          </w:p>
        </w:tc>
      </w:tr>
      <w:tr w:rsidR="00C95E68" w:rsidRPr="00AF1200" w14:paraId="5EB036C1" w14:textId="77777777" w:rsidTr="0058293D">
        <w:tc>
          <w:tcPr>
            <w:tcW w:w="959" w:type="dxa"/>
            <w:vMerge/>
            <w:vAlign w:val="center"/>
          </w:tcPr>
          <w:p w14:paraId="7EA21B8D" w14:textId="77777777" w:rsidR="00C95E68" w:rsidRPr="003D73C3" w:rsidRDefault="00C95E68" w:rsidP="009C4E50">
            <w:pPr>
              <w:spacing w:before="120"/>
              <w:rPr>
                <w:rFonts w:ascii="Arial" w:hAnsi="Arial" w:cs="Arial"/>
                <w:b/>
                <w:sz w:val="16"/>
                <w:szCs w:val="18"/>
              </w:rPr>
            </w:pPr>
          </w:p>
        </w:tc>
        <w:tc>
          <w:tcPr>
            <w:tcW w:w="2126" w:type="dxa"/>
            <w:gridSpan w:val="3"/>
            <w:vAlign w:val="center"/>
          </w:tcPr>
          <w:p w14:paraId="2C07ED81" w14:textId="77777777"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Total releases</w:t>
            </w:r>
          </w:p>
        </w:tc>
        <w:tc>
          <w:tcPr>
            <w:tcW w:w="1134" w:type="dxa"/>
            <w:vAlign w:val="center"/>
          </w:tcPr>
          <w:p w14:paraId="472F3C50"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7A29A9B7" w14:textId="77777777" w:rsidR="00C95E68" w:rsidRPr="003D73C3" w:rsidRDefault="00C95E68" w:rsidP="009C4E50">
            <w:pPr>
              <w:spacing w:before="120"/>
              <w:jc w:val="center"/>
              <w:rPr>
                <w:rFonts w:ascii="Arial" w:hAnsi="Arial" w:cs="Arial"/>
                <w:sz w:val="16"/>
                <w:szCs w:val="18"/>
              </w:rPr>
            </w:pPr>
          </w:p>
        </w:tc>
        <w:tc>
          <w:tcPr>
            <w:tcW w:w="1417" w:type="dxa"/>
            <w:vAlign w:val="center"/>
          </w:tcPr>
          <w:p w14:paraId="2B60DDD3"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3E2AA35F" w14:textId="477A0F01"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0.133</w:t>
            </w:r>
            <w:r w:rsidR="00A05167" w:rsidRPr="003D73C3">
              <w:rPr>
                <w:rFonts w:ascii="Arial" w:hAnsi="Arial" w:cs="Arial"/>
                <w:b/>
                <w:sz w:val="16"/>
                <w:szCs w:val="18"/>
              </w:rPr>
              <w:t>2</w:t>
            </w:r>
          </w:p>
        </w:tc>
        <w:tc>
          <w:tcPr>
            <w:tcW w:w="1099" w:type="dxa"/>
            <w:vAlign w:val="center"/>
          </w:tcPr>
          <w:p w14:paraId="04CA4470" w14:textId="0740C794" w:rsidR="00C95E68" w:rsidRPr="003D73C3" w:rsidRDefault="0084512C" w:rsidP="009C4E50">
            <w:pPr>
              <w:spacing w:before="120"/>
              <w:jc w:val="center"/>
              <w:rPr>
                <w:rFonts w:ascii="Arial" w:hAnsi="Arial" w:cs="Arial"/>
                <w:b/>
                <w:sz w:val="16"/>
                <w:szCs w:val="18"/>
              </w:rPr>
            </w:pPr>
            <w:r>
              <w:rPr>
                <w:rFonts w:ascii="Arial" w:hAnsi="Arial" w:cs="Arial"/>
                <w:b/>
                <w:sz w:val="16"/>
                <w:szCs w:val="18"/>
              </w:rPr>
              <w:t>2.432</w:t>
            </w:r>
          </w:p>
        </w:tc>
      </w:tr>
      <w:tr w:rsidR="00C95E68" w:rsidRPr="00AF1200" w14:paraId="659B1305" w14:textId="77777777" w:rsidTr="0058293D">
        <w:tc>
          <w:tcPr>
            <w:tcW w:w="959" w:type="dxa"/>
            <w:vMerge w:val="restart"/>
            <w:vAlign w:val="center"/>
          </w:tcPr>
          <w:p w14:paraId="2931818D" w14:textId="77777777" w:rsidR="00C95E68" w:rsidRPr="003D73C3" w:rsidRDefault="00C95E68" w:rsidP="009C4E50">
            <w:pPr>
              <w:spacing w:before="120"/>
              <w:rPr>
                <w:rFonts w:ascii="Arial" w:hAnsi="Arial" w:cs="Arial"/>
                <w:b/>
                <w:sz w:val="16"/>
                <w:szCs w:val="18"/>
              </w:rPr>
            </w:pPr>
            <w:r w:rsidRPr="003D73C3">
              <w:rPr>
                <w:rFonts w:ascii="Arial" w:hAnsi="Arial" w:cs="Arial"/>
                <w:b/>
                <w:sz w:val="16"/>
                <w:szCs w:val="18"/>
              </w:rPr>
              <w:t>2016</w:t>
            </w:r>
          </w:p>
        </w:tc>
        <w:tc>
          <w:tcPr>
            <w:tcW w:w="1063" w:type="dxa"/>
            <w:gridSpan w:val="2"/>
            <w:vMerge w:val="restart"/>
            <w:vAlign w:val="center"/>
          </w:tcPr>
          <w:p w14:paraId="6B43C63A"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Class 2</w:t>
            </w:r>
          </w:p>
        </w:tc>
        <w:tc>
          <w:tcPr>
            <w:tcW w:w="1063" w:type="dxa"/>
            <w:vAlign w:val="center"/>
          </w:tcPr>
          <w:p w14:paraId="22188E44"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447.7</w:t>
            </w:r>
          </w:p>
        </w:tc>
        <w:tc>
          <w:tcPr>
            <w:tcW w:w="1134" w:type="dxa"/>
            <w:vAlign w:val="center"/>
          </w:tcPr>
          <w:p w14:paraId="23168F76"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338A63A8"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0.2</w:t>
            </w:r>
          </w:p>
        </w:tc>
        <w:tc>
          <w:tcPr>
            <w:tcW w:w="1417" w:type="dxa"/>
            <w:vAlign w:val="center"/>
          </w:tcPr>
          <w:p w14:paraId="5F1DE9F0"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19A48816"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0.090</w:t>
            </w:r>
          </w:p>
        </w:tc>
        <w:tc>
          <w:tcPr>
            <w:tcW w:w="1099" w:type="dxa"/>
            <w:vAlign w:val="center"/>
          </w:tcPr>
          <w:p w14:paraId="58057D0C" w14:textId="77777777" w:rsidR="00C95E68" w:rsidRPr="003D73C3" w:rsidRDefault="00C95E68" w:rsidP="009C4E50">
            <w:pPr>
              <w:spacing w:before="120"/>
              <w:jc w:val="center"/>
              <w:rPr>
                <w:rFonts w:ascii="Arial" w:hAnsi="Arial" w:cs="Arial"/>
                <w:sz w:val="16"/>
                <w:szCs w:val="18"/>
              </w:rPr>
            </w:pPr>
          </w:p>
        </w:tc>
      </w:tr>
      <w:tr w:rsidR="00C95E68" w:rsidRPr="00AF1200" w14:paraId="6ACF0102" w14:textId="77777777" w:rsidTr="0058293D">
        <w:tc>
          <w:tcPr>
            <w:tcW w:w="959" w:type="dxa"/>
            <w:vMerge/>
            <w:vAlign w:val="center"/>
          </w:tcPr>
          <w:p w14:paraId="0935829B" w14:textId="77777777" w:rsidR="00C95E68" w:rsidRPr="003D73C3" w:rsidRDefault="00C95E68" w:rsidP="009C4E50">
            <w:pPr>
              <w:spacing w:before="120"/>
              <w:rPr>
                <w:rFonts w:ascii="Arial" w:hAnsi="Arial" w:cs="Arial"/>
                <w:b/>
                <w:sz w:val="16"/>
                <w:szCs w:val="18"/>
              </w:rPr>
            </w:pPr>
          </w:p>
        </w:tc>
        <w:tc>
          <w:tcPr>
            <w:tcW w:w="1063" w:type="dxa"/>
            <w:gridSpan w:val="2"/>
            <w:vMerge/>
            <w:vAlign w:val="center"/>
          </w:tcPr>
          <w:p w14:paraId="64E03B57" w14:textId="77777777" w:rsidR="00C95E68" w:rsidRPr="003D73C3" w:rsidRDefault="00C95E68" w:rsidP="009C4E50">
            <w:pPr>
              <w:spacing w:before="120"/>
              <w:jc w:val="center"/>
              <w:rPr>
                <w:rFonts w:ascii="Arial" w:hAnsi="Arial" w:cs="Arial"/>
                <w:sz w:val="16"/>
                <w:szCs w:val="18"/>
              </w:rPr>
            </w:pPr>
          </w:p>
        </w:tc>
        <w:tc>
          <w:tcPr>
            <w:tcW w:w="1063" w:type="dxa"/>
            <w:vAlign w:val="center"/>
          </w:tcPr>
          <w:p w14:paraId="095159F1" w14:textId="77777777" w:rsidR="00C95E68" w:rsidRPr="003D73C3" w:rsidRDefault="00C95E68" w:rsidP="009C4E50">
            <w:pPr>
              <w:spacing w:before="120"/>
              <w:jc w:val="center"/>
              <w:rPr>
                <w:rFonts w:ascii="Arial" w:hAnsi="Arial" w:cs="Arial"/>
                <w:sz w:val="16"/>
                <w:szCs w:val="18"/>
              </w:rPr>
            </w:pPr>
          </w:p>
        </w:tc>
        <w:tc>
          <w:tcPr>
            <w:tcW w:w="1134" w:type="dxa"/>
            <w:vAlign w:val="center"/>
          </w:tcPr>
          <w:p w14:paraId="10F42428" w14:textId="6315EA19" w:rsidR="00C95E68" w:rsidRPr="003D73C3" w:rsidRDefault="0084512C" w:rsidP="009C4E50">
            <w:pPr>
              <w:spacing w:before="120"/>
              <w:jc w:val="center"/>
              <w:rPr>
                <w:rFonts w:ascii="Arial" w:hAnsi="Arial" w:cs="Arial"/>
                <w:sz w:val="16"/>
                <w:szCs w:val="18"/>
              </w:rPr>
            </w:pPr>
            <w:r>
              <w:rPr>
                <w:rFonts w:ascii="Arial" w:hAnsi="Arial" w:cs="Arial"/>
                <w:sz w:val="16"/>
                <w:szCs w:val="18"/>
              </w:rPr>
              <w:t>130,047</w:t>
            </w:r>
          </w:p>
        </w:tc>
        <w:tc>
          <w:tcPr>
            <w:tcW w:w="1276" w:type="dxa"/>
            <w:vAlign w:val="center"/>
          </w:tcPr>
          <w:p w14:paraId="011BCF74" w14:textId="77777777" w:rsidR="00C95E68" w:rsidRPr="003D73C3" w:rsidRDefault="00C95E68" w:rsidP="009C4E50">
            <w:pPr>
              <w:spacing w:before="120"/>
              <w:jc w:val="center"/>
              <w:rPr>
                <w:rFonts w:ascii="Arial" w:hAnsi="Arial" w:cs="Arial"/>
                <w:sz w:val="16"/>
                <w:szCs w:val="18"/>
              </w:rPr>
            </w:pPr>
          </w:p>
        </w:tc>
        <w:tc>
          <w:tcPr>
            <w:tcW w:w="1417" w:type="dxa"/>
            <w:vAlign w:val="center"/>
          </w:tcPr>
          <w:p w14:paraId="22F23C1B"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20</w:t>
            </w:r>
          </w:p>
        </w:tc>
        <w:tc>
          <w:tcPr>
            <w:tcW w:w="1276" w:type="dxa"/>
            <w:vAlign w:val="center"/>
          </w:tcPr>
          <w:p w14:paraId="41F89CAB" w14:textId="77777777" w:rsidR="00C95E68" w:rsidRPr="003D73C3" w:rsidRDefault="00C95E68" w:rsidP="009C4E50">
            <w:pPr>
              <w:spacing w:before="120"/>
              <w:jc w:val="center"/>
              <w:rPr>
                <w:rFonts w:ascii="Arial" w:hAnsi="Arial" w:cs="Arial"/>
                <w:sz w:val="16"/>
                <w:szCs w:val="18"/>
              </w:rPr>
            </w:pPr>
          </w:p>
        </w:tc>
        <w:tc>
          <w:tcPr>
            <w:tcW w:w="1099" w:type="dxa"/>
            <w:vAlign w:val="center"/>
          </w:tcPr>
          <w:p w14:paraId="799F2EB0" w14:textId="5539057C" w:rsidR="00C95E68" w:rsidRPr="003D73C3" w:rsidRDefault="0084512C" w:rsidP="009C4E50">
            <w:pPr>
              <w:spacing w:before="120"/>
              <w:jc w:val="center"/>
              <w:rPr>
                <w:rFonts w:ascii="Arial" w:hAnsi="Arial" w:cs="Arial"/>
                <w:sz w:val="16"/>
                <w:szCs w:val="18"/>
              </w:rPr>
            </w:pPr>
            <w:r>
              <w:rPr>
                <w:rFonts w:ascii="Arial" w:hAnsi="Arial" w:cs="Arial"/>
                <w:sz w:val="16"/>
                <w:szCs w:val="18"/>
              </w:rPr>
              <w:t>2.601</w:t>
            </w:r>
          </w:p>
        </w:tc>
      </w:tr>
      <w:tr w:rsidR="00C95E68" w:rsidRPr="00AF1200" w14:paraId="7BAB1B48" w14:textId="77777777" w:rsidTr="0058293D">
        <w:tc>
          <w:tcPr>
            <w:tcW w:w="959" w:type="dxa"/>
            <w:vMerge/>
            <w:vAlign w:val="center"/>
          </w:tcPr>
          <w:p w14:paraId="2266994C" w14:textId="77777777" w:rsidR="00C95E68" w:rsidRPr="003D73C3" w:rsidRDefault="00C95E68" w:rsidP="009C4E50">
            <w:pPr>
              <w:spacing w:before="120"/>
              <w:rPr>
                <w:rFonts w:ascii="Arial" w:hAnsi="Arial" w:cs="Arial"/>
                <w:b/>
                <w:sz w:val="16"/>
                <w:szCs w:val="18"/>
              </w:rPr>
            </w:pPr>
          </w:p>
        </w:tc>
        <w:tc>
          <w:tcPr>
            <w:tcW w:w="1063" w:type="dxa"/>
            <w:gridSpan w:val="2"/>
            <w:vAlign w:val="center"/>
          </w:tcPr>
          <w:p w14:paraId="5513BDEB"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 xml:space="preserve">Class 3 </w:t>
            </w:r>
          </w:p>
        </w:tc>
        <w:tc>
          <w:tcPr>
            <w:tcW w:w="1063" w:type="dxa"/>
            <w:vAlign w:val="center"/>
          </w:tcPr>
          <w:p w14:paraId="7169BAE2"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107.3</w:t>
            </w:r>
          </w:p>
        </w:tc>
        <w:tc>
          <w:tcPr>
            <w:tcW w:w="1134" w:type="dxa"/>
            <w:vAlign w:val="center"/>
          </w:tcPr>
          <w:p w14:paraId="00335A21"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4D15585D"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0.04</w:t>
            </w:r>
          </w:p>
        </w:tc>
        <w:tc>
          <w:tcPr>
            <w:tcW w:w="1417" w:type="dxa"/>
            <w:vAlign w:val="center"/>
          </w:tcPr>
          <w:p w14:paraId="46EBC05A"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5D3F1961" w14:textId="77777777" w:rsidR="00C95E68" w:rsidRPr="003D73C3" w:rsidRDefault="00C95E68" w:rsidP="009C4E50">
            <w:pPr>
              <w:spacing w:before="120"/>
              <w:jc w:val="center"/>
              <w:rPr>
                <w:rFonts w:ascii="Arial" w:hAnsi="Arial" w:cs="Arial"/>
                <w:sz w:val="16"/>
                <w:szCs w:val="18"/>
              </w:rPr>
            </w:pPr>
            <w:r w:rsidRPr="003D73C3">
              <w:rPr>
                <w:rFonts w:ascii="Arial" w:hAnsi="Arial" w:cs="Arial"/>
                <w:sz w:val="16"/>
                <w:szCs w:val="18"/>
              </w:rPr>
              <w:t>0.0043</w:t>
            </w:r>
          </w:p>
        </w:tc>
        <w:tc>
          <w:tcPr>
            <w:tcW w:w="1099" w:type="dxa"/>
            <w:vAlign w:val="center"/>
          </w:tcPr>
          <w:p w14:paraId="58BD9287" w14:textId="77777777" w:rsidR="00C95E68" w:rsidRPr="003D73C3" w:rsidRDefault="00C95E68" w:rsidP="009C4E50">
            <w:pPr>
              <w:spacing w:before="120"/>
              <w:jc w:val="center"/>
              <w:rPr>
                <w:rFonts w:ascii="Arial" w:hAnsi="Arial" w:cs="Arial"/>
                <w:sz w:val="16"/>
                <w:szCs w:val="18"/>
              </w:rPr>
            </w:pPr>
          </w:p>
        </w:tc>
      </w:tr>
      <w:tr w:rsidR="00C95E68" w:rsidRPr="00AF1200" w14:paraId="68450D2A" w14:textId="77777777" w:rsidTr="0058293D">
        <w:tc>
          <w:tcPr>
            <w:tcW w:w="959" w:type="dxa"/>
            <w:vMerge/>
            <w:vAlign w:val="center"/>
          </w:tcPr>
          <w:p w14:paraId="6E429BFB" w14:textId="77777777" w:rsidR="00C95E68" w:rsidRPr="003D73C3" w:rsidRDefault="00C95E68" w:rsidP="009C4E50">
            <w:pPr>
              <w:spacing w:before="120"/>
              <w:rPr>
                <w:rFonts w:ascii="Arial" w:hAnsi="Arial" w:cs="Arial"/>
                <w:b/>
                <w:sz w:val="16"/>
                <w:szCs w:val="18"/>
              </w:rPr>
            </w:pPr>
          </w:p>
        </w:tc>
        <w:tc>
          <w:tcPr>
            <w:tcW w:w="2126" w:type="dxa"/>
            <w:gridSpan w:val="3"/>
            <w:vAlign w:val="center"/>
          </w:tcPr>
          <w:p w14:paraId="0C66CB92" w14:textId="77777777" w:rsidR="00C95E68" w:rsidRPr="003D73C3" w:rsidRDefault="00C95E68" w:rsidP="009C4E50">
            <w:pPr>
              <w:spacing w:before="120"/>
              <w:jc w:val="center"/>
              <w:rPr>
                <w:rFonts w:ascii="Arial" w:hAnsi="Arial" w:cs="Arial"/>
                <w:sz w:val="16"/>
                <w:szCs w:val="18"/>
              </w:rPr>
            </w:pPr>
            <w:r w:rsidRPr="003D73C3">
              <w:rPr>
                <w:rFonts w:ascii="Arial" w:hAnsi="Arial" w:cs="Arial"/>
                <w:b/>
                <w:sz w:val="16"/>
                <w:szCs w:val="18"/>
              </w:rPr>
              <w:t>Total releases</w:t>
            </w:r>
          </w:p>
        </w:tc>
        <w:tc>
          <w:tcPr>
            <w:tcW w:w="1134" w:type="dxa"/>
            <w:vAlign w:val="center"/>
          </w:tcPr>
          <w:p w14:paraId="5E9C5C5B"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2F8FF15E" w14:textId="77777777" w:rsidR="00C95E68" w:rsidRPr="003D73C3" w:rsidRDefault="00C95E68" w:rsidP="009C4E50">
            <w:pPr>
              <w:spacing w:before="120"/>
              <w:jc w:val="center"/>
              <w:rPr>
                <w:rFonts w:ascii="Arial" w:hAnsi="Arial" w:cs="Arial"/>
                <w:sz w:val="16"/>
                <w:szCs w:val="18"/>
              </w:rPr>
            </w:pPr>
          </w:p>
        </w:tc>
        <w:tc>
          <w:tcPr>
            <w:tcW w:w="1417" w:type="dxa"/>
            <w:vAlign w:val="center"/>
          </w:tcPr>
          <w:p w14:paraId="402B629D" w14:textId="77777777" w:rsidR="00C95E68" w:rsidRPr="003D73C3" w:rsidRDefault="00C95E68" w:rsidP="009C4E50">
            <w:pPr>
              <w:spacing w:before="120"/>
              <w:jc w:val="center"/>
              <w:rPr>
                <w:rFonts w:ascii="Arial" w:hAnsi="Arial" w:cs="Arial"/>
                <w:sz w:val="16"/>
                <w:szCs w:val="18"/>
              </w:rPr>
            </w:pPr>
          </w:p>
        </w:tc>
        <w:tc>
          <w:tcPr>
            <w:tcW w:w="1276" w:type="dxa"/>
            <w:vAlign w:val="center"/>
          </w:tcPr>
          <w:p w14:paraId="5B72F51A" w14:textId="312BB7D2" w:rsidR="00C95E68" w:rsidRPr="003D73C3" w:rsidRDefault="00C95E68" w:rsidP="009C4E50">
            <w:pPr>
              <w:spacing w:before="120"/>
              <w:jc w:val="center"/>
              <w:rPr>
                <w:rFonts w:ascii="Arial" w:hAnsi="Arial" w:cs="Arial"/>
                <w:b/>
                <w:sz w:val="16"/>
                <w:szCs w:val="18"/>
              </w:rPr>
            </w:pPr>
            <w:r w:rsidRPr="003D73C3">
              <w:rPr>
                <w:rFonts w:ascii="Arial" w:hAnsi="Arial" w:cs="Arial"/>
                <w:b/>
                <w:sz w:val="16"/>
                <w:szCs w:val="18"/>
              </w:rPr>
              <w:t>0.09</w:t>
            </w:r>
            <w:r w:rsidR="00A05167" w:rsidRPr="003D73C3">
              <w:rPr>
                <w:rFonts w:ascii="Arial" w:hAnsi="Arial" w:cs="Arial"/>
                <w:b/>
                <w:sz w:val="16"/>
                <w:szCs w:val="18"/>
              </w:rPr>
              <w:t>43</w:t>
            </w:r>
          </w:p>
        </w:tc>
        <w:tc>
          <w:tcPr>
            <w:tcW w:w="1099" w:type="dxa"/>
            <w:vAlign w:val="center"/>
          </w:tcPr>
          <w:p w14:paraId="6431DF01" w14:textId="41823467" w:rsidR="00C95E68" w:rsidRPr="003D73C3" w:rsidRDefault="008311D1" w:rsidP="009C4E50">
            <w:pPr>
              <w:spacing w:before="120"/>
              <w:jc w:val="center"/>
              <w:rPr>
                <w:rFonts w:ascii="Arial" w:hAnsi="Arial" w:cs="Arial"/>
                <w:b/>
                <w:sz w:val="16"/>
                <w:szCs w:val="18"/>
              </w:rPr>
            </w:pPr>
            <w:r>
              <w:rPr>
                <w:rFonts w:ascii="Arial" w:hAnsi="Arial" w:cs="Arial"/>
                <w:b/>
                <w:sz w:val="16"/>
                <w:szCs w:val="18"/>
              </w:rPr>
              <w:t>2.601</w:t>
            </w:r>
          </w:p>
        </w:tc>
      </w:tr>
      <w:tr w:rsidR="0068141E" w:rsidRPr="00AF1200" w14:paraId="2FDAA095" w14:textId="77777777" w:rsidTr="009D45FD">
        <w:tc>
          <w:tcPr>
            <w:tcW w:w="959" w:type="dxa"/>
            <w:vMerge w:val="restart"/>
            <w:vAlign w:val="center"/>
          </w:tcPr>
          <w:p w14:paraId="375715CD" w14:textId="1302AC3E" w:rsidR="0068141E" w:rsidRPr="003D73C3" w:rsidRDefault="0068141E" w:rsidP="009C4E50">
            <w:pPr>
              <w:spacing w:before="120"/>
              <w:rPr>
                <w:rFonts w:ascii="Arial" w:hAnsi="Arial" w:cs="Arial"/>
                <w:b/>
                <w:sz w:val="16"/>
                <w:szCs w:val="18"/>
              </w:rPr>
            </w:pPr>
            <w:r w:rsidRPr="003D73C3">
              <w:rPr>
                <w:rFonts w:ascii="Arial" w:hAnsi="Arial" w:cs="Arial"/>
                <w:b/>
                <w:sz w:val="16"/>
                <w:szCs w:val="18"/>
              </w:rPr>
              <w:t>2020</w:t>
            </w:r>
          </w:p>
        </w:tc>
        <w:tc>
          <w:tcPr>
            <w:tcW w:w="1063" w:type="dxa"/>
            <w:gridSpan w:val="2"/>
            <w:vMerge w:val="restart"/>
            <w:vAlign w:val="center"/>
          </w:tcPr>
          <w:p w14:paraId="6D3137BD" w14:textId="6230D673" w:rsidR="0068141E" w:rsidRPr="003D73C3" w:rsidRDefault="0068141E" w:rsidP="009C4E50">
            <w:pPr>
              <w:spacing w:before="120"/>
              <w:jc w:val="center"/>
              <w:rPr>
                <w:rFonts w:ascii="Arial" w:hAnsi="Arial" w:cs="Arial"/>
                <w:b/>
                <w:sz w:val="16"/>
                <w:szCs w:val="18"/>
              </w:rPr>
            </w:pPr>
            <w:r w:rsidRPr="003D73C3">
              <w:rPr>
                <w:rFonts w:ascii="Arial" w:hAnsi="Arial" w:cs="Arial"/>
                <w:b/>
                <w:sz w:val="16"/>
                <w:szCs w:val="18"/>
              </w:rPr>
              <w:t>Class 2</w:t>
            </w:r>
          </w:p>
        </w:tc>
        <w:tc>
          <w:tcPr>
            <w:tcW w:w="1063" w:type="dxa"/>
            <w:vAlign w:val="center"/>
          </w:tcPr>
          <w:p w14:paraId="22EC1EB5" w14:textId="4A4E3875" w:rsidR="0068141E" w:rsidRPr="003D73C3" w:rsidRDefault="00835652" w:rsidP="009C4E50">
            <w:pPr>
              <w:spacing w:before="120"/>
              <w:jc w:val="center"/>
              <w:rPr>
                <w:rFonts w:ascii="Arial" w:hAnsi="Arial" w:cs="Arial"/>
                <w:b/>
                <w:sz w:val="16"/>
                <w:szCs w:val="18"/>
              </w:rPr>
            </w:pPr>
            <w:r w:rsidRPr="003D73C3">
              <w:rPr>
                <w:rFonts w:ascii="Arial" w:hAnsi="Arial" w:cs="Arial"/>
                <w:b/>
                <w:sz w:val="16"/>
                <w:szCs w:val="18"/>
              </w:rPr>
              <w:t>497.2</w:t>
            </w:r>
          </w:p>
        </w:tc>
        <w:tc>
          <w:tcPr>
            <w:tcW w:w="1134" w:type="dxa"/>
            <w:vAlign w:val="center"/>
          </w:tcPr>
          <w:p w14:paraId="5762D94C"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063726C2" w14:textId="4D72B70C" w:rsidR="0068141E" w:rsidRPr="003D73C3" w:rsidRDefault="00835652" w:rsidP="009C4E50">
            <w:pPr>
              <w:spacing w:before="120"/>
              <w:jc w:val="center"/>
              <w:rPr>
                <w:rFonts w:ascii="Arial" w:hAnsi="Arial" w:cs="Arial"/>
                <w:sz w:val="16"/>
                <w:szCs w:val="18"/>
              </w:rPr>
            </w:pPr>
            <w:r w:rsidRPr="003D73C3">
              <w:rPr>
                <w:rFonts w:ascii="Arial" w:hAnsi="Arial" w:cs="Arial"/>
                <w:sz w:val="16"/>
                <w:szCs w:val="18"/>
              </w:rPr>
              <w:t>0.2</w:t>
            </w:r>
          </w:p>
        </w:tc>
        <w:tc>
          <w:tcPr>
            <w:tcW w:w="1417" w:type="dxa"/>
            <w:vAlign w:val="center"/>
          </w:tcPr>
          <w:p w14:paraId="0CD69468"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1F08088A" w14:textId="089B9FCC" w:rsidR="0068141E" w:rsidRPr="003D73C3" w:rsidRDefault="000E7FB5" w:rsidP="009C4E50">
            <w:pPr>
              <w:spacing w:before="120"/>
              <w:jc w:val="center"/>
              <w:rPr>
                <w:rFonts w:ascii="Arial" w:hAnsi="Arial" w:cs="Arial"/>
                <w:b/>
                <w:sz w:val="16"/>
                <w:szCs w:val="18"/>
              </w:rPr>
            </w:pPr>
            <w:r w:rsidRPr="003D73C3">
              <w:rPr>
                <w:rFonts w:ascii="Arial" w:hAnsi="Arial" w:cs="Arial"/>
                <w:b/>
                <w:sz w:val="16"/>
                <w:szCs w:val="18"/>
              </w:rPr>
              <w:t>0.0994</w:t>
            </w:r>
          </w:p>
        </w:tc>
        <w:tc>
          <w:tcPr>
            <w:tcW w:w="1099" w:type="dxa"/>
            <w:vAlign w:val="center"/>
          </w:tcPr>
          <w:p w14:paraId="123C56CD" w14:textId="77777777" w:rsidR="0068141E" w:rsidRPr="003D73C3" w:rsidRDefault="0068141E" w:rsidP="009C4E50">
            <w:pPr>
              <w:spacing w:before="120"/>
              <w:jc w:val="center"/>
              <w:rPr>
                <w:rFonts w:ascii="Arial" w:hAnsi="Arial" w:cs="Arial"/>
                <w:b/>
                <w:sz w:val="16"/>
                <w:szCs w:val="18"/>
              </w:rPr>
            </w:pPr>
          </w:p>
        </w:tc>
      </w:tr>
      <w:tr w:rsidR="0068141E" w:rsidRPr="00AF1200" w14:paraId="431BDEFF" w14:textId="77777777" w:rsidTr="009D45FD">
        <w:tc>
          <w:tcPr>
            <w:tcW w:w="959" w:type="dxa"/>
            <w:vMerge/>
            <w:vAlign w:val="center"/>
          </w:tcPr>
          <w:p w14:paraId="521AFE4E" w14:textId="77777777" w:rsidR="0068141E" w:rsidRPr="003D73C3" w:rsidRDefault="0068141E" w:rsidP="009C4E50">
            <w:pPr>
              <w:spacing w:before="120"/>
              <w:rPr>
                <w:rFonts w:ascii="Arial" w:hAnsi="Arial" w:cs="Arial"/>
                <w:b/>
                <w:sz w:val="16"/>
                <w:szCs w:val="18"/>
              </w:rPr>
            </w:pPr>
          </w:p>
        </w:tc>
        <w:tc>
          <w:tcPr>
            <w:tcW w:w="1063" w:type="dxa"/>
            <w:gridSpan w:val="2"/>
            <w:vMerge/>
            <w:vAlign w:val="center"/>
          </w:tcPr>
          <w:p w14:paraId="378CCC51" w14:textId="77777777" w:rsidR="0068141E" w:rsidRPr="003D73C3" w:rsidRDefault="0068141E" w:rsidP="009C4E50">
            <w:pPr>
              <w:spacing w:before="120"/>
              <w:jc w:val="center"/>
              <w:rPr>
                <w:rFonts w:ascii="Arial" w:hAnsi="Arial" w:cs="Arial"/>
                <w:b/>
                <w:sz w:val="16"/>
                <w:szCs w:val="18"/>
              </w:rPr>
            </w:pPr>
          </w:p>
        </w:tc>
        <w:tc>
          <w:tcPr>
            <w:tcW w:w="1063" w:type="dxa"/>
            <w:vAlign w:val="center"/>
          </w:tcPr>
          <w:p w14:paraId="709AE41A" w14:textId="0C266211" w:rsidR="0068141E" w:rsidRPr="003D73C3" w:rsidRDefault="0068141E" w:rsidP="009C4E50">
            <w:pPr>
              <w:spacing w:before="120"/>
              <w:jc w:val="center"/>
              <w:rPr>
                <w:rFonts w:ascii="Arial" w:hAnsi="Arial" w:cs="Arial"/>
                <w:b/>
                <w:sz w:val="16"/>
                <w:szCs w:val="18"/>
              </w:rPr>
            </w:pPr>
          </w:p>
        </w:tc>
        <w:tc>
          <w:tcPr>
            <w:tcW w:w="1134" w:type="dxa"/>
            <w:vAlign w:val="center"/>
          </w:tcPr>
          <w:p w14:paraId="012DBD9F" w14:textId="6572B6D3" w:rsidR="0068141E" w:rsidRPr="003D73C3" w:rsidRDefault="008311D1" w:rsidP="009C4E50">
            <w:pPr>
              <w:spacing w:before="120"/>
              <w:jc w:val="center"/>
              <w:rPr>
                <w:rFonts w:ascii="Arial" w:hAnsi="Arial" w:cs="Arial"/>
                <w:sz w:val="16"/>
                <w:szCs w:val="18"/>
              </w:rPr>
            </w:pPr>
            <w:r>
              <w:rPr>
                <w:rFonts w:ascii="Arial" w:hAnsi="Arial" w:cs="Arial"/>
                <w:sz w:val="16"/>
                <w:szCs w:val="18"/>
              </w:rPr>
              <w:t>140,439</w:t>
            </w:r>
          </w:p>
        </w:tc>
        <w:tc>
          <w:tcPr>
            <w:tcW w:w="1276" w:type="dxa"/>
            <w:vAlign w:val="center"/>
          </w:tcPr>
          <w:p w14:paraId="52D0401F" w14:textId="77777777" w:rsidR="0068141E" w:rsidRPr="003D73C3" w:rsidRDefault="0068141E" w:rsidP="009C4E50">
            <w:pPr>
              <w:spacing w:before="120"/>
              <w:jc w:val="center"/>
              <w:rPr>
                <w:rFonts w:ascii="Arial" w:hAnsi="Arial" w:cs="Arial"/>
                <w:sz w:val="16"/>
                <w:szCs w:val="18"/>
              </w:rPr>
            </w:pPr>
          </w:p>
        </w:tc>
        <w:tc>
          <w:tcPr>
            <w:tcW w:w="1417" w:type="dxa"/>
            <w:vAlign w:val="center"/>
          </w:tcPr>
          <w:p w14:paraId="1A38CA6B" w14:textId="22533BFD" w:rsidR="0068141E" w:rsidRPr="003D73C3" w:rsidRDefault="00835652" w:rsidP="009C4E50">
            <w:pPr>
              <w:spacing w:before="120"/>
              <w:jc w:val="center"/>
              <w:rPr>
                <w:rFonts w:ascii="Arial" w:hAnsi="Arial" w:cs="Arial"/>
                <w:sz w:val="16"/>
                <w:szCs w:val="18"/>
              </w:rPr>
            </w:pPr>
            <w:r w:rsidRPr="003D73C3">
              <w:rPr>
                <w:rFonts w:ascii="Arial" w:hAnsi="Arial" w:cs="Arial"/>
                <w:sz w:val="16"/>
                <w:szCs w:val="18"/>
              </w:rPr>
              <w:t>20</w:t>
            </w:r>
          </w:p>
        </w:tc>
        <w:tc>
          <w:tcPr>
            <w:tcW w:w="1276" w:type="dxa"/>
            <w:vAlign w:val="center"/>
          </w:tcPr>
          <w:p w14:paraId="0FBA320E" w14:textId="77777777" w:rsidR="0068141E" w:rsidRPr="003D73C3" w:rsidRDefault="0068141E" w:rsidP="009C4E50">
            <w:pPr>
              <w:spacing w:before="120"/>
              <w:jc w:val="center"/>
              <w:rPr>
                <w:rFonts w:ascii="Arial" w:hAnsi="Arial" w:cs="Arial"/>
                <w:b/>
                <w:sz w:val="16"/>
                <w:szCs w:val="18"/>
              </w:rPr>
            </w:pPr>
          </w:p>
        </w:tc>
        <w:tc>
          <w:tcPr>
            <w:tcW w:w="1099" w:type="dxa"/>
            <w:vAlign w:val="center"/>
          </w:tcPr>
          <w:p w14:paraId="751F0BFD" w14:textId="1F0CD260" w:rsidR="0068141E" w:rsidRPr="003D73C3" w:rsidRDefault="008311D1" w:rsidP="009C4E50">
            <w:pPr>
              <w:spacing w:before="120"/>
              <w:jc w:val="center"/>
              <w:rPr>
                <w:rFonts w:ascii="Arial" w:hAnsi="Arial" w:cs="Arial"/>
                <w:b/>
                <w:sz w:val="16"/>
                <w:szCs w:val="18"/>
              </w:rPr>
            </w:pPr>
            <w:r>
              <w:rPr>
                <w:rFonts w:ascii="Arial" w:hAnsi="Arial" w:cs="Arial"/>
                <w:b/>
                <w:sz w:val="16"/>
                <w:szCs w:val="18"/>
              </w:rPr>
              <w:t>2.809</w:t>
            </w:r>
          </w:p>
        </w:tc>
      </w:tr>
      <w:tr w:rsidR="0068141E" w:rsidRPr="00AF1200" w14:paraId="5FFD83D1" w14:textId="77777777" w:rsidTr="009D45FD">
        <w:tc>
          <w:tcPr>
            <w:tcW w:w="959" w:type="dxa"/>
            <w:vMerge/>
            <w:vAlign w:val="center"/>
          </w:tcPr>
          <w:p w14:paraId="7FA8B8A1" w14:textId="77777777" w:rsidR="0068141E" w:rsidRPr="003D73C3" w:rsidRDefault="0068141E" w:rsidP="009C4E50">
            <w:pPr>
              <w:spacing w:before="120"/>
              <w:rPr>
                <w:rFonts w:ascii="Arial" w:hAnsi="Arial" w:cs="Arial"/>
                <w:b/>
                <w:sz w:val="16"/>
                <w:szCs w:val="18"/>
              </w:rPr>
            </w:pPr>
          </w:p>
        </w:tc>
        <w:tc>
          <w:tcPr>
            <w:tcW w:w="1063" w:type="dxa"/>
            <w:gridSpan w:val="2"/>
            <w:vAlign w:val="center"/>
          </w:tcPr>
          <w:p w14:paraId="2A2AB2EA" w14:textId="0A6AF226" w:rsidR="0068141E" w:rsidRPr="003D73C3" w:rsidRDefault="0068141E" w:rsidP="009C4E50">
            <w:pPr>
              <w:spacing w:before="120"/>
              <w:jc w:val="center"/>
              <w:rPr>
                <w:rFonts w:ascii="Arial" w:hAnsi="Arial" w:cs="Arial"/>
                <w:b/>
                <w:sz w:val="16"/>
                <w:szCs w:val="18"/>
              </w:rPr>
            </w:pPr>
            <w:r w:rsidRPr="003D73C3">
              <w:rPr>
                <w:rFonts w:ascii="Arial" w:hAnsi="Arial" w:cs="Arial"/>
                <w:b/>
                <w:sz w:val="16"/>
                <w:szCs w:val="18"/>
              </w:rPr>
              <w:t>Class 3</w:t>
            </w:r>
          </w:p>
        </w:tc>
        <w:tc>
          <w:tcPr>
            <w:tcW w:w="1063" w:type="dxa"/>
            <w:vAlign w:val="center"/>
          </w:tcPr>
          <w:p w14:paraId="06BFE8F6" w14:textId="518E297E" w:rsidR="0068141E" w:rsidRPr="003D73C3" w:rsidRDefault="00835652" w:rsidP="009C4E50">
            <w:pPr>
              <w:spacing w:before="120"/>
              <w:jc w:val="center"/>
              <w:rPr>
                <w:rFonts w:ascii="Arial" w:hAnsi="Arial" w:cs="Arial"/>
                <w:b/>
                <w:sz w:val="16"/>
                <w:szCs w:val="18"/>
              </w:rPr>
            </w:pPr>
            <w:r w:rsidRPr="003D73C3">
              <w:rPr>
                <w:rFonts w:ascii="Arial" w:hAnsi="Arial" w:cs="Arial"/>
                <w:b/>
                <w:sz w:val="16"/>
                <w:szCs w:val="18"/>
              </w:rPr>
              <w:t>132.1</w:t>
            </w:r>
          </w:p>
        </w:tc>
        <w:tc>
          <w:tcPr>
            <w:tcW w:w="1134" w:type="dxa"/>
            <w:vAlign w:val="center"/>
          </w:tcPr>
          <w:p w14:paraId="0B58CB36"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68787FAD" w14:textId="7B86D3A3" w:rsidR="0068141E" w:rsidRPr="003D73C3" w:rsidRDefault="00835652" w:rsidP="009C4E50">
            <w:pPr>
              <w:spacing w:before="120"/>
              <w:jc w:val="center"/>
              <w:rPr>
                <w:rFonts w:ascii="Arial" w:hAnsi="Arial" w:cs="Arial"/>
                <w:sz w:val="16"/>
                <w:szCs w:val="18"/>
              </w:rPr>
            </w:pPr>
            <w:r w:rsidRPr="003D73C3">
              <w:rPr>
                <w:rFonts w:ascii="Arial" w:hAnsi="Arial" w:cs="Arial"/>
                <w:sz w:val="16"/>
                <w:szCs w:val="18"/>
              </w:rPr>
              <w:t>0.04</w:t>
            </w:r>
          </w:p>
        </w:tc>
        <w:tc>
          <w:tcPr>
            <w:tcW w:w="1417" w:type="dxa"/>
            <w:vAlign w:val="center"/>
          </w:tcPr>
          <w:p w14:paraId="71C6FE5D"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7A1932EA" w14:textId="2F963800" w:rsidR="0068141E" w:rsidRPr="003D73C3" w:rsidRDefault="000E7FB5" w:rsidP="009C4E50">
            <w:pPr>
              <w:spacing w:before="120"/>
              <w:jc w:val="center"/>
              <w:rPr>
                <w:rFonts w:ascii="Arial" w:hAnsi="Arial" w:cs="Arial"/>
                <w:b/>
                <w:sz w:val="16"/>
                <w:szCs w:val="18"/>
              </w:rPr>
            </w:pPr>
            <w:r w:rsidRPr="003D73C3">
              <w:rPr>
                <w:rFonts w:ascii="Arial" w:hAnsi="Arial" w:cs="Arial"/>
                <w:b/>
                <w:sz w:val="16"/>
                <w:szCs w:val="18"/>
              </w:rPr>
              <w:t>0.00528</w:t>
            </w:r>
          </w:p>
        </w:tc>
        <w:tc>
          <w:tcPr>
            <w:tcW w:w="1099" w:type="dxa"/>
            <w:vAlign w:val="center"/>
          </w:tcPr>
          <w:p w14:paraId="33C32209" w14:textId="77777777" w:rsidR="0068141E" w:rsidRPr="003D73C3" w:rsidRDefault="0068141E" w:rsidP="009C4E50">
            <w:pPr>
              <w:spacing w:before="120"/>
              <w:jc w:val="center"/>
              <w:rPr>
                <w:rFonts w:ascii="Arial" w:hAnsi="Arial" w:cs="Arial"/>
                <w:b/>
                <w:sz w:val="16"/>
                <w:szCs w:val="18"/>
              </w:rPr>
            </w:pPr>
          </w:p>
        </w:tc>
      </w:tr>
      <w:tr w:rsidR="0068141E" w:rsidRPr="00AF1200" w14:paraId="4BEFF3B5" w14:textId="77777777" w:rsidTr="0058293D">
        <w:tc>
          <w:tcPr>
            <w:tcW w:w="959" w:type="dxa"/>
            <w:vMerge/>
            <w:vAlign w:val="center"/>
          </w:tcPr>
          <w:p w14:paraId="17796257" w14:textId="77777777" w:rsidR="0068141E" w:rsidRPr="003D73C3" w:rsidRDefault="0068141E" w:rsidP="009C4E50">
            <w:pPr>
              <w:spacing w:before="120"/>
              <w:rPr>
                <w:rFonts w:ascii="Arial" w:hAnsi="Arial" w:cs="Arial"/>
                <w:b/>
                <w:sz w:val="16"/>
                <w:szCs w:val="18"/>
              </w:rPr>
            </w:pPr>
          </w:p>
        </w:tc>
        <w:tc>
          <w:tcPr>
            <w:tcW w:w="2126" w:type="dxa"/>
            <w:gridSpan w:val="3"/>
            <w:vAlign w:val="center"/>
          </w:tcPr>
          <w:p w14:paraId="26BE63E5" w14:textId="64B0E3AF" w:rsidR="0068141E" w:rsidRPr="003D73C3" w:rsidRDefault="0068141E" w:rsidP="009C4E50">
            <w:pPr>
              <w:spacing w:before="120"/>
              <w:jc w:val="center"/>
              <w:rPr>
                <w:rFonts w:ascii="Arial" w:hAnsi="Arial" w:cs="Arial"/>
                <w:b/>
                <w:sz w:val="16"/>
                <w:szCs w:val="18"/>
              </w:rPr>
            </w:pPr>
            <w:r w:rsidRPr="003D73C3">
              <w:rPr>
                <w:rFonts w:ascii="Arial" w:hAnsi="Arial" w:cs="Arial"/>
                <w:b/>
                <w:sz w:val="16"/>
                <w:szCs w:val="18"/>
              </w:rPr>
              <w:t>Total releases</w:t>
            </w:r>
          </w:p>
        </w:tc>
        <w:tc>
          <w:tcPr>
            <w:tcW w:w="1134" w:type="dxa"/>
            <w:vAlign w:val="center"/>
          </w:tcPr>
          <w:p w14:paraId="710B1C2F"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524528AA" w14:textId="77777777" w:rsidR="0068141E" w:rsidRPr="003D73C3" w:rsidRDefault="0068141E" w:rsidP="009C4E50">
            <w:pPr>
              <w:spacing w:before="120"/>
              <w:jc w:val="center"/>
              <w:rPr>
                <w:rFonts w:ascii="Arial" w:hAnsi="Arial" w:cs="Arial"/>
                <w:sz w:val="16"/>
                <w:szCs w:val="18"/>
              </w:rPr>
            </w:pPr>
          </w:p>
        </w:tc>
        <w:tc>
          <w:tcPr>
            <w:tcW w:w="1417" w:type="dxa"/>
            <w:vAlign w:val="center"/>
          </w:tcPr>
          <w:p w14:paraId="4235E9AF" w14:textId="77777777" w:rsidR="0068141E" w:rsidRPr="003D73C3" w:rsidRDefault="0068141E" w:rsidP="009C4E50">
            <w:pPr>
              <w:spacing w:before="120"/>
              <w:jc w:val="center"/>
              <w:rPr>
                <w:rFonts w:ascii="Arial" w:hAnsi="Arial" w:cs="Arial"/>
                <w:sz w:val="16"/>
                <w:szCs w:val="18"/>
              </w:rPr>
            </w:pPr>
          </w:p>
        </w:tc>
        <w:tc>
          <w:tcPr>
            <w:tcW w:w="1276" w:type="dxa"/>
            <w:vAlign w:val="center"/>
          </w:tcPr>
          <w:p w14:paraId="2952B5F1" w14:textId="7331A50D" w:rsidR="0068141E" w:rsidRPr="003D73C3" w:rsidRDefault="00A05167" w:rsidP="009C4E50">
            <w:pPr>
              <w:spacing w:before="120"/>
              <w:jc w:val="center"/>
              <w:rPr>
                <w:rFonts w:ascii="Arial" w:hAnsi="Arial" w:cs="Arial"/>
                <w:b/>
                <w:sz w:val="16"/>
                <w:szCs w:val="18"/>
              </w:rPr>
            </w:pPr>
            <w:r w:rsidRPr="003D73C3">
              <w:rPr>
                <w:rFonts w:ascii="Arial" w:hAnsi="Arial" w:cs="Arial"/>
                <w:b/>
                <w:sz w:val="16"/>
                <w:szCs w:val="18"/>
              </w:rPr>
              <w:t>0.105</w:t>
            </w:r>
          </w:p>
        </w:tc>
        <w:tc>
          <w:tcPr>
            <w:tcW w:w="1099" w:type="dxa"/>
            <w:vAlign w:val="center"/>
          </w:tcPr>
          <w:p w14:paraId="651AB072" w14:textId="76D07DCA" w:rsidR="0068141E" w:rsidRPr="003D73C3" w:rsidRDefault="008311D1" w:rsidP="009C4E50">
            <w:pPr>
              <w:spacing w:before="120"/>
              <w:jc w:val="center"/>
              <w:rPr>
                <w:rFonts w:ascii="Arial" w:hAnsi="Arial" w:cs="Arial"/>
                <w:b/>
                <w:sz w:val="16"/>
                <w:szCs w:val="18"/>
              </w:rPr>
            </w:pPr>
            <w:r>
              <w:rPr>
                <w:rFonts w:ascii="Arial" w:hAnsi="Arial" w:cs="Arial"/>
                <w:b/>
                <w:sz w:val="16"/>
                <w:szCs w:val="18"/>
              </w:rPr>
              <w:t>2.809</w:t>
            </w:r>
          </w:p>
        </w:tc>
      </w:tr>
    </w:tbl>
    <w:p w14:paraId="73722762" w14:textId="0DDBB34B" w:rsidR="0058293D" w:rsidRPr="003D73C3" w:rsidRDefault="0058293D" w:rsidP="0058293D">
      <w:pPr>
        <w:tabs>
          <w:tab w:val="left" w:pos="2760"/>
        </w:tabs>
        <w:spacing w:before="120" w:line="300" w:lineRule="atLeast"/>
        <w:jc w:val="both"/>
        <w:rPr>
          <w:rFonts w:ascii="Arial" w:hAnsi="Arial" w:cs="Arial"/>
          <w:b/>
          <w:szCs w:val="18"/>
        </w:rPr>
      </w:pPr>
      <w:r w:rsidRPr="003D73C3">
        <w:rPr>
          <w:rFonts w:ascii="Arial" w:hAnsi="Arial" w:cs="Arial"/>
          <w:b/>
          <w:szCs w:val="18"/>
        </w:rPr>
        <w:t>Back calculation for 2012 and 2016 Residues</w:t>
      </w:r>
    </w:p>
    <w:p w14:paraId="2878014B" w14:textId="28C2C94A" w:rsidR="0058293D" w:rsidRPr="003D73C3" w:rsidRDefault="4E195538" w:rsidP="0058293D">
      <w:pPr>
        <w:spacing w:line="300" w:lineRule="atLeast"/>
        <w:jc w:val="both"/>
      </w:pPr>
      <w:r>
        <w:t>The residue (sewage sludge) activities for 2012 and 2016 have undergone a back calculation to correct anomalies</w:t>
      </w:r>
      <w:r w:rsidR="5D18A6A2">
        <w:t xml:space="preserve"> associated with the previous method of estimating sludge production. It is now realised that dewatered sludge can contain significant amounts of moisture and is therefore </w:t>
      </w:r>
      <w:bookmarkStart w:id="454" w:name="_Int_L3mEDYy5"/>
      <w:r w:rsidR="5D18A6A2">
        <w:t>different from</w:t>
      </w:r>
      <w:bookmarkEnd w:id="454"/>
      <w:r w:rsidR="5D18A6A2">
        <w:t xml:space="preserve"> dry sludge. This will have led to an over estimation of dioxin releases for residues</w:t>
      </w:r>
      <w:r w:rsidR="1DDDF484">
        <w:t xml:space="preserve"> for 2012 and 2016.</w:t>
      </w:r>
      <w:r w:rsidR="329E516A">
        <w:t xml:space="preserve"> In addition, previous estimates were based on theoretical sludge production rather than actual quantities. </w:t>
      </w:r>
      <w:r w:rsidR="2104405D">
        <w:t>Although the current estimate is based on sludge output from a single wastewater treatment plant, the sludge is well characterised and is representative of 20% of the population.</w:t>
      </w:r>
    </w:p>
    <w:p w14:paraId="56C81659" w14:textId="734625F7" w:rsidR="0058293D" w:rsidRPr="003D73C3" w:rsidRDefault="00404040" w:rsidP="003D73C3">
      <w:pPr>
        <w:spacing w:line="300" w:lineRule="atLeast"/>
        <w:jc w:val="both"/>
        <w:rPr>
          <w:bCs/>
          <w:szCs w:val="18"/>
        </w:rPr>
      </w:pPr>
      <w:r w:rsidRPr="003D73C3">
        <w:rPr>
          <w:bCs/>
          <w:szCs w:val="18"/>
        </w:rPr>
        <w:t xml:space="preserve">The procedure adopted for back calculation is to use 2020 sludge values and apply a correction factor which is the ratio of national population at the time divided by national population in 2020. </w:t>
      </w:r>
    </w:p>
    <w:p w14:paraId="5705BC3A" w14:textId="7C55F0DF" w:rsidR="00C95E68" w:rsidRPr="003D73C3" w:rsidRDefault="00C95E68" w:rsidP="00C95E68">
      <w:pPr>
        <w:tabs>
          <w:tab w:val="left" w:pos="2760"/>
        </w:tabs>
        <w:spacing w:before="120" w:line="300" w:lineRule="atLeast"/>
        <w:jc w:val="both"/>
        <w:rPr>
          <w:rFonts w:ascii="Arial" w:hAnsi="Arial" w:cs="Arial"/>
          <w:b/>
          <w:szCs w:val="18"/>
        </w:rPr>
      </w:pPr>
      <w:r w:rsidRPr="003D73C3">
        <w:rPr>
          <w:rFonts w:ascii="Arial" w:hAnsi="Arial" w:cs="Arial"/>
          <w:b/>
          <w:szCs w:val="18"/>
        </w:rPr>
        <w:t xml:space="preserve">Certainty assessment for </w:t>
      </w:r>
      <w:r w:rsidR="00404040" w:rsidRPr="003D73C3">
        <w:rPr>
          <w:rFonts w:ascii="Arial" w:hAnsi="Arial" w:cs="Arial"/>
          <w:b/>
          <w:szCs w:val="18"/>
        </w:rPr>
        <w:t>2020</w:t>
      </w:r>
    </w:p>
    <w:p w14:paraId="1212DEB4" w14:textId="77777777" w:rsidR="00C95E68" w:rsidRPr="003D73C3" w:rsidRDefault="00C95E68" w:rsidP="00C95E68">
      <w:pPr>
        <w:tabs>
          <w:tab w:val="left" w:pos="1701"/>
        </w:tabs>
        <w:spacing w:after="0" w:line="300" w:lineRule="atLeast"/>
        <w:ind w:left="1701" w:hanging="1701"/>
        <w:jc w:val="both"/>
        <w:rPr>
          <w:szCs w:val="18"/>
        </w:rPr>
      </w:pPr>
      <w:r w:rsidRPr="003D73C3">
        <w:rPr>
          <w:szCs w:val="18"/>
        </w:rPr>
        <w:t xml:space="preserve">Activity data: </w:t>
      </w:r>
      <w:r w:rsidRPr="003D73C3">
        <w:rPr>
          <w:szCs w:val="18"/>
        </w:rPr>
        <w:tab/>
        <w:t>Medium (because they are based on national estimates, rather than complete data)</w:t>
      </w:r>
    </w:p>
    <w:p w14:paraId="78F66CDD" w14:textId="5C9EE657" w:rsidR="00A05167" w:rsidRPr="003D73C3" w:rsidRDefault="00C95E68" w:rsidP="00C95E68">
      <w:pPr>
        <w:tabs>
          <w:tab w:val="left" w:pos="1701"/>
        </w:tabs>
        <w:spacing w:line="300" w:lineRule="atLeast"/>
        <w:ind w:left="1701" w:hanging="1701"/>
        <w:jc w:val="both"/>
        <w:rPr>
          <w:szCs w:val="18"/>
        </w:rPr>
      </w:pPr>
      <w:r w:rsidRPr="003D73C3">
        <w:rPr>
          <w:szCs w:val="18"/>
        </w:rPr>
        <w:t xml:space="preserve">Emission factor: </w:t>
      </w:r>
      <w:r w:rsidRPr="003D73C3">
        <w:rPr>
          <w:szCs w:val="18"/>
        </w:rPr>
        <w:tab/>
        <w:t>Low (because they are based on the Toolkit default factors).</w:t>
      </w:r>
    </w:p>
    <w:p w14:paraId="56F782D4" w14:textId="77777777" w:rsidR="00A05167" w:rsidRDefault="00A05167">
      <w:pPr>
        <w:spacing w:after="0"/>
        <w:rPr>
          <w:szCs w:val="18"/>
          <w:highlight w:val="yellow"/>
        </w:rPr>
      </w:pPr>
      <w:r>
        <w:rPr>
          <w:szCs w:val="18"/>
          <w:highlight w:val="yellow"/>
        </w:rPr>
        <w:br w:type="page"/>
      </w:r>
    </w:p>
    <w:p w14:paraId="1FF5356A" w14:textId="77777777" w:rsidR="006761D2" w:rsidRPr="003D73C3" w:rsidRDefault="006761D2" w:rsidP="00261F78">
      <w:pPr>
        <w:pStyle w:val="Heading2"/>
      </w:pPr>
      <w:bookmarkStart w:id="455" w:name="_Toc112768164"/>
      <w:r w:rsidRPr="003D73C3">
        <w:lastRenderedPageBreak/>
        <w:t>Open water dumping</w:t>
      </w:r>
      <w:bookmarkEnd w:id="455"/>
    </w:p>
    <w:p w14:paraId="1D0EDF74" w14:textId="47AF3691" w:rsidR="006761D2" w:rsidRPr="003D73C3" w:rsidRDefault="24854215" w:rsidP="006761D2">
      <w:pPr>
        <w:spacing w:line="300" w:lineRule="atLeast"/>
        <w:jc w:val="both"/>
      </w:pPr>
      <w:r>
        <w:t xml:space="preserve">This Toolkit source category refers to the practice of discharging untreated wastewater or other liquid wastes directly into surface waters, such as streams, rivers, </w:t>
      </w:r>
      <w:bookmarkStart w:id="456" w:name="_Int_nvWrlhbS"/>
      <w:r>
        <w:t>lakes,</w:t>
      </w:r>
      <w:bookmarkEnd w:id="456"/>
      <w:r>
        <w:t xml:space="preserve"> or the sea. It was not considered for inclusion in the report on the 2008 Inventory, mainly because of the unavailability of any relevant data.</w:t>
      </w:r>
    </w:p>
    <w:p w14:paraId="5E9F249A" w14:textId="0A665918" w:rsidR="006761D2" w:rsidRPr="003D73C3" w:rsidRDefault="24854215" w:rsidP="006761D2">
      <w:pPr>
        <w:spacing w:line="300" w:lineRule="atLeast"/>
        <w:jc w:val="both"/>
      </w:pPr>
      <w:r>
        <w:t xml:space="preserve">New Zealand has 425,000 kilometres of rivers and streams, almost 4,000 lakes that are larger than 1 hectare, and about 200 aquifers </w:t>
      </w:r>
      <w:r w:rsidR="0DD904CD" w:rsidRPr="0C34660A">
        <w:rPr>
          <w:noProof/>
        </w:rPr>
        <w:t>(Ministry for the Environment, 2008a)</w:t>
      </w:r>
      <w:r>
        <w:t xml:space="preserve">. Water quality is </w:t>
      </w:r>
      <w:bookmarkStart w:id="457" w:name="_Int_T5eGtNx8"/>
      <w:r>
        <w:t>generally poorest</w:t>
      </w:r>
      <w:bookmarkEnd w:id="457"/>
      <w:r>
        <w:t xml:space="preserve"> in rivers and streams in urban and farmed catchments and in coastal areas adjacent to urban centres. This reﬂects the impact of non-point-sources of pollution, such as urban stormwater, animal efﬂuent, or fertiliser run-off. Urban stormwater is the </w:t>
      </w:r>
      <w:bookmarkStart w:id="458" w:name="_Int_Vxb0aEjx"/>
      <w:r>
        <w:t>most likely of</w:t>
      </w:r>
      <w:bookmarkEnd w:id="458"/>
      <w:r>
        <w:t xml:space="preserve"> these to be contaminated with dioxins. However, it would be almost impossible to determine stormwater volumes on a national basis, or their </w:t>
      </w:r>
      <w:bookmarkStart w:id="459" w:name="_Int_N3Mz41Sr"/>
      <w:r>
        <w:t>likely contamination</w:t>
      </w:r>
      <w:bookmarkEnd w:id="459"/>
      <w:r>
        <w:t xml:space="preserve"> levels, with any reasonable degree of accuracy. In addition, the most significant dioxin contributions should have already been accounted for under other environmental compartments, especially air and land. Similarly, the most significant point source discharges should have already been accounted for under other source sub-categories (</w:t>
      </w:r>
      <w:r w:rsidR="00342E3A">
        <w:t xml:space="preserve">eg, </w:t>
      </w:r>
      <w:r>
        <w:t xml:space="preserve">WWTP effluents). </w:t>
      </w:r>
    </w:p>
    <w:p w14:paraId="1A4C2261" w14:textId="54B90136" w:rsidR="006761D2" w:rsidRPr="003D73C3" w:rsidRDefault="24854215" w:rsidP="006761D2">
      <w:pPr>
        <w:spacing w:line="300" w:lineRule="atLeast"/>
        <w:jc w:val="both"/>
      </w:pPr>
      <w:r>
        <w:t xml:space="preserve">Waste discharges within New Zealand’s </w:t>
      </w:r>
      <w:r w:rsidR="341CF65A">
        <w:t>exclusive economic zone</w:t>
      </w:r>
      <w:r>
        <w:t xml:space="preserve"> are controlled by Maritime New Zealand, in accordance with standards derived from the 1996 Protocol to the International Convention on the Prevention of Marine Pollution by Dumping of Wastes and Other Matter 1972 </w:t>
      </w:r>
      <w:r w:rsidR="0DD904CD" w:rsidRPr="0C34660A">
        <w:rPr>
          <w:noProof/>
        </w:rPr>
        <w:t>(Maritime New Zealand, 2001)</w:t>
      </w:r>
      <w:r>
        <w:t xml:space="preserve">. Permits may be issued for the disposal at sea of a variety of solid and liquid wastes, provided it can be shown that any adverse effects will be avoided, </w:t>
      </w:r>
      <w:bookmarkStart w:id="460" w:name="_Int_6HbdOTgU"/>
      <w:r>
        <w:t>remedied,</w:t>
      </w:r>
      <w:bookmarkEnd w:id="460"/>
      <w:r>
        <w:t xml:space="preserve"> or mitigated. There is some national data available on the quantities of these wastes, but the dioxin contamination levels are unknown. This therefore precludes any estimates of the </w:t>
      </w:r>
      <w:bookmarkStart w:id="461" w:name="_Int_ypvf38x8"/>
      <w:r>
        <w:t>likely dioxin</w:t>
      </w:r>
      <w:bookmarkEnd w:id="461"/>
      <w:r>
        <w:t xml:space="preserve"> discharges.</w:t>
      </w:r>
    </w:p>
    <w:p w14:paraId="75CFB56F" w14:textId="77777777" w:rsidR="006761D2" w:rsidRPr="003D73C3" w:rsidRDefault="006761D2" w:rsidP="00261F78">
      <w:pPr>
        <w:pStyle w:val="Heading2"/>
      </w:pPr>
      <w:bookmarkStart w:id="462" w:name="_Toc112768165"/>
      <w:r w:rsidRPr="003D73C3">
        <w:t>Composting</w:t>
      </w:r>
      <w:bookmarkEnd w:id="462"/>
    </w:p>
    <w:p w14:paraId="3C704721" w14:textId="2CEF8C9B" w:rsidR="006761D2" w:rsidRPr="003D73C3" w:rsidRDefault="24854215" w:rsidP="006761D2">
      <w:pPr>
        <w:spacing w:line="300" w:lineRule="atLeast"/>
        <w:jc w:val="both"/>
      </w:pPr>
      <w:r>
        <w:t xml:space="preserve">The Toolkit category </w:t>
      </w:r>
      <w:bookmarkStart w:id="463" w:name="_Int_uKUKd444"/>
      <w:r>
        <w:t>mainly relates</w:t>
      </w:r>
      <w:bookmarkEnd w:id="463"/>
      <w:r>
        <w:t xml:space="preserve"> to compost made from the organic fraction of municipal solid wastes, whereas most New Zealand compost is made from green waste which should have little or no dioxin contamination. </w:t>
      </w:r>
    </w:p>
    <w:p w14:paraId="3A6594BB" w14:textId="77777777" w:rsidR="006761D2" w:rsidRPr="003D73C3" w:rsidRDefault="006761D2" w:rsidP="00261F78">
      <w:pPr>
        <w:pStyle w:val="Heading2"/>
      </w:pPr>
      <w:bookmarkStart w:id="464" w:name="_Toc112768166"/>
      <w:r w:rsidRPr="003D73C3">
        <w:t>Waste oil disposal</w:t>
      </w:r>
      <w:bookmarkEnd w:id="464"/>
    </w:p>
    <w:p w14:paraId="4C6AE863" w14:textId="79DCCA78" w:rsidR="00DB53C7" w:rsidRDefault="24854215" w:rsidP="006761D2">
      <w:pPr>
        <w:spacing w:line="300" w:lineRule="atLeast"/>
        <w:jc w:val="both"/>
      </w:pPr>
      <w:r>
        <w:t xml:space="preserve">The UNEP Toolkit refers to this source sub-category as Waste Oil Treatment (non-thermal) </w:t>
      </w:r>
      <w:bookmarkStart w:id="465" w:name="_Int_34jxuXAM"/>
      <w:r>
        <w:t>but</w:t>
      </w:r>
      <w:bookmarkEnd w:id="465"/>
      <w:r>
        <w:t xml:space="preserve"> provides no release factors because of the highly variable nature of the possible treatment processes and the lack of any reliable release data. It also notes that no new dioxins are created in the treatment processes. The dioxins are simply present as contaminants introduced via previous uses of the oil </w:t>
      </w:r>
      <w:r w:rsidR="0DD904CD" w:rsidRPr="0C34660A">
        <w:rPr>
          <w:noProof/>
        </w:rPr>
        <w:t>(United Nations Environment Programme, 2013)</w:t>
      </w:r>
      <w:r>
        <w:t xml:space="preserve">. There are several waste oil processors in New Zealand, and any potential discharges from their operations are subject to controls in resource consents issued under the </w:t>
      </w:r>
      <w:r w:rsidRPr="0C34660A">
        <w:rPr>
          <w:i/>
          <w:iCs/>
        </w:rPr>
        <w:t>Resource Management Act 1991</w:t>
      </w:r>
      <w:r>
        <w:t xml:space="preserve">. The consents are </w:t>
      </w:r>
      <w:bookmarkStart w:id="466" w:name="_Int_bj8Kyiji"/>
      <w:r>
        <w:t>mainly targeted</w:t>
      </w:r>
      <w:bookmarkEnd w:id="466"/>
      <w:r>
        <w:t xml:space="preserve"> at minimising oil releases, rather than dioxins. However, it would be reasonable to assume that any dioxin releases will also be minimised if the oil discharges are properly controlled. No data has been found that would allow for any specific estimates of the releases from this source.</w:t>
      </w:r>
    </w:p>
    <w:p w14:paraId="78A59798" w14:textId="77777777" w:rsidR="00DB53C7" w:rsidRDefault="00DB53C7">
      <w:pPr>
        <w:spacing w:after="0"/>
        <w:rPr>
          <w:szCs w:val="18"/>
        </w:rPr>
      </w:pPr>
      <w:r>
        <w:rPr>
          <w:szCs w:val="18"/>
        </w:rPr>
        <w:br w:type="page"/>
      </w:r>
    </w:p>
    <w:p w14:paraId="3C620810" w14:textId="77777777" w:rsidR="006761D2" w:rsidRPr="003D73C3" w:rsidRDefault="006761D2" w:rsidP="00261F78">
      <w:pPr>
        <w:pStyle w:val="Heading2"/>
      </w:pPr>
      <w:bookmarkStart w:id="467" w:name="_Toc112768167"/>
      <w:r w:rsidRPr="003D73C3">
        <w:lastRenderedPageBreak/>
        <w:t>Summary for this category</w:t>
      </w:r>
      <w:bookmarkEnd w:id="467"/>
    </w:p>
    <w:p w14:paraId="01CF9EE0" w14:textId="4C37FBA9" w:rsidR="00C95E68" w:rsidRPr="003D73C3" w:rsidRDefault="006761D2" w:rsidP="006761D2">
      <w:pPr>
        <w:spacing w:line="300" w:lineRule="atLeast"/>
        <w:jc w:val="both"/>
        <w:rPr>
          <w:rFonts w:eastAsia="Calibri"/>
          <w:szCs w:val="22"/>
        </w:rPr>
      </w:pPr>
      <w:r w:rsidRPr="003D73C3">
        <w:rPr>
          <w:rFonts w:eastAsia="Calibri"/>
          <w:szCs w:val="22"/>
        </w:rPr>
        <w:t xml:space="preserve">The </w:t>
      </w:r>
      <w:r w:rsidR="003D73C3">
        <w:rPr>
          <w:rFonts w:eastAsia="Calibri"/>
          <w:szCs w:val="22"/>
        </w:rPr>
        <w:t>2020</w:t>
      </w:r>
      <w:r w:rsidR="00AE15B9" w:rsidRPr="003D73C3">
        <w:rPr>
          <w:rFonts w:eastAsia="Calibri"/>
          <w:szCs w:val="22"/>
        </w:rPr>
        <w:t xml:space="preserve"> </w:t>
      </w:r>
      <w:r w:rsidRPr="003D73C3">
        <w:rPr>
          <w:rFonts w:eastAsia="Calibri"/>
          <w:szCs w:val="22"/>
        </w:rPr>
        <w:t>release estimates for the waste disposal and landfill sources are summarised in</w:t>
      </w:r>
      <w:r w:rsidR="003D73C3">
        <w:rPr>
          <w:rFonts w:eastAsia="Calibri"/>
          <w:szCs w:val="22"/>
        </w:rPr>
        <w:t xml:space="preserve"> Table 11-3</w:t>
      </w:r>
      <w:r w:rsidR="00D60804" w:rsidRPr="003D73C3">
        <w:rPr>
          <w:rFonts w:eastAsia="Calibri"/>
          <w:szCs w:val="22"/>
        </w:rPr>
        <w:t xml:space="preserve">, along with the </w:t>
      </w:r>
      <w:r w:rsidRPr="003D73C3">
        <w:rPr>
          <w:rFonts w:eastAsia="Calibri"/>
          <w:szCs w:val="22"/>
        </w:rPr>
        <w:t xml:space="preserve">totals for </w:t>
      </w:r>
      <w:r w:rsidR="003269AF" w:rsidRPr="003D73C3">
        <w:rPr>
          <w:rFonts w:eastAsia="Calibri"/>
          <w:szCs w:val="22"/>
        </w:rPr>
        <w:t>2012</w:t>
      </w:r>
      <w:r w:rsidR="003D73C3">
        <w:rPr>
          <w:rFonts w:eastAsia="Calibri"/>
          <w:szCs w:val="22"/>
        </w:rPr>
        <w:t xml:space="preserve"> and 2016.</w:t>
      </w:r>
    </w:p>
    <w:p w14:paraId="7514F5E3" w14:textId="503D6489" w:rsidR="006761D2" w:rsidRPr="003D73C3" w:rsidRDefault="006761D2" w:rsidP="006761D2">
      <w:pPr>
        <w:pStyle w:val="Caption"/>
        <w:jc w:val="left"/>
        <w:rPr>
          <w:rFonts w:cs="Arial"/>
          <w:szCs w:val="18"/>
        </w:rPr>
      </w:pPr>
      <w:bookmarkStart w:id="468" w:name="_Ref381956196"/>
      <w:r w:rsidRPr="003D73C3">
        <w:rPr>
          <w:rFonts w:cs="Arial"/>
        </w:rPr>
        <w:t xml:space="preserve">Table </w:t>
      </w:r>
      <w:r w:rsidRPr="003D73C3">
        <w:rPr>
          <w:rFonts w:cs="Arial"/>
        </w:rPr>
        <w:fldChar w:fldCharType="begin"/>
      </w:r>
      <w:r w:rsidRPr="003D73C3">
        <w:rPr>
          <w:rFonts w:cs="Arial"/>
        </w:rPr>
        <w:instrText xml:space="preserve"> STYLEREF 1 \s </w:instrText>
      </w:r>
      <w:r w:rsidRPr="003D73C3">
        <w:rPr>
          <w:rFonts w:cs="Arial"/>
        </w:rPr>
        <w:fldChar w:fldCharType="separate"/>
      </w:r>
      <w:r w:rsidR="00141D7F">
        <w:rPr>
          <w:rFonts w:cs="Arial"/>
          <w:noProof/>
        </w:rPr>
        <w:t>11</w:t>
      </w:r>
      <w:r w:rsidRPr="003D73C3">
        <w:rPr>
          <w:rFonts w:cs="Arial"/>
        </w:rPr>
        <w:fldChar w:fldCharType="end"/>
      </w:r>
      <w:r w:rsidRPr="003D73C3">
        <w:rPr>
          <w:rFonts w:cs="Arial"/>
        </w:rPr>
        <w:noBreakHyphen/>
      </w:r>
      <w:r w:rsidRPr="003D73C3">
        <w:rPr>
          <w:rFonts w:cs="Arial"/>
        </w:rPr>
        <w:fldChar w:fldCharType="begin"/>
      </w:r>
      <w:r w:rsidRPr="003D73C3">
        <w:rPr>
          <w:rFonts w:cs="Arial"/>
        </w:rPr>
        <w:instrText xml:space="preserve"> SEQ Table \* ARABIC \s 1 </w:instrText>
      </w:r>
      <w:r w:rsidRPr="003D73C3">
        <w:rPr>
          <w:rFonts w:cs="Arial"/>
        </w:rPr>
        <w:fldChar w:fldCharType="separate"/>
      </w:r>
      <w:r w:rsidR="00141D7F">
        <w:rPr>
          <w:rFonts w:cs="Arial"/>
          <w:noProof/>
        </w:rPr>
        <w:t>3</w:t>
      </w:r>
      <w:r w:rsidRPr="003D73C3">
        <w:rPr>
          <w:rFonts w:cs="Arial"/>
        </w:rPr>
        <w:fldChar w:fldCharType="end"/>
      </w:r>
      <w:bookmarkEnd w:id="468"/>
      <w:r w:rsidRPr="003D73C3">
        <w:rPr>
          <w:rFonts w:cs="Arial"/>
        </w:rPr>
        <w:t>: Summary of the release estimates for the disposal and landfill category</w:t>
      </w:r>
    </w:p>
    <w:tbl>
      <w:tblPr>
        <w:tblStyle w:val="TableGrid"/>
        <w:tblW w:w="9214" w:type="dxa"/>
        <w:tblInd w:w="108" w:type="dxa"/>
        <w:tblLook w:val="04A0" w:firstRow="1" w:lastRow="0" w:firstColumn="1" w:lastColumn="0" w:noHBand="0" w:noVBand="1"/>
      </w:tblPr>
      <w:tblGrid>
        <w:gridCol w:w="3119"/>
        <w:gridCol w:w="1219"/>
        <w:gridCol w:w="1219"/>
        <w:gridCol w:w="1219"/>
        <w:gridCol w:w="1219"/>
        <w:gridCol w:w="1219"/>
      </w:tblGrid>
      <w:tr w:rsidR="006761D2" w:rsidRPr="00AF1200" w14:paraId="50BF3D48" w14:textId="77777777" w:rsidTr="009F7DB8">
        <w:tc>
          <w:tcPr>
            <w:tcW w:w="3119" w:type="dxa"/>
            <w:vMerge w:val="restart"/>
            <w:vAlign w:val="center"/>
          </w:tcPr>
          <w:p w14:paraId="4029FEA0" w14:textId="77777777" w:rsidR="006761D2" w:rsidRPr="003D73C3" w:rsidRDefault="006761D2" w:rsidP="009F7DB8">
            <w:pPr>
              <w:spacing w:before="120"/>
              <w:rPr>
                <w:rFonts w:ascii="Arial" w:hAnsi="Arial" w:cs="Arial"/>
                <w:b/>
                <w:sz w:val="16"/>
                <w:szCs w:val="16"/>
              </w:rPr>
            </w:pPr>
            <w:r w:rsidRPr="003D73C3">
              <w:rPr>
                <w:rFonts w:ascii="Arial" w:hAnsi="Arial" w:cs="Arial"/>
                <w:b/>
                <w:sz w:val="16"/>
                <w:szCs w:val="16"/>
              </w:rPr>
              <w:t>Category</w:t>
            </w:r>
          </w:p>
        </w:tc>
        <w:tc>
          <w:tcPr>
            <w:tcW w:w="6095" w:type="dxa"/>
            <w:gridSpan w:val="5"/>
            <w:vAlign w:val="center"/>
          </w:tcPr>
          <w:p w14:paraId="261A0F07" w14:textId="338778CB" w:rsidR="006761D2" w:rsidRPr="003D73C3" w:rsidRDefault="00DB53C7" w:rsidP="009F7DB8">
            <w:pPr>
              <w:spacing w:before="120"/>
              <w:jc w:val="center"/>
              <w:rPr>
                <w:rFonts w:ascii="Arial" w:hAnsi="Arial" w:cs="Arial"/>
                <w:b/>
                <w:sz w:val="16"/>
                <w:szCs w:val="16"/>
              </w:rPr>
            </w:pPr>
            <w:r w:rsidRPr="003D73C3">
              <w:rPr>
                <w:rFonts w:ascii="Arial" w:hAnsi="Arial" w:cs="Arial"/>
                <w:b/>
                <w:sz w:val="16"/>
                <w:szCs w:val="16"/>
              </w:rPr>
              <w:t xml:space="preserve">2020 </w:t>
            </w:r>
            <w:r w:rsidR="006761D2" w:rsidRPr="003D73C3">
              <w:rPr>
                <w:rFonts w:ascii="Arial" w:hAnsi="Arial" w:cs="Arial"/>
                <w:b/>
                <w:sz w:val="16"/>
                <w:szCs w:val="16"/>
              </w:rPr>
              <w:t>dioxin releases (g TEQ/yr)</w:t>
            </w:r>
          </w:p>
        </w:tc>
      </w:tr>
      <w:tr w:rsidR="006761D2" w:rsidRPr="00AF1200" w14:paraId="75417247" w14:textId="77777777" w:rsidTr="009F7DB8">
        <w:tc>
          <w:tcPr>
            <w:tcW w:w="3119" w:type="dxa"/>
            <w:vMerge/>
            <w:vAlign w:val="center"/>
          </w:tcPr>
          <w:p w14:paraId="539EE6C5" w14:textId="77777777" w:rsidR="006761D2" w:rsidRPr="003D73C3" w:rsidRDefault="006761D2" w:rsidP="009F7DB8">
            <w:pPr>
              <w:spacing w:before="120"/>
              <w:rPr>
                <w:rFonts w:ascii="Arial" w:hAnsi="Arial" w:cs="Arial"/>
                <w:b/>
                <w:sz w:val="16"/>
                <w:szCs w:val="16"/>
              </w:rPr>
            </w:pPr>
          </w:p>
        </w:tc>
        <w:tc>
          <w:tcPr>
            <w:tcW w:w="1219" w:type="dxa"/>
            <w:vAlign w:val="center"/>
          </w:tcPr>
          <w:p w14:paraId="1207F7D3"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Air</w:t>
            </w:r>
          </w:p>
        </w:tc>
        <w:tc>
          <w:tcPr>
            <w:tcW w:w="1219" w:type="dxa"/>
            <w:vAlign w:val="center"/>
          </w:tcPr>
          <w:p w14:paraId="56BB0E7A"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Water</w:t>
            </w:r>
          </w:p>
        </w:tc>
        <w:tc>
          <w:tcPr>
            <w:tcW w:w="1219" w:type="dxa"/>
            <w:vAlign w:val="center"/>
          </w:tcPr>
          <w:p w14:paraId="61273A5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Land</w:t>
            </w:r>
          </w:p>
        </w:tc>
        <w:tc>
          <w:tcPr>
            <w:tcW w:w="1219" w:type="dxa"/>
            <w:vAlign w:val="center"/>
          </w:tcPr>
          <w:p w14:paraId="38F5AAD1"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Product</w:t>
            </w:r>
          </w:p>
        </w:tc>
        <w:tc>
          <w:tcPr>
            <w:tcW w:w="1219" w:type="dxa"/>
            <w:vAlign w:val="center"/>
          </w:tcPr>
          <w:p w14:paraId="43A6E8E5" w14:textId="77777777" w:rsidR="006761D2" w:rsidRPr="003D73C3" w:rsidRDefault="006761D2" w:rsidP="009F7DB8">
            <w:pPr>
              <w:spacing w:before="120"/>
              <w:jc w:val="center"/>
              <w:rPr>
                <w:rFonts w:ascii="Arial" w:hAnsi="Arial" w:cs="Arial"/>
                <w:b/>
                <w:sz w:val="16"/>
                <w:szCs w:val="16"/>
              </w:rPr>
            </w:pPr>
            <w:r w:rsidRPr="003D73C3">
              <w:rPr>
                <w:rFonts w:ascii="Arial" w:hAnsi="Arial" w:cs="Arial"/>
                <w:b/>
                <w:sz w:val="16"/>
                <w:szCs w:val="16"/>
              </w:rPr>
              <w:t>Residue</w:t>
            </w:r>
          </w:p>
        </w:tc>
      </w:tr>
      <w:tr w:rsidR="006761D2" w:rsidRPr="00AF1200" w14:paraId="0ED22B34" w14:textId="77777777" w:rsidTr="009F7DB8">
        <w:tc>
          <w:tcPr>
            <w:tcW w:w="3119" w:type="dxa"/>
            <w:vAlign w:val="center"/>
          </w:tcPr>
          <w:p w14:paraId="6ACA0CDE"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Landfills, waste dumps and landfill mining</w:t>
            </w:r>
          </w:p>
        </w:tc>
        <w:tc>
          <w:tcPr>
            <w:tcW w:w="1219" w:type="dxa"/>
            <w:vAlign w:val="center"/>
          </w:tcPr>
          <w:p w14:paraId="645CA33F"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0EF98CE" w14:textId="42279AA3" w:rsidR="006761D2" w:rsidRPr="003D73C3" w:rsidRDefault="00AE15B9" w:rsidP="009F7DB8">
            <w:pPr>
              <w:spacing w:before="120"/>
              <w:jc w:val="center"/>
              <w:rPr>
                <w:rFonts w:ascii="Arial" w:hAnsi="Arial" w:cs="Arial"/>
                <w:sz w:val="16"/>
                <w:szCs w:val="16"/>
              </w:rPr>
            </w:pPr>
            <w:r w:rsidRPr="003D73C3">
              <w:rPr>
                <w:rFonts w:ascii="Arial" w:hAnsi="Arial" w:cs="Arial"/>
                <w:sz w:val="16"/>
                <w:szCs w:val="18"/>
              </w:rPr>
              <w:t>1.7</w:t>
            </w:r>
            <w:r w:rsidR="00D21DA3">
              <w:rPr>
                <w:rFonts w:ascii="Arial" w:hAnsi="Arial" w:cs="Arial"/>
                <w:sz w:val="16"/>
                <w:szCs w:val="18"/>
              </w:rPr>
              <w:t>2</w:t>
            </w:r>
            <w:r w:rsidR="00693547">
              <w:rPr>
                <w:rFonts w:ascii="Arial" w:hAnsi="Arial" w:cs="Arial"/>
                <w:sz w:val="16"/>
                <w:szCs w:val="18"/>
              </w:rPr>
              <w:t>50</w:t>
            </w:r>
          </w:p>
        </w:tc>
        <w:tc>
          <w:tcPr>
            <w:tcW w:w="1219" w:type="dxa"/>
            <w:vAlign w:val="center"/>
          </w:tcPr>
          <w:p w14:paraId="12C5E66A" w14:textId="449D7661" w:rsidR="006761D2" w:rsidRPr="003D73C3" w:rsidRDefault="00AE15B9" w:rsidP="009F7DB8">
            <w:pPr>
              <w:spacing w:before="120"/>
              <w:jc w:val="center"/>
              <w:rPr>
                <w:rFonts w:ascii="Arial" w:hAnsi="Arial" w:cs="Arial"/>
                <w:sz w:val="16"/>
                <w:szCs w:val="16"/>
              </w:rPr>
            </w:pPr>
            <w:r w:rsidRPr="003D73C3">
              <w:rPr>
                <w:rFonts w:ascii="Arial" w:hAnsi="Arial" w:cs="Arial"/>
                <w:sz w:val="16"/>
                <w:szCs w:val="18"/>
              </w:rPr>
              <w:t>17.</w:t>
            </w:r>
            <w:r w:rsidR="00D21DA3">
              <w:rPr>
                <w:rFonts w:ascii="Arial" w:hAnsi="Arial" w:cs="Arial"/>
                <w:sz w:val="16"/>
                <w:szCs w:val="18"/>
              </w:rPr>
              <w:t>2</w:t>
            </w:r>
            <w:r w:rsidR="00693547">
              <w:rPr>
                <w:rFonts w:ascii="Arial" w:hAnsi="Arial" w:cs="Arial"/>
                <w:sz w:val="16"/>
                <w:szCs w:val="18"/>
              </w:rPr>
              <w:t>50</w:t>
            </w:r>
          </w:p>
        </w:tc>
        <w:tc>
          <w:tcPr>
            <w:tcW w:w="1219" w:type="dxa"/>
            <w:vAlign w:val="center"/>
          </w:tcPr>
          <w:p w14:paraId="4D25203D"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245292B0"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r>
      <w:tr w:rsidR="006761D2" w:rsidRPr="00AF1200" w14:paraId="0A8496F5" w14:textId="77777777" w:rsidTr="009F7DB8">
        <w:tc>
          <w:tcPr>
            <w:tcW w:w="3119" w:type="dxa"/>
            <w:vAlign w:val="center"/>
          </w:tcPr>
          <w:p w14:paraId="2FD02563" w14:textId="77777777" w:rsidR="006761D2" w:rsidRPr="003D73C3" w:rsidRDefault="006761D2" w:rsidP="009F7DB8">
            <w:pPr>
              <w:spacing w:before="120"/>
              <w:rPr>
                <w:rFonts w:ascii="Arial" w:hAnsi="Arial" w:cs="Arial"/>
                <w:sz w:val="16"/>
                <w:szCs w:val="16"/>
              </w:rPr>
            </w:pPr>
            <w:r w:rsidRPr="003D73C3">
              <w:rPr>
                <w:rFonts w:ascii="Arial" w:hAnsi="Arial" w:cs="Arial"/>
                <w:sz w:val="16"/>
                <w:szCs w:val="16"/>
              </w:rPr>
              <w:t>Sewage/sewage treatment</w:t>
            </w:r>
          </w:p>
        </w:tc>
        <w:tc>
          <w:tcPr>
            <w:tcW w:w="1219" w:type="dxa"/>
            <w:vAlign w:val="center"/>
          </w:tcPr>
          <w:p w14:paraId="5F3702FB"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C7A43FA" w14:textId="43CF685E" w:rsidR="006761D2" w:rsidRPr="003D73C3" w:rsidRDefault="00693547" w:rsidP="009F7DB8">
            <w:pPr>
              <w:spacing w:before="120"/>
              <w:jc w:val="center"/>
              <w:rPr>
                <w:rFonts w:ascii="Arial" w:hAnsi="Arial" w:cs="Arial"/>
                <w:sz w:val="16"/>
                <w:szCs w:val="16"/>
              </w:rPr>
            </w:pPr>
            <w:r>
              <w:rPr>
                <w:rFonts w:ascii="Arial" w:hAnsi="Arial" w:cs="Arial"/>
                <w:sz w:val="16"/>
                <w:szCs w:val="16"/>
              </w:rPr>
              <w:t>0.105</w:t>
            </w:r>
          </w:p>
        </w:tc>
        <w:tc>
          <w:tcPr>
            <w:tcW w:w="1219" w:type="dxa"/>
            <w:vAlign w:val="center"/>
          </w:tcPr>
          <w:p w14:paraId="598EC421"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55071EEC" w14:textId="77777777" w:rsidR="006761D2" w:rsidRPr="003D73C3" w:rsidRDefault="006761D2" w:rsidP="009F7DB8">
            <w:pPr>
              <w:spacing w:before="120"/>
              <w:jc w:val="center"/>
              <w:rPr>
                <w:rFonts w:ascii="Arial" w:hAnsi="Arial" w:cs="Arial"/>
                <w:sz w:val="16"/>
                <w:szCs w:val="16"/>
              </w:rPr>
            </w:pPr>
            <w:r w:rsidRPr="003D73C3">
              <w:rPr>
                <w:rFonts w:ascii="Arial" w:hAnsi="Arial" w:cs="Arial"/>
                <w:sz w:val="16"/>
                <w:szCs w:val="16"/>
              </w:rPr>
              <w:t>-</w:t>
            </w:r>
          </w:p>
        </w:tc>
        <w:tc>
          <w:tcPr>
            <w:tcW w:w="1219" w:type="dxa"/>
            <w:vAlign w:val="center"/>
          </w:tcPr>
          <w:p w14:paraId="0D3A2405" w14:textId="1383589B" w:rsidR="006761D2" w:rsidRPr="003D73C3" w:rsidRDefault="00C25FFF" w:rsidP="009F7DB8">
            <w:pPr>
              <w:spacing w:before="120"/>
              <w:jc w:val="center"/>
              <w:rPr>
                <w:rFonts w:ascii="Arial" w:hAnsi="Arial" w:cs="Arial"/>
                <w:sz w:val="16"/>
                <w:szCs w:val="16"/>
              </w:rPr>
            </w:pPr>
            <w:r>
              <w:rPr>
                <w:rFonts w:ascii="Arial" w:hAnsi="Arial" w:cs="Arial"/>
                <w:sz w:val="16"/>
                <w:szCs w:val="16"/>
              </w:rPr>
              <w:t>2.809</w:t>
            </w:r>
          </w:p>
        </w:tc>
      </w:tr>
      <w:tr w:rsidR="00DB53C7" w:rsidRPr="00AF1200" w14:paraId="0CDB987D" w14:textId="77777777" w:rsidTr="003D73C3">
        <w:tc>
          <w:tcPr>
            <w:tcW w:w="3119" w:type="dxa"/>
          </w:tcPr>
          <w:p w14:paraId="1B9FDEE4" w14:textId="4FFE3EEB" w:rsidR="00DB53C7" w:rsidRPr="003D73C3" w:rsidRDefault="00DB53C7" w:rsidP="00DB53C7">
            <w:pPr>
              <w:spacing w:before="120"/>
              <w:jc w:val="both"/>
              <w:rPr>
                <w:rFonts w:ascii="Arial" w:hAnsi="Arial" w:cs="Arial"/>
                <w:b/>
                <w:sz w:val="16"/>
                <w:szCs w:val="16"/>
              </w:rPr>
            </w:pPr>
            <w:r w:rsidRPr="00A129D5">
              <w:rPr>
                <w:rFonts w:ascii="Arial" w:hAnsi="Arial" w:cs="Arial"/>
                <w:b/>
                <w:sz w:val="16"/>
                <w:szCs w:val="16"/>
              </w:rPr>
              <w:t>2012 totals</w:t>
            </w:r>
          </w:p>
        </w:tc>
        <w:tc>
          <w:tcPr>
            <w:tcW w:w="1219" w:type="dxa"/>
          </w:tcPr>
          <w:p w14:paraId="5F3698E8" w14:textId="49367353"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w:t>
            </w:r>
          </w:p>
        </w:tc>
        <w:tc>
          <w:tcPr>
            <w:tcW w:w="1219" w:type="dxa"/>
            <w:vAlign w:val="center"/>
          </w:tcPr>
          <w:p w14:paraId="4C94F271" w14:textId="45E826BA"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1.391</w:t>
            </w:r>
          </w:p>
        </w:tc>
        <w:tc>
          <w:tcPr>
            <w:tcW w:w="1219" w:type="dxa"/>
            <w:vAlign w:val="center"/>
          </w:tcPr>
          <w:p w14:paraId="0925C40D" w14:textId="7AA0063C"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12.57</w:t>
            </w:r>
          </w:p>
        </w:tc>
        <w:tc>
          <w:tcPr>
            <w:tcW w:w="1219" w:type="dxa"/>
            <w:vAlign w:val="center"/>
          </w:tcPr>
          <w:p w14:paraId="08DEE8E3" w14:textId="719EE5F6"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w:t>
            </w:r>
          </w:p>
        </w:tc>
        <w:tc>
          <w:tcPr>
            <w:tcW w:w="1219" w:type="dxa"/>
            <w:vAlign w:val="center"/>
          </w:tcPr>
          <w:p w14:paraId="6A990ED9" w14:textId="2FBAF78E" w:rsidR="00DB53C7" w:rsidRPr="003D73C3" w:rsidRDefault="00C25FFF" w:rsidP="00DB53C7">
            <w:pPr>
              <w:spacing w:before="120"/>
              <w:jc w:val="center"/>
              <w:rPr>
                <w:rFonts w:ascii="Arial" w:hAnsi="Arial" w:cs="Arial"/>
                <w:b/>
                <w:sz w:val="16"/>
                <w:szCs w:val="16"/>
              </w:rPr>
            </w:pPr>
            <w:r>
              <w:rPr>
                <w:rFonts w:ascii="Arial" w:hAnsi="Arial" w:cs="Arial"/>
                <w:b/>
                <w:sz w:val="16"/>
                <w:szCs w:val="16"/>
              </w:rPr>
              <w:t>2.432</w:t>
            </w:r>
          </w:p>
        </w:tc>
      </w:tr>
      <w:tr w:rsidR="00DB53C7" w:rsidRPr="00AF1200" w14:paraId="187D1EA7" w14:textId="77777777" w:rsidTr="003D73C3">
        <w:tc>
          <w:tcPr>
            <w:tcW w:w="3119" w:type="dxa"/>
          </w:tcPr>
          <w:p w14:paraId="5F75BE56" w14:textId="5283C56D" w:rsidR="00DB53C7" w:rsidRPr="003D73C3" w:rsidRDefault="00DB53C7" w:rsidP="00DB53C7">
            <w:pPr>
              <w:spacing w:before="120"/>
              <w:jc w:val="both"/>
              <w:rPr>
                <w:rFonts w:ascii="Arial" w:hAnsi="Arial" w:cs="Arial"/>
                <w:b/>
                <w:sz w:val="16"/>
                <w:szCs w:val="16"/>
              </w:rPr>
            </w:pPr>
            <w:r w:rsidRPr="00A129D5">
              <w:rPr>
                <w:rFonts w:ascii="Arial" w:hAnsi="Arial" w:cs="Arial"/>
                <w:b/>
                <w:sz w:val="16"/>
                <w:szCs w:val="16"/>
              </w:rPr>
              <w:t xml:space="preserve">2016 totals </w:t>
            </w:r>
          </w:p>
        </w:tc>
        <w:tc>
          <w:tcPr>
            <w:tcW w:w="1219" w:type="dxa"/>
            <w:vAlign w:val="center"/>
          </w:tcPr>
          <w:p w14:paraId="4313DBA8" w14:textId="46EC381B"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w:t>
            </w:r>
          </w:p>
        </w:tc>
        <w:tc>
          <w:tcPr>
            <w:tcW w:w="1219" w:type="dxa"/>
            <w:vAlign w:val="center"/>
          </w:tcPr>
          <w:p w14:paraId="6BDEA3E1" w14:textId="6263545E"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1.797</w:t>
            </w:r>
          </w:p>
        </w:tc>
        <w:tc>
          <w:tcPr>
            <w:tcW w:w="1219" w:type="dxa"/>
            <w:vAlign w:val="center"/>
          </w:tcPr>
          <w:p w14:paraId="5741E580" w14:textId="3D818F5F"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17.03</w:t>
            </w:r>
          </w:p>
        </w:tc>
        <w:tc>
          <w:tcPr>
            <w:tcW w:w="1219" w:type="dxa"/>
            <w:vAlign w:val="center"/>
          </w:tcPr>
          <w:p w14:paraId="160E3598" w14:textId="3D476D07" w:rsidR="00DB53C7" w:rsidRPr="003D73C3" w:rsidRDefault="00DB53C7" w:rsidP="00DB53C7">
            <w:pPr>
              <w:spacing w:before="120"/>
              <w:jc w:val="center"/>
              <w:rPr>
                <w:rFonts w:ascii="Arial" w:hAnsi="Arial" w:cs="Arial"/>
                <w:b/>
                <w:sz w:val="16"/>
                <w:szCs w:val="16"/>
              </w:rPr>
            </w:pPr>
            <w:r w:rsidRPr="00A129D5">
              <w:rPr>
                <w:rFonts w:ascii="Arial" w:hAnsi="Arial" w:cs="Arial"/>
                <w:b/>
                <w:sz w:val="16"/>
                <w:szCs w:val="16"/>
              </w:rPr>
              <w:t>-</w:t>
            </w:r>
          </w:p>
        </w:tc>
        <w:tc>
          <w:tcPr>
            <w:tcW w:w="1219" w:type="dxa"/>
            <w:vAlign w:val="center"/>
          </w:tcPr>
          <w:p w14:paraId="3A2AD6BF" w14:textId="413E8F4C" w:rsidR="00DB53C7" w:rsidRPr="003D73C3" w:rsidRDefault="00C25FFF" w:rsidP="00DB53C7">
            <w:pPr>
              <w:spacing w:before="120"/>
              <w:jc w:val="center"/>
              <w:rPr>
                <w:rFonts w:ascii="Arial" w:hAnsi="Arial" w:cs="Arial"/>
                <w:b/>
                <w:sz w:val="16"/>
                <w:szCs w:val="16"/>
              </w:rPr>
            </w:pPr>
            <w:r>
              <w:rPr>
                <w:rFonts w:ascii="Arial" w:hAnsi="Arial" w:cs="Arial"/>
                <w:b/>
                <w:sz w:val="16"/>
                <w:szCs w:val="16"/>
              </w:rPr>
              <w:t>2.601</w:t>
            </w:r>
          </w:p>
        </w:tc>
      </w:tr>
      <w:tr w:rsidR="00A411F4" w:rsidRPr="00AF1200" w14:paraId="19C98382" w14:textId="77777777" w:rsidTr="009C4E50">
        <w:tc>
          <w:tcPr>
            <w:tcW w:w="3119" w:type="dxa"/>
          </w:tcPr>
          <w:p w14:paraId="0AC4C42E" w14:textId="3376C3C9" w:rsidR="00A411F4" w:rsidRPr="003D73C3" w:rsidRDefault="00DB53C7" w:rsidP="009F7DB8">
            <w:pPr>
              <w:spacing w:before="120"/>
              <w:jc w:val="both"/>
              <w:rPr>
                <w:rFonts w:ascii="Arial" w:hAnsi="Arial" w:cs="Arial"/>
                <w:b/>
                <w:sz w:val="16"/>
                <w:szCs w:val="16"/>
              </w:rPr>
            </w:pPr>
            <w:r>
              <w:rPr>
                <w:rFonts w:ascii="Arial" w:hAnsi="Arial" w:cs="Arial"/>
                <w:b/>
                <w:sz w:val="16"/>
                <w:szCs w:val="16"/>
              </w:rPr>
              <w:t>2020 totals</w:t>
            </w:r>
          </w:p>
        </w:tc>
        <w:tc>
          <w:tcPr>
            <w:tcW w:w="1219" w:type="dxa"/>
            <w:vAlign w:val="center"/>
          </w:tcPr>
          <w:p w14:paraId="39A6C764" w14:textId="6EFB877F" w:rsidR="00A411F4" w:rsidRPr="003D73C3" w:rsidRDefault="00A411F4" w:rsidP="009F7DB8">
            <w:pPr>
              <w:spacing w:before="120"/>
              <w:jc w:val="center"/>
              <w:rPr>
                <w:rFonts w:ascii="Arial" w:hAnsi="Arial" w:cs="Arial"/>
                <w:b/>
                <w:sz w:val="16"/>
                <w:szCs w:val="16"/>
              </w:rPr>
            </w:pPr>
          </w:p>
        </w:tc>
        <w:tc>
          <w:tcPr>
            <w:tcW w:w="1219" w:type="dxa"/>
            <w:vAlign w:val="center"/>
          </w:tcPr>
          <w:p w14:paraId="4E3C2763" w14:textId="1D32319A" w:rsidR="00A411F4" w:rsidRPr="003D73C3" w:rsidRDefault="00693547" w:rsidP="009F7DB8">
            <w:pPr>
              <w:spacing w:before="120"/>
              <w:jc w:val="center"/>
              <w:rPr>
                <w:rFonts w:ascii="Arial" w:hAnsi="Arial" w:cs="Arial"/>
                <w:b/>
                <w:sz w:val="16"/>
                <w:szCs w:val="16"/>
              </w:rPr>
            </w:pPr>
            <w:r>
              <w:rPr>
                <w:rFonts w:ascii="Arial" w:hAnsi="Arial" w:cs="Arial"/>
                <w:b/>
                <w:sz w:val="16"/>
                <w:szCs w:val="16"/>
              </w:rPr>
              <w:t>1.8</w:t>
            </w:r>
            <w:r w:rsidR="00D21DA3">
              <w:rPr>
                <w:rFonts w:ascii="Arial" w:hAnsi="Arial" w:cs="Arial"/>
                <w:b/>
                <w:sz w:val="16"/>
                <w:szCs w:val="16"/>
              </w:rPr>
              <w:t>3</w:t>
            </w:r>
          </w:p>
        </w:tc>
        <w:tc>
          <w:tcPr>
            <w:tcW w:w="1219" w:type="dxa"/>
            <w:vAlign w:val="center"/>
          </w:tcPr>
          <w:p w14:paraId="74BFD58E" w14:textId="542D4540" w:rsidR="00A411F4" w:rsidRPr="003D73C3" w:rsidRDefault="00693547" w:rsidP="009F7DB8">
            <w:pPr>
              <w:spacing w:before="120"/>
              <w:jc w:val="center"/>
              <w:rPr>
                <w:rFonts w:ascii="Arial" w:hAnsi="Arial" w:cs="Arial"/>
                <w:b/>
                <w:sz w:val="16"/>
                <w:szCs w:val="16"/>
              </w:rPr>
            </w:pPr>
            <w:r>
              <w:rPr>
                <w:rFonts w:ascii="Arial" w:hAnsi="Arial" w:cs="Arial"/>
                <w:b/>
                <w:sz w:val="16"/>
                <w:szCs w:val="16"/>
              </w:rPr>
              <w:t>17.</w:t>
            </w:r>
            <w:r w:rsidR="00D21DA3">
              <w:rPr>
                <w:rFonts w:ascii="Arial" w:hAnsi="Arial" w:cs="Arial"/>
                <w:b/>
                <w:sz w:val="16"/>
                <w:szCs w:val="16"/>
              </w:rPr>
              <w:t>25</w:t>
            </w:r>
            <w:r>
              <w:rPr>
                <w:rFonts w:ascii="Arial" w:hAnsi="Arial" w:cs="Arial"/>
                <w:b/>
                <w:sz w:val="16"/>
                <w:szCs w:val="16"/>
              </w:rPr>
              <w:t>0</w:t>
            </w:r>
          </w:p>
        </w:tc>
        <w:tc>
          <w:tcPr>
            <w:tcW w:w="1219" w:type="dxa"/>
            <w:vAlign w:val="center"/>
          </w:tcPr>
          <w:p w14:paraId="7E70AB8F" w14:textId="532231AA" w:rsidR="00A411F4" w:rsidRPr="003D73C3" w:rsidRDefault="00A411F4" w:rsidP="009F7DB8">
            <w:pPr>
              <w:spacing w:before="120"/>
              <w:jc w:val="center"/>
              <w:rPr>
                <w:rFonts w:ascii="Arial" w:hAnsi="Arial" w:cs="Arial"/>
                <w:b/>
                <w:sz w:val="16"/>
                <w:szCs w:val="16"/>
              </w:rPr>
            </w:pPr>
          </w:p>
        </w:tc>
        <w:tc>
          <w:tcPr>
            <w:tcW w:w="1219" w:type="dxa"/>
            <w:vAlign w:val="center"/>
          </w:tcPr>
          <w:p w14:paraId="43727A45" w14:textId="7B548123" w:rsidR="00A411F4" w:rsidRPr="003D73C3" w:rsidRDefault="00C25FFF" w:rsidP="009F7DB8">
            <w:pPr>
              <w:spacing w:before="120"/>
              <w:jc w:val="center"/>
              <w:rPr>
                <w:rFonts w:ascii="Arial" w:hAnsi="Arial" w:cs="Arial"/>
                <w:b/>
                <w:sz w:val="16"/>
                <w:szCs w:val="16"/>
              </w:rPr>
            </w:pPr>
            <w:r>
              <w:rPr>
                <w:rFonts w:ascii="Arial" w:hAnsi="Arial" w:cs="Arial"/>
                <w:b/>
                <w:sz w:val="16"/>
                <w:szCs w:val="16"/>
              </w:rPr>
              <w:t>2.809</w:t>
            </w:r>
          </w:p>
        </w:tc>
      </w:tr>
    </w:tbl>
    <w:p w14:paraId="0DF90F47" w14:textId="5E1EA6D6" w:rsidR="00874AD7" w:rsidRDefault="00874AD7" w:rsidP="006761D2">
      <w:pPr>
        <w:spacing w:after="0"/>
        <w:rPr>
          <w:szCs w:val="18"/>
          <w:highlight w:val="yellow"/>
        </w:rPr>
      </w:pPr>
    </w:p>
    <w:p w14:paraId="58F3583A" w14:textId="77777777" w:rsidR="00874AD7" w:rsidRDefault="00874AD7">
      <w:pPr>
        <w:spacing w:after="0"/>
        <w:rPr>
          <w:szCs w:val="18"/>
          <w:highlight w:val="yellow"/>
        </w:rPr>
      </w:pPr>
      <w:r>
        <w:rPr>
          <w:szCs w:val="18"/>
          <w:highlight w:val="yellow"/>
        </w:rPr>
        <w:br w:type="page"/>
      </w:r>
    </w:p>
    <w:p w14:paraId="0DFDD69B" w14:textId="77777777" w:rsidR="006761D2" w:rsidRPr="00AF1200" w:rsidRDefault="006761D2" w:rsidP="006761D2">
      <w:pPr>
        <w:spacing w:after="0"/>
        <w:rPr>
          <w:szCs w:val="18"/>
          <w:highlight w:val="yellow"/>
        </w:rPr>
      </w:pPr>
    </w:p>
    <w:p w14:paraId="26CBDD3A" w14:textId="77777777" w:rsidR="006761D2" w:rsidRPr="00D00C48" w:rsidRDefault="006761D2" w:rsidP="00261F78">
      <w:pPr>
        <w:pStyle w:val="Heading1"/>
      </w:pPr>
      <w:bookmarkStart w:id="469" w:name="_Toc112768168"/>
      <w:r w:rsidRPr="00D00C48">
        <w:t>Contaminated sites and hotspots</w:t>
      </w:r>
      <w:bookmarkEnd w:id="469"/>
    </w:p>
    <w:p w14:paraId="75F2CA04" w14:textId="2EB37F47" w:rsidR="006761D2" w:rsidRPr="00D00C48" w:rsidRDefault="006761D2" w:rsidP="006761D2">
      <w:pPr>
        <w:spacing w:before="120" w:after="0" w:line="300" w:lineRule="atLeast"/>
        <w:rPr>
          <w:lang w:val="en-US"/>
        </w:rPr>
      </w:pPr>
      <w:r w:rsidRPr="00D00C48">
        <w:rPr>
          <w:lang w:val="en-US"/>
        </w:rPr>
        <w:t>This section of the UNEP Toolkit does not generate any data for inclusion in the national inventory. Rather, it is simply intended to provide ‘</w:t>
      </w:r>
      <w:r w:rsidRPr="00D00C48">
        <w:t xml:space="preserve">an indicative list of activities that might have resulted in the contamination of soils and sediments with PCDD/PCDF and other unintentional POPs, including related deposits’ </w:t>
      </w:r>
      <w:sdt>
        <w:sdtPr>
          <w:id w:val="1916284440"/>
          <w:citation/>
        </w:sdtPr>
        <w:sdtEndPr/>
        <w:sdtContent>
          <w:r w:rsidRPr="00D00C48">
            <w:fldChar w:fldCharType="begin"/>
          </w:r>
          <w:r w:rsidRPr="00D00C48">
            <w:instrText xml:space="preserve"> CITATION UNEP13 \l 5129 </w:instrText>
          </w:r>
          <w:r w:rsidRPr="00D00C48">
            <w:fldChar w:fldCharType="separate"/>
          </w:r>
          <w:r w:rsidR="00F1175E" w:rsidRPr="00D00C48">
            <w:rPr>
              <w:noProof/>
            </w:rPr>
            <w:t>(United Nations Environment Programme, 2013)</w:t>
          </w:r>
          <w:r w:rsidRPr="00D00C48">
            <w:fldChar w:fldCharType="end"/>
          </w:r>
        </w:sdtContent>
      </w:sdt>
      <w:r w:rsidRPr="00D00C48">
        <w:t xml:space="preserve">. </w:t>
      </w:r>
      <w:r w:rsidRPr="00D00C48">
        <w:rPr>
          <w:lang w:val="en-US"/>
        </w:rPr>
        <w:t xml:space="preserve">No significant new work has been undertaken in the preparation of this section, which simply provides an update of the information given in section 28 of the previous inventory report for the following sources: </w:t>
      </w:r>
    </w:p>
    <w:p w14:paraId="7E3CF462" w14:textId="77777777" w:rsidR="006761D2" w:rsidRPr="00D00C48" w:rsidRDefault="006761D2" w:rsidP="006761D2">
      <w:pPr>
        <w:widowControl w:val="0"/>
        <w:numPr>
          <w:ilvl w:val="0"/>
          <w:numId w:val="23"/>
        </w:numPr>
        <w:tabs>
          <w:tab w:val="left" w:pos="1560"/>
        </w:tabs>
        <w:spacing w:line="300" w:lineRule="atLeast"/>
        <w:ind w:left="1276" w:hanging="425"/>
        <w:rPr>
          <w:lang w:val="en-US"/>
        </w:rPr>
      </w:pPr>
      <w:r w:rsidRPr="00D00C48">
        <w:rPr>
          <w:lang w:val="en-US"/>
        </w:rPr>
        <w:t>the manufacture of phenoxy herbicides</w:t>
      </w:r>
    </w:p>
    <w:p w14:paraId="03785A40" w14:textId="77777777" w:rsidR="006761D2" w:rsidRPr="00D00C48" w:rsidRDefault="006761D2" w:rsidP="006761D2">
      <w:pPr>
        <w:widowControl w:val="0"/>
        <w:numPr>
          <w:ilvl w:val="0"/>
          <w:numId w:val="23"/>
        </w:numPr>
        <w:tabs>
          <w:tab w:val="left" w:pos="1560"/>
        </w:tabs>
        <w:spacing w:line="300" w:lineRule="atLeast"/>
        <w:ind w:left="1276" w:hanging="425"/>
        <w:rPr>
          <w:lang w:val="en-US"/>
        </w:rPr>
      </w:pPr>
      <w:r w:rsidRPr="00D00C48">
        <w:rPr>
          <w:lang w:val="en-US"/>
        </w:rPr>
        <w:t>the use of the herbicide 2,4,5-T</w:t>
      </w:r>
    </w:p>
    <w:p w14:paraId="3B2B0C76" w14:textId="77777777" w:rsidR="006761D2" w:rsidRPr="00D00C48" w:rsidRDefault="006761D2" w:rsidP="006761D2">
      <w:pPr>
        <w:widowControl w:val="0"/>
        <w:numPr>
          <w:ilvl w:val="0"/>
          <w:numId w:val="23"/>
        </w:numPr>
        <w:tabs>
          <w:tab w:val="left" w:pos="1560"/>
        </w:tabs>
        <w:spacing w:line="300" w:lineRule="atLeast"/>
        <w:ind w:left="1276" w:hanging="425"/>
        <w:rPr>
          <w:lang w:val="en-US"/>
        </w:rPr>
      </w:pPr>
      <w:r w:rsidRPr="00D00C48">
        <w:rPr>
          <w:lang w:val="en-US"/>
        </w:rPr>
        <w:t>timber treatment using pentachlorophenol</w:t>
      </w:r>
    </w:p>
    <w:p w14:paraId="7D89E215" w14:textId="77777777" w:rsidR="006761D2" w:rsidRPr="00D00C48" w:rsidRDefault="006761D2" w:rsidP="006761D2">
      <w:pPr>
        <w:widowControl w:val="0"/>
        <w:numPr>
          <w:ilvl w:val="0"/>
          <w:numId w:val="23"/>
        </w:numPr>
        <w:tabs>
          <w:tab w:val="left" w:pos="1560"/>
        </w:tabs>
        <w:spacing w:line="300" w:lineRule="atLeast"/>
        <w:ind w:left="1276" w:hanging="425"/>
        <w:rPr>
          <w:lang w:val="en-US"/>
        </w:rPr>
      </w:pPr>
      <w:r w:rsidRPr="00D00C48">
        <w:rPr>
          <w:lang w:val="en-US"/>
        </w:rPr>
        <w:t>gasworks</w:t>
      </w:r>
    </w:p>
    <w:p w14:paraId="2DB329F4" w14:textId="77777777" w:rsidR="006761D2" w:rsidRPr="00D00C48" w:rsidRDefault="006761D2" w:rsidP="006761D2">
      <w:pPr>
        <w:widowControl w:val="0"/>
        <w:numPr>
          <w:ilvl w:val="0"/>
          <w:numId w:val="23"/>
        </w:numPr>
        <w:tabs>
          <w:tab w:val="left" w:pos="1560"/>
        </w:tabs>
        <w:spacing w:line="300" w:lineRule="atLeast"/>
        <w:ind w:left="1276" w:hanging="425"/>
        <w:rPr>
          <w:lang w:val="en-US"/>
        </w:rPr>
      </w:pPr>
      <w:r w:rsidRPr="00D00C48">
        <w:rPr>
          <w:lang w:val="en-US"/>
        </w:rPr>
        <w:t xml:space="preserve">landfills. </w:t>
      </w:r>
    </w:p>
    <w:p w14:paraId="4D5D45E3" w14:textId="77777777" w:rsidR="006761D2" w:rsidRPr="00D00C48" w:rsidRDefault="006761D2" w:rsidP="00261F78">
      <w:pPr>
        <w:pStyle w:val="Heading2"/>
        <w:rPr>
          <w:lang w:val="en-US"/>
        </w:rPr>
      </w:pPr>
      <w:bookmarkStart w:id="470" w:name="_Toc476462675"/>
      <w:bookmarkStart w:id="471" w:name="_Toc476463051"/>
      <w:bookmarkStart w:id="472" w:name="_Toc275531305"/>
      <w:bookmarkStart w:id="473" w:name="_Toc275532403"/>
      <w:bookmarkStart w:id="474" w:name="_Toc112768169"/>
      <w:r w:rsidRPr="00D00C48">
        <w:rPr>
          <w:lang w:val="en-US"/>
        </w:rPr>
        <w:t>Pesticide manufacture</w:t>
      </w:r>
      <w:bookmarkEnd w:id="470"/>
      <w:bookmarkEnd w:id="471"/>
      <w:bookmarkEnd w:id="472"/>
      <w:bookmarkEnd w:id="473"/>
      <w:bookmarkEnd w:id="474"/>
    </w:p>
    <w:p w14:paraId="0E4F03EA" w14:textId="5802C6BE" w:rsidR="006761D2" w:rsidRPr="00D00C48" w:rsidRDefault="006761D2" w:rsidP="006761D2">
      <w:pPr>
        <w:spacing w:line="300" w:lineRule="atLeast"/>
        <w:rPr>
          <w:lang w:val="en-US"/>
        </w:rPr>
      </w:pPr>
      <w:r w:rsidRPr="00D00C48">
        <w:rPr>
          <w:lang w:val="en-US"/>
        </w:rPr>
        <w:t xml:space="preserve">This sub-section is concerned with the dioxins present in a reservoir associated with the historical manufacture of phenoxy herbicides. The Waireka Secure Containment Facility, in the Taranaki region, was constructed in 1985 and contains waste from earlier manufacturing of phenoxy herbicides, including 2,4-D and 2,4,5-T. The accumulated wastes were deposited in 1985 and the landfill was closed. The facility is a secure landfill, fully lined and capped, with leak detection wells that are routinely monitored. Any leachate collected from within the landfill is disposed of in the incinerator described in section </w:t>
      </w:r>
      <w:r w:rsidRPr="00D00C48">
        <w:rPr>
          <w:lang w:val="en-US"/>
        </w:rPr>
        <w:fldChar w:fldCharType="begin"/>
      </w:r>
      <w:r w:rsidRPr="00D00C48">
        <w:rPr>
          <w:lang w:val="en-US"/>
        </w:rPr>
        <w:instrText xml:space="preserve"> REF _Ref390681384 \r \h </w:instrText>
      </w:r>
      <w:r w:rsidR="00AF1200" w:rsidRPr="00D00C48">
        <w:rPr>
          <w:lang w:val="en-US"/>
        </w:rPr>
        <w:instrText xml:space="preserve"> \* MERGEFORMAT </w:instrText>
      </w:r>
      <w:r w:rsidRPr="00D00C48">
        <w:rPr>
          <w:lang w:val="en-US"/>
        </w:rPr>
      </w:r>
      <w:r w:rsidRPr="00D00C48">
        <w:rPr>
          <w:lang w:val="en-US"/>
        </w:rPr>
        <w:fldChar w:fldCharType="separate"/>
      </w:r>
      <w:r w:rsidR="00141D7F">
        <w:rPr>
          <w:lang w:val="en-US"/>
        </w:rPr>
        <w:t>3.2</w:t>
      </w:r>
      <w:r w:rsidRPr="00D00C48">
        <w:rPr>
          <w:lang w:val="en-US"/>
        </w:rPr>
        <w:fldChar w:fldCharType="end"/>
      </w:r>
      <w:r w:rsidRPr="00D00C48">
        <w:rPr>
          <w:lang w:val="en-US"/>
        </w:rPr>
        <w:t xml:space="preserve"> of this report.</w:t>
      </w:r>
    </w:p>
    <w:p w14:paraId="0855D172" w14:textId="77777777" w:rsidR="006761D2" w:rsidRPr="00D00C48" w:rsidRDefault="006761D2" w:rsidP="006761D2">
      <w:pPr>
        <w:spacing w:line="300" w:lineRule="atLeast"/>
        <w:rPr>
          <w:lang w:val="en-US"/>
        </w:rPr>
      </w:pPr>
      <w:r w:rsidRPr="00D00C48">
        <w:rPr>
          <w:lang w:val="en-US"/>
        </w:rPr>
        <w:t>Although dioxins are known to be present in the Waireka facility, insufficient data is available to enable an accurate estimate of the quantity present.</w:t>
      </w:r>
    </w:p>
    <w:p w14:paraId="5F50C70C" w14:textId="77777777" w:rsidR="006761D2" w:rsidRPr="00553530" w:rsidRDefault="006761D2" w:rsidP="00261F78">
      <w:pPr>
        <w:pStyle w:val="Heading2"/>
        <w:rPr>
          <w:lang w:val="en-US"/>
        </w:rPr>
      </w:pPr>
      <w:bookmarkStart w:id="475" w:name="_Toc275531306"/>
      <w:bookmarkStart w:id="476" w:name="_Toc275532404"/>
      <w:bookmarkStart w:id="477" w:name="_Toc112768170"/>
      <w:r w:rsidRPr="00553530">
        <w:rPr>
          <w:lang w:val="en-US"/>
        </w:rPr>
        <w:t>Historical use of 2,4,5-T</w:t>
      </w:r>
      <w:bookmarkEnd w:id="475"/>
      <w:bookmarkEnd w:id="476"/>
      <w:bookmarkEnd w:id="477"/>
    </w:p>
    <w:p w14:paraId="38F0FFE3" w14:textId="050573DA" w:rsidR="006761D2" w:rsidRPr="00553530" w:rsidRDefault="24854215" w:rsidP="006761D2">
      <w:pPr>
        <w:spacing w:line="300" w:lineRule="atLeast"/>
        <w:rPr>
          <w:lang w:val="en-US"/>
        </w:rPr>
      </w:pPr>
      <w:r w:rsidRPr="0C34660A">
        <w:rPr>
          <w:lang w:val="en-US"/>
        </w:rPr>
        <w:t xml:space="preserve">The herbicide 2,4,5-T was manufactured in New Zealand from 1948 to 1987 and was widely used for the control of gorse, </w:t>
      </w:r>
      <w:bookmarkStart w:id="478" w:name="_Int_4hDBkd2G"/>
      <w:r w:rsidRPr="0C34660A">
        <w:rPr>
          <w:lang w:val="en-US"/>
        </w:rPr>
        <w:t>blackberry,</w:t>
      </w:r>
      <w:bookmarkEnd w:id="478"/>
      <w:r w:rsidRPr="0C34660A">
        <w:rPr>
          <w:lang w:val="en-US"/>
        </w:rPr>
        <w:t xml:space="preserve"> and other woody weeds. The manufacturing process involved the initial formation of 2,4,5-trichlorophenol from 1,2,4,5-tetrachlorobenzene, and dioxins</w:t>
      </w:r>
      <w:r w:rsidR="000D9500" w:rsidRPr="0C34660A">
        <w:rPr>
          <w:lang w:val="en-US"/>
        </w:rPr>
        <w:t>, primarily 2,3,7,8-</w:t>
      </w:r>
      <w:bookmarkStart w:id="479" w:name="_Int_RJJwEn05"/>
      <w:r w:rsidR="000D9500" w:rsidRPr="0C34660A">
        <w:rPr>
          <w:lang w:val="en-US"/>
        </w:rPr>
        <w:t>TCDD</w:t>
      </w:r>
      <w:r w:rsidRPr="0C34660A">
        <w:rPr>
          <w:lang w:val="en-US"/>
        </w:rPr>
        <w:t>,</w:t>
      </w:r>
      <w:bookmarkEnd w:id="479"/>
      <w:r w:rsidRPr="0C34660A">
        <w:rPr>
          <w:lang w:val="en-US"/>
        </w:rPr>
        <w:t xml:space="preserve"> were formed as a by-product of this reaction.</w:t>
      </w:r>
    </w:p>
    <w:p w14:paraId="109569DB" w14:textId="4994F9D4" w:rsidR="006761D2" w:rsidRPr="00553530" w:rsidRDefault="24854215" w:rsidP="006761D2">
      <w:pPr>
        <w:spacing w:line="300" w:lineRule="atLeast"/>
        <w:rPr>
          <w:lang w:val="en-US"/>
        </w:rPr>
      </w:pPr>
      <w:r w:rsidRPr="00553530">
        <w:rPr>
          <w:lang w:val="en-US"/>
        </w:rPr>
        <w:t xml:space="preserve">The total quantity of 2,4,5-T manufactured was estimated in the 2000 Inventory at 11,640 tonnes, with about 15% of this being exported </w:t>
      </w:r>
      <w:sdt>
        <w:sdtPr>
          <w:rPr>
            <w:lang w:val="en-US"/>
          </w:rPr>
          <w:id w:val="1640306759"/>
          <w:lock w:val="contentLocked"/>
          <w:placeholder>
            <w:docPart w:val="DefaultPlaceholder_1081868574"/>
          </w:placeholder>
          <w:citation/>
        </w:sdtPr>
        <w:sdtEndPr/>
        <w:sdtContent>
          <w:r w:rsidR="006761D2" w:rsidRPr="00553530">
            <w:rPr>
              <w:lang w:val="en-US"/>
            </w:rPr>
            <w:fldChar w:fldCharType="begin"/>
          </w:r>
          <w:r w:rsidR="006761D2" w:rsidRPr="00553530">
            <w:instrText xml:space="preserve">CITATION MfE00 \l 5129 </w:instrText>
          </w:r>
          <w:r w:rsidR="006761D2" w:rsidRPr="00553530">
            <w:rPr>
              <w:lang w:val="en-US"/>
            </w:rPr>
            <w:fldChar w:fldCharType="separate"/>
          </w:r>
          <w:r w:rsidR="25EC959F" w:rsidRPr="00553530">
            <w:rPr>
              <w:noProof/>
            </w:rPr>
            <w:t>(Ministry for the Environment, 2000)</w:t>
          </w:r>
          <w:r w:rsidR="006761D2" w:rsidRPr="00553530">
            <w:rPr>
              <w:lang w:val="en-US"/>
            </w:rPr>
            <w:fldChar w:fldCharType="end"/>
          </w:r>
        </w:sdtContent>
      </w:sdt>
      <w:r w:rsidRPr="00553530">
        <w:rPr>
          <w:lang w:val="en-US"/>
        </w:rPr>
        <w:t xml:space="preserve">. The levels of TCDD in the final product </w:t>
      </w:r>
      <w:bookmarkStart w:id="480" w:name="_Int_tGzKXjB4"/>
      <w:r w:rsidRPr="00553530">
        <w:rPr>
          <w:lang w:val="en-US"/>
        </w:rPr>
        <w:t>varied greatly, depending</w:t>
      </w:r>
      <w:bookmarkEnd w:id="480"/>
      <w:r w:rsidRPr="00553530">
        <w:rPr>
          <w:lang w:val="en-US"/>
        </w:rPr>
        <w:t xml:space="preserve"> on the manufacturing conditions and purification efficiency. From 1973 the level of TCDD was restricted by requirements imposed by the Agricultural Chemicals Board. </w:t>
      </w:r>
      <w:bookmarkStart w:id="481" w:name="_Int_mq6wEUb2"/>
      <w:proofErr w:type="gramStart"/>
      <w:r w:rsidRPr="00553530">
        <w:rPr>
          <w:lang w:val="en-US"/>
        </w:rPr>
        <w:t>On the basis of</w:t>
      </w:r>
      <w:bookmarkEnd w:id="481"/>
      <w:proofErr w:type="gramEnd"/>
      <w:r w:rsidRPr="00553530">
        <w:rPr>
          <w:lang w:val="en-US"/>
        </w:rPr>
        <w:t xml:space="preserve"> the total production figures and the known residue concentrations, it was estimated that the total quantity of TCDD distributed over the land surface of New Zealand, throughout the entire period of manufacture and use, was between 2.71 and 3.38 kg TEQ.</w:t>
      </w:r>
    </w:p>
    <w:p w14:paraId="4F0AA77C" w14:textId="3D3A33E8" w:rsidR="006761D2" w:rsidRPr="00553530" w:rsidRDefault="24854215" w:rsidP="006761D2">
      <w:pPr>
        <w:tabs>
          <w:tab w:val="left" w:pos="2268"/>
        </w:tabs>
        <w:spacing w:line="300" w:lineRule="atLeast"/>
        <w:rPr>
          <w:lang w:val="en-US"/>
        </w:rPr>
      </w:pPr>
      <w:r w:rsidRPr="0C34660A">
        <w:rPr>
          <w:lang w:val="en-US"/>
        </w:rPr>
        <w:t>The size of the reservoir from 2,4,5-T usage was estimated in the previous inventory reports by making an allowance for TCDD degradation over time, using a half-life of 15 years. Thus, for 1998 the residual amount of TCDD was estimated to have dropped to a level of 620 to 860 g TEQ,</w:t>
      </w:r>
      <w:r w:rsidR="6EA21F02" w:rsidRPr="0C34660A">
        <w:rPr>
          <w:lang w:val="en-US"/>
        </w:rPr>
        <w:t xml:space="preserve"> </w:t>
      </w:r>
      <w:r w:rsidRPr="0C34660A">
        <w:rPr>
          <w:lang w:val="en-US"/>
        </w:rPr>
        <w:t>by 2008</w:t>
      </w:r>
      <w:r w:rsidR="6EA21F02" w:rsidRPr="0C34660A">
        <w:rPr>
          <w:lang w:val="en-US"/>
        </w:rPr>
        <w:t>: 390 to 540 g TEQ</w:t>
      </w:r>
      <w:r w:rsidRPr="0C34660A">
        <w:rPr>
          <w:lang w:val="en-US"/>
        </w:rPr>
        <w:t xml:space="preserve"> </w:t>
      </w:r>
      <w:r w:rsidR="6EA21F02" w:rsidRPr="0C34660A">
        <w:rPr>
          <w:lang w:val="en-US"/>
        </w:rPr>
        <w:t>by</w:t>
      </w:r>
      <w:r w:rsidR="315E92EF" w:rsidRPr="0C34660A">
        <w:rPr>
          <w:lang w:val="en-US"/>
        </w:rPr>
        <w:t xml:space="preserve"> 2012</w:t>
      </w:r>
      <w:r w:rsidR="6EA21F02" w:rsidRPr="0C34660A">
        <w:rPr>
          <w:lang w:val="en-US"/>
        </w:rPr>
        <w:t>:</w:t>
      </w:r>
      <w:r w:rsidR="315E92EF" w:rsidRPr="0C34660A">
        <w:rPr>
          <w:lang w:val="en-US"/>
        </w:rPr>
        <w:t xml:space="preserve"> 324 to 437 g TEQ </w:t>
      </w:r>
      <w:r w:rsidR="6EA21F02" w:rsidRPr="0C34660A">
        <w:rPr>
          <w:lang w:val="en-US"/>
        </w:rPr>
        <w:t xml:space="preserve">and by 2016: 270-374 g TEQ </w:t>
      </w:r>
      <w:r w:rsidRPr="0C34660A">
        <w:rPr>
          <w:lang w:val="en-US"/>
        </w:rPr>
        <w:t xml:space="preserve">(calculated using a factor of </w:t>
      </w:r>
      <w:r w:rsidR="315E92EF" w:rsidRPr="0C34660A">
        <w:rPr>
          <w:lang w:val="en-US"/>
        </w:rPr>
        <w:t>A = A</w:t>
      </w:r>
      <w:r w:rsidR="315E92EF" w:rsidRPr="0C34660A">
        <w:rPr>
          <w:vertAlign w:val="subscript"/>
          <w:lang w:val="en-US"/>
        </w:rPr>
        <w:t>o</w:t>
      </w:r>
      <w:r w:rsidR="315E92EF" w:rsidRPr="0C34660A">
        <w:rPr>
          <w:lang w:val="en-US"/>
        </w:rPr>
        <w:t xml:space="preserve"> </w:t>
      </w:r>
      <w:r w:rsidRPr="0C34660A">
        <w:rPr>
          <w:lang w:val="en-US"/>
        </w:rPr>
        <w:t>1/2</w:t>
      </w:r>
      <w:r w:rsidR="315E92EF" w:rsidRPr="0C34660A">
        <w:rPr>
          <w:vertAlign w:val="superscript"/>
          <w:lang w:val="en-US"/>
        </w:rPr>
        <w:t>t/</w:t>
      </w:r>
      <w:r w:rsidR="41095B8B" w:rsidRPr="0C34660A">
        <w:rPr>
          <w:vertAlign w:val="superscript"/>
          <w:lang w:val="en-US"/>
        </w:rPr>
        <w:t>h</w:t>
      </w:r>
      <w:r w:rsidRPr="0C34660A">
        <w:rPr>
          <w:lang w:val="en-US"/>
        </w:rPr>
        <w:t>, where</w:t>
      </w:r>
      <w:r w:rsidR="41095B8B" w:rsidRPr="0C34660A">
        <w:rPr>
          <w:lang w:val="en-US"/>
        </w:rPr>
        <w:t xml:space="preserve"> A = amount remaining, A</w:t>
      </w:r>
      <w:r w:rsidR="41095B8B" w:rsidRPr="0C34660A">
        <w:rPr>
          <w:vertAlign w:val="subscript"/>
          <w:lang w:val="en-US"/>
        </w:rPr>
        <w:t>o</w:t>
      </w:r>
      <w:r w:rsidR="41095B8B" w:rsidRPr="0C34660A">
        <w:rPr>
          <w:lang w:val="en-US"/>
        </w:rPr>
        <w:t xml:space="preserve"> = origina</w:t>
      </w:r>
      <w:r w:rsidR="3AB6EAC8" w:rsidRPr="0C34660A">
        <w:rPr>
          <w:lang w:val="en-US"/>
        </w:rPr>
        <w:t>l</w:t>
      </w:r>
      <w:r w:rsidR="41095B8B" w:rsidRPr="0C34660A">
        <w:rPr>
          <w:lang w:val="en-US"/>
        </w:rPr>
        <w:t xml:space="preserve"> amount, t = time elapsed(years) </w:t>
      </w:r>
      <w:bookmarkStart w:id="482" w:name="_Int_Ij7qNjSW"/>
      <w:r w:rsidR="41095B8B" w:rsidRPr="0C34660A">
        <w:rPr>
          <w:lang w:val="en-US"/>
        </w:rPr>
        <w:t>and</w:t>
      </w:r>
      <w:r w:rsidR="3AB6EAC8" w:rsidRPr="0C34660A">
        <w:rPr>
          <w:lang w:val="en-US"/>
        </w:rPr>
        <w:t xml:space="preserve"> h</w:t>
      </w:r>
      <w:bookmarkEnd w:id="482"/>
      <w:r w:rsidRPr="0C34660A">
        <w:rPr>
          <w:lang w:val="en-US"/>
        </w:rPr>
        <w:t xml:space="preserve"> = half-li</w:t>
      </w:r>
      <w:r w:rsidR="41095B8B" w:rsidRPr="0C34660A">
        <w:rPr>
          <w:lang w:val="en-US"/>
        </w:rPr>
        <w:t>fe (years)</w:t>
      </w:r>
      <w:r w:rsidRPr="0C34660A">
        <w:rPr>
          <w:lang w:val="en-US"/>
        </w:rPr>
        <w:t xml:space="preserve">). Using the same methodology, the </w:t>
      </w:r>
      <w:r w:rsidR="09EC9576" w:rsidRPr="0C34660A">
        <w:rPr>
          <w:lang w:val="en-US"/>
        </w:rPr>
        <w:t>2020</w:t>
      </w:r>
      <w:r w:rsidR="41095B8B" w:rsidRPr="0C34660A">
        <w:rPr>
          <w:lang w:val="en-US"/>
        </w:rPr>
        <w:t xml:space="preserve"> </w:t>
      </w:r>
      <w:r w:rsidRPr="0C34660A">
        <w:rPr>
          <w:lang w:val="en-US"/>
        </w:rPr>
        <w:t xml:space="preserve">quantity of TCDD remaining in soil </w:t>
      </w:r>
      <w:bookmarkStart w:id="483" w:name="_Int_sgn1ZLe1"/>
      <w:proofErr w:type="gramStart"/>
      <w:r w:rsidRPr="0C34660A">
        <w:rPr>
          <w:lang w:val="en-US"/>
        </w:rPr>
        <w:t>as a result of</w:t>
      </w:r>
      <w:bookmarkEnd w:id="483"/>
      <w:proofErr w:type="gramEnd"/>
      <w:r w:rsidRPr="0C34660A">
        <w:rPr>
          <w:lang w:val="en-US"/>
        </w:rPr>
        <w:t xml:space="preserve"> the past use of 2,4,5-T is estimated to be </w:t>
      </w:r>
      <w:r w:rsidR="09EC9576" w:rsidRPr="0C34660A">
        <w:rPr>
          <w:lang w:val="en-US"/>
        </w:rPr>
        <w:t>225</w:t>
      </w:r>
      <w:r w:rsidR="41095B8B" w:rsidRPr="0C34660A">
        <w:rPr>
          <w:lang w:val="en-US"/>
        </w:rPr>
        <w:t xml:space="preserve"> - </w:t>
      </w:r>
      <w:r w:rsidR="09EC9576" w:rsidRPr="0C34660A">
        <w:rPr>
          <w:lang w:val="en-US"/>
        </w:rPr>
        <w:t>311</w:t>
      </w:r>
      <w:r w:rsidRPr="0C34660A">
        <w:rPr>
          <w:lang w:val="en-US"/>
        </w:rPr>
        <w:t xml:space="preserve"> g TEQ. </w:t>
      </w:r>
    </w:p>
    <w:p w14:paraId="66C83156" w14:textId="77777777" w:rsidR="006761D2" w:rsidRPr="00553530" w:rsidRDefault="006761D2" w:rsidP="00874AD7">
      <w:pPr>
        <w:pStyle w:val="Heading2"/>
        <w:rPr>
          <w:lang w:val="en-US"/>
        </w:rPr>
      </w:pPr>
      <w:bookmarkStart w:id="484" w:name="_Toc275531307"/>
      <w:bookmarkStart w:id="485" w:name="_Toc275532405"/>
      <w:bookmarkStart w:id="486" w:name="_Toc112768171"/>
      <w:r w:rsidRPr="00553530">
        <w:rPr>
          <w:lang w:val="en-US"/>
        </w:rPr>
        <w:lastRenderedPageBreak/>
        <w:t>Historical use of pentachlorophenol for timber treatment</w:t>
      </w:r>
      <w:bookmarkEnd w:id="484"/>
      <w:bookmarkEnd w:id="485"/>
      <w:bookmarkEnd w:id="486"/>
    </w:p>
    <w:p w14:paraId="2919A2A9" w14:textId="7BC54CE2" w:rsidR="006761D2" w:rsidRPr="00553530" w:rsidRDefault="006761D2" w:rsidP="006761D2">
      <w:pPr>
        <w:tabs>
          <w:tab w:val="right" w:pos="3420"/>
        </w:tabs>
        <w:spacing w:line="300" w:lineRule="atLeast"/>
        <w:rPr>
          <w:lang w:val="en-US"/>
        </w:rPr>
      </w:pPr>
      <w:r w:rsidRPr="00553530">
        <w:rPr>
          <w:lang w:val="en-US"/>
        </w:rPr>
        <w:t>The primary use of pentachlorophenol (PCP) in New Zealand was in the timber industry, either as the sodium salt (NaPCP), for use as an antisapstain treatment, or as a preservative mixed with diesel oil. The use of PCP in the timber industry commenced in the mid- to late-1950s and voluntarily ceased in 1988, and the chemical was deregistered for all uses by the Pesticides Board in 1991. The total amount of PCP imported into New Zealand for use in the timber industry is believed to be about 6000 tonnes</w:t>
      </w:r>
      <w:sdt>
        <w:sdtPr>
          <w:rPr>
            <w:lang w:val="en-US"/>
          </w:rPr>
          <w:id w:val="-1007829289"/>
          <w:citation/>
        </w:sdtPr>
        <w:sdtEndPr/>
        <w:sdtContent>
          <w:r w:rsidRPr="00553530">
            <w:rPr>
              <w:lang w:val="en-US"/>
            </w:rPr>
            <w:fldChar w:fldCharType="begin"/>
          </w:r>
          <w:r w:rsidRPr="00553530">
            <w:instrText xml:space="preserve"> CITATION MfE2011 \l 5129 </w:instrText>
          </w:r>
          <w:r w:rsidRPr="00553530">
            <w:rPr>
              <w:lang w:val="en-US"/>
            </w:rPr>
            <w:fldChar w:fldCharType="separate"/>
          </w:r>
          <w:r w:rsidR="00F1175E" w:rsidRPr="00553530">
            <w:rPr>
              <w:noProof/>
            </w:rPr>
            <w:t xml:space="preserve"> (Ministry for the Environment, 2011a)</w:t>
          </w:r>
          <w:r w:rsidRPr="00553530">
            <w:rPr>
              <w:lang w:val="en-US"/>
            </w:rPr>
            <w:fldChar w:fldCharType="end"/>
          </w:r>
        </w:sdtContent>
      </w:sdt>
      <w:r w:rsidRPr="00553530">
        <w:rPr>
          <w:lang w:val="en-US"/>
        </w:rPr>
        <w:t>, and the total input of dioxins into the New Zealand environment was estimated to be 9.9 kg TEQ.</w:t>
      </w:r>
    </w:p>
    <w:p w14:paraId="5781EEE1" w14:textId="265C4FAC" w:rsidR="006761D2" w:rsidRPr="00553530" w:rsidRDefault="006761D2" w:rsidP="006761D2">
      <w:pPr>
        <w:widowControl w:val="0"/>
        <w:spacing w:before="120" w:line="300" w:lineRule="atLeast"/>
        <w:rPr>
          <w:lang w:val="en-US"/>
        </w:rPr>
      </w:pPr>
      <w:r w:rsidRPr="00553530">
        <w:rPr>
          <w:lang w:val="en-US"/>
        </w:rPr>
        <w:t xml:space="preserve">The concentrations of dioxins in the antisapstain formulations marketed in </w:t>
      </w:r>
      <w:r w:rsidR="00463FFA" w:rsidRPr="00553530">
        <w:rPr>
          <w:lang w:val="en-US"/>
        </w:rPr>
        <w:t>NZ</w:t>
      </w:r>
      <w:r w:rsidRPr="00553530">
        <w:rPr>
          <w:lang w:val="en-US"/>
        </w:rPr>
        <w:t xml:space="preserve"> were believed to be in the range 0.2 –1.85 g TEQ per tonne, with a mean of 0.9 g TEQ per tonne. Investigations at some of the timber treatment sites have been used to produce an estimate of the total dioxin contamination resulting from antisapstain use </w:t>
      </w:r>
      <w:sdt>
        <w:sdtPr>
          <w:rPr>
            <w:lang w:val="en-US"/>
          </w:rPr>
          <w:id w:val="-1591233119"/>
          <w:citation/>
        </w:sdtPr>
        <w:sdtEndPr/>
        <w:sdtContent>
          <w:r w:rsidRPr="00553530">
            <w:rPr>
              <w:lang w:val="en-US"/>
            </w:rPr>
            <w:fldChar w:fldCharType="begin"/>
          </w:r>
          <w:r w:rsidRPr="00553530">
            <w:instrText xml:space="preserve"> CITATION MfE2011 \l 5129 </w:instrText>
          </w:r>
          <w:r w:rsidRPr="00553530">
            <w:rPr>
              <w:lang w:val="en-US"/>
            </w:rPr>
            <w:fldChar w:fldCharType="separate"/>
          </w:r>
          <w:r w:rsidR="00F1175E" w:rsidRPr="00553530">
            <w:rPr>
              <w:noProof/>
            </w:rPr>
            <w:t>(Ministry for the Environment, 2011a)</w:t>
          </w:r>
          <w:r w:rsidRPr="00553530">
            <w:rPr>
              <w:lang w:val="en-US"/>
            </w:rPr>
            <w:fldChar w:fldCharType="end"/>
          </w:r>
        </w:sdtContent>
      </w:sdt>
      <w:r w:rsidRPr="00553530">
        <w:rPr>
          <w:lang w:val="en-US"/>
        </w:rPr>
        <w:t>, and in 2008 the residual amount remaining was estimated to be 0.81 kg TEQ. This estimate was based on site assessments completed in 2002, and some of the sites have since been remediated. However, there have been no specific treatments aimed at removing the dioxin contaminants. In addition, much of the remediation work is based simply on soil removal and replacement. Hence, the quantities of dioxins in the reservoirs are unlikely to have changed, but they may have been moved to other locations.</w:t>
      </w:r>
    </w:p>
    <w:p w14:paraId="2EB62480" w14:textId="77777777" w:rsidR="006761D2" w:rsidRPr="00553530" w:rsidRDefault="24854215" w:rsidP="006761D2">
      <w:pPr>
        <w:widowControl w:val="0"/>
        <w:spacing w:line="300" w:lineRule="exact"/>
        <w:rPr>
          <w:lang w:val="en-US"/>
        </w:rPr>
      </w:pPr>
      <w:r w:rsidRPr="0C34660A">
        <w:rPr>
          <w:lang w:val="en-US"/>
        </w:rPr>
        <w:t xml:space="preserve">The use of PCP as a preservative in diesel oil was only undertaken at four sites in New Zealand, although only two of these are believed to be of any significance: the Waipa Mill near Rotorua and a plant at Hanmer Springs in Canterbury. The total usage of PCP was estimated to be </w:t>
      </w:r>
      <w:bookmarkStart w:id="487" w:name="_Int_iXz0dO4B"/>
      <w:r w:rsidRPr="0C34660A">
        <w:rPr>
          <w:lang w:val="en-US"/>
        </w:rPr>
        <w:t>approximately 2700</w:t>
      </w:r>
      <w:bookmarkEnd w:id="487"/>
      <w:r w:rsidRPr="0C34660A">
        <w:rPr>
          <w:lang w:val="en-US"/>
        </w:rPr>
        <w:t xml:space="preserve"> tonnes and the average contamination level of the PCP was believed to be 1.65 g TEQ per tonne, which gives a total dioxin input of 4.5 kg TEQ. As reported in the previous inventory, it was estimated that 0.23 kg TEQ of this total would have contributed to soil contamination at the sawmill sites, and the remaining 4.27 kg TEQ was absorbed in the treated products and distributed more widely. It is not expected that these reservoirs will </w:t>
      </w:r>
      <w:bookmarkStart w:id="488" w:name="_Int_6ZW9ofs2"/>
      <w:r w:rsidRPr="0C34660A">
        <w:rPr>
          <w:lang w:val="en-US"/>
        </w:rPr>
        <w:t>substantially change</w:t>
      </w:r>
      <w:bookmarkEnd w:id="488"/>
      <w:r w:rsidRPr="0C34660A">
        <w:rPr>
          <w:lang w:val="en-US"/>
        </w:rPr>
        <w:t xml:space="preserve"> over </w:t>
      </w:r>
      <w:bookmarkStart w:id="489" w:name="_Int_FbyRlLZR"/>
      <w:proofErr w:type="gramStart"/>
      <w:r w:rsidRPr="0C34660A">
        <w:rPr>
          <w:lang w:val="en-US"/>
        </w:rPr>
        <w:t>time, unless</w:t>
      </w:r>
      <w:bookmarkEnd w:id="489"/>
      <w:proofErr w:type="gramEnd"/>
      <w:r w:rsidRPr="0C34660A">
        <w:rPr>
          <w:lang w:val="en-US"/>
        </w:rPr>
        <w:t xml:space="preserve"> specific action is taken to destroy the dioxin contamination prior to the disposal of waste materials.</w:t>
      </w:r>
    </w:p>
    <w:p w14:paraId="1CA31885" w14:textId="77777777" w:rsidR="006761D2" w:rsidRPr="00553530" w:rsidRDefault="006761D2" w:rsidP="00261F78">
      <w:pPr>
        <w:pStyle w:val="Heading2"/>
        <w:rPr>
          <w:lang w:val="en-US"/>
        </w:rPr>
      </w:pPr>
      <w:bookmarkStart w:id="490" w:name="_Toc275531308"/>
      <w:bookmarkStart w:id="491" w:name="_Toc275532409"/>
      <w:bookmarkStart w:id="492" w:name="_Toc112768172"/>
      <w:r w:rsidRPr="00553530">
        <w:rPr>
          <w:lang w:val="en-US"/>
        </w:rPr>
        <w:t>Gasworks sites</w:t>
      </w:r>
      <w:bookmarkEnd w:id="490"/>
      <w:bookmarkEnd w:id="491"/>
      <w:bookmarkEnd w:id="492"/>
    </w:p>
    <w:p w14:paraId="37F06DE0" w14:textId="533F05E6" w:rsidR="006761D2" w:rsidRPr="00553530" w:rsidRDefault="006761D2" w:rsidP="006761D2">
      <w:pPr>
        <w:spacing w:line="300" w:lineRule="exact"/>
        <w:rPr>
          <w:lang w:val="en-US"/>
        </w:rPr>
      </w:pPr>
      <w:r w:rsidRPr="00553530">
        <w:rPr>
          <w:lang w:val="en-US"/>
        </w:rPr>
        <w:t>Prior to the introduction of natural gas in New Zealand, ‘town gas’ was produced by coal gasification plants at gasworks sites throughout the country. There were approximately 54 gasworks sites, which operated for varying periods from the mid-1800s through to 1988. Internationally, dioxins have not been recogni</w:t>
      </w:r>
      <w:r w:rsidR="00A142C7">
        <w:rPr>
          <w:lang w:val="en-US"/>
        </w:rPr>
        <w:t>s</w:t>
      </w:r>
      <w:r w:rsidRPr="00553530">
        <w:rPr>
          <w:lang w:val="en-US"/>
        </w:rPr>
        <w:t xml:space="preserve">ed as a priority contaminant of gasworks waste. However, New Zealand studies have found that some dioxins may be present in the wastes produced from coal gasification and can be found at some of the sites where gasworks were previously located </w:t>
      </w:r>
      <w:sdt>
        <w:sdtPr>
          <w:rPr>
            <w:lang w:val="en-US"/>
          </w:rPr>
          <w:id w:val="157435020"/>
          <w:citation/>
        </w:sdtPr>
        <w:sdtEndPr/>
        <w:sdtContent>
          <w:r w:rsidRPr="00553530">
            <w:rPr>
              <w:lang w:val="en-US"/>
            </w:rPr>
            <w:fldChar w:fldCharType="begin"/>
          </w:r>
          <w:r w:rsidRPr="00553530">
            <w:instrText xml:space="preserve"> CITATION MfE2011 \l 5129 </w:instrText>
          </w:r>
          <w:r w:rsidRPr="00553530">
            <w:rPr>
              <w:lang w:val="en-US"/>
            </w:rPr>
            <w:fldChar w:fldCharType="separate"/>
          </w:r>
          <w:r w:rsidR="00F1175E" w:rsidRPr="00553530">
            <w:rPr>
              <w:noProof/>
            </w:rPr>
            <w:t>(Ministry for the Environment, 2011a)</w:t>
          </w:r>
          <w:r w:rsidRPr="00553530">
            <w:rPr>
              <w:lang w:val="en-US"/>
            </w:rPr>
            <w:fldChar w:fldCharType="end"/>
          </w:r>
        </w:sdtContent>
      </w:sdt>
      <w:r w:rsidRPr="00553530">
        <w:rPr>
          <w:lang w:val="en-US"/>
        </w:rPr>
        <w:t>.</w:t>
      </w:r>
    </w:p>
    <w:p w14:paraId="1B01C6F6" w14:textId="33D23CD8" w:rsidR="006761D2" w:rsidRPr="00553530" w:rsidRDefault="006761D2" w:rsidP="00463FFA">
      <w:pPr>
        <w:spacing w:line="300" w:lineRule="atLeast"/>
        <w:rPr>
          <w:lang w:val="en-US"/>
        </w:rPr>
      </w:pPr>
      <w:r w:rsidRPr="00553530">
        <w:rPr>
          <w:lang w:val="en-US"/>
        </w:rPr>
        <w:t xml:space="preserve">In the first dioxin inventory report it was noted that at least five of the 54 gasworks sites had been remediated, and the reservoir estimates for the remaining 49 sites were reported to be between 0.028 and 6.4 g TEQ </w:t>
      </w:r>
      <w:sdt>
        <w:sdtPr>
          <w:rPr>
            <w:lang w:val="en-US"/>
          </w:rPr>
          <w:id w:val="1698812175"/>
          <w:citation/>
        </w:sdtPr>
        <w:sdtEndPr/>
        <w:sdtContent>
          <w:r w:rsidRPr="00553530">
            <w:rPr>
              <w:lang w:val="en-US"/>
            </w:rPr>
            <w:fldChar w:fldCharType="begin"/>
          </w:r>
          <w:r w:rsidRPr="00553530">
            <w:instrText xml:space="preserve">CITATION MfE00 \l 5129 </w:instrText>
          </w:r>
          <w:r w:rsidRPr="00553530">
            <w:rPr>
              <w:lang w:val="en-US"/>
            </w:rPr>
            <w:fldChar w:fldCharType="separate"/>
          </w:r>
          <w:r w:rsidR="00F1175E" w:rsidRPr="00553530">
            <w:rPr>
              <w:noProof/>
            </w:rPr>
            <w:t>(Ministry for the Environment, 2000)</w:t>
          </w:r>
          <w:r w:rsidRPr="00553530">
            <w:rPr>
              <w:lang w:val="en-US"/>
            </w:rPr>
            <w:fldChar w:fldCharType="end"/>
          </w:r>
        </w:sdtContent>
      </w:sdt>
      <w:r w:rsidRPr="00553530">
        <w:rPr>
          <w:lang w:val="en-US"/>
        </w:rPr>
        <w:t xml:space="preserve">. The second inventory reported that a further 10 sites had been remediated and the 2008 dioxin reservoir was estimated at 0.022 to 5.2 g TEQ. No reports have been found of any more recent remediation work, so the </w:t>
      </w:r>
      <w:r w:rsidR="00506F97" w:rsidRPr="00553530">
        <w:rPr>
          <w:lang w:val="en-US"/>
        </w:rPr>
        <w:t>20</w:t>
      </w:r>
      <w:r w:rsidR="00553530" w:rsidRPr="00553530">
        <w:rPr>
          <w:lang w:val="en-US"/>
        </w:rPr>
        <w:t>08</w:t>
      </w:r>
      <w:r w:rsidRPr="00553530">
        <w:rPr>
          <w:lang w:val="en-US"/>
        </w:rPr>
        <w:t xml:space="preserve"> estimate should still apply for</w:t>
      </w:r>
      <w:r w:rsidR="00A142C7">
        <w:rPr>
          <w:lang w:val="en-US"/>
        </w:rPr>
        <w:t xml:space="preserve"> </w:t>
      </w:r>
      <w:r w:rsidR="00553530" w:rsidRPr="00553530">
        <w:rPr>
          <w:lang w:val="en-US"/>
        </w:rPr>
        <w:t>2020</w:t>
      </w:r>
      <w:r w:rsidRPr="00553530">
        <w:rPr>
          <w:lang w:val="en-US"/>
        </w:rPr>
        <w:t>.</w:t>
      </w:r>
    </w:p>
    <w:p w14:paraId="2E3A8AE8" w14:textId="77777777" w:rsidR="006761D2" w:rsidRPr="00C50BDE" w:rsidRDefault="006761D2" w:rsidP="00261F78">
      <w:pPr>
        <w:pStyle w:val="Heading2"/>
        <w:rPr>
          <w:lang w:val="en-US"/>
        </w:rPr>
      </w:pPr>
      <w:bookmarkStart w:id="493" w:name="_Toc275531309"/>
      <w:bookmarkStart w:id="494" w:name="_Toc275532410"/>
      <w:bookmarkStart w:id="495" w:name="_Toc112768173"/>
      <w:r w:rsidRPr="00C50BDE">
        <w:rPr>
          <w:lang w:val="en-US"/>
        </w:rPr>
        <w:t>Landfills</w:t>
      </w:r>
      <w:bookmarkEnd w:id="493"/>
      <w:bookmarkEnd w:id="494"/>
      <w:bookmarkEnd w:id="495"/>
    </w:p>
    <w:p w14:paraId="06D834DE" w14:textId="0EB86C68" w:rsidR="006761D2" w:rsidRPr="00AF1200" w:rsidRDefault="24854215" w:rsidP="0C34660A">
      <w:pPr>
        <w:spacing w:line="300" w:lineRule="atLeast"/>
        <w:rPr>
          <w:highlight w:val="yellow"/>
        </w:rPr>
      </w:pPr>
      <w:r w:rsidRPr="0C34660A">
        <w:rPr>
          <w:lang w:val="en-US"/>
        </w:rPr>
        <w:t xml:space="preserve">Solid waste landfills also represent a reservoir of dioxins. In the </w:t>
      </w:r>
      <w:r w:rsidR="09EC9576" w:rsidRPr="0C34660A">
        <w:rPr>
          <w:lang w:val="en-US"/>
        </w:rPr>
        <w:t xml:space="preserve">2016 </w:t>
      </w:r>
      <w:r w:rsidRPr="0C34660A">
        <w:rPr>
          <w:lang w:val="en-US"/>
        </w:rPr>
        <w:t xml:space="preserve">Inventory it was estimated that the total mass of waste stored in landfills in </w:t>
      </w:r>
      <w:r w:rsidR="09EC9576" w:rsidRPr="0C34660A">
        <w:rPr>
          <w:lang w:val="en-US"/>
        </w:rPr>
        <w:t>2016</w:t>
      </w:r>
      <w:r w:rsidR="41095B8B" w:rsidRPr="0C34660A">
        <w:rPr>
          <w:lang w:val="en-US"/>
        </w:rPr>
        <w:t xml:space="preserve"> </w:t>
      </w:r>
      <w:r w:rsidRPr="0C34660A">
        <w:rPr>
          <w:lang w:val="en-US"/>
        </w:rPr>
        <w:t xml:space="preserve">was </w:t>
      </w:r>
      <w:r w:rsidR="412CAA3B" w:rsidRPr="0C34660A">
        <w:rPr>
          <w:lang w:val="en-US"/>
        </w:rPr>
        <w:t>132</w:t>
      </w:r>
      <w:r w:rsidR="41095B8B" w:rsidRPr="0C34660A">
        <w:rPr>
          <w:lang w:val="en-US"/>
        </w:rPr>
        <w:t xml:space="preserve"> </w:t>
      </w:r>
      <w:r w:rsidRPr="0C34660A">
        <w:rPr>
          <w:lang w:val="en-US"/>
        </w:rPr>
        <w:t xml:space="preserve">million tonnes, and the associated dioxin reservoir would be </w:t>
      </w:r>
      <w:r w:rsidR="41095B8B" w:rsidRPr="0C34660A">
        <w:rPr>
          <w:lang w:val="en-US"/>
        </w:rPr>
        <w:t>0.7</w:t>
      </w:r>
      <w:r w:rsidR="412CAA3B" w:rsidRPr="0C34660A">
        <w:rPr>
          <w:lang w:val="en-US"/>
        </w:rPr>
        <w:t>9</w:t>
      </w:r>
      <w:r w:rsidRPr="0C34660A">
        <w:rPr>
          <w:lang w:val="en-US"/>
        </w:rPr>
        <w:t xml:space="preserve"> kg TEQ (based on a Toolkit factor of 6 x 10</w:t>
      </w:r>
      <w:r w:rsidRPr="0C34660A">
        <w:rPr>
          <w:vertAlign w:val="superscript"/>
          <w:lang w:val="en-US"/>
        </w:rPr>
        <w:t>-6</w:t>
      </w:r>
      <w:r w:rsidRPr="0C34660A">
        <w:rPr>
          <w:lang w:val="en-US"/>
        </w:rPr>
        <w:t xml:space="preserve"> g TEQ per tonne). In the following 4 years, the quantity of waste will have increased by about </w:t>
      </w:r>
      <w:r w:rsidR="41095B8B" w:rsidRPr="0C34660A">
        <w:rPr>
          <w:lang w:val="en-US"/>
        </w:rPr>
        <w:t>1</w:t>
      </w:r>
      <w:r w:rsidR="412CAA3B" w:rsidRPr="0C34660A">
        <w:rPr>
          <w:lang w:val="en-US"/>
        </w:rPr>
        <w:t>4</w:t>
      </w:r>
      <w:r w:rsidR="41095B8B" w:rsidRPr="0C34660A">
        <w:rPr>
          <w:lang w:val="en-US"/>
        </w:rPr>
        <w:t xml:space="preserve"> </w:t>
      </w:r>
      <w:r w:rsidRPr="0C34660A">
        <w:rPr>
          <w:lang w:val="en-US"/>
        </w:rPr>
        <w:t xml:space="preserve">million tonnes </w:t>
      </w:r>
      <w:r w:rsidR="412CAA3B" w:rsidRPr="0C34660A">
        <w:rPr>
          <w:lang w:val="en-US"/>
        </w:rPr>
        <w:t xml:space="preserve">to 146 million tonnes </w:t>
      </w:r>
      <w:r w:rsidRPr="0C34660A">
        <w:rPr>
          <w:lang w:val="en-US"/>
        </w:rPr>
        <w:t xml:space="preserve">(see section 11.1). Thus, the existing reservoir in </w:t>
      </w:r>
      <w:r w:rsidR="41095B8B" w:rsidRPr="0C34660A">
        <w:rPr>
          <w:lang w:val="en-US"/>
        </w:rPr>
        <w:t>20</w:t>
      </w:r>
      <w:r w:rsidR="000800E6">
        <w:rPr>
          <w:lang w:val="en-US"/>
        </w:rPr>
        <w:t>20</w:t>
      </w:r>
      <w:r w:rsidR="41095B8B" w:rsidRPr="0C34660A">
        <w:rPr>
          <w:lang w:val="en-US"/>
        </w:rPr>
        <w:t xml:space="preserve"> </w:t>
      </w:r>
      <w:r w:rsidRPr="0C34660A">
        <w:rPr>
          <w:lang w:val="en-US"/>
        </w:rPr>
        <w:t xml:space="preserve">will be </w:t>
      </w:r>
      <w:r w:rsidR="41095B8B" w:rsidRPr="0C34660A">
        <w:rPr>
          <w:lang w:val="en-US"/>
        </w:rPr>
        <w:t>0.</w:t>
      </w:r>
      <w:r w:rsidR="412CAA3B" w:rsidRPr="0C34660A">
        <w:rPr>
          <w:lang w:val="en-US"/>
        </w:rPr>
        <w:t>88</w:t>
      </w:r>
      <w:r w:rsidRPr="0C34660A">
        <w:rPr>
          <w:lang w:val="en-US"/>
        </w:rPr>
        <w:t xml:space="preserve"> kg TEQ.</w:t>
      </w:r>
      <w:r>
        <w:t xml:space="preserve"> </w:t>
      </w:r>
      <w:r w:rsidR="006761D2" w:rsidRPr="0C34660A">
        <w:rPr>
          <w:highlight w:val="yellow"/>
        </w:rPr>
        <w:br w:type="page"/>
      </w:r>
    </w:p>
    <w:p w14:paraId="2F70E677" w14:textId="77777777" w:rsidR="006761D2" w:rsidRPr="00AA4F49" w:rsidRDefault="006761D2" w:rsidP="00261F78">
      <w:pPr>
        <w:pStyle w:val="Heading1"/>
      </w:pPr>
      <w:bookmarkStart w:id="496" w:name="_Toc358573566"/>
      <w:bookmarkStart w:id="497" w:name="_Toc112768174"/>
      <w:r w:rsidRPr="00AA4F49">
        <w:lastRenderedPageBreak/>
        <w:t>Summary</w:t>
      </w:r>
      <w:bookmarkEnd w:id="496"/>
      <w:r w:rsidRPr="00AA4F49">
        <w:t xml:space="preserve"> and discussion</w:t>
      </w:r>
      <w:bookmarkEnd w:id="497"/>
    </w:p>
    <w:p w14:paraId="7CF09B0F" w14:textId="317558E2" w:rsidR="00E27321" w:rsidRPr="00AA4F49" w:rsidRDefault="006761D2" w:rsidP="00E27321">
      <w:pPr>
        <w:spacing w:line="300" w:lineRule="atLeast"/>
        <w:jc w:val="both"/>
      </w:pPr>
      <w:r w:rsidRPr="00AA4F49">
        <w:t xml:space="preserve">The key points arising from the </w:t>
      </w:r>
      <w:r w:rsidR="00CB78C9" w:rsidRPr="00AA4F49">
        <w:t>2020</w:t>
      </w:r>
      <w:r w:rsidR="00042098" w:rsidRPr="00AA4F49">
        <w:t xml:space="preserve"> </w:t>
      </w:r>
      <w:r w:rsidRPr="00AA4F49">
        <w:t xml:space="preserve">inventory are summarised and discussed below, along with some comparative data from the previous inventories for </w:t>
      </w:r>
      <w:r w:rsidR="00353C8B" w:rsidRPr="00AA4F49">
        <w:t>2012</w:t>
      </w:r>
      <w:r w:rsidRPr="00AA4F49">
        <w:t xml:space="preserve"> and</w:t>
      </w:r>
      <w:r w:rsidR="00353C8B" w:rsidRPr="00AA4F49">
        <w:t xml:space="preserve"> 2016</w:t>
      </w:r>
      <w:r w:rsidRPr="00AA4F49">
        <w:t xml:space="preserve">. A table showing the </w:t>
      </w:r>
      <w:r w:rsidR="00FE08B7" w:rsidRPr="00AA4F49">
        <w:t>complete data for all source categories and release vectors for 2012</w:t>
      </w:r>
      <w:r w:rsidR="00353C8B" w:rsidRPr="00AA4F49">
        <w:t xml:space="preserve">, </w:t>
      </w:r>
      <w:r w:rsidR="00FE08B7" w:rsidRPr="00AA4F49">
        <w:t>2016</w:t>
      </w:r>
      <w:r w:rsidR="00353C8B" w:rsidRPr="00AA4F49">
        <w:t xml:space="preserve"> and 2020</w:t>
      </w:r>
      <w:r w:rsidR="00FE08B7" w:rsidRPr="00AA4F49">
        <w:t xml:space="preserve"> is given in Appendix 1</w:t>
      </w:r>
      <w:r w:rsidR="00E27321" w:rsidRPr="00AA4F49">
        <w:t xml:space="preserve">. </w:t>
      </w:r>
    </w:p>
    <w:p w14:paraId="530F8857" w14:textId="0748F41E" w:rsidR="00D1567A" w:rsidRPr="00AA4F49" w:rsidRDefault="00D1567A" w:rsidP="00261F78">
      <w:pPr>
        <w:pStyle w:val="Heading2"/>
      </w:pPr>
      <w:bookmarkStart w:id="498" w:name="_Toc112768175"/>
      <w:r w:rsidRPr="00AA4F49">
        <w:t xml:space="preserve">Dioxin Release Estimates for </w:t>
      </w:r>
      <w:r w:rsidR="00C8575B">
        <w:t>2020</w:t>
      </w:r>
      <w:bookmarkEnd w:id="498"/>
    </w:p>
    <w:p w14:paraId="3BB7FDF6" w14:textId="542C73B6" w:rsidR="008F7A88" w:rsidRPr="003D73C3" w:rsidRDefault="24371467" w:rsidP="008F7A88">
      <w:pPr>
        <w:spacing w:line="300" w:lineRule="atLeast"/>
        <w:jc w:val="both"/>
      </w:pPr>
      <w:r>
        <w:t xml:space="preserve">The total estimated quantity of dioxin released in New Zealand for </w:t>
      </w:r>
      <w:r w:rsidR="006E27BB">
        <w:t>2020</w:t>
      </w:r>
      <w:r>
        <w:t xml:space="preserve"> was </w:t>
      </w:r>
      <w:r w:rsidR="3FA107AC">
        <w:t>3</w:t>
      </w:r>
      <w:r w:rsidR="00BE23BD">
        <w:t>6.</w:t>
      </w:r>
      <w:r w:rsidR="006B522E">
        <w:t>6</w:t>
      </w:r>
      <w:r w:rsidR="3FA107AC">
        <w:t xml:space="preserve"> </w:t>
      </w:r>
      <w:r w:rsidR="6471A651">
        <w:t xml:space="preserve">g TEQ. </w:t>
      </w:r>
      <w:r w:rsidR="3AAD1D12">
        <w:t>A plot of dioxin release estimates versus source category for</w:t>
      </w:r>
      <w:r w:rsidR="4CE5E299">
        <w:t xml:space="preserve"> </w:t>
      </w:r>
      <w:r w:rsidR="3FA107AC">
        <w:t>2020</w:t>
      </w:r>
      <w:r w:rsidR="4CE5E299">
        <w:t xml:space="preserve"> is shown in Figure 13-2. </w:t>
      </w:r>
      <w:proofErr w:type="gramStart"/>
      <w:r w:rsidR="3AAD1D12">
        <w:t>Viewing the plot, it</w:t>
      </w:r>
      <w:proofErr w:type="gramEnd"/>
      <w:r w:rsidR="3AAD1D12">
        <w:t xml:space="preserve"> is apparent that most dioxin emissions can be attributed to a </w:t>
      </w:r>
      <w:bookmarkStart w:id="499" w:name="_Int_spVYZDO9"/>
      <w:r w:rsidR="3AAD1D12">
        <w:t>re</w:t>
      </w:r>
      <w:r>
        <w:t>latively small</w:t>
      </w:r>
      <w:bookmarkEnd w:id="499"/>
      <w:r>
        <w:t xml:space="preserve"> number of categories and that many categories make only a very minor contribution to the total. Figure 13-1 illustrates the share that major source categories have for the total dioxin release. </w:t>
      </w:r>
      <w:r w:rsidR="4CE5E299">
        <w:t>It</w:t>
      </w:r>
      <w:r>
        <w:t xml:space="preserve"> shows that about </w:t>
      </w:r>
      <w:r w:rsidR="26AB99B1">
        <w:t>60%</w:t>
      </w:r>
      <w:r>
        <w:t xml:space="preserve"> of New Zealand’s estimated dioxin releases can be attributed to two categories – disposal of municipal waste in l</w:t>
      </w:r>
      <w:r w:rsidR="4CE5E299">
        <w:t xml:space="preserve">andfills and sewage treatment. Combined with seven other categories: secondary aluminium processing, </w:t>
      </w:r>
      <w:r w:rsidR="26AB99B1">
        <w:t xml:space="preserve">industrial wood combustion, </w:t>
      </w:r>
      <w:r w:rsidR="4CE5E299">
        <w:t>industrial coal combustion, structure fires,</w:t>
      </w:r>
      <w:r w:rsidR="26AB99B1">
        <w:t xml:space="preserve"> metal shredding</w:t>
      </w:r>
      <w:r w:rsidR="4CE5E299">
        <w:t>,</w:t>
      </w:r>
      <w:r w:rsidR="32320BFE">
        <w:t xml:space="preserve"> </w:t>
      </w:r>
      <w:r w:rsidR="26AB99B1">
        <w:t>landfill fires</w:t>
      </w:r>
      <w:r w:rsidR="4CE5E299">
        <w:t xml:space="preserve">, heating and cooking with wood and </w:t>
      </w:r>
      <w:r w:rsidR="26AB99B1">
        <w:t xml:space="preserve">structure fires, the </w:t>
      </w:r>
      <w:r w:rsidR="4CE5E299">
        <w:t xml:space="preserve">nine sources comprise </w:t>
      </w:r>
      <w:r w:rsidR="26AB99B1">
        <w:t xml:space="preserve">87 </w:t>
      </w:r>
      <w:r w:rsidR="4CE5E299">
        <w:t>% of total dioxin releases with the remaining 1</w:t>
      </w:r>
      <w:r w:rsidR="26AB99B1">
        <w:t>3</w:t>
      </w:r>
      <w:r w:rsidR="4CE5E299">
        <w:t xml:space="preserve">% split between about 40 other categories and sub-categories. </w:t>
      </w:r>
    </w:p>
    <w:p w14:paraId="1F13AA83" w14:textId="77777777" w:rsidR="00353C8B" w:rsidRPr="00AF1200" w:rsidRDefault="00353C8B" w:rsidP="008F7A88">
      <w:pPr>
        <w:spacing w:line="300" w:lineRule="atLeast"/>
        <w:jc w:val="both"/>
        <w:rPr>
          <w:highlight w:val="yellow"/>
        </w:rPr>
      </w:pPr>
    </w:p>
    <w:p w14:paraId="5341E23B" w14:textId="461B453E" w:rsidR="001401AD" w:rsidRPr="00AF1200" w:rsidRDefault="00BE23BD" w:rsidP="001401AD">
      <w:pPr>
        <w:spacing w:line="300" w:lineRule="atLeast"/>
        <w:jc w:val="both"/>
        <w:rPr>
          <w:highlight w:val="yellow"/>
        </w:rPr>
      </w:pPr>
      <w:r>
        <w:rPr>
          <w:noProof/>
        </w:rPr>
        <w:drawing>
          <wp:inline distT="0" distB="0" distL="0" distR="0" wp14:anchorId="3232076C" wp14:editId="4453761A">
            <wp:extent cx="5186680" cy="3067050"/>
            <wp:effectExtent l="0" t="0" r="7620" b="6350"/>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C40996" w14:textId="14591EF3" w:rsidR="001401AD" w:rsidRPr="003D73C3" w:rsidRDefault="00C65955" w:rsidP="001401AD">
      <w:pPr>
        <w:spacing w:line="300" w:lineRule="atLeast"/>
        <w:jc w:val="both"/>
        <w:rPr>
          <w:b/>
        </w:rPr>
      </w:pPr>
      <w:r w:rsidRPr="003D73C3">
        <w:rPr>
          <w:b/>
        </w:rPr>
        <w:t>Figure 13.1</w:t>
      </w:r>
      <w:r w:rsidR="001401AD" w:rsidRPr="003D73C3">
        <w:rPr>
          <w:b/>
        </w:rPr>
        <w:t xml:space="preserve">.  Plot Showing the Contribution of Major Release Categories for Dioxin  </w:t>
      </w:r>
    </w:p>
    <w:p w14:paraId="7CE0F9A6" w14:textId="77777777" w:rsidR="003E2E9A" w:rsidRPr="003D73C3" w:rsidRDefault="003E2E9A" w:rsidP="00041829">
      <w:pPr>
        <w:spacing w:line="120" w:lineRule="atLeast"/>
        <w:rPr>
          <w:b/>
          <w:sz w:val="16"/>
          <w:szCs w:val="16"/>
        </w:rPr>
      </w:pPr>
      <w:r w:rsidRPr="003D73C3">
        <w:rPr>
          <w:b/>
          <w:sz w:val="16"/>
          <w:szCs w:val="16"/>
        </w:rPr>
        <w:t>(* The sum of all categories may not total exactly 100.0% due to rounding effects)</w:t>
      </w:r>
    </w:p>
    <w:p w14:paraId="5C106AE0" w14:textId="77777777" w:rsidR="003E2E9A" w:rsidRPr="00AF1200" w:rsidRDefault="003E2E9A" w:rsidP="001401AD">
      <w:pPr>
        <w:spacing w:line="300" w:lineRule="atLeast"/>
        <w:jc w:val="both"/>
        <w:rPr>
          <w:b/>
          <w:highlight w:val="yellow"/>
        </w:rPr>
      </w:pPr>
    </w:p>
    <w:p w14:paraId="43A667AA" w14:textId="605943D9" w:rsidR="001401AD" w:rsidRDefault="24371467" w:rsidP="001401AD">
      <w:pPr>
        <w:spacing w:after="240" w:line="300" w:lineRule="atLeast"/>
        <w:jc w:val="both"/>
      </w:pPr>
      <w:r>
        <w:t xml:space="preserve">All members of New Zealand’s </w:t>
      </w:r>
      <w:r w:rsidR="26AB99B1">
        <w:t>5.025</w:t>
      </w:r>
      <w:r>
        <w:t xml:space="preserve"> million population contributed to the sewage treatment release in </w:t>
      </w:r>
      <w:r w:rsidR="26AB99B1">
        <w:t xml:space="preserve">2020 </w:t>
      </w:r>
      <w:r>
        <w:t>and a significant majority will have generated wastes disposed of in mu</w:t>
      </w:r>
      <w:r w:rsidR="6471A651">
        <w:t xml:space="preserve">nicipal solid waste landfills. </w:t>
      </w:r>
      <w:r>
        <w:t xml:space="preserve">Releases from industrial coal and biomass </w:t>
      </w:r>
      <w:r w:rsidR="55373785">
        <w:t xml:space="preserve">combustion </w:t>
      </w:r>
      <w:r>
        <w:t>(</w:t>
      </w:r>
      <w:r w:rsidR="55373785">
        <w:t xml:space="preserve">the latter </w:t>
      </w:r>
      <w:bookmarkStart w:id="500" w:name="_Int_es3GppJE"/>
      <w:r>
        <w:t>largely wood</w:t>
      </w:r>
      <w:r w:rsidR="3AB6EAC8">
        <w:t>-</w:t>
      </w:r>
      <w:r w:rsidR="55373785">
        <w:t>waste</w:t>
      </w:r>
      <w:bookmarkEnd w:id="500"/>
      <w:r w:rsidR="55373785">
        <w:t xml:space="preserve">) </w:t>
      </w:r>
      <w:r>
        <w:t>are associated with about 500 coal-fired boilers and more than 175 biomass-fired power plants.</w:t>
      </w:r>
      <w:r w:rsidR="01A32763">
        <w:t xml:space="preserve"> </w:t>
      </w:r>
      <w:r>
        <w:t xml:space="preserve">Structure fires are </w:t>
      </w:r>
      <w:bookmarkStart w:id="501" w:name="_Int_UdxiZ4rW"/>
      <w:r>
        <w:t>essentially random</w:t>
      </w:r>
      <w:bookmarkEnd w:id="501"/>
      <w:r>
        <w:t xml:space="preserve"> events.</w:t>
      </w:r>
      <w:r w:rsidR="4CE5E299">
        <w:t xml:space="preserve"> Heating and cooking with wood, primarily the former, occurs in about 5</w:t>
      </w:r>
      <w:r w:rsidR="10D9455E">
        <w:t>3</w:t>
      </w:r>
      <w:r w:rsidR="4CE5E299">
        <w:t>0,000 New Zealand households</w:t>
      </w:r>
      <w:r w:rsidR="01A32763">
        <w:t>.</w:t>
      </w:r>
    </w:p>
    <w:p w14:paraId="5B8CD5D1" w14:textId="34BCE165" w:rsidR="008749A2" w:rsidRDefault="00422740" w:rsidP="001401AD">
      <w:pPr>
        <w:spacing w:after="240" w:line="300" w:lineRule="atLeast"/>
        <w:jc w:val="both"/>
        <w:rPr>
          <w:szCs w:val="18"/>
        </w:rPr>
      </w:pPr>
      <w:r>
        <w:rPr>
          <w:noProof/>
        </w:rPr>
        <w:lastRenderedPageBreak/>
        <w:drawing>
          <wp:inline distT="0" distB="0" distL="0" distR="0" wp14:anchorId="38348D7D" wp14:editId="313853DC">
            <wp:extent cx="5760085" cy="8141335"/>
            <wp:effectExtent l="0" t="0" r="18415" b="12065"/>
            <wp:docPr id="4" name="Chart 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AB8B8F" w14:textId="00BB05B6" w:rsidR="008749A2" w:rsidRPr="003D73C3" w:rsidRDefault="008749A2" w:rsidP="008749A2">
      <w:pPr>
        <w:spacing w:line="300" w:lineRule="atLeast"/>
        <w:jc w:val="both"/>
        <w:rPr>
          <w:b/>
        </w:rPr>
      </w:pPr>
      <w:r w:rsidRPr="003D73C3">
        <w:rPr>
          <w:b/>
        </w:rPr>
        <w:t xml:space="preserve">Figure 13.2.  Annual Dioxin Releases </w:t>
      </w:r>
      <w:r w:rsidR="004079FF">
        <w:rPr>
          <w:b/>
        </w:rPr>
        <w:t xml:space="preserve">for </w:t>
      </w:r>
      <w:r w:rsidRPr="003D73C3">
        <w:rPr>
          <w:b/>
        </w:rPr>
        <w:t>2020 by Source (see Appendix 2 for details)</w:t>
      </w:r>
    </w:p>
    <w:p w14:paraId="35CA16E9" w14:textId="77777777" w:rsidR="006761D2" w:rsidRPr="003D73C3" w:rsidRDefault="006761D2" w:rsidP="00261F78">
      <w:pPr>
        <w:pStyle w:val="Heading2"/>
      </w:pPr>
      <w:bookmarkStart w:id="502" w:name="_Toc112768176"/>
      <w:r w:rsidRPr="003D73C3">
        <w:lastRenderedPageBreak/>
        <w:t>Changes in the dioxin release estimates over time</w:t>
      </w:r>
      <w:bookmarkEnd w:id="502"/>
    </w:p>
    <w:p w14:paraId="377C84CA" w14:textId="61D04877" w:rsidR="00F22D0B" w:rsidRPr="003D73C3" w:rsidRDefault="006761D2" w:rsidP="00F22D0B">
      <w:pPr>
        <w:spacing w:line="300" w:lineRule="atLeast"/>
        <w:jc w:val="both"/>
        <w:rPr>
          <w:szCs w:val="18"/>
        </w:rPr>
      </w:pPr>
      <w:r w:rsidRPr="003D73C3">
        <w:rPr>
          <w:szCs w:val="18"/>
        </w:rPr>
        <w:t>The dioxin release estimates for 20</w:t>
      </w:r>
      <w:r w:rsidR="00CC1CBE" w:rsidRPr="003D73C3">
        <w:rPr>
          <w:szCs w:val="18"/>
        </w:rPr>
        <w:t>12</w:t>
      </w:r>
      <w:r w:rsidRPr="003D73C3">
        <w:rPr>
          <w:szCs w:val="18"/>
        </w:rPr>
        <w:t xml:space="preserve"> and </w:t>
      </w:r>
      <w:r w:rsidR="00CC1CBE" w:rsidRPr="003D73C3">
        <w:rPr>
          <w:szCs w:val="18"/>
        </w:rPr>
        <w:t>2016</w:t>
      </w:r>
      <w:r w:rsidRPr="003D73C3">
        <w:rPr>
          <w:szCs w:val="18"/>
        </w:rPr>
        <w:t xml:space="preserve"> </w:t>
      </w:r>
      <w:r w:rsidR="00FE08B7" w:rsidRPr="003D73C3">
        <w:rPr>
          <w:szCs w:val="18"/>
        </w:rPr>
        <w:t xml:space="preserve">and </w:t>
      </w:r>
      <w:r w:rsidR="00CC1CBE" w:rsidRPr="003D73C3">
        <w:rPr>
          <w:szCs w:val="18"/>
        </w:rPr>
        <w:t>2020</w:t>
      </w:r>
      <w:r w:rsidR="00FE08B7" w:rsidRPr="003D73C3">
        <w:rPr>
          <w:szCs w:val="18"/>
        </w:rPr>
        <w:t xml:space="preserve"> </w:t>
      </w:r>
      <w:r w:rsidRPr="003D73C3">
        <w:rPr>
          <w:szCs w:val="18"/>
        </w:rPr>
        <w:t xml:space="preserve">are summarised in </w:t>
      </w:r>
      <w:r w:rsidRPr="003D73C3">
        <w:rPr>
          <w:szCs w:val="18"/>
        </w:rPr>
        <w:fldChar w:fldCharType="begin"/>
      </w:r>
      <w:r w:rsidRPr="003D73C3">
        <w:rPr>
          <w:szCs w:val="18"/>
        </w:rPr>
        <w:instrText xml:space="preserve"> REF _Ref391631708 \h </w:instrText>
      </w:r>
      <w:r w:rsidR="00F22D0B" w:rsidRPr="003D73C3">
        <w:rPr>
          <w:szCs w:val="18"/>
        </w:rPr>
        <w:instrText xml:space="preserve"> \* MERGEFORMAT </w:instrText>
      </w:r>
      <w:r w:rsidRPr="003D73C3">
        <w:rPr>
          <w:szCs w:val="18"/>
        </w:rPr>
      </w:r>
      <w:r w:rsidRPr="003D73C3">
        <w:rPr>
          <w:szCs w:val="18"/>
        </w:rPr>
        <w:fldChar w:fldCharType="separate"/>
      </w:r>
      <w:r w:rsidR="00141D7F" w:rsidRPr="00141D7F">
        <w:t xml:space="preserve">Table </w:t>
      </w:r>
      <w:r w:rsidR="00141D7F" w:rsidRPr="00141D7F">
        <w:rPr>
          <w:noProof/>
        </w:rPr>
        <w:t>13</w:t>
      </w:r>
      <w:r w:rsidR="00141D7F" w:rsidRPr="00141D7F">
        <w:rPr>
          <w:noProof/>
        </w:rPr>
        <w:noBreakHyphen/>
        <w:t>1</w:t>
      </w:r>
      <w:r w:rsidRPr="003D73C3">
        <w:rPr>
          <w:szCs w:val="18"/>
        </w:rPr>
        <w:fldChar w:fldCharType="end"/>
      </w:r>
      <w:r w:rsidRPr="003D73C3">
        <w:rPr>
          <w:szCs w:val="18"/>
        </w:rPr>
        <w:t xml:space="preserve"> below. This summary is based on nine of the Toolkit </w:t>
      </w:r>
      <w:r w:rsidR="00FE08B7" w:rsidRPr="003D73C3">
        <w:rPr>
          <w:szCs w:val="18"/>
        </w:rPr>
        <w:t xml:space="preserve">major </w:t>
      </w:r>
      <w:r w:rsidRPr="003D73C3">
        <w:rPr>
          <w:szCs w:val="18"/>
        </w:rPr>
        <w:t xml:space="preserve">source categories, which is the summary level used for country reports under the Stockholm Convention. </w:t>
      </w:r>
      <w:r w:rsidR="00FE08B7" w:rsidRPr="003D73C3">
        <w:rPr>
          <w:szCs w:val="18"/>
        </w:rPr>
        <w:t xml:space="preserve">As shown in the Table the total release of dioxin in New Zealand for </w:t>
      </w:r>
      <w:r w:rsidR="00CC1CBE" w:rsidRPr="003D73C3">
        <w:rPr>
          <w:szCs w:val="18"/>
        </w:rPr>
        <w:t>2020</w:t>
      </w:r>
      <w:r w:rsidR="00FE08B7" w:rsidRPr="003D73C3">
        <w:rPr>
          <w:szCs w:val="18"/>
        </w:rPr>
        <w:t xml:space="preserve"> was </w:t>
      </w:r>
      <w:r w:rsidR="00CC1CBE" w:rsidRPr="003D73C3">
        <w:rPr>
          <w:szCs w:val="18"/>
        </w:rPr>
        <w:t>3</w:t>
      </w:r>
      <w:r w:rsidR="005C2924">
        <w:rPr>
          <w:szCs w:val="18"/>
        </w:rPr>
        <w:t>6</w:t>
      </w:r>
      <w:r w:rsidR="00CC1CBE" w:rsidRPr="003D73C3">
        <w:rPr>
          <w:szCs w:val="18"/>
        </w:rPr>
        <w:t>.</w:t>
      </w:r>
      <w:r w:rsidR="001A21D0">
        <w:rPr>
          <w:szCs w:val="18"/>
        </w:rPr>
        <w:t xml:space="preserve">60 </w:t>
      </w:r>
      <w:r w:rsidR="00FE08B7" w:rsidRPr="003D73C3">
        <w:rPr>
          <w:szCs w:val="18"/>
        </w:rPr>
        <w:t>g TEQ</w:t>
      </w:r>
      <w:r w:rsidR="00837413" w:rsidRPr="003D73C3">
        <w:rPr>
          <w:szCs w:val="18"/>
        </w:rPr>
        <w:t xml:space="preserve">. </w:t>
      </w:r>
      <w:r w:rsidR="00FE08B7" w:rsidRPr="003D73C3">
        <w:rPr>
          <w:szCs w:val="18"/>
        </w:rPr>
        <w:t xml:space="preserve">This can be compared with releases of </w:t>
      </w:r>
      <w:r w:rsidR="00C620D6" w:rsidRPr="003D73C3">
        <w:rPr>
          <w:szCs w:val="18"/>
        </w:rPr>
        <w:t>36.</w:t>
      </w:r>
      <w:r w:rsidR="001A21D0">
        <w:rPr>
          <w:szCs w:val="18"/>
        </w:rPr>
        <w:t>99</w:t>
      </w:r>
      <w:r w:rsidR="00FE08B7" w:rsidRPr="003D73C3">
        <w:rPr>
          <w:szCs w:val="18"/>
        </w:rPr>
        <w:t xml:space="preserve"> g TEQ in </w:t>
      </w:r>
      <w:r w:rsidR="00CC1CBE" w:rsidRPr="003D73C3">
        <w:rPr>
          <w:szCs w:val="18"/>
        </w:rPr>
        <w:t>2012</w:t>
      </w:r>
      <w:r w:rsidR="00FE08B7" w:rsidRPr="003D73C3">
        <w:rPr>
          <w:szCs w:val="18"/>
        </w:rPr>
        <w:t xml:space="preserve"> and </w:t>
      </w:r>
      <w:r w:rsidR="00C620D6" w:rsidRPr="003D73C3">
        <w:rPr>
          <w:szCs w:val="18"/>
        </w:rPr>
        <w:t>3</w:t>
      </w:r>
      <w:r w:rsidR="001A21D0">
        <w:rPr>
          <w:szCs w:val="18"/>
        </w:rPr>
        <w:t>7.10</w:t>
      </w:r>
      <w:r w:rsidR="00C620D6" w:rsidRPr="003D73C3">
        <w:rPr>
          <w:szCs w:val="18"/>
        </w:rPr>
        <w:t xml:space="preserve"> </w:t>
      </w:r>
      <w:r w:rsidR="00FE08B7" w:rsidRPr="003D73C3">
        <w:rPr>
          <w:szCs w:val="18"/>
        </w:rPr>
        <w:t>g TEQ in</w:t>
      </w:r>
      <w:r w:rsidR="00CC1CBE" w:rsidRPr="003D73C3">
        <w:rPr>
          <w:szCs w:val="18"/>
        </w:rPr>
        <w:t xml:space="preserve"> 2016</w:t>
      </w:r>
      <w:r w:rsidR="00F22D0B" w:rsidRPr="003D73C3">
        <w:rPr>
          <w:szCs w:val="18"/>
        </w:rPr>
        <w:t>.</w:t>
      </w:r>
    </w:p>
    <w:p w14:paraId="4C55C21E" w14:textId="77777777" w:rsidR="00F22D0B" w:rsidRPr="003D73C3" w:rsidRDefault="00F22D0B" w:rsidP="00F22D0B">
      <w:pPr>
        <w:spacing w:line="300" w:lineRule="atLeast"/>
        <w:jc w:val="both"/>
        <w:rPr>
          <w:szCs w:val="18"/>
        </w:rPr>
      </w:pPr>
    </w:p>
    <w:p w14:paraId="5B0DF7F7" w14:textId="2B77EF09" w:rsidR="009C2102" w:rsidRPr="003D73C3" w:rsidRDefault="006761D2" w:rsidP="0021362B">
      <w:pPr>
        <w:pStyle w:val="Caption"/>
        <w:jc w:val="left"/>
        <w:rPr>
          <w:rFonts w:cs="Arial"/>
          <w:szCs w:val="18"/>
        </w:rPr>
      </w:pPr>
      <w:bookmarkStart w:id="503" w:name="_Ref391631708"/>
      <w:r w:rsidRPr="003D73C3">
        <w:rPr>
          <w:rFonts w:cs="Arial"/>
        </w:rPr>
        <w:t xml:space="preserve">Table </w:t>
      </w:r>
      <w:r w:rsidR="00C97AD3" w:rsidRPr="003D73C3">
        <w:rPr>
          <w:rFonts w:cs="Arial"/>
        </w:rPr>
        <w:fldChar w:fldCharType="begin"/>
      </w:r>
      <w:r w:rsidR="00C97AD3" w:rsidRPr="003D73C3">
        <w:rPr>
          <w:rFonts w:cs="Arial"/>
        </w:rPr>
        <w:instrText xml:space="preserve"> STYLEREF 1 \s </w:instrText>
      </w:r>
      <w:r w:rsidR="00C97AD3" w:rsidRPr="003D73C3">
        <w:rPr>
          <w:rFonts w:cs="Arial"/>
        </w:rPr>
        <w:fldChar w:fldCharType="separate"/>
      </w:r>
      <w:r w:rsidR="00141D7F">
        <w:rPr>
          <w:rFonts w:cs="Arial"/>
          <w:noProof/>
        </w:rPr>
        <w:t>13</w:t>
      </w:r>
      <w:r w:rsidR="00C97AD3" w:rsidRPr="003D73C3">
        <w:rPr>
          <w:rFonts w:cs="Arial"/>
          <w:noProof/>
        </w:rPr>
        <w:fldChar w:fldCharType="end"/>
      </w:r>
      <w:r w:rsidRPr="003D73C3">
        <w:rPr>
          <w:rFonts w:cs="Arial"/>
        </w:rPr>
        <w:noBreakHyphen/>
      </w:r>
      <w:r w:rsidR="00C97AD3" w:rsidRPr="003D73C3">
        <w:rPr>
          <w:rFonts w:cs="Arial"/>
        </w:rPr>
        <w:fldChar w:fldCharType="begin"/>
      </w:r>
      <w:r w:rsidR="00C97AD3" w:rsidRPr="003D73C3">
        <w:rPr>
          <w:rFonts w:cs="Arial"/>
        </w:rPr>
        <w:instrText xml:space="preserve"> SEQ Table \* ARABIC \s 1 </w:instrText>
      </w:r>
      <w:r w:rsidR="00C97AD3" w:rsidRPr="003D73C3">
        <w:rPr>
          <w:rFonts w:cs="Arial"/>
        </w:rPr>
        <w:fldChar w:fldCharType="separate"/>
      </w:r>
      <w:r w:rsidR="00141D7F">
        <w:rPr>
          <w:rFonts w:cs="Arial"/>
          <w:noProof/>
        </w:rPr>
        <w:t>1</w:t>
      </w:r>
      <w:r w:rsidR="00C97AD3" w:rsidRPr="003D73C3">
        <w:rPr>
          <w:rFonts w:cs="Arial"/>
          <w:noProof/>
        </w:rPr>
        <w:fldChar w:fldCharType="end"/>
      </w:r>
      <w:bookmarkEnd w:id="503"/>
      <w:r w:rsidRPr="003D73C3">
        <w:rPr>
          <w:rFonts w:cs="Arial"/>
        </w:rPr>
        <w:t xml:space="preserve">: Summary of the release estimates for </w:t>
      </w:r>
      <w:r w:rsidR="00C620D6" w:rsidRPr="003D73C3">
        <w:rPr>
          <w:rFonts w:cs="Arial"/>
        </w:rPr>
        <w:t>2</w:t>
      </w:r>
      <w:r w:rsidRPr="003D73C3">
        <w:rPr>
          <w:rFonts w:cs="Arial"/>
        </w:rPr>
        <w:t>012</w:t>
      </w:r>
      <w:r w:rsidR="00C620D6" w:rsidRPr="003D73C3">
        <w:rPr>
          <w:rFonts w:cs="Arial"/>
        </w:rPr>
        <w:t>, 2016</w:t>
      </w:r>
      <w:r w:rsidR="00802DDD" w:rsidRPr="003D73C3">
        <w:rPr>
          <w:rFonts w:cs="Arial"/>
        </w:rPr>
        <w:t xml:space="preserve"> and </w:t>
      </w:r>
      <w:r w:rsidR="00C620D6">
        <w:rPr>
          <w:rFonts w:cs="Arial"/>
        </w:rPr>
        <w:t>2020</w:t>
      </w:r>
    </w:p>
    <w:tbl>
      <w:tblPr>
        <w:tblStyle w:val="TableGrid"/>
        <w:tblW w:w="9072" w:type="dxa"/>
        <w:tblInd w:w="108" w:type="dxa"/>
        <w:tblLayout w:type="fixed"/>
        <w:tblLook w:val="04A0" w:firstRow="1" w:lastRow="0" w:firstColumn="1" w:lastColumn="0" w:noHBand="0" w:noVBand="1"/>
      </w:tblPr>
      <w:tblGrid>
        <w:gridCol w:w="284"/>
        <w:gridCol w:w="1701"/>
        <w:gridCol w:w="567"/>
        <w:gridCol w:w="567"/>
        <w:gridCol w:w="567"/>
        <w:gridCol w:w="567"/>
        <w:gridCol w:w="377"/>
        <w:gridCol w:w="190"/>
        <w:gridCol w:w="567"/>
        <w:gridCol w:w="567"/>
        <w:gridCol w:w="567"/>
        <w:gridCol w:w="330"/>
        <w:gridCol w:w="379"/>
        <w:gridCol w:w="567"/>
        <w:gridCol w:w="708"/>
        <w:gridCol w:w="567"/>
      </w:tblGrid>
      <w:tr w:rsidR="009C2102" w:rsidRPr="00C620D6" w14:paraId="69C93B19" w14:textId="77777777" w:rsidTr="0050196B">
        <w:trPr>
          <w:trHeight w:val="300"/>
        </w:trPr>
        <w:tc>
          <w:tcPr>
            <w:tcW w:w="1985" w:type="dxa"/>
            <w:gridSpan w:val="2"/>
            <w:vMerge w:val="restart"/>
            <w:noWrap/>
            <w:vAlign w:val="center"/>
            <w:hideMark/>
          </w:tcPr>
          <w:p w14:paraId="41EE9A38" w14:textId="0CC01878" w:rsidR="009C2102" w:rsidRPr="003D73C3" w:rsidRDefault="00802DDD" w:rsidP="0050196B">
            <w:pPr>
              <w:spacing w:line="300" w:lineRule="atLeast"/>
              <w:jc w:val="center"/>
              <w:rPr>
                <w:rFonts w:ascii="Arial" w:hAnsi="Arial" w:cs="Arial"/>
                <w:b/>
                <w:sz w:val="14"/>
                <w:szCs w:val="14"/>
              </w:rPr>
            </w:pPr>
            <w:r w:rsidRPr="003D73C3">
              <w:rPr>
                <w:rFonts w:ascii="Arial" w:hAnsi="Arial" w:cs="Arial"/>
                <w:b/>
                <w:sz w:val="14"/>
                <w:szCs w:val="14"/>
              </w:rPr>
              <w:t xml:space="preserve">Major </w:t>
            </w:r>
            <w:r w:rsidR="009C2102" w:rsidRPr="003D73C3">
              <w:rPr>
                <w:rFonts w:ascii="Arial" w:hAnsi="Arial" w:cs="Arial"/>
                <w:b/>
                <w:sz w:val="14"/>
                <w:szCs w:val="14"/>
              </w:rPr>
              <w:t>Source Categories</w:t>
            </w:r>
          </w:p>
        </w:tc>
        <w:tc>
          <w:tcPr>
            <w:tcW w:w="7087" w:type="dxa"/>
            <w:gridSpan w:val="14"/>
            <w:noWrap/>
            <w:hideMark/>
          </w:tcPr>
          <w:p w14:paraId="799F27DD" w14:textId="77777777" w:rsidR="009C2102" w:rsidRPr="003D73C3" w:rsidRDefault="009C2102" w:rsidP="0050196B">
            <w:pPr>
              <w:spacing w:line="300" w:lineRule="atLeast"/>
              <w:jc w:val="center"/>
              <w:rPr>
                <w:rFonts w:ascii="Arial" w:hAnsi="Arial" w:cs="Arial"/>
                <w:b/>
                <w:sz w:val="14"/>
                <w:szCs w:val="14"/>
              </w:rPr>
            </w:pPr>
            <w:r w:rsidRPr="003D73C3">
              <w:rPr>
                <w:rFonts w:ascii="Arial" w:hAnsi="Arial" w:cs="Arial"/>
                <w:b/>
                <w:sz w:val="14"/>
                <w:szCs w:val="14"/>
              </w:rPr>
              <w:t>Annual Releases (g TEQ/a)</w:t>
            </w:r>
          </w:p>
        </w:tc>
      </w:tr>
      <w:tr w:rsidR="009C2102" w:rsidRPr="00C620D6" w14:paraId="4EF7EAB4" w14:textId="77777777" w:rsidTr="0050196B">
        <w:trPr>
          <w:trHeight w:val="315"/>
        </w:trPr>
        <w:tc>
          <w:tcPr>
            <w:tcW w:w="1985" w:type="dxa"/>
            <w:gridSpan w:val="2"/>
            <w:vMerge/>
            <w:noWrap/>
            <w:hideMark/>
          </w:tcPr>
          <w:p w14:paraId="67ED2AFC" w14:textId="77777777" w:rsidR="009C2102" w:rsidRPr="003D73C3" w:rsidRDefault="009C2102" w:rsidP="0050196B">
            <w:pPr>
              <w:spacing w:line="300" w:lineRule="atLeast"/>
              <w:jc w:val="both"/>
              <w:rPr>
                <w:rFonts w:ascii="Arial" w:hAnsi="Arial" w:cs="Arial"/>
                <w:sz w:val="14"/>
                <w:szCs w:val="14"/>
              </w:rPr>
            </w:pPr>
          </w:p>
        </w:tc>
        <w:tc>
          <w:tcPr>
            <w:tcW w:w="1701" w:type="dxa"/>
            <w:gridSpan w:val="3"/>
            <w:noWrap/>
            <w:hideMark/>
          </w:tcPr>
          <w:p w14:paraId="1096FDE3" w14:textId="77777777" w:rsidR="009C2102" w:rsidRPr="003D73C3" w:rsidRDefault="009C2102" w:rsidP="0050196B">
            <w:pPr>
              <w:spacing w:line="300" w:lineRule="atLeast"/>
              <w:jc w:val="center"/>
              <w:rPr>
                <w:rFonts w:ascii="Arial" w:hAnsi="Arial" w:cs="Arial"/>
                <w:sz w:val="14"/>
                <w:szCs w:val="14"/>
              </w:rPr>
            </w:pPr>
            <w:r w:rsidRPr="003D73C3">
              <w:rPr>
                <w:rFonts w:ascii="Arial" w:hAnsi="Arial" w:cs="Arial"/>
                <w:sz w:val="14"/>
                <w:szCs w:val="14"/>
              </w:rPr>
              <w:t>Air</w:t>
            </w:r>
          </w:p>
        </w:tc>
        <w:tc>
          <w:tcPr>
            <w:tcW w:w="1701" w:type="dxa"/>
            <w:gridSpan w:val="4"/>
            <w:noWrap/>
            <w:hideMark/>
          </w:tcPr>
          <w:p w14:paraId="0B969601" w14:textId="77777777" w:rsidR="009C2102" w:rsidRPr="003D73C3" w:rsidRDefault="009C2102" w:rsidP="0050196B">
            <w:pPr>
              <w:spacing w:line="300" w:lineRule="atLeast"/>
              <w:jc w:val="center"/>
              <w:rPr>
                <w:rFonts w:ascii="Arial" w:hAnsi="Arial" w:cs="Arial"/>
                <w:sz w:val="14"/>
                <w:szCs w:val="14"/>
              </w:rPr>
            </w:pPr>
            <w:r w:rsidRPr="003D73C3">
              <w:rPr>
                <w:rFonts w:ascii="Arial" w:hAnsi="Arial" w:cs="Arial"/>
                <w:sz w:val="14"/>
                <w:szCs w:val="14"/>
              </w:rPr>
              <w:t>Water</w:t>
            </w:r>
          </w:p>
        </w:tc>
        <w:tc>
          <w:tcPr>
            <w:tcW w:w="1843" w:type="dxa"/>
            <w:gridSpan w:val="4"/>
            <w:noWrap/>
            <w:hideMark/>
          </w:tcPr>
          <w:p w14:paraId="2B05621B" w14:textId="77777777" w:rsidR="009C2102" w:rsidRPr="003D73C3" w:rsidRDefault="009C2102" w:rsidP="0050196B">
            <w:pPr>
              <w:spacing w:line="300" w:lineRule="atLeast"/>
              <w:jc w:val="center"/>
              <w:rPr>
                <w:rFonts w:ascii="Arial" w:hAnsi="Arial" w:cs="Arial"/>
                <w:sz w:val="14"/>
                <w:szCs w:val="14"/>
              </w:rPr>
            </w:pPr>
            <w:r w:rsidRPr="003D73C3">
              <w:rPr>
                <w:rFonts w:ascii="Arial" w:hAnsi="Arial" w:cs="Arial"/>
                <w:sz w:val="14"/>
                <w:szCs w:val="14"/>
              </w:rPr>
              <w:t>Land</w:t>
            </w:r>
          </w:p>
        </w:tc>
        <w:tc>
          <w:tcPr>
            <w:tcW w:w="1842" w:type="dxa"/>
            <w:gridSpan w:val="3"/>
            <w:noWrap/>
            <w:hideMark/>
          </w:tcPr>
          <w:p w14:paraId="08917310" w14:textId="77777777" w:rsidR="009C2102" w:rsidRPr="003D73C3" w:rsidRDefault="009C2102" w:rsidP="0050196B">
            <w:pPr>
              <w:spacing w:line="300" w:lineRule="atLeast"/>
              <w:jc w:val="center"/>
              <w:rPr>
                <w:rFonts w:ascii="Arial" w:hAnsi="Arial" w:cs="Arial"/>
                <w:sz w:val="14"/>
                <w:szCs w:val="14"/>
              </w:rPr>
            </w:pPr>
            <w:r w:rsidRPr="003D73C3">
              <w:rPr>
                <w:rFonts w:ascii="Arial" w:hAnsi="Arial" w:cs="Arial"/>
                <w:sz w:val="14"/>
                <w:szCs w:val="14"/>
              </w:rPr>
              <w:t>Residue</w:t>
            </w:r>
          </w:p>
        </w:tc>
      </w:tr>
      <w:tr w:rsidR="0078317F" w:rsidRPr="00C620D6" w14:paraId="40892612" w14:textId="77777777" w:rsidTr="0050196B">
        <w:trPr>
          <w:trHeight w:val="300"/>
        </w:trPr>
        <w:tc>
          <w:tcPr>
            <w:tcW w:w="1985" w:type="dxa"/>
            <w:gridSpan w:val="2"/>
            <w:vMerge/>
            <w:noWrap/>
          </w:tcPr>
          <w:p w14:paraId="17F3D695" w14:textId="77777777" w:rsidR="0078317F" w:rsidRPr="003D73C3" w:rsidRDefault="0078317F" w:rsidP="0078317F">
            <w:pPr>
              <w:spacing w:line="300" w:lineRule="atLeast"/>
              <w:rPr>
                <w:rFonts w:ascii="Arial" w:hAnsi="Arial" w:cs="Arial"/>
                <w:sz w:val="14"/>
                <w:szCs w:val="14"/>
              </w:rPr>
            </w:pPr>
          </w:p>
        </w:tc>
        <w:tc>
          <w:tcPr>
            <w:tcW w:w="567" w:type="dxa"/>
            <w:noWrap/>
            <w:vAlign w:val="center"/>
          </w:tcPr>
          <w:p w14:paraId="007BC7C8" w14:textId="7551CC5E"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2012</w:t>
            </w:r>
          </w:p>
        </w:tc>
        <w:tc>
          <w:tcPr>
            <w:tcW w:w="567" w:type="dxa"/>
            <w:vAlign w:val="center"/>
          </w:tcPr>
          <w:p w14:paraId="27ABF93B" w14:textId="5E1A19EC"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2016</w:t>
            </w:r>
          </w:p>
        </w:tc>
        <w:tc>
          <w:tcPr>
            <w:tcW w:w="567" w:type="dxa"/>
            <w:vAlign w:val="center"/>
          </w:tcPr>
          <w:p w14:paraId="0B852168" w14:textId="2A61629B"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2020</w:t>
            </w:r>
          </w:p>
        </w:tc>
        <w:tc>
          <w:tcPr>
            <w:tcW w:w="567" w:type="dxa"/>
            <w:noWrap/>
            <w:vAlign w:val="center"/>
          </w:tcPr>
          <w:p w14:paraId="0D5F5103" w14:textId="75108F0D"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2012</w:t>
            </w:r>
          </w:p>
        </w:tc>
        <w:tc>
          <w:tcPr>
            <w:tcW w:w="567" w:type="dxa"/>
            <w:gridSpan w:val="2"/>
            <w:vAlign w:val="center"/>
          </w:tcPr>
          <w:p w14:paraId="1CB3A118" w14:textId="174CCF26"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2016</w:t>
            </w:r>
          </w:p>
        </w:tc>
        <w:tc>
          <w:tcPr>
            <w:tcW w:w="567" w:type="dxa"/>
            <w:vAlign w:val="center"/>
          </w:tcPr>
          <w:p w14:paraId="3237CC01" w14:textId="78B3AE28"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2020</w:t>
            </w:r>
          </w:p>
        </w:tc>
        <w:tc>
          <w:tcPr>
            <w:tcW w:w="567" w:type="dxa"/>
            <w:noWrap/>
            <w:vAlign w:val="center"/>
          </w:tcPr>
          <w:p w14:paraId="219A1FFD" w14:textId="202D2E11"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2012</w:t>
            </w:r>
          </w:p>
        </w:tc>
        <w:tc>
          <w:tcPr>
            <w:tcW w:w="567" w:type="dxa"/>
            <w:vAlign w:val="center"/>
          </w:tcPr>
          <w:p w14:paraId="30C9F208" w14:textId="004D0DA2"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2016</w:t>
            </w:r>
          </w:p>
        </w:tc>
        <w:tc>
          <w:tcPr>
            <w:tcW w:w="709" w:type="dxa"/>
            <w:gridSpan w:val="2"/>
            <w:vAlign w:val="center"/>
          </w:tcPr>
          <w:p w14:paraId="4E56F92E" w14:textId="2710AFF5"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2020</w:t>
            </w:r>
          </w:p>
        </w:tc>
        <w:tc>
          <w:tcPr>
            <w:tcW w:w="567" w:type="dxa"/>
            <w:vAlign w:val="center"/>
          </w:tcPr>
          <w:p w14:paraId="79A23ADA" w14:textId="463B1502"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2012</w:t>
            </w:r>
          </w:p>
        </w:tc>
        <w:tc>
          <w:tcPr>
            <w:tcW w:w="708" w:type="dxa"/>
            <w:vAlign w:val="center"/>
          </w:tcPr>
          <w:p w14:paraId="5FB8BD52" w14:textId="63A1CF22"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2016</w:t>
            </w:r>
          </w:p>
        </w:tc>
        <w:tc>
          <w:tcPr>
            <w:tcW w:w="567" w:type="dxa"/>
            <w:vAlign w:val="center"/>
          </w:tcPr>
          <w:p w14:paraId="4D43E3DB" w14:textId="51942A49" w:rsidR="0078317F" w:rsidRPr="003D73C3" w:rsidRDefault="0078317F" w:rsidP="0078317F">
            <w:pPr>
              <w:spacing w:line="300" w:lineRule="atLeast"/>
              <w:jc w:val="center"/>
              <w:rPr>
                <w:rFonts w:ascii="Arial" w:hAnsi="Arial" w:cs="Arial"/>
                <w:sz w:val="14"/>
                <w:szCs w:val="14"/>
              </w:rPr>
            </w:pPr>
            <w:r w:rsidRPr="003D73C3">
              <w:rPr>
                <w:rFonts w:ascii="Arial" w:hAnsi="Arial" w:cs="Arial"/>
                <w:sz w:val="14"/>
                <w:szCs w:val="14"/>
              </w:rPr>
              <w:t>2020</w:t>
            </w:r>
          </w:p>
        </w:tc>
      </w:tr>
      <w:tr w:rsidR="0078317F" w:rsidRPr="00C620D6" w14:paraId="6CC109E7" w14:textId="77777777" w:rsidTr="0050196B">
        <w:trPr>
          <w:trHeight w:val="300"/>
        </w:trPr>
        <w:tc>
          <w:tcPr>
            <w:tcW w:w="284" w:type="dxa"/>
            <w:noWrap/>
            <w:vAlign w:val="center"/>
            <w:hideMark/>
          </w:tcPr>
          <w:p w14:paraId="68864E63"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1</w:t>
            </w:r>
          </w:p>
        </w:tc>
        <w:tc>
          <w:tcPr>
            <w:tcW w:w="1701" w:type="dxa"/>
            <w:noWrap/>
            <w:vAlign w:val="center"/>
            <w:hideMark/>
          </w:tcPr>
          <w:p w14:paraId="037A219B"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Waste Incineration</w:t>
            </w:r>
          </w:p>
        </w:tc>
        <w:tc>
          <w:tcPr>
            <w:tcW w:w="567" w:type="dxa"/>
            <w:noWrap/>
            <w:vAlign w:val="center"/>
          </w:tcPr>
          <w:p w14:paraId="7F67F186" w14:textId="41DE0DE9"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0.79</w:t>
            </w:r>
          </w:p>
        </w:tc>
        <w:tc>
          <w:tcPr>
            <w:tcW w:w="567" w:type="dxa"/>
            <w:vAlign w:val="center"/>
          </w:tcPr>
          <w:p w14:paraId="51A9A70D" w14:textId="7EC88B57"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0.37</w:t>
            </w:r>
          </w:p>
        </w:tc>
        <w:tc>
          <w:tcPr>
            <w:tcW w:w="567" w:type="dxa"/>
            <w:vAlign w:val="center"/>
          </w:tcPr>
          <w:p w14:paraId="747A83D9" w14:textId="224A2515"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0.49</w:t>
            </w:r>
          </w:p>
        </w:tc>
        <w:tc>
          <w:tcPr>
            <w:tcW w:w="567" w:type="dxa"/>
            <w:noWrap/>
            <w:vAlign w:val="center"/>
          </w:tcPr>
          <w:p w14:paraId="1B210BC7" w14:textId="117D647C"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5DCD9301" w14:textId="128491F6"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328D72AB" w14:textId="02E04497"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7774D3C6" w14:textId="70B40D80"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vAlign w:val="center"/>
          </w:tcPr>
          <w:p w14:paraId="57ED41F9" w14:textId="5637FBA0"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709" w:type="dxa"/>
            <w:gridSpan w:val="2"/>
            <w:vAlign w:val="center"/>
          </w:tcPr>
          <w:p w14:paraId="4408CEA4" w14:textId="3CBCFC98"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20EC339C" w14:textId="39333A65"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0.05</w:t>
            </w:r>
          </w:p>
        </w:tc>
        <w:tc>
          <w:tcPr>
            <w:tcW w:w="708" w:type="dxa"/>
            <w:vAlign w:val="center"/>
          </w:tcPr>
          <w:p w14:paraId="2084ACD5" w14:textId="7D541319"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0.03</w:t>
            </w:r>
          </w:p>
        </w:tc>
        <w:tc>
          <w:tcPr>
            <w:tcW w:w="567" w:type="dxa"/>
            <w:vAlign w:val="center"/>
          </w:tcPr>
          <w:p w14:paraId="1CE733F5" w14:textId="11CD9910"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0.010</w:t>
            </w:r>
          </w:p>
        </w:tc>
      </w:tr>
      <w:tr w:rsidR="0078317F" w:rsidRPr="00C620D6" w14:paraId="2FDCADC1" w14:textId="77777777" w:rsidTr="0050196B">
        <w:trPr>
          <w:trHeight w:val="300"/>
        </w:trPr>
        <w:tc>
          <w:tcPr>
            <w:tcW w:w="284" w:type="dxa"/>
            <w:noWrap/>
            <w:vAlign w:val="center"/>
            <w:hideMark/>
          </w:tcPr>
          <w:p w14:paraId="44A5E332"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2</w:t>
            </w:r>
          </w:p>
        </w:tc>
        <w:tc>
          <w:tcPr>
            <w:tcW w:w="1701" w:type="dxa"/>
            <w:noWrap/>
            <w:vAlign w:val="center"/>
            <w:hideMark/>
          </w:tcPr>
          <w:p w14:paraId="2B09CDCE"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Ferrous and Non-Ferrous Metal Production</w:t>
            </w:r>
          </w:p>
        </w:tc>
        <w:tc>
          <w:tcPr>
            <w:tcW w:w="567" w:type="dxa"/>
            <w:noWrap/>
            <w:vAlign w:val="center"/>
          </w:tcPr>
          <w:p w14:paraId="32292D1B" w14:textId="1B669F22"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0.40</w:t>
            </w:r>
          </w:p>
        </w:tc>
        <w:tc>
          <w:tcPr>
            <w:tcW w:w="567" w:type="dxa"/>
            <w:vAlign w:val="center"/>
          </w:tcPr>
          <w:p w14:paraId="70B43368" w14:textId="4AF38A68"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0.26</w:t>
            </w:r>
          </w:p>
        </w:tc>
        <w:tc>
          <w:tcPr>
            <w:tcW w:w="567" w:type="dxa"/>
            <w:vAlign w:val="center"/>
          </w:tcPr>
          <w:p w14:paraId="4C250B60" w14:textId="31E64F75"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w:t>
            </w:r>
            <w:r w:rsidR="00DB1BD9">
              <w:rPr>
                <w:rFonts w:ascii="Arial" w:hAnsi="Arial" w:cs="Arial"/>
                <w:sz w:val="14"/>
                <w:szCs w:val="14"/>
              </w:rPr>
              <w:t>20</w:t>
            </w:r>
          </w:p>
        </w:tc>
        <w:tc>
          <w:tcPr>
            <w:tcW w:w="567" w:type="dxa"/>
            <w:noWrap/>
            <w:vAlign w:val="center"/>
          </w:tcPr>
          <w:p w14:paraId="44323F9C" w14:textId="4973CDC7"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0.01</w:t>
            </w:r>
          </w:p>
        </w:tc>
        <w:tc>
          <w:tcPr>
            <w:tcW w:w="567" w:type="dxa"/>
            <w:gridSpan w:val="2"/>
            <w:vAlign w:val="center"/>
          </w:tcPr>
          <w:p w14:paraId="56BF266D" w14:textId="7AAA29ED"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0.02</w:t>
            </w:r>
          </w:p>
        </w:tc>
        <w:tc>
          <w:tcPr>
            <w:tcW w:w="567" w:type="dxa"/>
            <w:vAlign w:val="center"/>
          </w:tcPr>
          <w:p w14:paraId="7E320CDE" w14:textId="32CE47B9"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0.02</w:t>
            </w:r>
          </w:p>
        </w:tc>
        <w:tc>
          <w:tcPr>
            <w:tcW w:w="567" w:type="dxa"/>
            <w:noWrap/>
            <w:vAlign w:val="center"/>
          </w:tcPr>
          <w:p w14:paraId="6124A8B7" w14:textId="2EA2520F"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0.21</w:t>
            </w:r>
          </w:p>
        </w:tc>
        <w:tc>
          <w:tcPr>
            <w:tcW w:w="567" w:type="dxa"/>
            <w:vAlign w:val="center"/>
          </w:tcPr>
          <w:p w14:paraId="56696F49" w14:textId="2432D8BA"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0.27</w:t>
            </w:r>
          </w:p>
        </w:tc>
        <w:tc>
          <w:tcPr>
            <w:tcW w:w="709" w:type="dxa"/>
            <w:gridSpan w:val="2"/>
            <w:vAlign w:val="center"/>
          </w:tcPr>
          <w:p w14:paraId="25DF388F" w14:textId="4DB111CA"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0.09</w:t>
            </w:r>
          </w:p>
        </w:tc>
        <w:tc>
          <w:tcPr>
            <w:tcW w:w="567" w:type="dxa"/>
            <w:vAlign w:val="center"/>
          </w:tcPr>
          <w:p w14:paraId="7F899525" w14:textId="49B34F75"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9.71</w:t>
            </w:r>
          </w:p>
        </w:tc>
        <w:tc>
          <w:tcPr>
            <w:tcW w:w="708" w:type="dxa"/>
            <w:vAlign w:val="center"/>
          </w:tcPr>
          <w:p w14:paraId="5C2BAC6B" w14:textId="7EFC0514"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5.54</w:t>
            </w:r>
          </w:p>
        </w:tc>
        <w:tc>
          <w:tcPr>
            <w:tcW w:w="567" w:type="dxa"/>
            <w:vAlign w:val="center"/>
          </w:tcPr>
          <w:p w14:paraId="12826801" w14:textId="250E75B6" w:rsidR="0078317F" w:rsidRPr="003D73C3" w:rsidRDefault="00DB1BD9" w:rsidP="0078317F">
            <w:pPr>
              <w:spacing w:before="120"/>
              <w:jc w:val="center"/>
              <w:rPr>
                <w:rFonts w:ascii="Arial" w:hAnsi="Arial" w:cs="Arial"/>
                <w:sz w:val="14"/>
                <w:szCs w:val="14"/>
              </w:rPr>
            </w:pPr>
            <w:r>
              <w:rPr>
                <w:rFonts w:ascii="Arial" w:hAnsi="Arial" w:cs="Arial"/>
                <w:sz w:val="14"/>
                <w:szCs w:val="14"/>
              </w:rPr>
              <w:t>4.37</w:t>
            </w:r>
          </w:p>
        </w:tc>
      </w:tr>
      <w:tr w:rsidR="0078317F" w:rsidRPr="00C620D6" w14:paraId="17627FCB" w14:textId="77777777" w:rsidTr="0050196B">
        <w:trPr>
          <w:trHeight w:val="300"/>
        </w:trPr>
        <w:tc>
          <w:tcPr>
            <w:tcW w:w="284" w:type="dxa"/>
            <w:noWrap/>
            <w:vAlign w:val="center"/>
            <w:hideMark/>
          </w:tcPr>
          <w:p w14:paraId="40029237"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3</w:t>
            </w:r>
          </w:p>
        </w:tc>
        <w:tc>
          <w:tcPr>
            <w:tcW w:w="1701" w:type="dxa"/>
            <w:noWrap/>
            <w:vAlign w:val="center"/>
            <w:hideMark/>
          </w:tcPr>
          <w:p w14:paraId="3DB01E4C"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Heat and Power Generation</w:t>
            </w:r>
          </w:p>
        </w:tc>
        <w:tc>
          <w:tcPr>
            <w:tcW w:w="567" w:type="dxa"/>
            <w:noWrap/>
            <w:vAlign w:val="center"/>
          </w:tcPr>
          <w:p w14:paraId="28872D0A" w14:textId="1FA7FE5D"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3.33</w:t>
            </w:r>
          </w:p>
        </w:tc>
        <w:tc>
          <w:tcPr>
            <w:tcW w:w="567" w:type="dxa"/>
            <w:vAlign w:val="center"/>
          </w:tcPr>
          <w:p w14:paraId="64D7B3E5" w14:textId="0AD5F0FB"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3.24</w:t>
            </w:r>
          </w:p>
        </w:tc>
        <w:tc>
          <w:tcPr>
            <w:tcW w:w="567" w:type="dxa"/>
            <w:vAlign w:val="center"/>
          </w:tcPr>
          <w:p w14:paraId="421D3B2C" w14:textId="4C8A93B1"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3.72</w:t>
            </w:r>
          </w:p>
        </w:tc>
        <w:tc>
          <w:tcPr>
            <w:tcW w:w="567" w:type="dxa"/>
            <w:noWrap/>
            <w:vAlign w:val="center"/>
          </w:tcPr>
          <w:p w14:paraId="7673DECC" w14:textId="7B50C437"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563733D1" w14:textId="648466CB"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1ECBAE92" w14:textId="46685A7A"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06F4E21F" w14:textId="2C63E744"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0.41</w:t>
            </w:r>
          </w:p>
        </w:tc>
        <w:tc>
          <w:tcPr>
            <w:tcW w:w="567" w:type="dxa"/>
            <w:vAlign w:val="center"/>
          </w:tcPr>
          <w:p w14:paraId="7B9372E2" w14:textId="0FABF997"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0.07</w:t>
            </w:r>
          </w:p>
        </w:tc>
        <w:tc>
          <w:tcPr>
            <w:tcW w:w="709" w:type="dxa"/>
            <w:gridSpan w:val="2"/>
            <w:vAlign w:val="center"/>
          </w:tcPr>
          <w:p w14:paraId="62AB4E12" w14:textId="44AF4C1B"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0.27</w:t>
            </w:r>
          </w:p>
        </w:tc>
        <w:tc>
          <w:tcPr>
            <w:tcW w:w="567" w:type="dxa"/>
            <w:vAlign w:val="center"/>
          </w:tcPr>
          <w:p w14:paraId="60DF000C" w14:textId="14078A44"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0.75</w:t>
            </w:r>
          </w:p>
        </w:tc>
        <w:tc>
          <w:tcPr>
            <w:tcW w:w="708" w:type="dxa"/>
            <w:vAlign w:val="center"/>
          </w:tcPr>
          <w:p w14:paraId="6611C1B2" w14:textId="0050201C"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0.79</w:t>
            </w:r>
          </w:p>
        </w:tc>
        <w:tc>
          <w:tcPr>
            <w:tcW w:w="567" w:type="dxa"/>
            <w:vAlign w:val="center"/>
          </w:tcPr>
          <w:p w14:paraId="5240B4BC" w14:textId="36B67B2A"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0.91</w:t>
            </w:r>
          </w:p>
        </w:tc>
      </w:tr>
      <w:tr w:rsidR="0078317F" w:rsidRPr="00C620D6" w14:paraId="4D0D81FF" w14:textId="77777777" w:rsidTr="0050196B">
        <w:trPr>
          <w:trHeight w:val="300"/>
        </w:trPr>
        <w:tc>
          <w:tcPr>
            <w:tcW w:w="284" w:type="dxa"/>
            <w:noWrap/>
            <w:vAlign w:val="center"/>
            <w:hideMark/>
          </w:tcPr>
          <w:p w14:paraId="38CD4D03"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4</w:t>
            </w:r>
          </w:p>
        </w:tc>
        <w:tc>
          <w:tcPr>
            <w:tcW w:w="1701" w:type="dxa"/>
            <w:noWrap/>
            <w:vAlign w:val="center"/>
            <w:hideMark/>
          </w:tcPr>
          <w:p w14:paraId="371043C2"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Production of Mineral Products</w:t>
            </w:r>
          </w:p>
        </w:tc>
        <w:tc>
          <w:tcPr>
            <w:tcW w:w="567" w:type="dxa"/>
            <w:noWrap/>
            <w:vAlign w:val="center"/>
          </w:tcPr>
          <w:p w14:paraId="060430E3" w14:textId="119FBF0C"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0.07</w:t>
            </w:r>
          </w:p>
        </w:tc>
        <w:tc>
          <w:tcPr>
            <w:tcW w:w="567" w:type="dxa"/>
            <w:vAlign w:val="center"/>
          </w:tcPr>
          <w:p w14:paraId="69D42BE9" w14:textId="3870D918"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0.08</w:t>
            </w:r>
          </w:p>
        </w:tc>
        <w:tc>
          <w:tcPr>
            <w:tcW w:w="567" w:type="dxa"/>
            <w:vAlign w:val="center"/>
          </w:tcPr>
          <w:p w14:paraId="0BA5735F" w14:textId="69D6DF1C"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0.07</w:t>
            </w:r>
          </w:p>
        </w:tc>
        <w:tc>
          <w:tcPr>
            <w:tcW w:w="567" w:type="dxa"/>
            <w:noWrap/>
            <w:vAlign w:val="center"/>
          </w:tcPr>
          <w:p w14:paraId="6547C24D" w14:textId="733A1F6B"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0CF5E60F" w14:textId="17D43B71"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50877802" w14:textId="43F9235C"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7813C528" w14:textId="47CE5AEF"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0.18</w:t>
            </w:r>
          </w:p>
        </w:tc>
        <w:tc>
          <w:tcPr>
            <w:tcW w:w="567" w:type="dxa"/>
            <w:vAlign w:val="center"/>
          </w:tcPr>
          <w:p w14:paraId="297F86F8" w14:textId="52836CD9"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0.06</w:t>
            </w:r>
          </w:p>
        </w:tc>
        <w:tc>
          <w:tcPr>
            <w:tcW w:w="709" w:type="dxa"/>
            <w:gridSpan w:val="2"/>
            <w:vAlign w:val="center"/>
          </w:tcPr>
          <w:p w14:paraId="1C69A01A" w14:textId="1AA128BC"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0.04</w:t>
            </w:r>
          </w:p>
        </w:tc>
        <w:tc>
          <w:tcPr>
            <w:tcW w:w="567" w:type="dxa"/>
            <w:vAlign w:val="center"/>
          </w:tcPr>
          <w:p w14:paraId="1B2FCE47" w14:textId="33A486B8"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0.03</w:t>
            </w:r>
          </w:p>
        </w:tc>
        <w:tc>
          <w:tcPr>
            <w:tcW w:w="708" w:type="dxa"/>
            <w:vAlign w:val="center"/>
          </w:tcPr>
          <w:p w14:paraId="1409428D" w14:textId="49D11331"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0.04</w:t>
            </w:r>
          </w:p>
        </w:tc>
        <w:tc>
          <w:tcPr>
            <w:tcW w:w="567" w:type="dxa"/>
            <w:vAlign w:val="center"/>
          </w:tcPr>
          <w:p w14:paraId="424ADD03" w14:textId="6BC55635"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0.05</w:t>
            </w:r>
          </w:p>
        </w:tc>
      </w:tr>
      <w:tr w:rsidR="0078317F" w:rsidRPr="00C620D6" w14:paraId="1B6E476B" w14:textId="77777777" w:rsidTr="0050196B">
        <w:trPr>
          <w:trHeight w:val="300"/>
        </w:trPr>
        <w:tc>
          <w:tcPr>
            <w:tcW w:w="284" w:type="dxa"/>
            <w:noWrap/>
            <w:vAlign w:val="center"/>
            <w:hideMark/>
          </w:tcPr>
          <w:p w14:paraId="1A40FF89"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5</w:t>
            </w:r>
          </w:p>
        </w:tc>
        <w:tc>
          <w:tcPr>
            <w:tcW w:w="1701" w:type="dxa"/>
            <w:noWrap/>
            <w:vAlign w:val="center"/>
            <w:hideMark/>
          </w:tcPr>
          <w:p w14:paraId="4A97F3D3"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Transportation</w:t>
            </w:r>
          </w:p>
        </w:tc>
        <w:tc>
          <w:tcPr>
            <w:tcW w:w="567" w:type="dxa"/>
            <w:noWrap/>
            <w:vAlign w:val="center"/>
          </w:tcPr>
          <w:p w14:paraId="4271C350" w14:textId="0C8924D2"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0.66</w:t>
            </w:r>
          </w:p>
        </w:tc>
        <w:tc>
          <w:tcPr>
            <w:tcW w:w="567" w:type="dxa"/>
            <w:vAlign w:val="center"/>
          </w:tcPr>
          <w:p w14:paraId="215EAFDA" w14:textId="04563F9E"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0.67</w:t>
            </w:r>
          </w:p>
        </w:tc>
        <w:tc>
          <w:tcPr>
            <w:tcW w:w="567" w:type="dxa"/>
            <w:vAlign w:val="center"/>
          </w:tcPr>
          <w:p w14:paraId="488D053A" w14:textId="7BD35421"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0.83</w:t>
            </w:r>
          </w:p>
        </w:tc>
        <w:tc>
          <w:tcPr>
            <w:tcW w:w="567" w:type="dxa"/>
            <w:noWrap/>
            <w:vAlign w:val="center"/>
          </w:tcPr>
          <w:p w14:paraId="650E6366" w14:textId="754F7DFB"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74083E62" w14:textId="05A0FA1A"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7B4E18E1" w14:textId="0BA76AED"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7E1D6380" w14:textId="784BBC2B"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vAlign w:val="center"/>
          </w:tcPr>
          <w:p w14:paraId="487F17C4" w14:textId="0C7EB237"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709" w:type="dxa"/>
            <w:gridSpan w:val="2"/>
            <w:vAlign w:val="center"/>
          </w:tcPr>
          <w:p w14:paraId="4EBF9431" w14:textId="73878D5E"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26A4FB69" w14:textId="3247417D"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708" w:type="dxa"/>
            <w:vAlign w:val="center"/>
          </w:tcPr>
          <w:p w14:paraId="224DBC4B" w14:textId="72A83971"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1B3D5839" w14:textId="3AB08682"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0.00</w:t>
            </w:r>
          </w:p>
        </w:tc>
      </w:tr>
      <w:tr w:rsidR="0078317F" w:rsidRPr="00C620D6" w14:paraId="00C1E85D" w14:textId="77777777" w:rsidTr="0050196B">
        <w:trPr>
          <w:trHeight w:val="300"/>
        </w:trPr>
        <w:tc>
          <w:tcPr>
            <w:tcW w:w="284" w:type="dxa"/>
            <w:noWrap/>
            <w:vAlign w:val="center"/>
            <w:hideMark/>
          </w:tcPr>
          <w:p w14:paraId="70B69D00"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6</w:t>
            </w:r>
          </w:p>
        </w:tc>
        <w:tc>
          <w:tcPr>
            <w:tcW w:w="1701" w:type="dxa"/>
            <w:noWrap/>
            <w:vAlign w:val="center"/>
            <w:hideMark/>
          </w:tcPr>
          <w:p w14:paraId="28B1EDA1"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Uncontrolled Combustion</w:t>
            </w:r>
          </w:p>
        </w:tc>
        <w:tc>
          <w:tcPr>
            <w:tcW w:w="567" w:type="dxa"/>
            <w:noWrap/>
            <w:vAlign w:val="center"/>
          </w:tcPr>
          <w:p w14:paraId="4CF6113B" w14:textId="2124F6C8"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2.44</w:t>
            </w:r>
          </w:p>
        </w:tc>
        <w:tc>
          <w:tcPr>
            <w:tcW w:w="567" w:type="dxa"/>
            <w:vAlign w:val="center"/>
          </w:tcPr>
          <w:p w14:paraId="16FFD2D0" w14:textId="221C0A0F"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2.60</w:t>
            </w:r>
          </w:p>
        </w:tc>
        <w:tc>
          <w:tcPr>
            <w:tcW w:w="567" w:type="dxa"/>
            <w:vAlign w:val="center"/>
          </w:tcPr>
          <w:p w14:paraId="6F4728E3" w14:textId="1C6B31AE"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2.75</w:t>
            </w:r>
          </w:p>
        </w:tc>
        <w:tc>
          <w:tcPr>
            <w:tcW w:w="567" w:type="dxa"/>
            <w:noWrap/>
            <w:vAlign w:val="center"/>
          </w:tcPr>
          <w:p w14:paraId="17F87691" w14:textId="575DAE0F"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31E953F2" w14:textId="3FEB6B16"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5F463863" w14:textId="45780B93"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23EE2720" w14:textId="054DD347"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0.78</w:t>
            </w:r>
          </w:p>
        </w:tc>
        <w:tc>
          <w:tcPr>
            <w:tcW w:w="567" w:type="dxa"/>
            <w:vAlign w:val="center"/>
          </w:tcPr>
          <w:p w14:paraId="025FC574" w14:textId="15AEEE03"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0.86</w:t>
            </w:r>
          </w:p>
        </w:tc>
        <w:tc>
          <w:tcPr>
            <w:tcW w:w="709" w:type="dxa"/>
            <w:gridSpan w:val="2"/>
            <w:vAlign w:val="center"/>
          </w:tcPr>
          <w:p w14:paraId="2F26A9EA" w14:textId="72EDAACD"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0.48</w:t>
            </w:r>
          </w:p>
        </w:tc>
        <w:tc>
          <w:tcPr>
            <w:tcW w:w="567" w:type="dxa"/>
            <w:vAlign w:val="center"/>
          </w:tcPr>
          <w:p w14:paraId="79514761" w14:textId="22BE5FC7"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708" w:type="dxa"/>
            <w:vAlign w:val="center"/>
          </w:tcPr>
          <w:p w14:paraId="3E2C4F1F" w14:textId="7C6D1EF2"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44E42DE8" w14:textId="014918F6"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0.00</w:t>
            </w:r>
          </w:p>
        </w:tc>
      </w:tr>
      <w:tr w:rsidR="0078317F" w:rsidRPr="00C620D6" w14:paraId="6F4A7A1C" w14:textId="77777777" w:rsidTr="0050196B">
        <w:trPr>
          <w:trHeight w:val="300"/>
        </w:trPr>
        <w:tc>
          <w:tcPr>
            <w:tcW w:w="284" w:type="dxa"/>
            <w:noWrap/>
            <w:vAlign w:val="center"/>
            <w:hideMark/>
          </w:tcPr>
          <w:p w14:paraId="29FBEB6A"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7</w:t>
            </w:r>
          </w:p>
        </w:tc>
        <w:tc>
          <w:tcPr>
            <w:tcW w:w="1701" w:type="dxa"/>
            <w:noWrap/>
            <w:vAlign w:val="center"/>
            <w:hideMark/>
          </w:tcPr>
          <w:p w14:paraId="4082FAC1"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Production of Chemicals and Consumer Goods</w:t>
            </w:r>
          </w:p>
        </w:tc>
        <w:tc>
          <w:tcPr>
            <w:tcW w:w="567" w:type="dxa"/>
            <w:noWrap/>
            <w:vAlign w:val="center"/>
          </w:tcPr>
          <w:p w14:paraId="7BDA9AC2" w14:textId="6C4F5055"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0.05</w:t>
            </w:r>
          </w:p>
        </w:tc>
        <w:tc>
          <w:tcPr>
            <w:tcW w:w="567" w:type="dxa"/>
            <w:vAlign w:val="center"/>
          </w:tcPr>
          <w:p w14:paraId="0C700881" w14:textId="39C9CB36"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0.07</w:t>
            </w:r>
          </w:p>
        </w:tc>
        <w:tc>
          <w:tcPr>
            <w:tcW w:w="567" w:type="dxa"/>
            <w:vAlign w:val="center"/>
          </w:tcPr>
          <w:p w14:paraId="4102F24A" w14:textId="70F01E7C"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w:t>
            </w:r>
            <w:r w:rsidR="00DB1BD9">
              <w:rPr>
                <w:rFonts w:ascii="Arial" w:hAnsi="Arial" w:cs="Arial"/>
                <w:sz w:val="14"/>
                <w:szCs w:val="14"/>
              </w:rPr>
              <w:t>44</w:t>
            </w:r>
          </w:p>
        </w:tc>
        <w:tc>
          <w:tcPr>
            <w:tcW w:w="567" w:type="dxa"/>
            <w:noWrap/>
            <w:vAlign w:val="center"/>
          </w:tcPr>
          <w:p w14:paraId="2915C7EB" w14:textId="278D831B"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0.01</w:t>
            </w:r>
          </w:p>
        </w:tc>
        <w:tc>
          <w:tcPr>
            <w:tcW w:w="567" w:type="dxa"/>
            <w:gridSpan w:val="2"/>
            <w:vAlign w:val="center"/>
          </w:tcPr>
          <w:p w14:paraId="43A33D57" w14:textId="7AEB66D7"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0.01</w:t>
            </w:r>
          </w:p>
        </w:tc>
        <w:tc>
          <w:tcPr>
            <w:tcW w:w="567" w:type="dxa"/>
            <w:vAlign w:val="center"/>
          </w:tcPr>
          <w:p w14:paraId="68750A92" w14:textId="178F9B1B"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6D236651" w14:textId="7B3E0FB4"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0.09</w:t>
            </w:r>
          </w:p>
        </w:tc>
        <w:tc>
          <w:tcPr>
            <w:tcW w:w="567" w:type="dxa"/>
            <w:vAlign w:val="center"/>
          </w:tcPr>
          <w:p w14:paraId="0219251F" w14:textId="16ED75BD"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0.15</w:t>
            </w:r>
          </w:p>
        </w:tc>
        <w:tc>
          <w:tcPr>
            <w:tcW w:w="709" w:type="dxa"/>
            <w:gridSpan w:val="2"/>
            <w:vAlign w:val="center"/>
          </w:tcPr>
          <w:p w14:paraId="19B1B4C3" w14:textId="045B5483"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w:t>
            </w:r>
            <w:r w:rsidR="00DB1BD9">
              <w:rPr>
                <w:rFonts w:ascii="Arial" w:hAnsi="Arial" w:cs="Arial"/>
                <w:sz w:val="14"/>
                <w:szCs w:val="14"/>
              </w:rPr>
              <w:t>48</w:t>
            </w:r>
          </w:p>
        </w:tc>
        <w:tc>
          <w:tcPr>
            <w:tcW w:w="567" w:type="dxa"/>
            <w:vAlign w:val="center"/>
          </w:tcPr>
          <w:p w14:paraId="51704D8B" w14:textId="6793BD32"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708" w:type="dxa"/>
            <w:vAlign w:val="center"/>
          </w:tcPr>
          <w:p w14:paraId="5C5BC0E2" w14:textId="29CE1203"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470393D0" w14:textId="6195D7AD"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0.00</w:t>
            </w:r>
          </w:p>
        </w:tc>
      </w:tr>
      <w:tr w:rsidR="0078317F" w:rsidRPr="00C620D6" w14:paraId="1E85817A" w14:textId="77777777" w:rsidTr="0050196B">
        <w:trPr>
          <w:trHeight w:val="300"/>
        </w:trPr>
        <w:tc>
          <w:tcPr>
            <w:tcW w:w="284" w:type="dxa"/>
            <w:noWrap/>
            <w:vAlign w:val="center"/>
            <w:hideMark/>
          </w:tcPr>
          <w:p w14:paraId="173B856D"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8</w:t>
            </w:r>
          </w:p>
        </w:tc>
        <w:tc>
          <w:tcPr>
            <w:tcW w:w="1701" w:type="dxa"/>
            <w:noWrap/>
            <w:vAlign w:val="center"/>
            <w:hideMark/>
          </w:tcPr>
          <w:p w14:paraId="617A66CF"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Miscellaneous</w:t>
            </w:r>
          </w:p>
        </w:tc>
        <w:tc>
          <w:tcPr>
            <w:tcW w:w="567" w:type="dxa"/>
            <w:noWrap/>
            <w:vAlign w:val="center"/>
          </w:tcPr>
          <w:p w14:paraId="2FC70697" w14:textId="4C7FF8D7"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0.19</w:t>
            </w:r>
          </w:p>
        </w:tc>
        <w:tc>
          <w:tcPr>
            <w:tcW w:w="567" w:type="dxa"/>
            <w:vAlign w:val="center"/>
          </w:tcPr>
          <w:p w14:paraId="01549E35" w14:textId="647A26A5"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0.20</w:t>
            </w:r>
          </w:p>
        </w:tc>
        <w:tc>
          <w:tcPr>
            <w:tcW w:w="567" w:type="dxa"/>
            <w:vAlign w:val="center"/>
          </w:tcPr>
          <w:p w14:paraId="26461872" w14:textId="3D298047"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0.22</w:t>
            </w:r>
          </w:p>
        </w:tc>
        <w:tc>
          <w:tcPr>
            <w:tcW w:w="567" w:type="dxa"/>
            <w:noWrap/>
            <w:vAlign w:val="center"/>
          </w:tcPr>
          <w:p w14:paraId="6A2481F0" w14:textId="7C2AF2B0"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gridSpan w:val="2"/>
            <w:vAlign w:val="center"/>
          </w:tcPr>
          <w:p w14:paraId="1599C632" w14:textId="16AD5468"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47551A8B" w14:textId="128BE709"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26E8310C" w14:textId="1C2B022A"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vAlign w:val="center"/>
          </w:tcPr>
          <w:p w14:paraId="34AE5813" w14:textId="38FEBA15"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709" w:type="dxa"/>
            <w:gridSpan w:val="2"/>
            <w:vAlign w:val="center"/>
          </w:tcPr>
          <w:p w14:paraId="1F75AC04" w14:textId="1F3593A5"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0054EA80" w14:textId="656DD683"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708" w:type="dxa"/>
            <w:vAlign w:val="center"/>
          </w:tcPr>
          <w:p w14:paraId="54B4EA32" w14:textId="41CB5AEC"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3B8954C3" w14:textId="316BE8D3"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0.00</w:t>
            </w:r>
          </w:p>
        </w:tc>
      </w:tr>
      <w:tr w:rsidR="0078317F" w:rsidRPr="00C620D6" w14:paraId="0761928A" w14:textId="77777777" w:rsidTr="0050196B">
        <w:trPr>
          <w:trHeight w:val="315"/>
        </w:trPr>
        <w:tc>
          <w:tcPr>
            <w:tcW w:w="284" w:type="dxa"/>
            <w:noWrap/>
            <w:vAlign w:val="center"/>
            <w:hideMark/>
          </w:tcPr>
          <w:p w14:paraId="02C4E77C"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9</w:t>
            </w:r>
          </w:p>
        </w:tc>
        <w:tc>
          <w:tcPr>
            <w:tcW w:w="1701" w:type="dxa"/>
            <w:noWrap/>
            <w:vAlign w:val="center"/>
            <w:hideMark/>
          </w:tcPr>
          <w:p w14:paraId="56F1426F" w14:textId="77777777" w:rsidR="0078317F" w:rsidRPr="003D73C3" w:rsidRDefault="0078317F" w:rsidP="0078317F">
            <w:pPr>
              <w:spacing w:before="120"/>
              <w:rPr>
                <w:rFonts w:ascii="Arial" w:hAnsi="Arial" w:cs="Arial"/>
                <w:sz w:val="14"/>
                <w:szCs w:val="14"/>
              </w:rPr>
            </w:pPr>
            <w:r w:rsidRPr="003D73C3">
              <w:rPr>
                <w:rFonts w:ascii="Arial" w:hAnsi="Arial" w:cs="Arial"/>
                <w:sz w:val="14"/>
                <w:szCs w:val="14"/>
              </w:rPr>
              <w:t>Waste Treatment</w:t>
            </w:r>
          </w:p>
        </w:tc>
        <w:tc>
          <w:tcPr>
            <w:tcW w:w="567" w:type="dxa"/>
            <w:noWrap/>
            <w:vAlign w:val="center"/>
          </w:tcPr>
          <w:p w14:paraId="008E739F" w14:textId="13CFBF5F"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0.00</w:t>
            </w:r>
          </w:p>
        </w:tc>
        <w:tc>
          <w:tcPr>
            <w:tcW w:w="567" w:type="dxa"/>
            <w:vAlign w:val="center"/>
          </w:tcPr>
          <w:p w14:paraId="73F65654" w14:textId="23ED5563"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vAlign w:val="center"/>
          </w:tcPr>
          <w:p w14:paraId="4C5ABDDE" w14:textId="62F18171" w:rsidR="0078317F" w:rsidRPr="003D73C3" w:rsidRDefault="00911713" w:rsidP="0078317F">
            <w:pPr>
              <w:spacing w:before="120"/>
              <w:jc w:val="center"/>
              <w:rPr>
                <w:rFonts w:ascii="Arial" w:hAnsi="Arial" w:cs="Arial"/>
                <w:sz w:val="14"/>
                <w:szCs w:val="14"/>
              </w:rPr>
            </w:pPr>
            <w:r w:rsidRPr="003D73C3">
              <w:rPr>
                <w:rFonts w:ascii="Arial" w:hAnsi="Arial" w:cs="Arial"/>
                <w:sz w:val="14"/>
                <w:szCs w:val="14"/>
              </w:rPr>
              <w:t>0.00</w:t>
            </w:r>
          </w:p>
        </w:tc>
        <w:tc>
          <w:tcPr>
            <w:tcW w:w="567" w:type="dxa"/>
            <w:noWrap/>
            <w:vAlign w:val="center"/>
          </w:tcPr>
          <w:p w14:paraId="5032BB80" w14:textId="65FFBB05"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1.39</w:t>
            </w:r>
          </w:p>
        </w:tc>
        <w:tc>
          <w:tcPr>
            <w:tcW w:w="567" w:type="dxa"/>
            <w:gridSpan w:val="2"/>
            <w:vAlign w:val="center"/>
          </w:tcPr>
          <w:p w14:paraId="454FECC6" w14:textId="1EB68908"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1.80</w:t>
            </w:r>
          </w:p>
        </w:tc>
        <w:tc>
          <w:tcPr>
            <w:tcW w:w="567" w:type="dxa"/>
            <w:vAlign w:val="center"/>
          </w:tcPr>
          <w:p w14:paraId="263B4884" w14:textId="1AC1F23C"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1.83</w:t>
            </w:r>
          </w:p>
        </w:tc>
        <w:tc>
          <w:tcPr>
            <w:tcW w:w="567" w:type="dxa"/>
            <w:noWrap/>
            <w:vAlign w:val="center"/>
          </w:tcPr>
          <w:p w14:paraId="4B59A899" w14:textId="6E79ACB2" w:rsidR="0078317F" w:rsidRPr="003D73C3" w:rsidRDefault="0078317F" w:rsidP="0078317F">
            <w:pPr>
              <w:spacing w:before="120"/>
              <w:jc w:val="center"/>
              <w:rPr>
                <w:rFonts w:ascii="Arial" w:hAnsi="Arial" w:cs="Arial"/>
                <w:sz w:val="14"/>
                <w:szCs w:val="14"/>
              </w:rPr>
            </w:pPr>
            <w:r w:rsidRPr="003D73C3">
              <w:rPr>
                <w:rFonts w:ascii="Arial" w:hAnsi="Arial" w:cs="Arial"/>
                <w:sz w:val="14"/>
                <w:szCs w:val="22"/>
              </w:rPr>
              <w:t>12.57</w:t>
            </w:r>
          </w:p>
        </w:tc>
        <w:tc>
          <w:tcPr>
            <w:tcW w:w="567" w:type="dxa"/>
            <w:vAlign w:val="center"/>
          </w:tcPr>
          <w:p w14:paraId="49A5DBB6" w14:textId="4CE32711" w:rsidR="0078317F" w:rsidRPr="003D73C3" w:rsidRDefault="0078317F" w:rsidP="0078317F">
            <w:pPr>
              <w:spacing w:before="120"/>
              <w:jc w:val="center"/>
              <w:rPr>
                <w:rFonts w:ascii="Arial" w:hAnsi="Arial" w:cs="Arial"/>
                <w:sz w:val="14"/>
                <w:szCs w:val="14"/>
              </w:rPr>
            </w:pPr>
            <w:r w:rsidRPr="003D73C3">
              <w:rPr>
                <w:rFonts w:ascii="Arial" w:hAnsi="Arial" w:cs="Arial"/>
                <w:sz w:val="14"/>
                <w:szCs w:val="14"/>
              </w:rPr>
              <w:t>17.03</w:t>
            </w:r>
          </w:p>
        </w:tc>
        <w:tc>
          <w:tcPr>
            <w:tcW w:w="709" w:type="dxa"/>
            <w:gridSpan w:val="2"/>
            <w:vAlign w:val="center"/>
          </w:tcPr>
          <w:p w14:paraId="7AEA9EB2" w14:textId="415EA180" w:rsidR="0078317F" w:rsidRPr="003D73C3" w:rsidRDefault="00F83AC3" w:rsidP="0078317F">
            <w:pPr>
              <w:spacing w:before="120"/>
              <w:jc w:val="center"/>
              <w:rPr>
                <w:rFonts w:ascii="Arial" w:hAnsi="Arial" w:cs="Arial"/>
                <w:sz w:val="14"/>
                <w:szCs w:val="14"/>
              </w:rPr>
            </w:pPr>
            <w:r w:rsidRPr="003D73C3">
              <w:rPr>
                <w:rFonts w:ascii="Arial" w:hAnsi="Arial" w:cs="Arial"/>
                <w:sz w:val="14"/>
                <w:szCs w:val="14"/>
              </w:rPr>
              <w:t>17.25</w:t>
            </w:r>
          </w:p>
        </w:tc>
        <w:tc>
          <w:tcPr>
            <w:tcW w:w="567" w:type="dxa"/>
            <w:vAlign w:val="center"/>
          </w:tcPr>
          <w:p w14:paraId="15D6FABE" w14:textId="5D5E2AD8" w:rsidR="0078317F" w:rsidRPr="003D73C3" w:rsidRDefault="00E61A6D" w:rsidP="0078317F">
            <w:pPr>
              <w:spacing w:before="120"/>
              <w:jc w:val="center"/>
              <w:rPr>
                <w:rFonts w:ascii="Arial" w:hAnsi="Arial" w:cs="Arial"/>
                <w:sz w:val="14"/>
                <w:szCs w:val="14"/>
              </w:rPr>
            </w:pPr>
            <w:r>
              <w:rPr>
                <w:rFonts w:ascii="Arial" w:hAnsi="Arial" w:cs="Arial"/>
                <w:sz w:val="14"/>
                <w:szCs w:val="22"/>
              </w:rPr>
              <w:t>2.43</w:t>
            </w:r>
          </w:p>
        </w:tc>
        <w:tc>
          <w:tcPr>
            <w:tcW w:w="708" w:type="dxa"/>
            <w:vAlign w:val="center"/>
          </w:tcPr>
          <w:p w14:paraId="735E0A09" w14:textId="098BF9A3" w:rsidR="0078317F" w:rsidRPr="003D73C3" w:rsidRDefault="005565C3" w:rsidP="0078317F">
            <w:pPr>
              <w:spacing w:before="120"/>
              <w:jc w:val="center"/>
              <w:rPr>
                <w:rFonts w:ascii="Arial" w:hAnsi="Arial" w:cs="Arial"/>
                <w:sz w:val="14"/>
                <w:szCs w:val="14"/>
              </w:rPr>
            </w:pPr>
            <w:r w:rsidRPr="003D73C3">
              <w:rPr>
                <w:rFonts w:ascii="Arial" w:hAnsi="Arial" w:cs="Arial"/>
                <w:sz w:val="14"/>
                <w:szCs w:val="14"/>
              </w:rPr>
              <w:t>2.</w:t>
            </w:r>
            <w:r w:rsidR="00E61A6D">
              <w:rPr>
                <w:rFonts w:ascii="Arial" w:hAnsi="Arial" w:cs="Arial"/>
                <w:sz w:val="14"/>
                <w:szCs w:val="14"/>
              </w:rPr>
              <w:t>60</w:t>
            </w:r>
          </w:p>
        </w:tc>
        <w:tc>
          <w:tcPr>
            <w:tcW w:w="567" w:type="dxa"/>
            <w:vAlign w:val="center"/>
          </w:tcPr>
          <w:p w14:paraId="79B3F241" w14:textId="71E61BAC" w:rsidR="0078317F" w:rsidRPr="003D73C3" w:rsidRDefault="005E01A6" w:rsidP="0078317F">
            <w:pPr>
              <w:spacing w:before="120"/>
              <w:jc w:val="center"/>
              <w:rPr>
                <w:rFonts w:ascii="Arial" w:hAnsi="Arial" w:cs="Arial"/>
                <w:sz w:val="14"/>
                <w:szCs w:val="14"/>
              </w:rPr>
            </w:pPr>
            <w:r w:rsidRPr="003D73C3">
              <w:rPr>
                <w:rFonts w:ascii="Arial" w:hAnsi="Arial" w:cs="Arial"/>
                <w:sz w:val="14"/>
                <w:szCs w:val="14"/>
              </w:rPr>
              <w:t>2.</w:t>
            </w:r>
            <w:r w:rsidR="00E61A6D">
              <w:rPr>
                <w:rFonts w:ascii="Arial" w:hAnsi="Arial" w:cs="Arial"/>
                <w:sz w:val="14"/>
                <w:szCs w:val="14"/>
              </w:rPr>
              <w:t>8</w:t>
            </w:r>
            <w:r w:rsidR="003F3CAA">
              <w:rPr>
                <w:rFonts w:ascii="Arial" w:hAnsi="Arial" w:cs="Arial"/>
                <w:sz w:val="14"/>
                <w:szCs w:val="14"/>
              </w:rPr>
              <w:t>1</w:t>
            </w:r>
          </w:p>
        </w:tc>
      </w:tr>
      <w:tr w:rsidR="00671E04" w:rsidRPr="00C620D6" w14:paraId="22F41AC3" w14:textId="77777777" w:rsidTr="0050196B">
        <w:trPr>
          <w:trHeight w:val="300"/>
        </w:trPr>
        <w:tc>
          <w:tcPr>
            <w:tcW w:w="1985" w:type="dxa"/>
            <w:gridSpan w:val="2"/>
            <w:noWrap/>
            <w:vAlign w:val="center"/>
            <w:hideMark/>
          </w:tcPr>
          <w:p w14:paraId="453F7367" w14:textId="77777777" w:rsidR="00671E04" w:rsidRPr="003D73C3" w:rsidRDefault="00671E04" w:rsidP="0050196B">
            <w:pPr>
              <w:spacing w:before="120"/>
              <w:jc w:val="center"/>
              <w:rPr>
                <w:rFonts w:ascii="Arial" w:hAnsi="Arial" w:cs="Arial"/>
                <w:b/>
                <w:bCs/>
                <w:sz w:val="14"/>
                <w:szCs w:val="14"/>
              </w:rPr>
            </w:pPr>
            <w:r w:rsidRPr="003D73C3">
              <w:rPr>
                <w:rFonts w:ascii="Arial" w:hAnsi="Arial" w:cs="Arial"/>
                <w:b/>
                <w:bCs/>
                <w:sz w:val="14"/>
                <w:szCs w:val="14"/>
              </w:rPr>
              <w:t>Totals</w:t>
            </w:r>
          </w:p>
        </w:tc>
        <w:tc>
          <w:tcPr>
            <w:tcW w:w="567" w:type="dxa"/>
            <w:noWrap/>
            <w:vAlign w:val="center"/>
          </w:tcPr>
          <w:p w14:paraId="2E3B03E5" w14:textId="7CE458D2"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14"/>
              </w:rPr>
              <w:t>7.94</w:t>
            </w:r>
          </w:p>
        </w:tc>
        <w:tc>
          <w:tcPr>
            <w:tcW w:w="567" w:type="dxa"/>
            <w:vAlign w:val="center"/>
          </w:tcPr>
          <w:p w14:paraId="29113AFD" w14:textId="0587D401"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22"/>
              </w:rPr>
              <w:t>7.47</w:t>
            </w:r>
          </w:p>
        </w:tc>
        <w:tc>
          <w:tcPr>
            <w:tcW w:w="567" w:type="dxa"/>
            <w:vAlign w:val="center"/>
          </w:tcPr>
          <w:p w14:paraId="1510CABD" w14:textId="6DECBE70" w:rsidR="00671E04" w:rsidRPr="003D73C3" w:rsidRDefault="00911713" w:rsidP="0050196B">
            <w:pPr>
              <w:spacing w:before="120"/>
              <w:jc w:val="center"/>
              <w:rPr>
                <w:rFonts w:ascii="Arial" w:hAnsi="Arial" w:cs="Arial"/>
                <w:b/>
                <w:bCs/>
                <w:sz w:val="14"/>
                <w:szCs w:val="14"/>
              </w:rPr>
            </w:pPr>
            <w:r w:rsidRPr="003D73C3">
              <w:rPr>
                <w:rFonts w:ascii="Arial" w:hAnsi="Arial" w:cs="Arial"/>
                <w:b/>
                <w:bCs/>
                <w:sz w:val="14"/>
                <w:szCs w:val="14"/>
              </w:rPr>
              <w:t>8.3</w:t>
            </w:r>
            <w:r w:rsidR="00382630">
              <w:rPr>
                <w:rFonts w:ascii="Arial" w:hAnsi="Arial" w:cs="Arial"/>
                <w:b/>
                <w:bCs/>
                <w:sz w:val="14"/>
                <w:szCs w:val="14"/>
              </w:rPr>
              <w:t>2</w:t>
            </w:r>
          </w:p>
        </w:tc>
        <w:tc>
          <w:tcPr>
            <w:tcW w:w="567" w:type="dxa"/>
            <w:noWrap/>
            <w:vAlign w:val="center"/>
          </w:tcPr>
          <w:p w14:paraId="403E6B6F" w14:textId="280F3F98"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14"/>
              </w:rPr>
              <w:t>1.41</w:t>
            </w:r>
          </w:p>
        </w:tc>
        <w:tc>
          <w:tcPr>
            <w:tcW w:w="567" w:type="dxa"/>
            <w:gridSpan w:val="2"/>
            <w:vAlign w:val="center"/>
          </w:tcPr>
          <w:p w14:paraId="35AC52B3" w14:textId="6C076C61"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22"/>
              </w:rPr>
              <w:t>1.82</w:t>
            </w:r>
          </w:p>
        </w:tc>
        <w:tc>
          <w:tcPr>
            <w:tcW w:w="567" w:type="dxa"/>
            <w:vAlign w:val="center"/>
          </w:tcPr>
          <w:p w14:paraId="2EED5A8B" w14:textId="7355E539" w:rsidR="00671E04" w:rsidRPr="003D73C3" w:rsidRDefault="005565C3" w:rsidP="0050196B">
            <w:pPr>
              <w:spacing w:before="120"/>
              <w:jc w:val="center"/>
              <w:rPr>
                <w:rFonts w:ascii="Arial" w:hAnsi="Arial" w:cs="Arial"/>
                <w:b/>
                <w:bCs/>
                <w:sz w:val="14"/>
                <w:szCs w:val="14"/>
              </w:rPr>
            </w:pPr>
            <w:r w:rsidRPr="003D73C3">
              <w:rPr>
                <w:rFonts w:ascii="Arial" w:hAnsi="Arial" w:cs="Arial"/>
                <w:b/>
                <w:bCs/>
                <w:sz w:val="14"/>
                <w:szCs w:val="14"/>
              </w:rPr>
              <w:t>1.8</w:t>
            </w:r>
            <w:r w:rsidR="00426155">
              <w:rPr>
                <w:rFonts w:ascii="Arial" w:hAnsi="Arial" w:cs="Arial"/>
                <w:b/>
                <w:bCs/>
                <w:sz w:val="14"/>
                <w:szCs w:val="14"/>
              </w:rPr>
              <w:t>5</w:t>
            </w:r>
          </w:p>
        </w:tc>
        <w:tc>
          <w:tcPr>
            <w:tcW w:w="567" w:type="dxa"/>
            <w:noWrap/>
            <w:vAlign w:val="center"/>
          </w:tcPr>
          <w:p w14:paraId="62B76534" w14:textId="72229A23"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14"/>
              </w:rPr>
              <w:t>14.24</w:t>
            </w:r>
          </w:p>
        </w:tc>
        <w:tc>
          <w:tcPr>
            <w:tcW w:w="567" w:type="dxa"/>
            <w:vAlign w:val="center"/>
          </w:tcPr>
          <w:p w14:paraId="30B26C82" w14:textId="34802DB2" w:rsidR="00671E04" w:rsidRPr="003D73C3" w:rsidRDefault="00D311BF" w:rsidP="0050196B">
            <w:pPr>
              <w:spacing w:before="120"/>
              <w:jc w:val="center"/>
              <w:rPr>
                <w:rFonts w:ascii="Arial" w:hAnsi="Arial" w:cs="Arial"/>
                <w:b/>
                <w:bCs/>
                <w:sz w:val="14"/>
                <w:szCs w:val="14"/>
              </w:rPr>
            </w:pPr>
            <w:r w:rsidRPr="003D73C3">
              <w:rPr>
                <w:rFonts w:ascii="Arial" w:hAnsi="Arial" w:cs="Arial"/>
                <w:b/>
                <w:bCs/>
                <w:sz w:val="14"/>
                <w:szCs w:val="22"/>
              </w:rPr>
              <w:t>18.44</w:t>
            </w:r>
          </w:p>
        </w:tc>
        <w:tc>
          <w:tcPr>
            <w:tcW w:w="709" w:type="dxa"/>
            <w:gridSpan w:val="2"/>
            <w:vAlign w:val="center"/>
          </w:tcPr>
          <w:p w14:paraId="47F9914A" w14:textId="68ABEE49" w:rsidR="00671E04" w:rsidRPr="003D73C3" w:rsidRDefault="005E01A6" w:rsidP="0050196B">
            <w:pPr>
              <w:spacing w:before="120"/>
              <w:jc w:val="center"/>
              <w:rPr>
                <w:rFonts w:ascii="Arial" w:hAnsi="Arial" w:cs="Arial"/>
                <w:b/>
                <w:bCs/>
                <w:sz w:val="14"/>
                <w:szCs w:val="14"/>
              </w:rPr>
            </w:pPr>
            <w:r w:rsidRPr="003D73C3">
              <w:rPr>
                <w:rFonts w:ascii="Arial" w:hAnsi="Arial" w:cs="Arial"/>
                <w:b/>
                <w:bCs/>
                <w:sz w:val="14"/>
                <w:szCs w:val="14"/>
              </w:rPr>
              <w:t>18.1</w:t>
            </w:r>
            <w:r w:rsidR="00382630">
              <w:rPr>
                <w:rFonts w:ascii="Arial" w:hAnsi="Arial" w:cs="Arial"/>
                <w:b/>
                <w:bCs/>
                <w:sz w:val="14"/>
                <w:szCs w:val="14"/>
              </w:rPr>
              <w:t>7</w:t>
            </w:r>
          </w:p>
        </w:tc>
        <w:tc>
          <w:tcPr>
            <w:tcW w:w="567" w:type="dxa"/>
            <w:vAlign w:val="center"/>
          </w:tcPr>
          <w:p w14:paraId="4C47AA76" w14:textId="31BF314A" w:rsidR="00671E04" w:rsidRPr="003D73C3" w:rsidRDefault="00BB3AE4" w:rsidP="0050196B">
            <w:pPr>
              <w:spacing w:before="120"/>
              <w:jc w:val="center"/>
              <w:rPr>
                <w:rFonts w:ascii="Arial" w:hAnsi="Arial" w:cs="Arial"/>
                <w:b/>
                <w:bCs/>
                <w:sz w:val="14"/>
                <w:szCs w:val="14"/>
              </w:rPr>
            </w:pPr>
            <w:r w:rsidRPr="003D73C3">
              <w:rPr>
                <w:rFonts w:ascii="Arial" w:hAnsi="Arial" w:cs="Arial"/>
                <w:b/>
                <w:bCs/>
                <w:sz w:val="14"/>
                <w:szCs w:val="14"/>
              </w:rPr>
              <w:t>12.</w:t>
            </w:r>
            <w:r w:rsidR="00E61A6D">
              <w:rPr>
                <w:rFonts w:ascii="Arial" w:hAnsi="Arial" w:cs="Arial"/>
                <w:b/>
                <w:bCs/>
                <w:sz w:val="14"/>
                <w:szCs w:val="14"/>
              </w:rPr>
              <w:t>97</w:t>
            </w:r>
          </w:p>
        </w:tc>
        <w:tc>
          <w:tcPr>
            <w:tcW w:w="708" w:type="dxa"/>
            <w:vAlign w:val="center"/>
          </w:tcPr>
          <w:p w14:paraId="74633DE4" w14:textId="1F81ED39" w:rsidR="00671E04" w:rsidRPr="003D73C3" w:rsidRDefault="00E61A6D" w:rsidP="0050196B">
            <w:pPr>
              <w:spacing w:before="120"/>
              <w:jc w:val="center"/>
              <w:rPr>
                <w:rFonts w:ascii="Arial" w:hAnsi="Arial" w:cs="Arial"/>
                <w:b/>
                <w:bCs/>
                <w:sz w:val="14"/>
                <w:szCs w:val="14"/>
              </w:rPr>
            </w:pPr>
            <w:r>
              <w:rPr>
                <w:rFonts w:ascii="Arial" w:hAnsi="Arial" w:cs="Arial"/>
                <w:b/>
                <w:bCs/>
                <w:sz w:val="14"/>
                <w:szCs w:val="14"/>
              </w:rPr>
              <w:t>9.00</w:t>
            </w:r>
          </w:p>
        </w:tc>
        <w:tc>
          <w:tcPr>
            <w:tcW w:w="567" w:type="dxa"/>
            <w:vAlign w:val="center"/>
          </w:tcPr>
          <w:p w14:paraId="1E4A498B" w14:textId="3AF5A46F" w:rsidR="00671E04" w:rsidRPr="003D73C3" w:rsidRDefault="00382630" w:rsidP="0050196B">
            <w:pPr>
              <w:spacing w:before="120"/>
              <w:jc w:val="center"/>
              <w:rPr>
                <w:rFonts w:ascii="Arial" w:hAnsi="Arial" w:cs="Arial"/>
                <w:b/>
                <w:bCs/>
                <w:sz w:val="14"/>
                <w:szCs w:val="14"/>
              </w:rPr>
            </w:pPr>
            <w:r>
              <w:rPr>
                <w:rFonts w:ascii="Arial" w:hAnsi="Arial" w:cs="Arial"/>
                <w:b/>
                <w:bCs/>
                <w:sz w:val="14"/>
                <w:szCs w:val="14"/>
              </w:rPr>
              <w:t>8.14</w:t>
            </w:r>
          </w:p>
        </w:tc>
      </w:tr>
      <w:tr w:rsidR="009C2102" w:rsidRPr="00C620D6" w14:paraId="0690EA63" w14:textId="77777777" w:rsidTr="0050196B">
        <w:trPr>
          <w:trHeight w:val="300"/>
        </w:trPr>
        <w:tc>
          <w:tcPr>
            <w:tcW w:w="1985" w:type="dxa"/>
            <w:gridSpan w:val="2"/>
            <w:vMerge w:val="restart"/>
            <w:noWrap/>
            <w:vAlign w:val="center"/>
          </w:tcPr>
          <w:p w14:paraId="09B36656" w14:textId="15A0B99E" w:rsidR="009C2102" w:rsidRPr="003D73C3" w:rsidRDefault="009C2102" w:rsidP="0050196B">
            <w:pPr>
              <w:spacing w:before="120"/>
              <w:jc w:val="center"/>
              <w:rPr>
                <w:rFonts w:ascii="Arial" w:hAnsi="Arial" w:cs="Arial"/>
                <w:b/>
                <w:bCs/>
                <w:sz w:val="14"/>
                <w:szCs w:val="14"/>
              </w:rPr>
            </w:pPr>
            <w:r w:rsidRPr="003D73C3">
              <w:rPr>
                <w:rFonts w:ascii="Arial" w:hAnsi="Arial" w:cs="Arial"/>
                <w:b/>
                <w:bCs/>
                <w:sz w:val="14"/>
                <w:szCs w:val="14"/>
              </w:rPr>
              <w:t>Totals</w:t>
            </w:r>
            <w:r w:rsidR="008B2505" w:rsidRPr="003D73C3">
              <w:rPr>
                <w:rFonts w:ascii="Arial" w:hAnsi="Arial" w:cs="Arial"/>
                <w:b/>
                <w:bCs/>
                <w:sz w:val="14"/>
                <w:szCs w:val="14"/>
              </w:rPr>
              <w:t>*</w:t>
            </w:r>
            <w:r w:rsidRPr="003D73C3">
              <w:rPr>
                <w:rFonts w:ascii="Arial" w:hAnsi="Arial" w:cs="Arial"/>
                <w:b/>
                <w:bCs/>
                <w:sz w:val="14"/>
                <w:szCs w:val="14"/>
              </w:rPr>
              <w:t xml:space="preserve"> for all release vectors</w:t>
            </w:r>
          </w:p>
        </w:tc>
        <w:tc>
          <w:tcPr>
            <w:tcW w:w="2645" w:type="dxa"/>
            <w:gridSpan w:val="5"/>
            <w:noWrap/>
            <w:vAlign w:val="center"/>
          </w:tcPr>
          <w:p w14:paraId="4269AD43" w14:textId="5F7ADDBE" w:rsidR="009C2102" w:rsidRPr="003D73C3" w:rsidRDefault="0078317F" w:rsidP="0050196B">
            <w:pPr>
              <w:spacing w:before="120"/>
              <w:jc w:val="center"/>
              <w:rPr>
                <w:rFonts w:ascii="Arial" w:hAnsi="Arial"/>
                <w:b/>
                <w:sz w:val="14"/>
              </w:rPr>
            </w:pPr>
            <w:r w:rsidRPr="003D73C3">
              <w:rPr>
                <w:rFonts w:ascii="Arial" w:hAnsi="Arial"/>
                <w:b/>
                <w:sz w:val="14"/>
              </w:rPr>
              <w:t>2012</w:t>
            </w:r>
          </w:p>
        </w:tc>
        <w:tc>
          <w:tcPr>
            <w:tcW w:w="2221" w:type="dxa"/>
            <w:gridSpan w:val="5"/>
            <w:vAlign w:val="center"/>
          </w:tcPr>
          <w:p w14:paraId="6B28A9C5" w14:textId="619D35A7" w:rsidR="009C2102" w:rsidRPr="003D73C3" w:rsidRDefault="0078317F" w:rsidP="0050196B">
            <w:pPr>
              <w:spacing w:before="120"/>
              <w:jc w:val="center"/>
              <w:rPr>
                <w:rFonts w:ascii="Arial" w:hAnsi="Arial" w:cs="Arial"/>
                <w:b/>
                <w:bCs/>
                <w:sz w:val="14"/>
                <w:szCs w:val="14"/>
              </w:rPr>
            </w:pPr>
            <w:r w:rsidRPr="003D73C3">
              <w:rPr>
                <w:rFonts w:ascii="Arial" w:hAnsi="Arial" w:cs="Arial"/>
                <w:b/>
                <w:bCs/>
                <w:sz w:val="14"/>
                <w:szCs w:val="14"/>
              </w:rPr>
              <w:t>2016</w:t>
            </w:r>
          </w:p>
        </w:tc>
        <w:tc>
          <w:tcPr>
            <w:tcW w:w="2221" w:type="dxa"/>
            <w:gridSpan w:val="4"/>
            <w:vAlign w:val="center"/>
          </w:tcPr>
          <w:p w14:paraId="1205E0E2" w14:textId="7CBDC8F1" w:rsidR="009C2102" w:rsidRPr="003D73C3" w:rsidRDefault="0078317F" w:rsidP="0050196B">
            <w:pPr>
              <w:spacing w:before="120"/>
              <w:jc w:val="center"/>
              <w:rPr>
                <w:rFonts w:ascii="Arial" w:hAnsi="Arial" w:cs="Arial"/>
                <w:b/>
                <w:bCs/>
                <w:sz w:val="14"/>
                <w:szCs w:val="22"/>
              </w:rPr>
            </w:pPr>
            <w:r w:rsidRPr="003D73C3">
              <w:rPr>
                <w:rFonts w:ascii="Arial" w:hAnsi="Arial" w:cs="Arial"/>
                <w:b/>
                <w:bCs/>
                <w:sz w:val="14"/>
                <w:szCs w:val="22"/>
              </w:rPr>
              <w:t>2020</w:t>
            </w:r>
          </w:p>
        </w:tc>
      </w:tr>
      <w:tr w:rsidR="00671E04" w:rsidRPr="00C620D6" w14:paraId="04EB0038" w14:textId="77777777" w:rsidTr="00837413">
        <w:trPr>
          <w:trHeight w:val="300"/>
        </w:trPr>
        <w:tc>
          <w:tcPr>
            <w:tcW w:w="1985" w:type="dxa"/>
            <w:gridSpan w:val="2"/>
            <w:vMerge/>
            <w:noWrap/>
            <w:vAlign w:val="center"/>
          </w:tcPr>
          <w:p w14:paraId="007C98DB" w14:textId="77777777" w:rsidR="00671E04" w:rsidRPr="003D73C3" w:rsidRDefault="00671E04" w:rsidP="0050196B">
            <w:pPr>
              <w:spacing w:before="120"/>
              <w:jc w:val="both"/>
              <w:rPr>
                <w:rFonts w:ascii="Arial" w:hAnsi="Arial" w:cs="Arial"/>
                <w:b/>
                <w:bCs/>
                <w:sz w:val="14"/>
                <w:szCs w:val="14"/>
              </w:rPr>
            </w:pPr>
          </w:p>
        </w:tc>
        <w:tc>
          <w:tcPr>
            <w:tcW w:w="2645" w:type="dxa"/>
            <w:gridSpan w:val="5"/>
            <w:noWrap/>
            <w:vAlign w:val="center"/>
          </w:tcPr>
          <w:p w14:paraId="4700C893" w14:textId="72CB3A4D" w:rsidR="00671E04" w:rsidRPr="003D73C3" w:rsidRDefault="00CC1CBE" w:rsidP="0050196B">
            <w:pPr>
              <w:spacing w:before="120"/>
              <w:jc w:val="center"/>
              <w:rPr>
                <w:rFonts w:ascii="Arial" w:hAnsi="Arial"/>
                <w:b/>
                <w:sz w:val="14"/>
              </w:rPr>
            </w:pPr>
            <w:r w:rsidRPr="003D73C3">
              <w:rPr>
                <w:rFonts w:ascii="Arial" w:hAnsi="Arial" w:cs="Arial"/>
                <w:b/>
                <w:bCs/>
                <w:sz w:val="14"/>
                <w:szCs w:val="14"/>
              </w:rPr>
              <w:t>36.</w:t>
            </w:r>
            <w:r w:rsidR="0057696C">
              <w:rPr>
                <w:rFonts w:ascii="Arial" w:hAnsi="Arial" w:cs="Arial"/>
                <w:b/>
                <w:bCs/>
                <w:sz w:val="14"/>
                <w:szCs w:val="14"/>
              </w:rPr>
              <w:t>99</w:t>
            </w:r>
          </w:p>
        </w:tc>
        <w:tc>
          <w:tcPr>
            <w:tcW w:w="2221" w:type="dxa"/>
            <w:gridSpan w:val="5"/>
            <w:vAlign w:val="center"/>
          </w:tcPr>
          <w:p w14:paraId="041B8008" w14:textId="3B038887" w:rsidR="00671E04" w:rsidRPr="003D73C3" w:rsidRDefault="00CC1CBE" w:rsidP="0050196B">
            <w:pPr>
              <w:spacing w:before="120"/>
              <w:jc w:val="center"/>
              <w:rPr>
                <w:rFonts w:ascii="Arial" w:hAnsi="Arial" w:cs="Arial"/>
                <w:b/>
                <w:bCs/>
                <w:sz w:val="14"/>
                <w:szCs w:val="14"/>
              </w:rPr>
            </w:pPr>
            <w:r w:rsidRPr="003D73C3">
              <w:rPr>
                <w:rFonts w:ascii="Arial" w:hAnsi="Arial" w:cs="Arial"/>
                <w:b/>
                <w:bCs/>
                <w:sz w:val="14"/>
                <w:szCs w:val="22"/>
              </w:rPr>
              <w:t>3</w:t>
            </w:r>
            <w:r w:rsidR="0057696C">
              <w:rPr>
                <w:rFonts w:ascii="Arial" w:hAnsi="Arial" w:cs="Arial"/>
                <w:b/>
                <w:bCs/>
                <w:sz w:val="14"/>
                <w:szCs w:val="22"/>
              </w:rPr>
              <w:t>7.10</w:t>
            </w:r>
          </w:p>
        </w:tc>
        <w:tc>
          <w:tcPr>
            <w:tcW w:w="2221" w:type="dxa"/>
            <w:gridSpan w:val="4"/>
            <w:shd w:val="clear" w:color="auto" w:fill="auto"/>
            <w:vAlign w:val="center"/>
          </w:tcPr>
          <w:p w14:paraId="2E0B5C91" w14:textId="7FE38E17" w:rsidR="00671E04" w:rsidRPr="003D73C3" w:rsidRDefault="00382630" w:rsidP="0050196B">
            <w:pPr>
              <w:spacing w:before="120"/>
              <w:jc w:val="center"/>
              <w:rPr>
                <w:rFonts w:ascii="Arial" w:hAnsi="Arial" w:cs="Arial"/>
                <w:b/>
                <w:bCs/>
                <w:sz w:val="14"/>
                <w:szCs w:val="22"/>
              </w:rPr>
            </w:pPr>
            <w:r>
              <w:rPr>
                <w:rFonts w:ascii="Arial" w:hAnsi="Arial" w:cs="Arial"/>
                <w:b/>
                <w:bCs/>
                <w:sz w:val="14"/>
                <w:szCs w:val="22"/>
              </w:rPr>
              <w:t>36.</w:t>
            </w:r>
            <w:r w:rsidR="0057696C">
              <w:rPr>
                <w:rFonts w:ascii="Arial" w:hAnsi="Arial" w:cs="Arial"/>
                <w:b/>
                <w:bCs/>
                <w:sz w:val="14"/>
                <w:szCs w:val="22"/>
              </w:rPr>
              <w:t>60</w:t>
            </w:r>
          </w:p>
        </w:tc>
      </w:tr>
    </w:tbl>
    <w:p w14:paraId="6D7FCDFB" w14:textId="77777777" w:rsidR="009C2102" w:rsidRPr="003D73C3" w:rsidRDefault="009C2102" w:rsidP="008856B4"/>
    <w:p w14:paraId="53379A6D" w14:textId="51FDA0AA" w:rsidR="008B2505" w:rsidRPr="003D73C3" w:rsidRDefault="008B2505" w:rsidP="008B2505">
      <w:pPr>
        <w:jc w:val="center"/>
        <w:rPr>
          <w:sz w:val="16"/>
          <w:szCs w:val="16"/>
        </w:rPr>
      </w:pPr>
      <w:r w:rsidRPr="003D73C3">
        <w:rPr>
          <w:sz w:val="16"/>
          <w:szCs w:val="16"/>
        </w:rPr>
        <w:t>(* The sums of the figures in some columns may not agree exactly with the totals shown, due to rounding effects)</w:t>
      </w:r>
    </w:p>
    <w:p w14:paraId="75A9AD5D" w14:textId="73AD10B6" w:rsidR="006761D2" w:rsidRPr="003D73C3" w:rsidRDefault="006761D2" w:rsidP="006761D2">
      <w:pPr>
        <w:spacing w:line="300" w:lineRule="atLeast"/>
        <w:jc w:val="both"/>
        <w:rPr>
          <w:szCs w:val="18"/>
        </w:rPr>
      </w:pPr>
      <w:r w:rsidRPr="003D73C3">
        <w:rPr>
          <w:szCs w:val="18"/>
        </w:rPr>
        <w:t>The estimates for releases in products have not been shown in the table because the</w:t>
      </w:r>
      <w:r w:rsidR="001C7BEC">
        <w:rPr>
          <w:szCs w:val="18"/>
        </w:rPr>
        <w:t xml:space="preserve"> only significant release is in the Production of Chemicals and Consumer Goods category </w:t>
      </w:r>
      <w:r w:rsidRPr="003D73C3">
        <w:rPr>
          <w:szCs w:val="18"/>
        </w:rPr>
        <w:t xml:space="preserve">with a total annual release of </w:t>
      </w:r>
      <w:r w:rsidR="0038078F" w:rsidRPr="003D73C3">
        <w:rPr>
          <w:szCs w:val="18"/>
        </w:rPr>
        <w:t>0.</w:t>
      </w:r>
      <w:r w:rsidR="0057696C">
        <w:rPr>
          <w:szCs w:val="18"/>
        </w:rPr>
        <w:t>121</w:t>
      </w:r>
      <w:r w:rsidRPr="003D73C3">
        <w:rPr>
          <w:szCs w:val="18"/>
        </w:rPr>
        <w:t xml:space="preserve"> g TEQ</w:t>
      </w:r>
      <w:r w:rsidR="0038078F" w:rsidRPr="003D73C3">
        <w:rPr>
          <w:szCs w:val="18"/>
        </w:rPr>
        <w:t xml:space="preserve"> for</w:t>
      </w:r>
      <w:r w:rsidR="003D73C3">
        <w:rPr>
          <w:szCs w:val="18"/>
        </w:rPr>
        <w:t xml:space="preserve"> </w:t>
      </w:r>
      <w:r w:rsidR="00CC1CBE" w:rsidRPr="003D73C3">
        <w:rPr>
          <w:szCs w:val="18"/>
        </w:rPr>
        <w:t>2020</w:t>
      </w:r>
      <w:r w:rsidRPr="003D73C3">
        <w:rPr>
          <w:szCs w:val="18"/>
        </w:rPr>
        <w:t>.</w:t>
      </w:r>
    </w:p>
    <w:p w14:paraId="7FB71F21" w14:textId="7B6C6B21" w:rsidR="001E1DCE" w:rsidRDefault="00DA76FD" w:rsidP="00DA76FD">
      <w:pPr>
        <w:spacing w:line="300" w:lineRule="atLeast"/>
        <w:jc w:val="both"/>
        <w:rPr>
          <w:szCs w:val="18"/>
        </w:rPr>
      </w:pPr>
      <w:r w:rsidRPr="003D73C3">
        <w:rPr>
          <w:szCs w:val="18"/>
        </w:rPr>
        <w:t xml:space="preserve">Tables 13-2 and 13-3 show source categories which for </w:t>
      </w:r>
      <w:r w:rsidR="00C620D6">
        <w:rPr>
          <w:szCs w:val="18"/>
        </w:rPr>
        <w:t>2020</w:t>
      </w:r>
      <w:r w:rsidRPr="003D73C3">
        <w:rPr>
          <w:szCs w:val="18"/>
        </w:rPr>
        <w:t xml:space="preserve"> had increases or decreases </w:t>
      </w:r>
      <w:r w:rsidR="008F7A88" w:rsidRPr="003D73C3">
        <w:rPr>
          <w:szCs w:val="18"/>
        </w:rPr>
        <w:t>in their dioxin releases greater</w:t>
      </w:r>
      <w:r w:rsidRPr="003D73C3">
        <w:rPr>
          <w:szCs w:val="18"/>
        </w:rPr>
        <w:t xml:space="preserve"> than 0.01 g compared with </w:t>
      </w:r>
      <w:r w:rsidR="00C620D6">
        <w:rPr>
          <w:szCs w:val="18"/>
        </w:rPr>
        <w:t>2016</w:t>
      </w:r>
      <w:r w:rsidRPr="003D73C3">
        <w:rPr>
          <w:szCs w:val="18"/>
        </w:rPr>
        <w:t xml:space="preserve"> levels.</w:t>
      </w:r>
    </w:p>
    <w:p w14:paraId="0956DC6F" w14:textId="77777777" w:rsidR="001E1DCE" w:rsidRDefault="001E1DCE">
      <w:pPr>
        <w:spacing w:after="0"/>
        <w:rPr>
          <w:szCs w:val="18"/>
        </w:rPr>
      </w:pPr>
      <w:r>
        <w:rPr>
          <w:szCs w:val="18"/>
        </w:rPr>
        <w:br w:type="page"/>
      </w:r>
    </w:p>
    <w:p w14:paraId="3537DEA7" w14:textId="4E526E87" w:rsidR="00DA76FD" w:rsidRPr="003D73C3" w:rsidRDefault="008439C4" w:rsidP="00F22D0B">
      <w:pPr>
        <w:pStyle w:val="Caption"/>
        <w:jc w:val="left"/>
        <w:rPr>
          <w:szCs w:val="18"/>
        </w:rPr>
      </w:pPr>
      <w:r w:rsidRPr="003D73C3">
        <w:lastRenderedPageBreak/>
        <w:t xml:space="preserve">Table </w:t>
      </w:r>
      <w:r>
        <w:fldChar w:fldCharType="begin"/>
      </w:r>
      <w:r>
        <w:instrText>STYLEREF 1 \s</w:instrText>
      </w:r>
      <w:r>
        <w:fldChar w:fldCharType="separate"/>
      </w:r>
      <w:r w:rsidR="00141D7F">
        <w:rPr>
          <w:noProof/>
        </w:rPr>
        <w:t>13</w:t>
      </w:r>
      <w:r>
        <w:fldChar w:fldCharType="end"/>
      </w:r>
      <w:r w:rsidRPr="003D73C3">
        <w:noBreakHyphen/>
        <w:t>2</w:t>
      </w:r>
      <w:r w:rsidRPr="003D73C3">
        <w:rPr>
          <w:rFonts w:cs="Arial"/>
        </w:rPr>
        <w:t>:</w:t>
      </w:r>
      <w:r w:rsidR="000C1F3E" w:rsidRPr="003D73C3">
        <w:rPr>
          <w:rFonts w:cs="Arial"/>
        </w:rPr>
        <w:t xml:space="preserve"> C</w:t>
      </w:r>
      <w:r w:rsidRPr="003D73C3">
        <w:rPr>
          <w:rFonts w:cs="Arial"/>
        </w:rPr>
        <w:t xml:space="preserve">ategories which had increases in release estimates </w:t>
      </w:r>
      <w:r w:rsidR="000C1F3E" w:rsidRPr="003D73C3">
        <w:rPr>
          <w:rFonts w:cs="Arial"/>
        </w:rPr>
        <w:t xml:space="preserve">for </w:t>
      </w:r>
      <w:r w:rsidR="00837924" w:rsidRPr="003D73C3">
        <w:rPr>
          <w:rFonts w:cs="Arial"/>
        </w:rPr>
        <w:t>2020</w:t>
      </w:r>
      <w:r w:rsidR="000C1F3E" w:rsidRPr="003D73C3">
        <w:rPr>
          <w:rFonts w:cs="Arial"/>
        </w:rPr>
        <w:t xml:space="preserve"> compared with</w:t>
      </w:r>
      <w:r w:rsidRPr="003D73C3">
        <w:rPr>
          <w:rFonts w:cs="Arial"/>
        </w:rPr>
        <w:t xml:space="preserve"> </w:t>
      </w:r>
      <w:r w:rsidR="00837924" w:rsidRPr="003D73C3">
        <w:rPr>
          <w:rFonts w:cs="Arial"/>
        </w:rPr>
        <w:t>2016</w:t>
      </w:r>
    </w:p>
    <w:tbl>
      <w:tblPr>
        <w:tblStyle w:val="TableGrid"/>
        <w:tblW w:w="0" w:type="auto"/>
        <w:jc w:val="center"/>
        <w:tblLook w:val="04A0" w:firstRow="1" w:lastRow="0" w:firstColumn="1" w:lastColumn="0" w:noHBand="0" w:noVBand="1"/>
      </w:tblPr>
      <w:tblGrid>
        <w:gridCol w:w="3446"/>
        <w:gridCol w:w="2182"/>
      </w:tblGrid>
      <w:tr w:rsidR="004A52F7" w:rsidRPr="00203639" w14:paraId="3592B9D3" w14:textId="77777777" w:rsidTr="009D45FD">
        <w:trPr>
          <w:trHeight w:val="420"/>
          <w:jc w:val="center"/>
        </w:trPr>
        <w:tc>
          <w:tcPr>
            <w:tcW w:w="0" w:type="auto"/>
          </w:tcPr>
          <w:p w14:paraId="5E2AB870" w14:textId="1C67B349" w:rsidR="004A52F7" w:rsidRPr="00203639" w:rsidRDefault="004A52F7" w:rsidP="004A52F7">
            <w:pPr>
              <w:spacing w:after="0" w:line="300" w:lineRule="atLeast"/>
              <w:jc w:val="center"/>
              <w:rPr>
                <w:b/>
                <w:sz w:val="18"/>
                <w:szCs w:val="18"/>
              </w:rPr>
            </w:pPr>
            <w:r w:rsidRPr="0037003D">
              <w:rPr>
                <w:b/>
                <w:sz w:val="18"/>
                <w:szCs w:val="18"/>
              </w:rPr>
              <w:t>Source Category</w:t>
            </w:r>
          </w:p>
        </w:tc>
        <w:tc>
          <w:tcPr>
            <w:tcW w:w="0" w:type="auto"/>
          </w:tcPr>
          <w:p w14:paraId="5DF57129" w14:textId="77777777" w:rsidR="004A52F7" w:rsidRPr="0037003D" w:rsidRDefault="004A52F7" w:rsidP="004A52F7">
            <w:pPr>
              <w:spacing w:after="0" w:line="300" w:lineRule="atLeast"/>
              <w:jc w:val="center"/>
              <w:rPr>
                <w:b/>
                <w:sz w:val="18"/>
                <w:szCs w:val="18"/>
              </w:rPr>
            </w:pPr>
            <w:r w:rsidRPr="0037003D">
              <w:rPr>
                <w:b/>
                <w:sz w:val="18"/>
                <w:szCs w:val="18"/>
              </w:rPr>
              <w:t xml:space="preserve">Change in Dioxin Release </w:t>
            </w:r>
          </w:p>
          <w:p w14:paraId="1CBDB9EF" w14:textId="2C0325E3" w:rsidR="004A52F7" w:rsidRPr="00203639" w:rsidRDefault="004A52F7" w:rsidP="004A52F7">
            <w:pPr>
              <w:spacing w:after="0" w:line="300" w:lineRule="atLeast"/>
              <w:jc w:val="center"/>
              <w:rPr>
                <w:b/>
                <w:sz w:val="18"/>
                <w:szCs w:val="18"/>
              </w:rPr>
            </w:pPr>
            <w:r w:rsidRPr="0037003D">
              <w:rPr>
                <w:b/>
                <w:sz w:val="18"/>
                <w:szCs w:val="18"/>
              </w:rPr>
              <w:t>(g TEQ/annum)</w:t>
            </w:r>
          </w:p>
        </w:tc>
      </w:tr>
      <w:tr w:rsidR="004A52F7" w:rsidRPr="00203639" w14:paraId="705C3385" w14:textId="77777777" w:rsidTr="009D45FD">
        <w:trPr>
          <w:trHeight w:hRule="exact" w:val="284"/>
          <w:jc w:val="center"/>
        </w:trPr>
        <w:tc>
          <w:tcPr>
            <w:tcW w:w="0" w:type="auto"/>
          </w:tcPr>
          <w:p w14:paraId="58EFAFBD" w14:textId="6724EB53" w:rsidR="004A52F7" w:rsidRPr="00203639" w:rsidRDefault="004A52F7" w:rsidP="004A52F7">
            <w:pPr>
              <w:spacing w:line="300" w:lineRule="atLeast"/>
              <w:rPr>
                <w:sz w:val="18"/>
                <w:szCs w:val="18"/>
              </w:rPr>
            </w:pPr>
            <w:r>
              <w:rPr>
                <w:sz w:val="18"/>
                <w:szCs w:val="18"/>
              </w:rPr>
              <w:t>Industrial biomass (wood waste) combustion</w:t>
            </w:r>
          </w:p>
        </w:tc>
        <w:tc>
          <w:tcPr>
            <w:tcW w:w="0" w:type="auto"/>
          </w:tcPr>
          <w:p w14:paraId="7E35C890" w14:textId="474F22F6" w:rsidR="004A52F7" w:rsidRPr="00203639" w:rsidRDefault="004A52F7" w:rsidP="004A52F7">
            <w:pPr>
              <w:spacing w:line="300" w:lineRule="atLeast"/>
              <w:jc w:val="center"/>
              <w:rPr>
                <w:sz w:val="18"/>
                <w:szCs w:val="18"/>
              </w:rPr>
            </w:pPr>
            <w:r>
              <w:rPr>
                <w:sz w:val="18"/>
                <w:szCs w:val="18"/>
              </w:rPr>
              <w:t>+0.76</w:t>
            </w:r>
          </w:p>
        </w:tc>
      </w:tr>
      <w:tr w:rsidR="004A52F7" w:rsidRPr="00203639" w14:paraId="0A913B9C" w14:textId="77777777" w:rsidTr="009D45FD">
        <w:trPr>
          <w:trHeight w:hRule="exact" w:val="284"/>
          <w:jc w:val="center"/>
        </w:trPr>
        <w:tc>
          <w:tcPr>
            <w:tcW w:w="0" w:type="auto"/>
          </w:tcPr>
          <w:p w14:paraId="1C317539" w14:textId="259DE383" w:rsidR="004A52F7" w:rsidRPr="00203639" w:rsidRDefault="004A52F7" w:rsidP="004A52F7">
            <w:pPr>
              <w:spacing w:line="300" w:lineRule="atLeast"/>
              <w:rPr>
                <w:sz w:val="18"/>
                <w:szCs w:val="18"/>
              </w:rPr>
            </w:pPr>
            <w:r>
              <w:rPr>
                <w:sz w:val="18"/>
                <w:szCs w:val="18"/>
              </w:rPr>
              <w:t>Landfill fires</w:t>
            </w:r>
          </w:p>
        </w:tc>
        <w:tc>
          <w:tcPr>
            <w:tcW w:w="0" w:type="auto"/>
          </w:tcPr>
          <w:p w14:paraId="306AC195" w14:textId="3CDD0D1A" w:rsidR="004A52F7" w:rsidRPr="00203639" w:rsidRDefault="004A52F7" w:rsidP="004A52F7">
            <w:pPr>
              <w:spacing w:line="300" w:lineRule="atLeast"/>
              <w:jc w:val="center"/>
              <w:rPr>
                <w:sz w:val="18"/>
                <w:szCs w:val="18"/>
              </w:rPr>
            </w:pPr>
            <w:r>
              <w:rPr>
                <w:sz w:val="18"/>
                <w:szCs w:val="18"/>
              </w:rPr>
              <w:t>+0.75</w:t>
            </w:r>
          </w:p>
        </w:tc>
      </w:tr>
      <w:tr w:rsidR="004A52F7" w:rsidRPr="00203639" w14:paraId="53E138E1" w14:textId="77777777" w:rsidTr="0033792E">
        <w:trPr>
          <w:trHeight w:hRule="exact" w:val="284"/>
          <w:jc w:val="center"/>
        </w:trPr>
        <w:tc>
          <w:tcPr>
            <w:tcW w:w="0" w:type="auto"/>
          </w:tcPr>
          <w:p w14:paraId="00A89848" w14:textId="1AA6E618" w:rsidR="004A52F7" w:rsidRPr="00203639" w:rsidRDefault="004A52F7" w:rsidP="004A52F7">
            <w:pPr>
              <w:spacing w:line="300" w:lineRule="atLeast"/>
              <w:rPr>
                <w:sz w:val="18"/>
                <w:szCs w:val="18"/>
              </w:rPr>
            </w:pPr>
            <w:r>
              <w:rPr>
                <w:sz w:val="18"/>
                <w:szCs w:val="18"/>
              </w:rPr>
              <w:t>Metal shredding</w:t>
            </w:r>
          </w:p>
        </w:tc>
        <w:tc>
          <w:tcPr>
            <w:tcW w:w="0" w:type="auto"/>
          </w:tcPr>
          <w:p w14:paraId="5EE6B601" w14:textId="1962CA60" w:rsidR="004A52F7" w:rsidRPr="00203639" w:rsidRDefault="004A52F7" w:rsidP="004A52F7">
            <w:pPr>
              <w:spacing w:line="300" w:lineRule="atLeast"/>
              <w:jc w:val="center"/>
              <w:rPr>
                <w:sz w:val="18"/>
                <w:szCs w:val="18"/>
              </w:rPr>
            </w:pPr>
            <w:r>
              <w:rPr>
                <w:sz w:val="18"/>
                <w:szCs w:val="18"/>
              </w:rPr>
              <w:t>+0.52</w:t>
            </w:r>
          </w:p>
        </w:tc>
      </w:tr>
      <w:tr w:rsidR="004A52F7" w14:paraId="1F0C688B" w14:textId="77777777" w:rsidTr="009D45FD">
        <w:trPr>
          <w:trHeight w:hRule="exact" w:val="284"/>
          <w:jc w:val="center"/>
        </w:trPr>
        <w:tc>
          <w:tcPr>
            <w:tcW w:w="0" w:type="auto"/>
            <w:vAlign w:val="bottom"/>
          </w:tcPr>
          <w:p w14:paraId="4D50B4FE" w14:textId="7DFA7B58" w:rsidR="004A52F7" w:rsidRPr="004B7C48" w:rsidRDefault="004A52F7" w:rsidP="004A52F7">
            <w:pPr>
              <w:spacing w:line="300" w:lineRule="atLeast"/>
              <w:rPr>
                <w:sz w:val="18"/>
                <w:szCs w:val="18"/>
                <w:highlight w:val="yellow"/>
              </w:rPr>
            </w:pPr>
            <w:r w:rsidRPr="0037003D">
              <w:rPr>
                <w:sz w:val="18"/>
                <w:szCs w:val="18"/>
              </w:rPr>
              <w:t>Coal-fired electricity generation</w:t>
            </w:r>
          </w:p>
        </w:tc>
        <w:tc>
          <w:tcPr>
            <w:tcW w:w="0" w:type="auto"/>
          </w:tcPr>
          <w:p w14:paraId="2C3C4413" w14:textId="727E0950" w:rsidR="004A52F7" w:rsidRDefault="004A52F7" w:rsidP="004A52F7">
            <w:pPr>
              <w:spacing w:line="300" w:lineRule="atLeast"/>
              <w:jc w:val="center"/>
              <w:rPr>
                <w:sz w:val="18"/>
                <w:szCs w:val="18"/>
              </w:rPr>
            </w:pPr>
            <w:r>
              <w:rPr>
                <w:sz w:val="18"/>
                <w:szCs w:val="18"/>
              </w:rPr>
              <w:t>+0.35</w:t>
            </w:r>
          </w:p>
        </w:tc>
      </w:tr>
      <w:tr w:rsidR="004A52F7" w:rsidRPr="00203639" w14:paraId="0771322E" w14:textId="77777777" w:rsidTr="009D45FD">
        <w:trPr>
          <w:trHeight w:hRule="exact" w:val="284"/>
          <w:jc w:val="center"/>
        </w:trPr>
        <w:tc>
          <w:tcPr>
            <w:tcW w:w="0" w:type="auto"/>
          </w:tcPr>
          <w:p w14:paraId="3A135598" w14:textId="4E2B40DD" w:rsidR="004A52F7" w:rsidRPr="00203639" w:rsidRDefault="004A52F7" w:rsidP="004A52F7">
            <w:pPr>
              <w:spacing w:line="300" w:lineRule="atLeast"/>
              <w:rPr>
                <w:sz w:val="18"/>
                <w:szCs w:val="18"/>
              </w:rPr>
            </w:pPr>
            <w:r>
              <w:rPr>
                <w:sz w:val="18"/>
                <w:szCs w:val="18"/>
              </w:rPr>
              <w:t>Landfills, waste dumps and landfill mining</w:t>
            </w:r>
          </w:p>
        </w:tc>
        <w:tc>
          <w:tcPr>
            <w:tcW w:w="0" w:type="auto"/>
          </w:tcPr>
          <w:p w14:paraId="12C76B6F" w14:textId="5EE071BB" w:rsidR="004A52F7" w:rsidRPr="00203639" w:rsidRDefault="004A52F7" w:rsidP="004A52F7">
            <w:pPr>
              <w:spacing w:line="300" w:lineRule="atLeast"/>
              <w:jc w:val="center"/>
              <w:rPr>
                <w:sz w:val="18"/>
                <w:szCs w:val="18"/>
              </w:rPr>
            </w:pPr>
            <w:r>
              <w:rPr>
                <w:sz w:val="18"/>
                <w:szCs w:val="18"/>
              </w:rPr>
              <w:t>+0.27</w:t>
            </w:r>
          </w:p>
        </w:tc>
      </w:tr>
      <w:tr w:rsidR="004A52F7" w:rsidRPr="00203639" w14:paraId="10217326" w14:textId="77777777" w:rsidTr="009D45FD">
        <w:trPr>
          <w:trHeight w:hRule="exact" w:val="284"/>
          <w:jc w:val="center"/>
        </w:trPr>
        <w:tc>
          <w:tcPr>
            <w:tcW w:w="0" w:type="auto"/>
          </w:tcPr>
          <w:p w14:paraId="6377FE01" w14:textId="77777777" w:rsidR="004A52F7" w:rsidRDefault="004A52F7" w:rsidP="004A52F7">
            <w:pPr>
              <w:spacing w:line="300" w:lineRule="atLeast"/>
              <w:jc w:val="both"/>
              <w:rPr>
                <w:szCs w:val="18"/>
              </w:rPr>
            </w:pPr>
            <w:r w:rsidRPr="00C00B65">
              <w:rPr>
                <w:sz w:val="18"/>
                <w:szCs w:val="18"/>
              </w:rPr>
              <w:t>Sewage/sewage treatment</w:t>
            </w:r>
          </w:p>
          <w:p w14:paraId="1404E0A9" w14:textId="77777777" w:rsidR="004A52F7" w:rsidRPr="00203639" w:rsidRDefault="004A52F7" w:rsidP="004A52F7">
            <w:pPr>
              <w:spacing w:line="300" w:lineRule="atLeast"/>
              <w:rPr>
                <w:sz w:val="18"/>
                <w:szCs w:val="18"/>
              </w:rPr>
            </w:pPr>
          </w:p>
        </w:tc>
        <w:tc>
          <w:tcPr>
            <w:tcW w:w="0" w:type="auto"/>
          </w:tcPr>
          <w:p w14:paraId="1A2B7483" w14:textId="11C8C531" w:rsidR="004A52F7" w:rsidRPr="00203639" w:rsidRDefault="004A52F7" w:rsidP="004A52F7">
            <w:pPr>
              <w:spacing w:line="300" w:lineRule="atLeast"/>
              <w:jc w:val="center"/>
              <w:rPr>
                <w:sz w:val="18"/>
                <w:szCs w:val="18"/>
              </w:rPr>
            </w:pPr>
            <w:r>
              <w:rPr>
                <w:sz w:val="18"/>
                <w:szCs w:val="18"/>
              </w:rPr>
              <w:t>+0.22</w:t>
            </w:r>
          </w:p>
        </w:tc>
      </w:tr>
      <w:tr w:rsidR="004A52F7" w:rsidRPr="00203639" w14:paraId="5DE02110" w14:textId="77777777" w:rsidTr="009D45FD">
        <w:trPr>
          <w:trHeight w:hRule="exact" w:val="284"/>
          <w:jc w:val="center"/>
        </w:trPr>
        <w:tc>
          <w:tcPr>
            <w:tcW w:w="0" w:type="auto"/>
          </w:tcPr>
          <w:p w14:paraId="6E4B3D10" w14:textId="15C1C538" w:rsidR="004A52F7" w:rsidRPr="00203639" w:rsidRDefault="004A52F7" w:rsidP="004A52F7">
            <w:pPr>
              <w:spacing w:line="300" w:lineRule="atLeast"/>
              <w:rPr>
                <w:sz w:val="18"/>
                <w:szCs w:val="18"/>
              </w:rPr>
            </w:pPr>
            <w:r>
              <w:rPr>
                <w:sz w:val="18"/>
                <w:szCs w:val="18"/>
              </w:rPr>
              <w:t>Forest fires</w:t>
            </w:r>
          </w:p>
        </w:tc>
        <w:tc>
          <w:tcPr>
            <w:tcW w:w="0" w:type="auto"/>
          </w:tcPr>
          <w:p w14:paraId="57727ADC" w14:textId="326CAB1C" w:rsidR="004A52F7" w:rsidRPr="00203639" w:rsidRDefault="004A52F7" w:rsidP="004A52F7">
            <w:pPr>
              <w:spacing w:line="300" w:lineRule="atLeast"/>
              <w:jc w:val="center"/>
              <w:rPr>
                <w:sz w:val="18"/>
                <w:szCs w:val="18"/>
              </w:rPr>
            </w:pPr>
            <w:r>
              <w:rPr>
                <w:sz w:val="18"/>
                <w:szCs w:val="18"/>
              </w:rPr>
              <w:t>+0.20</w:t>
            </w:r>
          </w:p>
        </w:tc>
      </w:tr>
      <w:tr w:rsidR="004A52F7" w:rsidRPr="00203639" w14:paraId="6E7BFF2E" w14:textId="77777777" w:rsidTr="009D45FD">
        <w:trPr>
          <w:trHeight w:hRule="exact" w:val="284"/>
          <w:jc w:val="center"/>
        </w:trPr>
        <w:tc>
          <w:tcPr>
            <w:tcW w:w="0" w:type="auto"/>
          </w:tcPr>
          <w:p w14:paraId="7A61462A" w14:textId="5A8A3272" w:rsidR="004A52F7" w:rsidRPr="00203639" w:rsidRDefault="004A52F7" w:rsidP="004A52F7">
            <w:pPr>
              <w:spacing w:line="300" w:lineRule="atLeast"/>
              <w:rPr>
                <w:sz w:val="18"/>
                <w:szCs w:val="18"/>
              </w:rPr>
            </w:pPr>
            <w:r>
              <w:rPr>
                <w:sz w:val="18"/>
                <w:szCs w:val="18"/>
              </w:rPr>
              <w:t>2-stroke engines</w:t>
            </w:r>
          </w:p>
        </w:tc>
        <w:tc>
          <w:tcPr>
            <w:tcW w:w="0" w:type="auto"/>
          </w:tcPr>
          <w:p w14:paraId="00CDB3EB" w14:textId="56455176" w:rsidR="004A52F7" w:rsidRPr="00203639" w:rsidRDefault="004A52F7" w:rsidP="004A52F7">
            <w:pPr>
              <w:spacing w:line="300" w:lineRule="atLeast"/>
              <w:jc w:val="center"/>
              <w:rPr>
                <w:sz w:val="18"/>
                <w:szCs w:val="18"/>
              </w:rPr>
            </w:pPr>
            <w:r>
              <w:rPr>
                <w:sz w:val="18"/>
                <w:szCs w:val="18"/>
              </w:rPr>
              <w:t>+0.17</w:t>
            </w:r>
          </w:p>
        </w:tc>
      </w:tr>
      <w:tr w:rsidR="004A52F7" w:rsidRPr="00203639" w14:paraId="222FED04" w14:textId="77777777" w:rsidTr="009D45FD">
        <w:trPr>
          <w:trHeight w:hRule="exact" w:val="284"/>
          <w:jc w:val="center"/>
        </w:trPr>
        <w:tc>
          <w:tcPr>
            <w:tcW w:w="0" w:type="auto"/>
          </w:tcPr>
          <w:p w14:paraId="25F98C7D" w14:textId="5458B88F" w:rsidR="004A52F7" w:rsidRPr="00203639" w:rsidRDefault="004A52F7" w:rsidP="004A52F7">
            <w:pPr>
              <w:spacing w:line="300" w:lineRule="atLeast"/>
              <w:rPr>
                <w:sz w:val="18"/>
                <w:szCs w:val="18"/>
              </w:rPr>
            </w:pPr>
            <w:r>
              <w:rPr>
                <w:sz w:val="18"/>
                <w:szCs w:val="18"/>
              </w:rPr>
              <w:t>Pet cremators</w:t>
            </w:r>
          </w:p>
        </w:tc>
        <w:tc>
          <w:tcPr>
            <w:tcW w:w="0" w:type="auto"/>
          </w:tcPr>
          <w:p w14:paraId="718F5154" w14:textId="1080C4D9" w:rsidR="004A52F7" w:rsidRPr="00203639" w:rsidRDefault="004A52F7" w:rsidP="004A52F7">
            <w:pPr>
              <w:spacing w:line="300" w:lineRule="atLeast"/>
              <w:jc w:val="center"/>
              <w:rPr>
                <w:sz w:val="18"/>
                <w:szCs w:val="18"/>
              </w:rPr>
            </w:pPr>
            <w:r>
              <w:rPr>
                <w:sz w:val="18"/>
                <w:szCs w:val="18"/>
              </w:rPr>
              <w:t>+0.14</w:t>
            </w:r>
          </w:p>
        </w:tc>
      </w:tr>
      <w:tr w:rsidR="004A52F7" w:rsidRPr="00203639" w14:paraId="4D5A20C1" w14:textId="77777777" w:rsidTr="009D45FD">
        <w:trPr>
          <w:trHeight w:hRule="exact" w:val="284"/>
          <w:jc w:val="center"/>
        </w:trPr>
        <w:tc>
          <w:tcPr>
            <w:tcW w:w="0" w:type="auto"/>
          </w:tcPr>
          <w:p w14:paraId="23A482B4" w14:textId="74C60BCC" w:rsidR="004A52F7" w:rsidRPr="00203639" w:rsidRDefault="004A52F7" w:rsidP="004A52F7">
            <w:pPr>
              <w:spacing w:line="300" w:lineRule="atLeast"/>
              <w:rPr>
                <w:sz w:val="18"/>
                <w:szCs w:val="18"/>
              </w:rPr>
            </w:pPr>
            <w:r w:rsidRPr="0037003D">
              <w:rPr>
                <w:sz w:val="18"/>
                <w:szCs w:val="18"/>
              </w:rPr>
              <w:t>Vehicle fires</w:t>
            </w:r>
          </w:p>
        </w:tc>
        <w:tc>
          <w:tcPr>
            <w:tcW w:w="0" w:type="auto"/>
          </w:tcPr>
          <w:p w14:paraId="7936FB78" w14:textId="09C997BF" w:rsidR="004A52F7" w:rsidRPr="00203639" w:rsidRDefault="004A52F7" w:rsidP="004A52F7">
            <w:pPr>
              <w:spacing w:line="300" w:lineRule="atLeast"/>
              <w:jc w:val="center"/>
              <w:rPr>
                <w:sz w:val="18"/>
                <w:szCs w:val="18"/>
              </w:rPr>
            </w:pPr>
            <w:r>
              <w:rPr>
                <w:sz w:val="18"/>
                <w:szCs w:val="18"/>
              </w:rPr>
              <w:t>+</w:t>
            </w:r>
            <w:r w:rsidRPr="0037003D">
              <w:rPr>
                <w:sz w:val="18"/>
                <w:szCs w:val="18"/>
              </w:rPr>
              <w:t>0.0</w:t>
            </w:r>
            <w:r>
              <w:rPr>
                <w:sz w:val="18"/>
                <w:szCs w:val="18"/>
              </w:rPr>
              <w:t>46</w:t>
            </w:r>
          </w:p>
        </w:tc>
      </w:tr>
      <w:tr w:rsidR="004A52F7" w:rsidRPr="00203639" w14:paraId="54D7E04E" w14:textId="77777777" w:rsidTr="009D45FD">
        <w:trPr>
          <w:trHeight w:hRule="exact" w:val="284"/>
          <w:jc w:val="center"/>
        </w:trPr>
        <w:tc>
          <w:tcPr>
            <w:tcW w:w="0" w:type="auto"/>
          </w:tcPr>
          <w:p w14:paraId="15A77730" w14:textId="4A473020" w:rsidR="004A52F7" w:rsidRPr="00203639" w:rsidRDefault="004A52F7" w:rsidP="004A52F7">
            <w:pPr>
              <w:spacing w:line="300" w:lineRule="atLeast"/>
              <w:rPr>
                <w:sz w:val="18"/>
                <w:szCs w:val="18"/>
              </w:rPr>
            </w:pPr>
            <w:r w:rsidRPr="00C00B65">
              <w:rPr>
                <w:sz w:val="18"/>
                <w:szCs w:val="18"/>
              </w:rPr>
              <w:t>Crematoria</w:t>
            </w:r>
            <w:r w:rsidRPr="00815A01" w:rsidDel="00815A01">
              <w:rPr>
                <w:sz w:val="18"/>
                <w:szCs w:val="18"/>
              </w:rPr>
              <w:t xml:space="preserve"> </w:t>
            </w:r>
          </w:p>
        </w:tc>
        <w:tc>
          <w:tcPr>
            <w:tcW w:w="0" w:type="auto"/>
          </w:tcPr>
          <w:p w14:paraId="54943591" w14:textId="4170EFD9" w:rsidR="004A52F7" w:rsidRPr="00203639" w:rsidRDefault="004A52F7" w:rsidP="004A52F7">
            <w:pPr>
              <w:spacing w:line="300" w:lineRule="atLeast"/>
              <w:jc w:val="center"/>
              <w:rPr>
                <w:sz w:val="18"/>
                <w:szCs w:val="18"/>
              </w:rPr>
            </w:pPr>
            <w:r>
              <w:rPr>
                <w:sz w:val="18"/>
                <w:szCs w:val="18"/>
              </w:rPr>
              <w:t>+0.020</w:t>
            </w:r>
          </w:p>
        </w:tc>
      </w:tr>
    </w:tbl>
    <w:p w14:paraId="447F90BB" w14:textId="77777777" w:rsidR="00837924" w:rsidRDefault="00837924" w:rsidP="00837924">
      <w:pPr>
        <w:spacing w:line="300" w:lineRule="atLeast"/>
        <w:ind w:left="360"/>
        <w:jc w:val="both"/>
      </w:pPr>
    </w:p>
    <w:p w14:paraId="1E2C93D8" w14:textId="7B66BD72" w:rsidR="00DC45D8" w:rsidRDefault="00501F38" w:rsidP="00837924">
      <w:pPr>
        <w:spacing w:line="300" w:lineRule="atLeast"/>
        <w:ind w:left="360"/>
        <w:jc w:val="both"/>
        <w:rPr>
          <w:szCs w:val="18"/>
        </w:rPr>
      </w:pPr>
      <w:r w:rsidRPr="003D73C3">
        <w:t>Compared with 2016 levels</w:t>
      </w:r>
      <w:r w:rsidR="00837924">
        <w:t>,</w:t>
      </w:r>
      <w:r w:rsidRPr="003D73C3">
        <w:t xml:space="preserve"> </w:t>
      </w:r>
      <w:r w:rsidR="00837924" w:rsidRPr="00837924">
        <w:rPr>
          <w:szCs w:val="18"/>
        </w:rPr>
        <w:t>r</w:t>
      </w:r>
      <w:r w:rsidRPr="00837924">
        <w:rPr>
          <w:szCs w:val="18"/>
        </w:rPr>
        <w:t xml:space="preserve">eleases from combustion of wood waste in industrial boilers have increased </w:t>
      </w:r>
      <w:r w:rsidR="00344B44">
        <w:rPr>
          <w:szCs w:val="18"/>
        </w:rPr>
        <w:t>due to</w:t>
      </w:r>
      <w:r w:rsidRPr="00837924">
        <w:rPr>
          <w:szCs w:val="18"/>
        </w:rPr>
        <w:t xml:space="preserve"> improvements in consumption estimates</w:t>
      </w:r>
      <w:r w:rsidR="00837924" w:rsidRPr="00837924">
        <w:rPr>
          <w:szCs w:val="18"/>
        </w:rPr>
        <w:t>.</w:t>
      </w:r>
    </w:p>
    <w:p w14:paraId="0EEDC44F" w14:textId="788F8C5B" w:rsidR="00DC45D8" w:rsidRDefault="00837924" w:rsidP="00837924">
      <w:pPr>
        <w:spacing w:line="300" w:lineRule="atLeast"/>
        <w:ind w:left="360"/>
        <w:jc w:val="both"/>
        <w:rPr>
          <w:szCs w:val="18"/>
        </w:rPr>
      </w:pPr>
      <w:r w:rsidRPr="00837924">
        <w:rPr>
          <w:szCs w:val="18"/>
        </w:rPr>
        <w:t>Landfill fires, forest fires and vehicle fires are unpredictable events which will fluctuate from year to year.</w:t>
      </w:r>
    </w:p>
    <w:p w14:paraId="52000CDC" w14:textId="1741EA65" w:rsidR="00E02BD2" w:rsidRPr="00E02BD2" w:rsidRDefault="00E02BD2" w:rsidP="00E02BD2">
      <w:pPr>
        <w:spacing w:line="300" w:lineRule="atLeast"/>
        <w:ind w:left="360"/>
        <w:jc w:val="both"/>
        <w:rPr>
          <w:szCs w:val="18"/>
        </w:rPr>
      </w:pPr>
      <w:r w:rsidRPr="00E02BD2">
        <w:rPr>
          <w:szCs w:val="18"/>
        </w:rPr>
        <w:t xml:space="preserve">Metal shredding </w:t>
      </w:r>
      <w:r>
        <w:rPr>
          <w:szCs w:val="18"/>
        </w:rPr>
        <w:t xml:space="preserve">releases </w:t>
      </w:r>
      <w:r w:rsidRPr="00E02BD2">
        <w:rPr>
          <w:szCs w:val="18"/>
        </w:rPr>
        <w:t>ha</w:t>
      </w:r>
      <w:r>
        <w:rPr>
          <w:szCs w:val="18"/>
        </w:rPr>
        <w:t>ve</w:t>
      </w:r>
      <w:r w:rsidRPr="00E02BD2">
        <w:rPr>
          <w:szCs w:val="18"/>
        </w:rPr>
        <w:t xml:space="preserve"> increased due to an increase in shredder operators and material throughput.</w:t>
      </w:r>
    </w:p>
    <w:p w14:paraId="09E739F9" w14:textId="44F8CCA1" w:rsidR="00DC45D8" w:rsidRDefault="00837924" w:rsidP="00837924">
      <w:pPr>
        <w:spacing w:line="300" w:lineRule="atLeast"/>
        <w:ind w:left="360"/>
        <w:jc w:val="both"/>
        <w:rPr>
          <w:szCs w:val="18"/>
        </w:rPr>
      </w:pPr>
      <w:r w:rsidRPr="00837924">
        <w:rPr>
          <w:szCs w:val="18"/>
        </w:rPr>
        <w:t>Releases from coal</w:t>
      </w:r>
      <w:r w:rsidR="00A044AA">
        <w:rPr>
          <w:szCs w:val="18"/>
        </w:rPr>
        <w:t>-</w:t>
      </w:r>
      <w:r w:rsidRPr="00837924">
        <w:rPr>
          <w:szCs w:val="18"/>
        </w:rPr>
        <w:t>fired electricity generation have increased because more coal was burned to cover hydro electricity shortages and maintenance of the Cook Strait cable in 2020.</w:t>
      </w:r>
      <w:r>
        <w:rPr>
          <w:szCs w:val="18"/>
        </w:rPr>
        <w:t xml:space="preserve"> </w:t>
      </w:r>
    </w:p>
    <w:p w14:paraId="58816927" w14:textId="4F459F3E" w:rsidR="00DC45D8" w:rsidRDefault="00837924" w:rsidP="00837924">
      <w:pPr>
        <w:spacing w:line="300" w:lineRule="atLeast"/>
        <w:ind w:left="360"/>
        <w:jc w:val="both"/>
        <w:rPr>
          <w:szCs w:val="18"/>
        </w:rPr>
      </w:pPr>
      <w:r w:rsidRPr="00203639">
        <w:rPr>
          <w:szCs w:val="18"/>
        </w:rPr>
        <w:t>Increased releases from landfill deposition</w:t>
      </w:r>
      <w:r w:rsidR="001E1DCE">
        <w:rPr>
          <w:szCs w:val="18"/>
        </w:rPr>
        <w:t>,</w:t>
      </w:r>
      <w:r w:rsidRPr="00203639">
        <w:rPr>
          <w:szCs w:val="18"/>
        </w:rPr>
        <w:t xml:space="preserve"> sewage treatment</w:t>
      </w:r>
      <w:r w:rsidR="001E1DCE">
        <w:rPr>
          <w:szCs w:val="18"/>
        </w:rPr>
        <w:t xml:space="preserve"> </w:t>
      </w:r>
      <w:r w:rsidRPr="00203639">
        <w:rPr>
          <w:szCs w:val="18"/>
        </w:rPr>
        <w:t>and crematoria can be attributed to population increase.</w:t>
      </w:r>
      <w:r w:rsidRPr="00837924">
        <w:rPr>
          <w:szCs w:val="18"/>
        </w:rPr>
        <w:t xml:space="preserve"> </w:t>
      </w:r>
    </w:p>
    <w:p w14:paraId="0DB8E831" w14:textId="7D5319A1" w:rsidR="00DC45D8" w:rsidRDefault="00837924" w:rsidP="00837924">
      <w:pPr>
        <w:spacing w:line="300" w:lineRule="atLeast"/>
        <w:ind w:left="360"/>
        <w:jc w:val="both"/>
        <w:rPr>
          <w:szCs w:val="18"/>
        </w:rPr>
      </w:pPr>
      <w:r w:rsidRPr="00203639">
        <w:rPr>
          <w:szCs w:val="18"/>
        </w:rPr>
        <w:t xml:space="preserve">Pet cremator increases can be attributed to improvements in throughput estimation following a </w:t>
      </w:r>
      <w:r w:rsidR="00A044AA">
        <w:rPr>
          <w:szCs w:val="18"/>
        </w:rPr>
        <w:t>r</w:t>
      </w:r>
      <w:r w:rsidRPr="00203639">
        <w:rPr>
          <w:szCs w:val="18"/>
        </w:rPr>
        <w:t xml:space="preserve">egional </w:t>
      </w:r>
      <w:r w:rsidR="00A044AA">
        <w:rPr>
          <w:szCs w:val="18"/>
        </w:rPr>
        <w:t>c</w:t>
      </w:r>
      <w:r w:rsidRPr="00203639">
        <w:rPr>
          <w:szCs w:val="18"/>
        </w:rPr>
        <w:t>ouncil survey</w:t>
      </w:r>
      <w:r>
        <w:rPr>
          <w:szCs w:val="18"/>
        </w:rPr>
        <w:t>.</w:t>
      </w:r>
      <w:r w:rsidRPr="00837924">
        <w:rPr>
          <w:szCs w:val="18"/>
        </w:rPr>
        <w:t xml:space="preserve"> </w:t>
      </w:r>
    </w:p>
    <w:p w14:paraId="326B186F" w14:textId="77777777" w:rsidR="00DC45D8" w:rsidRDefault="00837924" w:rsidP="00837924">
      <w:pPr>
        <w:spacing w:line="300" w:lineRule="atLeast"/>
        <w:ind w:left="360"/>
        <w:jc w:val="both"/>
        <w:rPr>
          <w:szCs w:val="18"/>
        </w:rPr>
      </w:pPr>
      <w:r w:rsidRPr="00203639">
        <w:rPr>
          <w:szCs w:val="18"/>
        </w:rPr>
        <w:t>Releases from 2-stroke engines are greater following increased fuel consumption estimates in the recreational marine sector</w:t>
      </w:r>
      <w:r>
        <w:rPr>
          <w:szCs w:val="18"/>
        </w:rPr>
        <w:t xml:space="preserve">. </w:t>
      </w:r>
    </w:p>
    <w:p w14:paraId="40E35A72" w14:textId="41CECAB0" w:rsidR="00DC45D8" w:rsidRDefault="00837924" w:rsidP="00837924">
      <w:pPr>
        <w:spacing w:line="300" w:lineRule="atLeast"/>
        <w:ind w:left="360"/>
        <w:jc w:val="both"/>
        <w:rPr>
          <w:szCs w:val="18"/>
        </w:rPr>
      </w:pPr>
      <w:r w:rsidRPr="00203639">
        <w:rPr>
          <w:szCs w:val="18"/>
        </w:rPr>
        <w:t xml:space="preserve">Increased releases from diesel engines result from increased diesel consumption which may be related to heavy fuel oil replacement </w:t>
      </w:r>
      <w:r w:rsidR="001E1DCE">
        <w:rPr>
          <w:szCs w:val="18"/>
        </w:rPr>
        <w:t xml:space="preserve">by diesel </w:t>
      </w:r>
      <w:r w:rsidRPr="00203639">
        <w:rPr>
          <w:szCs w:val="18"/>
        </w:rPr>
        <w:t>in the marine transport industry</w:t>
      </w:r>
      <w:r w:rsidR="00DC45D8">
        <w:rPr>
          <w:szCs w:val="18"/>
        </w:rPr>
        <w:t>.</w:t>
      </w:r>
    </w:p>
    <w:p w14:paraId="6D6F3788" w14:textId="77777777" w:rsidR="00DC45D8" w:rsidRDefault="00DC45D8">
      <w:pPr>
        <w:spacing w:after="0"/>
        <w:rPr>
          <w:szCs w:val="18"/>
        </w:rPr>
      </w:pPr>
      <w:r>
        <w:rPr>
          <w:szCs w:val="18"/>
        </w:rPr>
        <w:br w:type="page"/>
      </w:r>
    </w:p>
    <w:p w14:paraId="405AFDB8" w14:textId="4BD9E91C" w:rsidR="00A154E4" w:rsidRPr="00EC29F2" w:rsidRDefault="008439C4" w:rsidP="003D73C3">
      <w:pPr>
        <w:pStyle w:val="Caption"/>
        <w:jc w:val="left"/>
        <w:rPr>
          <w:szCs w:val="18"/>
        </w:rPr>
      </w:pPr>
      <w:r w:rsidRPr="00EC29F2">
        <w:lastRenderedPageBreak/>
        <w:t xml:space="preserve">Table </w:t>
      </w:r>
      <w:r>
        <w:fldChar w:fldCharType="begin"/>
      </w:r>
      <w:r>
        <w:instrText>STYLEREF 1 \s</w:instrText>
      </w:r>
      <w:r>
        <w:fldChar w:fldCharType="separate"/>
      </w:r>
      <w:r w:rsidR="00141D7F">
        <w:rPr>
          <w:noProof/>
        </w:rPr>
        <w:t>13</w:t>
      </w:r>
      <w:r>
        <w:fldChar w:fldCharType="end"/>
      </w:r>
      <w:r w:rsidRPr="00EC29F2">
        <w:noBreakHyphen/>
        <w:t>3</w:t>
      </w:r>
      <w:r w:rsidRPr="00EC29F2">
        <w:rPr>
          <w:rFonts w:cs="Arial"/>
        </w:rPr>
        <w:t>:</w:t>
      </w:r>
      <w:r w:rsidR="000C1F3E" w:rsidRPr="00EC29F2">
        <w:rPr>
          <w:rFonts w:cs="Arial"/>
        </w:rPr>
        <w:t xml:space="preserve"> C</w:t>
      </w:r>
      <w:r w:rsidRPr="00EC29F2">
        <w:rPr>
          <w:rFonts w:cs="Arial"/>
        </w:rPr>
        <w:t xml:space="preserve">ategories which had decreases in release estimates for </w:t>
      </w:r>
      <w:r w:rsidR="00A154E4" w:rsidRPr="00EC29F2">
        <w:rPr>
          <w:rFonts w:cs="Arial"/>
        </w:rPr>
        <w:t>2020</w:t>
      </w:r>
      <w:r w:rsidRPr="00EC29F2">
        <w:rPr>
          <w:rFonts w:cs="Arial"/>
        </w:rPr>
        <w:t xml:space="preserve"> compared to </w:t>
      </w:r>
      <w:r w:rsidR="00A154E4" w:rsidRPr="00EC29F2">
        <w:rPr>
          <w:rFonts w:cs="Arial"/>
        </w:rPr>
        <w:t>2016</w:t>
      </w:r>
    </w:p>
    <w:tbl>
      <w:tblPr>
        <w:tblStyle w:val="TableGrid"/>
        <w:tblW w:w="0" w:type="auto"/>
        <w:jc w:val="center"/>
        <w:tblLook w:val="04A0" w:firstRow="1" w:lastRow="0" w:firstColumn="1" w:lastColumn="0" w:noHBand="0" w:noVBand="1"/>
      </w:tblPr>
      <w:tblGrid>
        <w:gridCol w:w="4030"/>
        <w:gridCol w:w="2182"/>
      </w:tblGrid>
      <w:tr w:rsidR="001D1DB8" w:rsidRPr="00203639" w14:paraId="788DA663" w14:textId="77777777" w:rsidTr="0C34660A">
        <w:trPr>
          <w:jc w:val="center"/>
        </w:trPr>
        <w:tc>
          <w:tcPr>
            <w:tcW w:w="0" w:type="auto"/>
          </w:tcPr>
          <w:p w14:paraId="79EF3DD5" w14:textId="054AB416" w:rsidR="001D1DB8" w:rsidRPr="00203639" w:rsidRDefault="001D1DB8" w:rsidP="001D1DB8">
            <w:pPr>
              <w:spacing w:after="0" w:line="300" w:lineRule="atLeast"/>
              <w:jc w:val="center"/>
              <w:rPr>
                <w:b/>
                <w:sz w:val="18"/>
                <w:szCs w:val="18"/>
              </w:rPr>
            </w:pPr>
            <w:r w:rsidRPr="0037003D">
              <w:rPr>
                <w:b/>
                <w:sz w:val="18"/>
                <w:szCs w:val="18"/>
              </w:rPr>
              <w:t>Source Category</w:t>
            </w:r>
          </w:p>
        </w:tc>
        <w:tc>
          <w:tcPr>
            <w:tcW w:w="0" w:type="auto"/>
          </w:tcPr>
          <w:p w14:paraId="6925F1D8" w14:textId="77777777" w:rsidR="001D1DB8" w:rsidRPr="0037003D" w:rsidRDefault="001D1DB8" w:rsidP="001D1DB8">
            <w:pPr>
              <w:spacing w:after="0" w:line="300" w:lineRule="atLeast"/>
              <w:jc w:val="center"/>
              <w:rPr>
                <w:b/>
                <w:sz w:val="18"/>
                <w:szCs w:val="18"/>
              </w:rPr>
            </w:pPr>
            <w:r w:rsidRPr="0037003D">
              <w:rPr>
                <w:b/>
                <w:sz w:val="18"/>
                <w:szCs w:val="18"/>
              </w:rPr>
              <w:t xml:space="preserve">Change in Dioxin Release </w:t>
            </w:r>
          </w:p>
          <w:p w14:paraId="01BE31EB" w14:textId="6FBBCF92" w:rsidR="001D1DB8" w:rsidRPr="00203639" w:rsidRDefault="001D1DB8" w:rsidP="001D1DB8">
            <w:pPr>
              <w:spacing w:after="0" w:line="300" w:lineRule="atLeast"/>
              <w:jc w:val="center"/>
              <w:rPr>
                <w:b/>
                <w:sz w:val="18"/>
                <w:szCs w:val="18"/>
              </w:rPr>
            </w:pPr>
            <w:r w:rsidRPr="0037003D">
              <w:rPr>
                <w:b/>
                <w:sz w:val="18"/>
                <w:szCs w:val="18"/>
              </w:rPr>
              <w:t>(g TEQ/annum)</w:t>
            </w:r>
          </w:p>
        </w:tc>
      </w:tr>
      <w:tr w:rsidR="001D1DB8" w:rsidRPr="00203639" w14:paraId="1F6BD3F8" w14:textId="77777777" w:rsidTr="0C34660A">
        <w:trPr>
          <w:trHeight w:hRule="exact" w:val="284"/>
          <w:jc w:val="center"/>
        </w:trPr>
        <w:tc>
          <w:tcPr>
            <w:tcW w:w="0" w:type="auto"/>
            <w:vAlign w:val="bottom"/>
          </w:tcPr>
          <w:p w14:paraId="6D350FA3" w14:textId="758D75FE" w:rsidR="001D1DB8" w:rsidRPr="00203639" w:rsidRDefault="001D1DB8" w:rsidP="001D1DB8">
            <w:pPr>
              <w:spacing w:line="300" w:lineRule="atLeast"/>
              <w:rPr>
                <w:sz w:val="18"/>
                <w:szCs w:val="18"/>
              </w:rPr>
            </w:pPr>
            <w:r w:rsidRPr="0037003D">
              <w:rPr>
                <w:sz w:val="18"/>
                <w:szCs w:val="18"/>
              </w:rPr>
              <w:t>Secondary aluminium production</w:t>
            </w:r>
          </w:p>
        </w:tc>
        <w:tc>
          <w:tcPr>
            <w:tcW w:w="0" w:type="auto"/>
            <w:vAlign w:val="bottom"/>
          </w:tcPr>
          <w:p w14:paraId="27A5D1BC" w14:textId="18BCD8CA" w:rsidR="001D1DB8" w:rsidRPr="00203639" w:rsidRDefault="001D1DB8" w:rsidP="001D1DB8">
            <w:pPr>
              <w:spacing w:line="300" w:lineRule="atLeast"/>
              <w:jc w:val="center"/>
              <w:rPr>
                <w:sz w:val="18"/>
                <w:szCs w:val="18"/>
              </w:rPr>
            </w:pPr>
            <w:r w:rsidRPr="0037003D">
              <w:rPr>
                <w:sz w:val="18"/>
                <w:szCs w:val="18"/>
              </w:rPr>
              <w:t>-1.48</w:t>
            </w:r>
          </w:p>
        </w:tc>
      </w:tr>
      <w:tr w:rsidR="001D1DB8" w:rsidRPr="00203639" w14:paraId="7712FEEE" w14:textId="77777777" w:rsidTr="0C34660A">
        <w:trPr>
          <w:trHeight w:hRule="exact" w:val="284"/>
          <w:jc w:val="center"/>
        </w:trPr>
        <w:tc>
          <w:tcPr>
            <w:tcW w:w="0" w:type="auto"/>
            <w:vAlign w:val="bottom"/>
          </w:tcPr>
          <w:p w14:paraId="06AF8D31" w14:textId="5CCCFD45" w:rsidR="001D1DB8" w:rsidRPr="00203639" w:rsidRDefault="001D1DB8" w:rsidP="001D1DB8">
            <w:pPr>
              <w:spacing w:line="300" w:lineRule="atLeast"/>
              <w:rPr>
                <w:sz w:val="18"/>
                <w:szCs w:val="18"/>
              </w:rPr>
            </w:pPr>
            <w:r w:rsidRPr="0037003D">
              <w:rPr>
                <w:sz w:val="18"/>
                <w:szCs w:val="18"/>
              </w:rPr>
              <w:t>Structure Fires</w:t>
            </w:r>
          </w:p>
        </w:tc>
        <w:tc>
          <w:tcPr>
            <w:tcW w:w="0" w:type="auto"/>
            <w:vAlign w:val="bottom"/>
          </w:tcPr>
          <w:p w14:paraId="17C837D7" w14:textId="5D20EC4D" w:rsidR="001D1DB8" w:rsidRPr="00203639" w:rsidRDefault="001D1DB8" w:rsidP="001D1DB8">
            <w:pPr>
              <w:spacing w:line="300" w:lineRule="atLeast"/>
              <w:jc w:val="center"/>
              <w:rPr>
                <w:sz w:val="18"/>
                <w:szCs w:val="18"/>
              </w:rPr>
            </w:pPr>
            <w:r w:rsidRPr="0037003D">
              <w:rPr>
                <w:sz w:val="18"/>
                <w:szCs w:val="18"/>
              </w:rPr>
              <w:t>-0.87</w:t>
            </w:r>
          </w:p>
        </w:tc>
      </w:tr>
      <w:tr w:rsidR="001D1DB8" w:rsidRPr="00203639" w14:paraId="2663D648" w14:textId="77777777" w:rsidTr="0C34660A">
        <w:trPr>
          <w:trHeight w:hRule="exact" w:val="284"/>
          <w:jc w:val="center"/>
        </w:trPr>
        <w:tc>
          <w:tcPr>
            <w:tcW w:w="0" w:type="auto"/>
            <w:vAlign w:val="bottom"/>
          </w:tcPr>
          <w:p w14:paraId="2ECAE9C5" w14:textId="15DA3D31" w:rsidR="001D1DB8" w:rsidRPr="00203639" w:rsidRDefault="001D1DB8" w:rsidP="001D1DB8">
            <w:pPr>
              <w:spacing w:line="300" w:lineRule="atLeast"/>
              <w:rPr>
                <w:sz w:val="18"/>
                <w:szCs w:val="18"/>
              </w:rPr>
            </w:pPr>
            <w:r w:rsidRPr="0037003D">
              <w:rPr>
                <w:sz w:val="18"/>
                <w:szCs w:val="18"/>
              </w:rPr>
              <w:t>Open burning of domestic wastes</w:t>
            </w:r>
          </w:p>
        </w:tc>
        <w:tc>
          <w:tcPr>
            <w:tcW w:w="0" w:type="auto"/>
            <w:vAlign w:val="bottom"/>
          </w:tcPr>
          <w:p w14:paraId="39770767" w14:textId="34AF419D" w:rsidR="001D1DB8" w:rsidRPr="00203639" w:rsidRDefault="001D1DB8" w:rsidP="001D1DB8">
            <w:pPr>
              <w:spacing w:line="300" w:lineRule="atLeast"/>
              <w:jc w:val="center"/>
              <w:rPr>
                <w:sz w:val="18"/>
                <w:szCs w:val="18"/>
              </w:rPr>
            </w:pPr>
            <w:r w:rsidRPr="0037003D">
              <w:rPr>
                <w:sz w:val="18"/>
                <w:szCs w:val="18"/>
              </w:rPr>
              <w:t>-0.35</w:t>
            </w:r>
          </w:p>
        </w:tc>
      </w:tr>
      <w:tr w:rsidR="001D1DB8" w:rsidRPr="00203639" w14:paraId="2E71DD9F" w14:textId="77777777" w:rsidTr="0C34660A">
        <w:trPr>
          <w:trHeight w:hRule="exact" w:val="284"/>
          <w:jc w:val="center"/>
        </w:trPr>
        <w:tc>
          <w:tcPr>
            <w:tcW w:w="0" w:type="auto"/>
            <w:vAlign w:val="bottom"/>
          </w:tcPr>
          <w:p w14:paraId="4274F495" w14:textId="77777777" w:rsidR="001D1DB8" w:rsidRPr="000737E1" w:rsidRDefault="001D1DB8" w:rsidP="001D1DB8">
            <w:pPr>
              <w:spacing w:line="300" w:lineRule="atLeast"/>
              <w:jc w:val="both"/>
              <w:rPr>
                <w:sz w:val="18"/>
                <w:szCs w:val="18"/>
              </w:rPr>
            </w:pPr>
            <w:r w:rsidRPr="000737E1">
              <w:rPr>
                <w:sz w:val="18"/>
                <w:szCs w:val="18"/>
              </w:rPr>
              <w:t xml:space="preserve">Pulp &amp; paper </w:t>
            </w:r>
            <w:r>
              <w:rPr>
                <w:sz w:val="18"/>
                <w:szCs w:val="18"/>
              </w:rPr>
              <w:t>production</w:t>
            </w:r>
          </w:p>
          <w:p w14:paraId="769619BD" w14:textId="77777777" w:rsidR="001D1DB8" w:rsidRPr="00203639" w:rsidRDefault="001D1DB8" w:rsidP="001D1DB8">
            <w:pPr>
              <w:spacing w:line="300" w:lineRule="atLeast"/>
              <w:rPr>
                <w:sz w:val="18"/>
                <w:szCs w:val="18"/>
              </w:rPr>
            </w:pPr>
          </w:p>
        </w:tc>
        <w:tc>
          <w:tcPr>
            <w:tcW w:w="0" w:type="auto"/>
            <w:vAlign w:val="bottom"/>
          </w:tcPr>
          <w:p w14:paraId="7766665C" w14:textId="4322F74F" w:rsidR="001D1DB8" w:rsidRPr="00203639" w:rsidRDefault="001D1DB8" w:rsidP="001D1DB8">
            <w:pPr>
              <w:spacing w:line="300" w:lineRule="atLeast"/>
              <w:jc w:val="center"/>
              <w:rPr>
                <w:sz w:val="18"/>
                <w:szCs w:val="18"/>
              </w:rPr>
            </w:pPr>
            <w:r>
              <w:rPr>
                <w:sz w:val="18"/>
                <w:szCs w:val="18"/>
              </w:rPr>
              <w:t>-0.34</w:t>
            </w:r>
          </w:p>
        </w:tc>
      </w:tr>
      <w:tr w:rsidR="001D1DB8" w:rsidRPr="00203639" w14:paraId="3296560C" w14:textId="77777777" w:rsidTr="0C34660A">
        <w:trPr>
          <w:trHeight w:hRule="exact" w:val="284"/>
          <w:jc w:val="center"/>
        </w:trPr>
        <w:tc>
          <w:tcPr>
            <w:tcW w:w="0" w:type="auto"/>
            <w:vAlign w:val="bottom"/>
          </w:tcPr>
          <w:p w14:paraId="2F7657D5" w14:textId="77777777" w:rsidR="001D1DB8" w:rsidRPr="000737E1" w:rsidRDefault="001D1DB8" w:rsidP="001D1DB8">
            <w:pPr>
              <w:spacing w:line="300" w:lineRule="atLeast"/>
              <w:jc w:val="both"/>
              <w:rPr>
                <w:sz w:val="18"/>
                <w:szCs w:val="18"/>
              </w:rPr>
            </w:pPr>
            <w:r w:rsidRPr="000737E1">
              <w:rPr>
                <w:sz w:val="18"/>
                <w:szCs w:val="18"/>
              </w:rPr>
              <w:t>Industrial/commercial coal use</w:t>
            </w:r>
          </w:p>
          <w:p w14:paraId="4FCBF09F" w14:textId="77777777" w:rsidR="001D1DB8" w:rsidRPr="00203639" w:rsidRDefault="001D1DB8" w:rsidP="001D1DB8">
            <w:pPr>
              <w:spacing w:line="300" w:lineRule="atLeast"/>
              <w:rPr>
                <w:sz w:val="18"/>
                <w:szCs w:val="18"/>
              </w:rPr>
            </w:pPr>
          </w:p>
        </w:tc>
        <w:tc>
          <w:tcPr>
            <w:tcW w:w="0" w:type="auto"/>
            <w:vAlign w:val="bottom"/>
          </w:tcPr>
          <w:p w14:paraId="5DDAEBD6" w14:textId="2AD314FC" w:rsidR="001D1DB8" w:rsidRPr="00203639" w:rsidRDefault="001D1DB8" w:rsidP="001D1DB8">
            <w:pPr>
              <w:spacing w:line="300" w:lineRule="atLeast"/>
              <w:jc w:val="center"/>
              <w:rPr>
                <w:sz w:val="18"/>
                <w:szCs w:val="18"/>
              </w:rPr>
            </w:pPr>
            <w:r w:rsidRPr="0037003D">
              <w:rPr>
                <w:sz w:val="18"/>
                <w:szCs w:val="18"/>
              </w:rPr>
              <w:t>-0.23</w:t>
            </w:r>
          </w:p>
        </w:tc>
      </w:tr>
      <w:tr w:rsidR="001D1DB8" w:rsidRPr="00203639" w14:paraId="7049DCDF" w14:textId="77777777" w:rsidTr="0C34660A">
        <w:trPr>
          <w:trHeight w:hRule="exact" w:val="284"/>
          <w:jc w:val="center"/>
        </w:trPr>
        <w:tc>
          <w:tcPr>
            <w:tcW w:w="0" w:type="auto"/>
            <w:vAlign w:val="bottom"/>
          </w:tcPr>
          <w:p w14:paraId="7ED8BFF7" w14:textId="77777777" w:rsidR="001D1DB8" w:rsidRPr="000737E1" w:rsidRDefault="001D1DB8" w:rsidP="001D1DB8">
            <w:pPr>
              <w:spacing w:line="300" w:lineRule="atLeast"/>
              <w:jc w:val="both"/>
              <w:rPr>
                <w:sz w:val="18"/>
                <w:szCs w:val="18"/>
              </w:rPr>
            </w:pPr>
            <w:r w:rsidRPr="000737E1">
              <w:rPr>
                <w:sz w:val="18"/>
                <w:szCs w:val="18"/>
              </w:rPr>
              <w:t>Primary iron &amp; steel production</w:t>
            </w:r>
          </w:p>
          <w:p w14:paraId="79256621" w14:textId="77777777" w:rsidR="001D1DB8" w:rsidRPr="00203639" w:rsidRDefault="001D1DB8" w:rsidP="001D1DB8">
            <w:pPr>
              <w:spacing w:line="300" w:lineRule="atLeast"/>
              <w:rPr>
                <w:sz w:val="18"/>
                <w:szCs w:val="18"/>
              </w:rPr>
            </w:pPr>
          </w:p>
        </w:tc>
        <w:tc>
          <w:tcPr>
            <w:tcW w:w="0" w:type="auto"/>
            <w:vAlign w:val="bottom"/>
          </w:tcPr>
          <w:p w14:paraId="2ACC0789" w14:textId="05B41F5F" w:rsidR="001D1DB8" w:rsidRPr="00203639" w:rsidRDefault="001D1DB8" w:rsidP="001D1DB8">
            <w:pPr>
              <w:spacing w:line="300" w:lineRule="atLeast"/>
              <w:jc w:val="center"/>
              <w:rPr>
                <w:sz w:val="18"/>
                <w:szCs w:val="18"/>
              </w:rPr>
            </w:pPr>
            <w:r w:rsidRPr="0037003D">
              <w:rPr>
                <w:sz w:val="18"/>
                <w:szCs w:val="18"/>
              </w:rPr>
              <w:t>-0.18</w:t>
            </w:r>
          </w:p>
        </w:tc>
      </w:tr>
      <w:tr w:rsidR="001D1DB8" w:rsidRPr="00203639" w14:paraId="6872F010" w14:textId="77777777" w:rsidTr="00464CD0">
        <w:trPr>
          <w:trHeight w:hRule="exact" w:val="284"/>
          <w:jc w:val="center"/>
        </w:trPr>
        <w:tc>
          <w:tcPr>
            <w:tcW w:w="0" w:type="auto"/>
            <w:vAlign w:val="bottom"/>
          </w:tcPr>
          <w:p w14:paraId="0BBBEEF4" w14:textId="77777777" w:rsidR="001D1DB8" w:rsidRPr="0037003D" w:rsidRDefault="001D1DB8" w:rsidP="001D1DB8">
            <w:pPr>
              <w:spacing w:line="300" w:lineRule="atLeast"/>
              <w:jc w:val="both"/>
              <w:rPr>
                <w:sz w:val="18"/>
                <w:szCs w:val="18"/>
              </w:rPr>
            </w:pPr>
            <w:r w:rsidRPr="0037003D">
              <w:rPr>
                <w:sz w:val="18"/>
                <w:szCs w:val="18"/>
              </w:rPr>
              <w:t>Brass and bronze production</w:t>
            </w:r>
          </w:p>
          <w:p w14:paraId="5CAB4980" w14:textId="6A244019" w:rsidR="001D1DB8" w:rsidRPr="00203639" w:rsidRDefault="001D1DB8" w:rsidP="001D1DB8">
            <w:pPr>
              <w:spacing w:line="300" w:lineRule="atLeast"/>
              <w:rPr>
                <w:sz w:val="18"/>
                <w:szCs w:val="18"/>
              </w:rPr>
            </w:pPr>
          </w:p>
        </w:tc>
        <w:tc>
          <w:tcPr>
            <w:tcW w:w="0" w:type="auto"/>
            <w:vAlign w:val="bottom"/>
          </w:tcPr>
          <w:p w14:paraId="322FA252" w14:textId="5469B606" w:rsidR="001D1DB8" w:rsidRPr="00203639" w:rsidRDefault="001D1DB8" w:rsidP="001D1DB8">
            <w:pPr>
              <w:spacing w:line="300" w:lineRule="atLeast"/>
              <w:jc w:val="center"/>
              <w:rPr>
                <w:sz w:val="18"/>
                <w:szCs w:val="18"/>
              </w:rPr>
            </w:pPr>
            <w:r w:rsidRPr="0037003D">
              <w:rPr>
                <w:sz w:val="18"/>
                <w:szCs w:val="18"/>
              </w:rPr>
              <w:t>-0.15</w:t>
            </w:r>
          </w:p>
        </w:tc>
      </w:tr>
      <w:tr w:rsidR="001D1DB8" w:rsidRPr="00203639" w14:paraId="1728E05B" w14:textId="77777777" w:rsidTr="00464CD0">
        <w:trPr>
          <w:trHeight w:hRule="exact" w:val="284"/>
          <w:jc w:val="center"/>
        </w:trPr>
        <w:tc>
          <w:tcPr>
            <w:tcW w:w="0" w:type="auto"/>
          </w:tcPr>
          <w:p w14:paraId="25B3AF13" w14:textId="7678F3D2" w:rsidR="001D1DB8" w:rsidRPr="00203639" w:rsidRDefault="001D1DB8" w:rsidP="001D1DB8">
            <w:pPr>
              <w:spacing w:line="300" w:lineRule="atLeast"/>
              <w:rPr>
                <w:sz w:val="18"/>
                <w:szCs w:val="18"/>
              </w:rPr>
            </w:pPr>
            <w:r w:rsidRPr="0037003D">
              <w:rPr>
                <w:sz w:val="18"/>
                <w:szCs w:val="18"/>
              </w:rPr>
              <w:t>Iron foundries</w:t>
            </w:r>
          </w:p>
        </w:tc>
        <w:tc>
          <w:tcPr>
            <w:tcW w:w="0" w:type="auto"/>
          </w:tcPr>
          <w:p w14:paraId="7950430A" w14:textId="2F69EE0F" w:rsidR="001D1DB8" w:rsidRPr="00203639" w:rsidRDefault="001D1DB8" w:rsidP="001D1DB8">
            <w:pPr>
              <w:spacing w:line="300" w:lineRule="atLeast"/>
              <w:jc w:val="center"/>
              <w:rPr>
                <w:sz w:val="18"/>
                <w:szCs w:val="18"/>
              </w:rPr>
            </w:pPr>
            <w:r w:rsidRPr="0037003D">
              <w:rPr>
                <w:sz w:val="18"/>
                <w:szCs w:val="18"/>
              </w:rPr>
              <w:t>-0.12</w:t>
            </w:r>
          </w:p>
        </w:tc>
      </w:tr>
      <w:tr w:rsidR="001D1DB8" w:rsidRPr="00203639" w14:paraId="4B9B3B50" w14:textId="77777777" w:rsidTr="0C34660A">
        <w:trPr>
          <w:trHeight w:hRule="exact" w:val="284"/>
          <w:jc w:val="center"/>
        </w:trPr>
        <w:tc>
          <w:tcPr>
            <w:tcW w:w="0" w:type="auto"/>
            <w:vAlign w:val="bottom"/>
          </w:tcPr>
          <w:p w14:paraId="1633B124" w14:textId="2C90CE0D" w:rsidR="001D1DB8" w:rsidRPr="00203639" w:rsidRDefault="001D1DB8" w:rsidP="001D1DB8">
            <w:pPr>
              <w:spacing w:line="300" w:lineRule="atLeast"/>
              <w:rPr>
                <w:sz w:val="18"/>
                <w:szCs w:val="18"/>
              </w:rPr>
            </w:pPr>
            <w:r w:rsidRPr="0C34660A">
              <w:rPr>
                <w:sz w:val="18"/>
                <w:szCs w:val="18"/>
              </w:rPr>
              <w:t>Household heating &amp; cooking with biomass (wood)</w:t>
            </w:r>
          </w:p>
        </w:tc>
        <w:tc>
          <w:tcPr>
            <w:tcW w:w="0" w:type="auto"/>
            <w:vAlign w:val="bottom"/>
          </w:tcPr>
          <w:p w14:paraId="581F80C0" w14:textId="35D50B0D" w:rsidR="001D1DB8" w:rsidRPr="00203639" w:rsidRDefault="001D1DB8" w:rsidP="001D1DB8">
            <w:pPr>
              <w:spacing w:line="300" w:lineRule="atLeast"/>
              <w:jc w:val="center"/>
              <w:rPr>
                <w:sz w:val="18"/>
                <w:szCs w:val="18"/>
              </w:rPr>
            </w:pPr>
            <w:r w:rsidRPr="0037003D">
              <w:rPr>
                <w:sz w:val="18"/>
                <w:szCs w:val="18"/>
              </w:rPr>
              <w:t>-0.069</w:t>
            </w:r>
          </w:p>
        </w:tc>
      </w:tr>
      <w:tr w:rsidR="001D1DB8" w:rsidRPr="00203639" w14:paraId="62A3BC92" w14:textId="77777777" w:rsidTr="0C34660A">
        <w:trPr>
          <w:trHeight w:hRule="exact" w:val="284"/>
          <w:jc w:val="center"/>
        </w:trPr>
        <w:tc>
          <w:tcPr>
            <w:tcW w:w="0" w:type="auto"/>
            <w:vAlign w:val="bottom"/>
          </w:tcPr>
          <w:p w14:paraId="1D3F45AE" w14:textId="62CD94E4" w:rsidR="001D1DB8" w:rsidRPr="00203639" w:rsidRDefault="001D1DB8" w:rsidP="001D1DB8">
            <w:pPr>
              <w:spacing w:line="300" w:lineRule="atLeast"/>
              <w:rPr>
                <w:sz w:val="18"/>
                <w:szCs w:val="18"/>
              </w:rPr>
            </w:pPr>
            <w:r w:rsidRPr="0C34660A">
              <w:rPr>
                <w:sz w:val="18"/>
                <w:szCs w:val="18"/>
              </w:rPr>
              <w:t>Heavy oil-fired engines</w:t>
            </w:r>
          </w:p>
        </w:tc>
        <w:tc>
          <w:tcPr>
            <w:tcW w:w="0" w:type="auto"/>
            <w:vAlign w:val="bottom"/>
          </w:tcPr>
          <w:p w14:paraId="1F60E0FB" w14:textId="3CA82C79" w:rsidR="001D1DB8" w:rsidRPr="00203639" w:rsidRDefault="001D1DB8" w:rsidP="001D1DB8">
            <w:pPr>
              <w:spacing w:line="300" w:lineRule="atLeast"/>
              <w:jc w:val="center"/>
              <w:rPr>
                <w:sz w:val="18"/>
                <w:szCs w:val="18"/>
              </w:rPr>
            </w:pPr>
            <w:r w:rsidRPr="0037003D">
              <w:rPr>
                <w:sz w:val="18"/>
                <w:szCs w:val="18"/>
              </w:rPr>
              <w:t>-0.034</w:t>
            </w:r>
          </w:p>
        </w:tc>
      </w:tr>
      <w:tr w:rsidR="001D1DB8" w:rsidRPr="00203639" w14:paraId="39148724" w14:textId="77777777" w:rsidTr="0C34660A">
        <w:trPr>
          <w:trHeight w:hRule="exact" w:val="284"/>
          <w:jc w:val="center"/>
        </w:trPr>
        <w:tc>
          <w:tcPr>
            <w:tcW w:w="0" w:type="auto"/>
            <w:vAlign w:val="bottom"/>
          </w:tcPr>
          <w:p w14:paraId="3E862081" w14:textId="2AC503D4" w:rsidR="001D1DB8" w:rsidRPr="00203639" w:rsidRDefault="001D1DB8" w:rsidP="001D1DB8">
            <w:pPr>
              <w:spacing w:line="300" w:lineRule="atLeast"/>
              <w:rPr>
                <w:sz w:val="18"/>
                <w:szCs w:val="18"/>
              </w:rPr>
            </w:pPr>
            <w:r w:rsidRPr="0037003D">
              <w:rPr>
                <w:sz w:val="18"/>
                <w:szCs w:val="18"/>
              </w:rPr>
              <w:t>Wood and biomass incineration (school incinerators)</w:t>
            </w:r>
          </w:p>
        </w:tc>
        <w:tc>
          <w:tcPr>
            <w:tcW w:w="0" w:type="auto"/>
            <w:vAlign w:val="bottom"/>
          </w:tcPr>
          <w:p w14:paraId="3A99CB2E" w14:textId="5A033AAD" w:rsidR="001D1DB8" w:rsidRPr="00203639" w:rsidRDefault="001D1DB8" w:rsidP="001D1DB8">
            <w:pPr>
              <w:spacing w:line="300" w:lineRule="atLeast"/>
              <w:jc w:val="center"/>
              <w:rPr>
                <w:sz w:val="18"/>
                <w:szCs w:val="18"/>
              </w:rPr>
            </w:pPr>
            <w:r w:rsidRPr="0037003D">
              <w:rPr>
                <w:sz w:val="18"/>
                <w:szCs w:val="18"/>
              </w:rPr>
              <w:t>-0.033</w:t>
            </w:r>
          </w:p>
        </w:tc>
      </w:tr>
      <w:tr w:rsidR="001D1DB8" w:rsidRPr="00203639" w14:paraId="791E390A" w14:textId="77777777" w:rsidTr="0C34660A">
        <w:trPr>
          <w:trHeight w:hRule="exact" w:val="284"/>
          <w:jc w:val="center"/>
        </w:trPr>
        <w:tc>
          <w:tcPr>
            <w:tcW w:w="0" w:type="auto"/>
            <w:vAlign w:val="bottom"/>
          </w:tcPr>
          <w:p w14:paraId="48EEE0DB" w14:textId="77777777" w:rsidR="001D1DB8" w:rsidRPr="0037003D" w:rsidRDefault="001D1DB8" w:rsidP="001D1DB8">
            <w:pPr>
              <w:spacing w:line="300" w:lineRule="atLeast"/>
              <w:jc w:val="both"/>
              <w:rPr>
                <w:szCs w:val="18"/>
              </w:rPr>
            </w:pPr>
            <w:r w:rsidRPr="000737E1">
              <w:rPr>
                <w:sz w:val="18"/>
                <w:szCs w:val="18"/>
              </w:rPr>
              <w:t>Lime production</w:t>
            </w:r>
          </w:p>
          <w:p w14:paraId="58042B96" w14:textId="77777777" w:rsidR="001D1DB8" w:rsidRPr="00203639" w:rsidRDefault="001D1DB8" w:rsidP="001D1DB8">
            <w:pPr>
              <w:spacing w:line="300" w:lineRule="atLeast"/>
              <w:rPr>
                <w:sz w:val="18"/>
                <w:szCs w:val="18"/>
              </w:rPr>
            </w:pPr>
          </w:p>
        </w:tc>
        <w:tc>
          <w:tcPr>
            <w:tcW w:w="0" w:type="auto"/>
            <w:vAlign w:val="bottom"/>
          </w:tcPr>
          <w:p w14:paraId="3308F14F" w14:textId="7EA1B524" w:rsidR="001D1DB8" w:rsidRPr="00203639" w:rsidRDefault="001D1DB8" w:rsidP="001D1DB8">
            <w:pPr>
              <w:spacing w:line="300" w:lineRule="atLeast"/>
              <w:jc w:val="center"/>
              <w:rPr>
                <w:sz w:val="18"/>
                <w:szCs w:val="18"/>
              </w:rPr>
            </w:pPr>
            <w:r w:rsidRPr="0037003D">
              <w:rPr>
                <w:sz w:val="18"/>
                <w:szCs w:val="18"/>
              </w:rPr>
              <w:t>-0.029</w:t>
            </w:r>
          </w:p>
        </w:tc>
      </w:tr>
      <w:tr w:rsidR="001D1DB8" w:rsidRPr="00203639" w14:paraId="3EB932DF" w14:textId="77777777" w:rsidTr="0C34660A">
        <w:trPr>
          <w:trHeight w:hRule="exact" w:val="284"/>
          <w:jc w:val="center"/>
        </w:trPr>
        <w:tc>
          <w:tcPr>
            <w:tcW w:w="0" w:type="auto"/>
            <w:vAlign w:val="bottom"/>
          </w:tcPr>
          <w:p w14:paraId="1CAF1D24" w14:textId="77777777" w:rsidR="001D1DB8" w:rsidRPr="0037003D" w:rsidRDefault="001D1DB8" w:rsidP="001D1DB8">
            <w:pPr>
              <w:spacing w:line="300" w:lineRule="atLeast"/>
              <w:jc w:val="both"/>
              <w:rPr>
                <w:szCs w:val="18"/>
              </w:rPr>
            </w:pPr>
            <w:r w:rsidRPr="0037003D">
              <w:rPr>
                <w:sz w:val="18"/>
                <w:szCs w:val="18"/>
              </w:rPr>
              <w:t>Black liquor combustion</w:t>
            </w:r>
          </w:p>
          <w:p w14:paraId="177F3091" w14:textId="7679FFEC" w:rsidR="001D1DB8" w:rsidRPr="00203639" w:rsidRDefault="001D1DB8" w:rsidP="001D1DB8">
            <w:pPr>
              <w:spacing w:line="300" w:lineRule="atLeast"/>
              <w:rPr>
                <w:sz w:val="18"/>
                <w:szCs w:val="18"/>
              </w:rPr>
            </w:pPr>
          </w:p>
        </w:tc>
        <w:tc>
          <w:tcPr>
            <w:tcW w:w="0" w:type="auto"/>
            <w:vAlign w:val="bottom"/>
          </w:tcPr>
          <w:p w14:paraId="0576EEF0" w14:textId="14C92C9E" w:rsidR="001D1DB8" w:rsidRPr="00203639" w:rsidRDefault="001D1DB8" w:rsidP="001D1DB8">
            <w:pPr>
              <w:spacing w:line="300" w:lineRule="atLeast"/>
              <w:jc w:val="center"/>
              <w:rPr>
                <w:sz w:val="18"/>
                <w:szCs w:val="18"/>
              </w:rPr>
            </w:pPr>
            <w:r w:rsidRPr="0037003D">
              <w:rPr>
                <w:sz w:val="18"/>
                <w:szCs w:val="18"/>
              </w:rPr>
              <w:t>-0.01</w:t>
            </w:r>
            <w:r>
              <w:rPr>
                <w:sz w:val="18"/>
                <w:szCs w:val="18"/>
              </w:rPr>
              <w:t>8</w:t>
            </w:r>
          </w:p>
        </w:tc>
      </w:tr>
      <w:tr w:rsidR="001D1DB8" w:rsidRPr="00203639" w14:paraId="36DDD032" w14:textId="77777777" w:rsidTr="0C34660A">
        <w:trPr>
          <w:trHeight w:hRule="exact" w:val="284"/>
          <w:jc w:val="center"/>
        </w:trPr>
        <w:tc>
          <w:tcPr>
            <w:tcW w:w="0" w:type="auto"/>
            <w:vAlign w:val="bottom"/>
          </w:tcPr>
          <w:p w14:paraId="61E16C00" w14:textId="0B5F34AB" w:rsidR="001D1DB8" w:rsidRPr="00203639" w:rsidRDefault="001D1DB8" w:rsidP="001D1DB8">
            <w:pPr>
              <w:spacing w:line="300" w:lineRule="atLeast"/>
              <w:rPr>
                <w:sz w:val="18"/>
                <w:szCs w:val="18"/>
              </w:rPr>
            </w:pPr>
            <w:r w:rsidRPr="0037003D">
              <w:rPr>
                <w:sz w:val="18"/>
                <w:szCs w:val="18"/>
              </w:rPr>
              <w:t>Agricultural residue burning</w:t>
            </w:r>
          </w:p>
        </w:tc>
        <w:tc>
          <w:tcPr>
            <w:tcW w:w="0" w:type="auto"/>
            <w:vAlign w:val="bottom"/>
          </w:tcPr>
          <w:p w14:paraId="1FF937C9" w14:textId="2BF2F557" w:rsidR="001D1DB8" w:rsidRPr="00203639" w:rsidRDefault="001D1DB8" w:rsidP="001D1DB8">
            <w:pPr>
              <w:spacing w:line="300" w:lineRule="atLeast"/>
              <w:jc w:val="center"/>
              <w:rPr>
                <w:sz w:val="18"/>
                <w:szCs w:val="18"/>
              </w:rPr>
            </w:pPr>
            <w:r w:rsidRPr="0037003D">
              <w:rPr>
                <w:sz w:val="18"/>
                <w:szCs w:val="18"/>
              </w:rPr>
              <w:t>-0.014</w:t>
            </w:r>
          </w:p>
        </w:tc>
      </w:tr>
      <w:tr w:rsidR="001D1DB8" w:rsidRPr="00203639" w14:paraId="7B75BE74" w14:textId="77777777" w:rsidTr="0C34660A">
        <w:trPr>
          <w:trHeight w:hRule="exact" w:val="284"/>
          <w:jc w:val="center"/>
        </w:trPr>
        <w:tc>
          <w:tcPr>
            <w:tcW w:w="0" w:type="auto"/>
            <w:vAlign w:val="bottom"/>
          </w:tcPr>
          <w:p w14:paraId="7688CE26" w14:textId="7650C14A" w:rsidR="001D1DB8" w:rsidRPr="00203639" w:rsidRDefault="001D1DB8" w:rsidP="001D1DB8">
            <w:pPr>
              <w:spacing w:line="300" w:lineRule="atLeast"/>
              <w:rPr>
                <w:sz w:val="18"/>
                <w:szCs w:val="18"/>
              </w:rPr>
            </w:pPr>
            <w:r w:rsidRPr="0037003D">
              <w:rPr>
                <w:sz w:val="18"/>
                <w:szCs w:val="18"/>
              </w:rPr>
              <w:t>Petroleum production</w:t>
            </w:r>
          </w:p>
        </w:tc>
        <w:tc>
          <w:tcPr>
            <w:tcW w:w="0" w:type="auto"/>
            <w:vAlign w:val="bottom"/>
          </w:tcPr>
          <w:p w14:paraId="79598CA6" w14:textId="09F3B82C" w:rsidR="001D1DB8" w:rsidRPr="00203639" w:rsidRDefault="001D1DB8" w:rsidP="001D1DB8">
            <w:pPr>
              <w:spacing w:line="300" w:lineRule="atLeast"/>
              <w:jc w:val="center"/>
              <w:rPr>
                <w:sz w:val="18"/>
                <w:szCs w:val="18"/>
              </w:rPr>
            </w:pPr>
            <w:r w:rsidRPr="0037003D">
              <w:rPr>
                <w:sz w:val="18"/>
                <w:szCs w:val="18"/>
              </w:rPr>
              <w:t>-0.011</w:t>
            </w:r>
          </w:p>
        </w:tc>
      </w:tr>
    </w:tbl>
    <w:p w14:paraId="44E599FE" w14:textId="6F8975DC" w:rsidR="00A154E4" w:rsidRDefault="00A154E4" w:rsidP="00A154E4">
      <w:pPr>
        <w:rPr>
          <w:highlight w:val="yellow"/>
        </w:rPr>
      </w:pPr>
    </w:p>
    <w:p w14:paraId="59A9DF81" w14:textId="14CB00B1" w:rsidR="00A405C4" w:rsidRDefault="00A405C4" w:rsidP="003D73C3">
      <w:pPr>
        <w:spacing w:line="300" w:lineRule="atLeast"/>
        <w:jc w:val="both"/>
        <w:rPr>
          <w:szCs w:val="18"/>
        </w:rPr>
      </w:pPr>
      <w:r w:rsidRPr="00A405C4">
        <w:rPr>
          <w:szCs w:val="18"/>
        </w:rPr>
        <w:t>Plant closures and / or decreases in production quantities were the cause of the release reductions for secondary aluminium, copper brass and bronze production and iron foundries.</w:t>
      </w:r>
    </w:p>
    <w:p w14:paraId="22B6C690" w14:textId="2D10B863" w:rsidR="00A41F2F" w:rsidRDefault="00A405C4" w:rsidP="003D73C3">
      <w:pPr>
        <w:spacing w:line="300" w:lineRule="atLeast"/>
        <w:jc w:val="both"/>
        <w:rPr>
          <w:szCs w:val="18"/>
        </w:rPr>
      </w:pPr>
      <w:r w:rsidRPr="00A405C4">
        <w:rPr>
          <w:szCs w:val="18"/>
        </w:rPr>
        <w:t>Structure fires are unpredictable events which will fluctuate from year to year.</w:t>
      </w:r>
      <w:r>
        <w:rPr>
          <w:szCs w:val="18"/>
        </w:rPr>
        <w:t xml:space="preserve"> </w:t>
      </w:r>
    </w:p>
    <w:p w14:paraId="23D06CA5" w14:textId="788DF703" w:rsidR="00A405C4" w:rsidRDefault="00A405C4" w:rsidP="003D73C3">
      <w:pPr>
        <w:spacing w:line="300" w:lineRule="atLeast"/>
        <w:jc w:val="both"/>
        <w:rPr>
          <w:szCs w:val="18"/>
        </w:rPr>
      </w:pPr>
      <w:r w:rsidRPr="00A405C4">
        <w:rPr>
          <w:szCs w:val="18"/>
        </w:rPr>
        <w:t xml:space="preserve">Releases from open burning of domestic wastes have reduced </w:t>
      </w:r>
      <w:r w:rsidR="00E75290">
        <w:rPr>
          <w:szCs w:val="18"/>
        </w:rPr>
        <w:t>due to</w:t>
      </w:r>
      <w:r w:rsidRPr="00A405C4">
        <w:rPr>
          <w:szCs w:val="18"/>
        </w:rPr>
        <w:t xml:space="preserve"> a decrease in the estimate of the amount of waste burnt following a </w:t>
      </w:r>
      <w:r w:rsidR="00E75290">
        <w:rPr>
          <w:szCs w:val="18"/>
        </w:rPr>
        <w:t>r</w:t>
      </w:r>
      <w:r w:rsidRPr="00A405C4">
        <w:rPr>
          <w:szCs w:val="18"/>
        </w:rPr>
        <w:t xml:space="preserve">egional </w:t>
      </w:r>
      <w:r w:rsidR="00E75290">
        <w:rPr>
          <w:szCs w:val="18"/>
        </w:rPr>
        <w:t>c</w:t>
      </w:r>
      <w:r w:rsidRPr="00A405C4">
        <w:rPr>
          <w:szCs w:val="18"/>
        </w:rPr>
        <w:t>ouncil survey.</w:t>
      </w:r>
    </w:p>
    <w:p w14:paraId="2C075A34" w14:textId="77777777" w:rsidR="00422740" w:rsidRPr="00A405C4" w:rsidRDefault="00422740" w:rsidP="00422740">
      <w:pPr>
        <w:spacing w:line="300" w:lineRule="atLeast"/>
        <w:jc w:val="both"/>
        <w:rPr>
          <w:szCs w:val="18"/>
        </w:rPr>
      </w:pPr>
      <w:r w:rsidRPr="00A405C4">
        <w:rPr>
          <w:szCs w:val="18"/>
        </w:rPr>
        <w:t xml:space="preserve">Pulp and paper sludge disposal releases have decreased </w:t>
      </w:r>
      <w:r>
        <w:rPr>
          <w:szCs w:val="18"/>
        </w:rPr>
        <w:t>due to</w:t>
      </w:r>
      <w:r w:rsidRPr="00A405C4">
        <w:rPr>
          <w:szCs w:val="18"/>
        </w:rPr>
        <w:t xml:space="preserve"> a reduction in bleached pulp production.</w:t>
      </w:r>
    </w:p>
    <w:p w14:paraId="0724880F" w14:textId="58EC58A1" w:rsidR="00A405C4" w:rsidRDefault="00A405C4" w:rsidP="003D73C3">
      <w:pPr>
        <w:spacing w:line="300" w:lineRule="atLeast"/>
        <w:jc w:val="both"/>
        <w:rPr>
          <w:szCs w:val="18"/>
        </w:rPr>
      </w:pPr>
      <w:r w:rsidRPr="00A405C4">
        <w:rPr>
          <w:szCs w:val="18"/>
        </w:rPr>
        <w:t>Decreases in releases from industrial and commercial coal use are due to drops in coal consumption caused by COVID lock downs in 2020.</w:t>
      </w:r>
    </w:p>
    <w:p w14:paraId="6B4F3BC5" w14:textId="78D7BAC1" w:rsidR="00A405C4" w:rsidRPr="00A405C4" w:rsidRDefault="00A405C4" w:rsidP="003D73C3">
      <w:pPr>
        <w:spacing w:line="300" w:lineRule="atLeast"/>
        <w:jc w:val="both"/>
        <w:rPr>
          <w:szCs w:val="18"/>
        </w:rPr>
      </w:pPr>
      <w:r w:rsidRPr="00A405C4">
        <w:rPr>
          <w:szCs w:val="18"/>
        </w:rPr>
        <w:t>Releases from primary iron and steel production have decreased because a greater proportion of waste materials are being recycled through the process.</w:t>
      </w:r>
    </w:p>
    <w:p w14:paraId="0CD46A1D" w14:textId="3D06E310" w:rsidR="00A405C4" w:rsidRPr="00A405C4" w:rsidRDefault="00A405C4" w:rsidP="003D73C3">
      <w:pPr>
        <w:spacing w:line="300" w:lineRule="atLeast"/>
        <w:jc w:val="both"/>
        <w:rPr>
          <w:szCs w:val="18"/>
        </w:rPr>
      </w:pPr>
      <w:r w:rsidRPr="00A405C4">
        <w:rPr>
          <w:szCs w:val="18"/>
        </w:rPr>
        <w:t>Reductions for household heating and cooking with biomass (wood) reflect a decrease in the number of wood burners.</w:t>
      </w:r>
    </w:p>
    <w:p w14:paraId="4BF79B1F" w14:textId="7FDCC639" w:rsidR="00A405C4" w:rsidRPr="00A405C4" w:rsidRDefault="5883642C" w:rsidP="003D73C3">
      <w:pPr>
        <w:spacing w:line="300" w:lineRule="atLeast"/>
        <w:jc w:val="both"/>
      </w:pPr>
      <w:r>
        <w:t>Heavy oil-fired engine release reductions follow a drop in fuel consumption of this type by the marine transport industry which may be related to international controls on sulphur emission levels.</w:t>
      </w:r>
    </w:p>
    <w:p w14:paraId="7506E420" w14:textId="77777777" w:rsidR="00A405C4" w:rsidRPr="00A405C4" w:rsidRDefault="00A405C4" w:rsidP="003D73C3">
      <w:pPr>
        <w:spacing w:line="300" w:lineRule="atLeast"/>
        <w:jc w:val="both"/>
        <w:rPr>
          <w:szCs w:val="18"/>
        </w:rPr>
      </w:pPr>
      <w:r w:rsidRPr="00A405C4">
        <w:rPr>
          <w:szCs w:val="18"/>
        </w:rPr>
        <w:t>Fewer schools operating incinerators is the reason for the release drop in the wood and biomass incineration category.</w:t>
      </w:r>
    </w:p>
    <w:p w14:paraId="246AA719" w14:textId="4C41A737" w:rsidR="00A405C4" w:rsidRPr="00A405C4" w:rsidRDefault="00A405C4" w:rsidP="003D73C3">
      <w:pPr>
        <w:spacing w:line="300" w:lineRule="atLeast"/>
        <w:jc w:val="both"/>
        <w:rPr>
          <w:szCs w:val="18"/>
        </w:rPr>
      </w:pPr>
      <w:r w:rsidRPr="00A405C4">
        <w:rPr>
          <w:szCs w:val="18"/>
        </w:rPr>
        <w:t>Lime production release reductions reflect a downward trend in lime production.</w:t>
      </w:r>
    </w:p>
    <w:p w14:paraId="2A992D25" w14:textId="2FABEE5D" w:rsidR="00A405C4" w:rsidRPr="00A405C4" w:rsidRDefault="5883642C" w:rsidP="0C34660A">
      <w:pPr>
        <w:spacing w:line="300" w:lineRule="atLeast"/>
        <w:jc w:val="both"/>
      </w:pPr>
      <w:r>
        <w:t>The extent of agricultural residue burning fluctuates from year to year.</w:t>
      </w:r>
    </w:p>
    <w:p w14:paraId="5165ADB8" w14:textId="77777777" w:rsidR="00A405C4" w:rsidRPr="00A405C4" w:rsidRDefault="00A405C4" w:rsidP="003D73C3">
      <w:pPr>
        <w:spacing w:line="300" w:lineRule="atLeast"/>
        <w:jc w:val="both"/>
        <w:rPr>
          <w:szCs w:val="18"/>
        </w:rPr>
      </w:pPr>
      <w:r w:rsidRPr="00A405C4">
        <w:rPr>
          <w:szCs w:val="18"/>
        </w:rPr>
        <w:t>Black liquor combustion release reductions are due to reduced kraft pulp production in 2020.</w:t>
      </w:r>
    </w:p>
    <w:p w14:paraId="44C65E69" w14:textId="4708F318" w:rsidR="00A405C4" w:rsidRPr="00A405C4" w:rsidRDefault="00A405C4" w:rsidP="003D73C3">
      <w:pPr>
        <w:spacing w:line="300" w:lineRule="atLeast"/>
        <w:jc w:val="both"/>
        <w:rPr>
          <w:szCs w:val="18"/>
        </w:rPr>
      </w:pPr>
      <w:r w:rsidRPr="00A405C4">
        <w:rPr>
          <w:szCs w:val="18"/>
        </w:rPr>
        <w:t xml:space="preserve">Petroleum production releases have reduced because </w:t>
      </w:r>
      <w:r w:rsidR="00992B85" w:rsidRPr="00A405C4">
        <w:rPr>
          <w:szCs w:val="18"/>
        </w:rPr>
        <w:t xml:space="preserve">throughput of crude oil at the Marsden Point refinery </w:t>
      </w:r>
      <w:r w:rsidRPr="00A405C4">
        <w:rPr>
          <w:szCs w:val="18"/>
        </w:rPr>
        <w:t>reduced as COVID travel restrictions impacted fuel consumption, particularly in the aviation industry, in 2020.</w:t>
      </w:r>
    </w:p>
    <w:p w14:paraId="7C80DDEE" w14:textId="77777777" w:rsidR="00A154E4" w:rsidRDefault="00A154E4" w:rsidP="00DA76FD">
      <w:pPr>
        <w:spacing w:line="300" w:lineRule="atLeast"/>
        <w:jc w:val="both"/>
        <w:rPr>
          <w:szCs w:val="18"/>
          <w:highlight w:val="yellow"/>
        </w:rPr>
      </w:pPr>
    </w:p>
    <w:p w14:paraId="23907411" w14:textId="77777777" w:rsidR="000C1F3E" w:rsidRPr="003D73C3" w:rsidRDefault="000C1F3E" w:rsidP="000C1F3E">
      <w:pPr>
        <w:spacing w:line="300" w:lineRule="atLeast"/>
        <w:jc w:val="both"/>
        <w:rPr>
          <w:rFonts w:ascii="Arial" w:hAnsi="Arial" w:cs="Arial"/>
          <w:b/>
          <w:szCs w:val="18"/>
        </w:rPr>
      </w:pPr>
      <w:r w:rsidRPr="003D73C3">
        <w:rPr>
          <w:rFonts w:ascii="Arial" w:hAnsi="Arial" w:cs="Arial"/>
          <w:b/>
          <w:szCs w:val="18"/>
        </w:rPr>
        <w:lastRenderedPageBreak/>
        <w:t>Trends in Dioxin Releases</w:t>
      </w:r>
    </w:p>
    <w:p w14:paraId="77C17BDA" w14:textId="19B2B8BC" w:rsidR="000C1F3E" w:rsidRDefault="006434F9" w:rsidP="000C1F3E">
      <w:pPr>
        <w:spacing w:line="300" w:lineRule="atLeast"/>
        <w:jc w:val="both"/>
        <w:rPr>
          <w:szCs w:val="18"/>
        </w:rPr>
      </w:pPr>
      <w:r w:rsidRPr="003D73C3">
        <w:rPr>
          <w:szCs w:val="18"/>
        </w:rPr>
        <w:t>Figures 1</w:t>
      </w:r>
      <w:r w:rsidR="000C1F3E" w:rsidRPr="003D73C3">
        <w:rPr>
          <w:szCs w:val="18"/>
        </w:rPr>
        <w:t>3</w:t>
      </w:r>
      <w:r w:rsidRPr="003D73C3">
        <w:rPr>
          <w:szCs w:val="18"/>
        </w:rPr>
        <w:t>.3 and 13.</w:t>
      </w:r>
      <w:r w:rsidR="000C1F3E" w:rsidRPr="003D73C3">
        <w:rPr>
          <w:szCs w:val="18"/>
        </w:rPr>
        <w:t>4 display plots of dioxin releases versus source category for</w:t>
      </w:r>
      <w:r w:rsidR="00DC45D8" w:rsidRPr="003D73C3">
        <w:rPr>
          <w:szCs w:val="18"/>
        </w:rPr>
        <w:t xml:space="preserve"> 2012</w:t>
      </w:r>
      <w:r w:rsidR="003E4FE5" w:rsidRPr="003D73C3">
        <w:rPr>
          <w:szCs w:val="18"/>
        </w:rPr>
        <w:t xml:space="preserve">, </w:t>
      </w:r>
      <w:r w:rsidR="00DC45D8" w:rsidRPr="003D73C3">
        <w:rPr>
          <w:szCs w:val="18"/>
        </w:rPr>
        <w:t>2016</w:t>
      </w:r>
      <w:r w:rsidR="00DC45D8">
        <w:rPr>
          <w:szCs w:val="18"/>
        </w:rPr>
        <w:t xml:space="preserve"> </w:t>
      </w:r>
      <w:r w:rsidR="003E4FE5" w:rsidRPr="003D73C3">
        <w:rPr>
          <w:szCs w:val="18"/>
        </w:rPr>
        <w:t xml:space="preserve">and </w:t>
      </w:r>
      <w:r w:rsidR="00DC45D8" w:rsidRPr="003D73C3">
        <w:rPr>
          <w:szCs w:val="18"/>
        </w:rPr>
        <w:t>2020</w:t>
      </w:r>
      <w:r w:rsidR="00DC45D8">
        <w:rPr>
          <w:szCs w:val="18"/>
        </w:rPr>
        <w:t xml:space="preserve">. </w:t>
      </w:r>
      <w:r w:rsidR="000C1F3E" w:rsidRPr="003D73C3">
        <w:rPr>
          <w:szCs w:val="18"/>
        </w:rPr>
        <w:t xml:space="preserve">The sources have been </w:t>
      </w:r>
      <w:r w:rsidR="00A87506" w:rsidRPr="003D73C3">
        <w:rPr>
          <w:szCs w:val="18"/>
        </w:rPr>
        <w:t>categorised</w:t>
      </w:r>
      <w:r w:rsidR="000C1F3E" w:rsidRPr="003D73C3">
        <w:rPr>
          <w:szCs w:val="18"/>
        </w:rPr>
        <w:t xml:space="preserve"> as major and minor to make the lesser sources more visible.</w:t>
      </w:r>
    </w:p>
    <w:p w14:paraId="7865B5F9" w14:textId="77777777" w:rsidR="008749A2" w:rsidRPr="003D73C3" w:rsidRDefault="008749A2" w:rsidP="000C1F3E">
      <w:pPr>
        <w:spacing w:line="300" w:lineRule="atLeast"/>
        <w:jc w:val="both"/>
        <w:rPr>
          <w:szCs w:val="18"/>
        </w:rPr>
      </w:pPr>
    </w:p>
    <w:p w14:paraId="2C6CB085" w14:textId="54B56C9F" w:rsidR="00DC45D8" w:rsidRDefault="001C7BEC" w:rsidP="000C1F3E">
      <w:pPr>
        <w:spacing w:line="300" w:lineRule="atLeast"/>
        <w:jc w:val="both"/>
        <w:rPr>
          <w:szCs w:val="18"/>
          <w:highlight w:val="yellow"/>
        </w:rPr>
      </w:pPr>
      <w:r>
        <w:rPr>
          <w:noProof/>
        </w:rPr>
        <w:drawing>
          <wp:inline distT="0" distB="0" distL="0" distR="0" wp14:anchorId="73AFBA00" wp14:editId="195992A5">
            <wp:extent cx="5760085" cy="7242372"/>
            <wp:effectExtent l="0" t="0" r="18415" b="9525"/>
            <wp:docPr id="5" name="Chart 5">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7D0DCBF" w14:textId="3E23E378" w:rsidR="0094078B" w:rsidRDefault="5E6EA624" w:rsidP="0C34660A">
      <w:pPr>
        <w:spacing w:line="300" w:lineRule="atLeast"/>
        <w:jc w:val="both"/>
        <w:rPr>
          <w:b/>
          <w:bCs/>
        </w:rPr>
      </w:pPr>
      <w:r w:rsidRPr="0C34660A">
        <w:rPr>
          <w:b/>
          <w:bCs/>
        </w:rPr>
        <w:t xml:space="preserve">Figure </w:t>
      </w:r>
      <w:bookmarkStart w:id="504" w:name="_Int_gY4WXVk8"/>
      <w:r w:rsidRPr="0C34660A">
        <w:rPr>
          <w:b/>
          <w:bCs/>
        </w:rPr>
        <w:t>13.3  Major</w:t>
      </w:r>
      <w:bookmarkEnd w:id="504"/>
      <w:r w:rsidRPr="0C34660A">
        <w:rPr>
          <w:b/>
          <w:bCs/>
        </w:rPr>
        <w:t xml:space="preserve"> Sources’ Dioxin Releases for 2012, 2016 and 2020 (see Appendix 2 for details)</w:t>
      </w:r>
    </w:p>
    <w:p w14:paraId="2B7A151D" w14:textId="77777777" w:rsidR="006B3240" w:rsidRPr="00422740" w:rsidRDefault="006B3240" w:rsidP="006B3240">
      <w:pPr>
        <w:spacing w:line="300" w:lineRule="atLeast"/>
        <w:jc w:val="center"/>
      </w:pPr>
      <w:r w:rsidRPr="00422740">
        <w:t>(* NZ’s sole secondary iron and steel plant closed in 2015 so there is no data for 2016 and 2020)</w:t>
      </w:r>
    </w:p>
    <w:p w14:paraId="38128C31" w14:textId="29D5BEB5" w:rsidR="0094078B" w:rsidRDefault="00047222" w:rsidP="000C1F3E">
      <w:pPr>
        <w:spacing w:line="300" w:lineRule="atLeast"/>
        <w:jc w:val="both"/>
        <w:rPr>
          <w:b/>
        </w:rPr>
      </w:pPr>
      <w:r>
        <w:rPr>
          <w:noProof/>
        </w:rPr>
        <w:lastRenderedPageBreak/>
        <w:drawing>
          <wp:inline distT="0" distB="0" distL="0" distR="0" wp14:anchorId="1C995D74" wp14:editId="0D87EB8D">
            <wp:extent cx="5760085" cy="6377354"/>
            <wp:effectExtent l="0" t="0" r="18415" b="10795"/>
            <wp:docPr id="9" name="Chart 9">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E3BFFB" w14:textId="77777777" w:rsidR="009F4474" w:rsidRPr="003D73C3" w:rsidRDefault="1C8A4CF8" w:rsidP="0C34660A">
      <w:pPr>
        <w:spacing w:line="300" w:lineRule="atLeast"/>
        <w:jc w:val="center"/>
        <w:rPr>
          <w:b/>
          <w:bCs/>
        </w:rPr>
      </w:pPr>
      <w:r w:rsidRPr="0C34660A">
        <w:rPr>
          <w:b/>
          <w:bCs/>
        </w:rPr>
        <w:t xml:space="preserve">Figure </w:t>
      </w:r>
      <w:bookmarkStart w:id="505" w:name="_Int_RSwv4h2N"/>
      <w:r w:rsidRPr="0C34660A">
        <w:rPr>
          <w:b/>
          <w:bCs/>
        </w:rPr>
        <w:t>13.4  Minor</w:t>
      </w:r>
      <w:bookmarkEnd w:id="505"/>
      <w:r w:rsidRPr="0C34660A">
        <w:rPr>
          <w:b/>
          <w:bCs/>
        </w:rPr>
        <w:t xml:space="preserve"> Sources’ Dioxin Releases for 2012, 2016 and 2020 (see Appendix 2 for details).</w:t>
      </w:r>
    </w:p>
    <w:p w14:paraId="07184A11" w14:textId="3D62CBB1" w:rsidR="00EC29F2" w:rsidRPr="00570ACB" w:rsidRDefault="0712D0B9" w:rsidP="0C34660A">
      <w:pPr>
        <w:spacing w:line="300" w:lineRule="atLeast"/>
        <w:jc w:val="both"/>
      </w:pPr>
      <w:r>
        <w:t xml:space="preserve">Figures E3 and E4 show an increasing trend of dioxin release for landfill deposition, although the rate of change is declining. In contrast a decreasing trend is evident for secondary metal activities such as secondary aluminium and steel production, iron foundries and brass and bronze production </w:t>
      </w:r>
      <w:bookmarkStart w:id="506" w:name="_Int_aLDYRZIX"/>
      <w:r>
        <w:t>largely due</w:t>
      </w:r>
      <w:bookmarkEnd w:id="506"/>
      <w:r>
        <w:t xml:space="preserve"> to plant closures</w:t>
      </w:r>
      <w:bookmarkStart w:id="507" w:name="_Int_otl3CcPS"/>
      <w:r>
        <w:t xml:space="preserve">. </w:t>
      </w:r>
      <w:bookmarkEnd w:id="507"/>
    </w:p>
    <w:p w14:paraId="49DE227A" w14:textId="19022A76" w:rsidR="00EC29F2" w:rsidRPr="00570ACB" w:rsidRDefault="00EC29F2" w:rsidP="00EC29F2">
      <w:pPr>
        <w:spacing w:line="300" w:lineRule="atLeast"/>
        <w:jc w:val="both"/>
        <w:rPr>
          <w:szCs w:val="18"/>
        </w:rPr>
      </w:pPr>
      <w:r w:rsidRPr="00570ACB">
        <w:rPr>
          <w:szCs w:val="18"/>
        </w:rPr>
        <w:t>Sewage treatment and crematoria show a trend of increasing dioxin releases as their activities are based on population numbers. Asphalt production also shows an increasing trend reflecting the fact that major new roads continue to be built while existing roads require maintenance.</w:t>
      </w:r>
    </w:p>
    <w:p w14:paraId="69DD73EA" w14:textId="77777777" w:rsidR="00EC29F2" w:rsidRPr="00570ACB" w:rsidRDefault="00EC29F2" w:rsidP="00EC29F2">
      <w:pPr>
        <w:spacing w:line="300" w:lineRule="atLeast"/>
        <w:jc w:val="both"/>
        <w:rPr>
          <w:szCs w:val="18"/>
        </w:rPr>
      </w:pPr>
      <w:r w:rsidRPr="00570ACB">
        <w:rPr>
          <w:szCs w:val="18"/>
        </w:rPr>
        <w:t>Household heating and cooking with biomass (wood) and coal both show a gradual decline in dioxin releases as burners and stoves are slowly replaced with devices requiring alternative forms of energy such as electricity.</w:t>
      </w:r>
    </w:p>
    <w:p w14:paraId="24FF13FB" w14:textId="5A218985" w:rsidR="008B3169" w:rsidRPr="00830D7A" w:rsidRDefault="0099609B" w:rsidP="00B13D2E">
      <w:pPr>
        <w:pStyle w:val="Heading2"/>
        <w:ind w:left="1134" w:hanging="567"/>
      </w:pPr>
      <w:bookmarkStart w:id="508" w:name="_Toc112768177"/>
      <w:r w:rsidRPr="00830D7A">
        <w:lastRenderedPageBreak/>
        <w:t xml:space="preserve">New Zealand </w:t>
      </w:r>
      <w:r w:rsidR="008B3169" w:rsidRPr="00830D7A">
        <w:t>Initiatives</w:t>
      </w:r>
      <w:r w:rsidR="00CB535F" w:rsidRPr="00830D7A">
        <w:t xml:space="preserve"> Leading to Reductions in Dioxin Releases</w:t>
      </w:r>
      <w:bookmarkEnd w:id="508"/>
    </w:p>
    <w:p w14:paraId="7E726423" w14:textId="2B196380" w:rsidR="00A87506" w:rsidRDefault="00514F54" w:rsidP="00A87506">
      <w:pPr>
        <w:spacing w:line="300" w:lineRule="atLeast"/>
        <w:jc w:val="both"/>
        <w:rPr>
          <w:rFonts w:ascii="Arial" w:hAnsi="Arial" w:cs="Arial"/>
          <w:b/>
        </w:rPr>
      </w:pPr>
      <w:r>
        <w:rPr>
          <w:rFonts w:ascii="Arial" w:hAnsi="Arial" w:cs="Arial"/>
          <w:b/>
        </w:rPr>
        <w:t>Waste</w:t>
      </w:r>
      <w:r w:rsidR="006D77A9" w:rsidRPr="00830D7A">
        <w:rPr>
          <w:rFonts w:ascii="Arial" w:hAnsi="Arial" w:cs="Arial"/>
          <w:b/>
        </w:rPr>
        <w:t xml:space="preserve"> Reduction Strategies</w:t>
      </w:r>
    </w:p>
    <w:p w14:paraId="0020F6C8" w14:textId="6BE4686A" w:rsidR="003429E2" w:rsidRPr="00A50697" w:rsidRDefault="2F7D74DE" w:rsidP="003429E2">
      <w:pPr>
        <w:spacing w:line="300" w:lineRule="atLeast"/>
        <w:jc w:val="both"/>
      </w:pPr>
      <w:r>
        <w:t xml:space="preserve">As shown in Figures 13.1 and 13.2 landfills are by far the greatest source of dioxins for New Zealand. Because the types of waste deposited in municipal landfills are so diverse only a very general emission factor can be applied to estimate dioxin releases from this source. Where the waste total is comprised of significant volumes of inert materials such as food wastes, clean </w:t>
      </w:r>
      <w:bookmarkStart w:id="509" w:name="_Int_jd1ucwm3"/>
      <w:r>
        <w:t>fill,</w:t>
      </w:r>
      <w:bookmarkEnd w:id="509"/>
      <w:r>
        <w:t xml:space="preserve"> and garden waste it is probable that the dioxin release is being over-estimated and reducing their volume will result in a reduction in the dioxin estimation for landfills. </w:t>
      </w:r>
    </w:p>
    <w:p w14:paraId="598BF774" w14:textId="7439C391" w:rsidR="00514F54" w:rsidRPr="00BF1334" w:rsidRDefault="2F7D74DE" w:rsidP="00A87506">
      <w:pPr>
        <w:spacing w:line="300" w:lineRule="atLeast"/>
        <w:jc w:val="both"/>
      </w:pPr>
      <w:r>
        <w:t xml:space="preserve">There are currently </w:t>
      </w:r>
      <w:bookmarkStart w:id="510" w:name="_Int_TGi1mC72"/>
      <w:proofErr w:type="gramStart"/>
      <w:r>
        <w:t>a number of</w:t>
      </w:r>
      <w:bookmarkEnd w:id="510"/>
      <w:proofErr w:type="gramEnd"/>
      <w:r>
        <w:t xml:space="preserve"> government initiatives which are aimed at reducing waste volumes (Ministry for the Environment, 2021b). New legislation is in train which will replace the current Waste Minimisation Act and Litter Act and will place greater emphasis on a circular economy where resources are kept at their highest value use for as long as possible. From 1 July 2022 the Waste Levy was significantly increased and expanded with charges for municipal landfills increasing from $20 to $30 per tonne. These charges will increase further to $50 per tonne in 2023 and $60 per tonne in 2024. Other initiatives include an investment of $124 million in resource recovery infrastructure, continuing investment in the Waste Minimisation Fund and introducing regulated product stewardship for six waste streams including plastic packaging and tyres. In addition, the government is considering recommendations to incentivise councils to implement kerbside collection of food waste and standardise the materials collected in kerbside recycling nationally (Ministry for the Environment, 2021b).</w:t>
      </w:r>
    </w:p>
    <w:p w14:paraId="458E8B90" w14:textId="5922FC28" w:rsidR="00514F54" w:rsidRPr="00830D7A" w:rsidRDefault="00BF1334" w:rsidP="00514F54">
      <w:pPr>
        <w:spacing w:line="300" w:lineRule="atLeast"/>
        <w:jc w:val="both"/>
        <w:rPr>
          <w:rFonts w:ascii="Arial" w:hAnsi="Arial" w:cs="Arial"/>
          <w:b/>
          <w:szCs w:val="18"/>
        </w:rPr>
      </w:pPr>
      <w:r>
        <w:rPr>
          <w:rFonts w:ascii="Arial" w:hAnsi="Arial" w:cs="Arial"/>
          <w:b/>
        </w:rPr>
        <w:t>Changes in Production Focus</w:t>
      </w:r>
    </w:p>
    <w:p w14:paraId="693F03C9" w14:textId="61209A3A" w:rsidR="00CB535F" w:rsidRDefault="64C96A0F" w:rsidP="0C34660A">
      <w:pPr>
        <w:spacing w:line="300" w:lineRule="atLeast"/>
        <w:jc w:val="both"/>
        <w:rPr>
          <w:lang w:val="en-US"/>
        </w:rPr>
      </w:pPr>
      <w:r w:rsidRPr="0C34660A">
        <w:rPr>
          <w:lang w:val="en-US"/>
        </w:rPr>
        <w:t>Oji Fibre Solutions</w:t>
      </w:r>
      <w:r w:rsidR="6E1181D4" w:rsidRPr="0C34660A">
        <w:rPr>
          <w:lang w:val="en-US"/>
        </w:rPr>
        <w:t xml:space="preserve"> closed its </w:t>
      </w:r>
      <w:r w:rsidRPr="0C34660A">
        <w:rPr>
          <w:lang w:val="en-US"/>
        </w:rPr>
        <w:t xml:space="preserve">bleaching operations at its Tasman Mill in March 2019 to allow the company to produce more fibre cement pulp </w:t>
      </w:r>
      <w:r w:rsidR="5A875F14" w:rsidRPr="0C34660A">
        <w:rPr>
          <w:lang w:val="en-US"/>
        </w:rPr>
        <w:t xml:space="preserve">and other unbleached </w:t>
      </w:r>
      <w:r w:rsidR="6E1181D4" w:rsidRPr="0C34660A">
        <w:rPr>
          <w:lang w:val="en-US"/>
        </w:rPr>
        <w:t xml:space="preserve">kraft pulp </w:t>
      </w:r>
      <w:r w:rsidR="5A875F14" w:rsidRPr="0C34660A">
        <w:rPr>
          <w:lang w:val="en-US"/>
        </w:rPr>
        <w:t>products</w:t>
      </w:r>
      <w:r w:rsidR="0EDBD889" w:rsidRPr="0C34660A">
        <w:rPr>
          <w:lang w:val="en-US"/>
        </w:rPr>
        <w:t xml:space="preserve"> </w:t>
      </w:r>
      <w:r w:rsidR="6E1181D4" w:rsidRPr="0C34660A">
        <w:rPr>
          <w:noProof/>
        </w:rPr>
        <w:t>(Climate Leaders Coalition, 2022)</w:t>
      </w:r>
      <w:r w:rsidR="5A875F14" w:rsidRPr="0C34660A">
        <w:rPr>
          <w:lang w:val="en-US"/>
        </w:rPr>
        <w:t xml:space="preserve">. </w:t>
      </w:r>
      <w:r w:rsidR="0879D102" w:rsidRPr="0C34660A">
        <w:rPr>
          <w:lang w:val="en-US"/>
        </w:rPr>
        <w:t xml:space="preserve">As discussed in Section </w:t>
      </w:r>
      <w:r w:rsidR="21B61269" w:rsidRPr="0C34660A">
        <w:rPr>
          <w:lang w:val="en-US"/>
        </w:rPr>
        <w:t>9.1</w:t>
      </w:r>
      <w:r w:rsidR="0879D102" w:rsidRPr="0C34660A">
        <w:rPr>
          <w:lang w:val="en-US"/>
        </w:rPr>
        <w:t>, pulp bleach</w:t>
      </w:r>
      <w:r w:rsidR="079B06CD" w:rsidRPr="0C34660A">
        <w:rPr>
          <w:lang w:val="en-US"/>
        </w:rPr>
        <w:t>ing is a source of dioxins, and</w:t>
      </w:r>
      <w:r w:rsidR="0879D102" w:rsidRPr="0C34660A">
        <w:rPr>
          <w:lang w:val="en-US"/>
        </w:rPr>
        <w:t xml:space="preserve"> this contribution </w:t>
      </w:r>
      <w:r w:rsidR="6E1181D4" w:rsidRPr="0C34660A">
        <w:rPr>
          <w:lang w:val="en-US"/>
        </w:rPr>
        <w:t xml:space="preserve">is </w:t>
      </w:r>
      <w:r w:rsidR="0879D102" w:rsidRPr="0C34660A">
        <w:rPr>
          <w:lang w:val="en-US"/>
        </w:rPr>
        <w:t xml:space="preserve">now </w:t>
      </w:r>
      <w:bookmarkStart w:id="511" w:name="_Int_ZrvPNLE3"/>
      <w:r w:rsidR="079B06CD" w:rsidRPr="0C34660A">
        <w:rPr>
          <w:lang w:val="en-US"/>
        </w:rPr>
        <w:t xml:space="preserve">be </w:t>
      </w:r>
      <w:r w:rsidR="0879D102" w:rsidRPr="0C34660A">
        <w:rPr>
          <w:lang w:val="en-US"/>
        </w:rPr>
        <w:t>removed</w:t>
      </w:r>
      <w:bookmarkEnd w:id="511"/>
      <w:r w:rsidR="0879D102" w:rsidRPr="0C34660A">
        <w:rPr>
          <w:lang w:val="en-US"/>
        </w:rPr>
        <w:t xml:space="preserve"> from the plant</w:t>
      </w:r>
      <w:r w:rsidR="1D2A5E6A" w:rsidRPr="0C34660A">
        <w:rPr>
          <w:lang w:val="en-US"/>
        </w:rPr>
        <w:t>’s</w:t>
      </w:r>
      <w:r w:rsidR="079B06CD" w:rsidRPr="0C34660A">
        <w:rPr>
          <w:lang w:val="en-US"/>
        </w:rPr>
        <w:t xml:space="preserve"> </w:t>
      </w:r>
      <w:r w:rsidR="1D2A5E6A" w:rsidRPr="0C34660A">
        <w:rPr>
          <w:lang w:val="en-US"/>
        </w:rPr>
        <w:t>output</w:t>
      </w:r>
      <w:r w:rsidR="0879D102" w:rsidRPr="0C34660A">
        <w:rPr>
          <w:lang w:val="en-US"/>
        </w:rPr>
        <w:t xml:space="preserve">. </w:t>
      </w:r>
    </w:p>
    <w:p w14:paraId="3AC98D9E" w14:textId="04F4C87B" w:rsidR="00634D43" w:rsidRPr="00634D43" w:rsidRDefault="721328A4" w:rsidP="00634D43">
      <w:pPr>
        <w:spacing w:line="300" w:lineRule="atLeast"/>
        <w:jc w:val="both"/>
      </w:pPr>
      <w:r>
        <w:t>On 1 April 2022 Refining New Zealand ceased refining operations at the country’s only oil refinery and became an import only terminal for refined fuels. This move will remove sources of dioxin release such as the combustion of volatile process gases in flares</w:t>
      </w:r>
      <w:r w:rsidR="092227EF">
        <w:t xml:space="preserve">, </w:t>
      </w:r>
      <w:bookmarkStart w:id="512" w:name="_Int_wXLkCbMy"/>
      <w:r w:rsidR="092227EF">
        <w:t>wastewater,</w:t>
      </w:r>
      <w:bookmarkEnd w:id="512"/>
      <w:r w:rsidR="092227EF">
        <w:t xml:space="preserve"> and solid wastes.</w:t>
      </w:r>
    </w:p>
    <w:p w14:paraId="38CDD839" w14:textId="77777777" w:rsidR="006761D2" w:rsidRPr="00C50BB7" w:rsidRDefault="006761D2" w:rsidP="00261F78">
      <w:pPr>
        <w:pStyle w:val="Heading2"/>
      </w:pPr>
      <w:bookmarkStart w:id="513" w:name="_Toc112768178"/>
      <w:r w:rsidRPr="00C50BB7">
        <w:t>Global Perspective</w:t>
      </w:r>
      <w:bookmarkEnd w:id="513"/>
    </w:p>
    <w:p w14:paraId="0CB1DDB8" w14:textId="2D1C51B6" w:rsidR="002114B8" w:rsidRDefault="4063A9D0" w:rsidP="006761D2">
      <w:pPr>
        <w:spacing w:line="300" w:lineRule="atLeast"/>
        <w:jc w:val="both"/>
      </w:pPr>
      <w:r w:rsidRPr="0C34660A">
        <w:t xml:space="preserve">A review of the current state and main sources of dioxins around the world was conducted in 2015 </w:t>
      </w:r>
      <w:sdt>
        <w:sdtPr>
          <w:rPr>
            <w:szCs w:val="18"/>
          </w:rPr>
          <w:id w:val="1378053836"/>
          <w:lock w:val="contentLocked"/>
          <w:placeholder>
            <w:docPart w:val="DefaultPlaceholder_1081868574"/>
          </w:placeholder>
          <w:citation/>
        </w:sdtPr>
        <w:sdtEndPr/>
        <w:sdtContent>
          <w:r w:rsidR="008439C4" w:rsidRPr="00C50BB7">
            <w:rPr>
              <w:szCs w:val="18"/>
            </w:rPr>
            <w:fldChar w:fldCharType="begin"/>
          </w:r>
          <w:r w:rsidR="008439C4" w:rsidRPr="00C50BB7">
            <w:rPr>
              <w:szCs w:val="18"/>
            </w:rPr>
            <w:instrText xml:space="preserve"> CITATION Dop15 \l 5129 </w:instrText>
          </w:r>
          <w:r w:rsidR="008439C4" w:rsidRPr="00C50BB7">
            <w:rPr>
              <w:szCs w:val="18"/>
            </w:rPr>
            <w:fldChar w:fldCharType="separate"/>
          </w:r>
          <w:r w:rsidR="25EC959F" w:rsidRPr="0C34660A">
            <w:rPr>
              <w:noProof/>
            </w:rPr>
            <w:t>(Dopico &amp; Gomez, 2015)</w:t>
          </w:r>
          <w:r w:rsidR="008439C4" w:rsidRPr="00C50BB7">
            <w:rPr>
              <w:szCs w:val="18"/>
            </w:rPr>
            <w:fldChar w:fldCharType="end"/>
          </w:r>
        </w:sdtContent>
      </w:sdt>
      <w:r w:rsidR="5A875F14" w:rsidRPr="00C50BB7">
        <w:rPr>
          <w:szCs w:val="18"/>
        </w:rPr>
        <w:t xml:space="preserve">. </w:t>
      </w:r>
      <w:r w:rsidR="431993A9" w:rsidRPr="0C34660A">
        <w:t xml:space="preserve">The annual global dioxin production for 2015 was estimated at </w:t>
      </w:r>
      <w:bookmarkStart w:id="514" w:name="_Int_lnHPMFfa"/>
      <w:r w:rsidR="431993A9" w:rsidRPr="0C34660A">
        <w:t>approximately 287</w:t>
      </w:r>
      <w:bookmarkEnd w:id="514"/>
      <w:r w:rsidR="431993A9" w:rsidRPr="0C34660A">
        <w:t xml:space="preserve"> kg TEQ</w:t>
      </w:r>
      <w:bookmarkStart w:id="515" w:name="_Int_c64PNtHT"/>
      <w:r w:rsidR="431993A9" w:rsidRPr="0C34660A">
        <w:t xml:space="preserve">. </w:t>
      </w:r>
      <w:bookmarkEnd w:id="515"/>
      <w:r w:rsidR="431993A9" w:rsidRPr="0C34660A">
        <w:t>About 57% of this quantity was deposited in land areas of the globe and 40% in the oceans wit</w:t>
      </w:r>
      <w:r w:rsidR="5A875F14" w:rsidRPr="0C34660A">
        <w:t xml:space="preserve">h the remaining 3% in the air. </w:t>
      </w:r>
      <w:r w:rsidR="431993A9" w:rsidRPr="0C34660A">
        <w:t xml:space="preserve">Industrialised countries in North America, Europe and South and East Asia were considered the biggest producers of dioxins. The authors commented that for many industrialised countries, following peak dioxin emissions in the 1970s and 80s, emissions decreased after the implementation of policies of flue gas treatment, social awareness campaigns and application of strict </w:t>
      </w:r>
      <w:r w:rsidR="5A875F14" w:rsidRPr="0C34660A">
        <w:t xml:space="preserve">legislative emission controls. </w:t>
      </w:r>
      <w:r w:rsidR="431993A9" w:rsidRPr="0C34660A">
        <w:t xml:space="preserve">On the other hand, in countries where non-industrial sources have been traditionally high contributors, emissions have remained </w:t>
      </w:r>
      <w:bookmarkStart w:id="516" w:name="_Int_2cMTfxar"/>
      <w:proofErr w:type="gramStart"/>
      <w:r w:rsidR="431993A9" w:rsidRPr="0C34660A">
        <w:t>more or less constant</w:t>
      </w:r>
      <w:bookmarkEnd w:id="516"/>
      <w:proofErr w:type="gramEnd"/>
      <w:r w:rsidR="431993A9" w:rsidRPr="0C34660A">
        <w:t xml:space="preserve"> because it is more difficult t</w:t>
      </w:r>
      <w:r w:rsidR="5A875F14" w:rsidRPr="0C34660A">
        <w:t>o control this type of process.</w:t>
      </w:r>
    </w:p>
    <w:p w14:paraId="0EA89397" w14:textId="1911255A" w:rsidR="00EB795F" w:rsidRPr="00EB795F" w:rsidRDefault="00EB795F" w:rsidP="00EB795F">
      <w:pPr>
        <w:spacing w:line="300" w:lineRule="atLeast"/>
        <w:jc w:val="both"/>
        <w:rPr>
          <w:szCs w:val="18"/>
        </w:rPr>
      </w:pPr>
      <w:r w:rsidRPr="00EB795F">
        <w:rPr>
          <w:szCs w:val="18"/>
        </w:rPr>
        <w:t xml:space="preserve">It is possible to estimate a global per capita release of 38.7 g TEQ per million people per year based on the world’s dioxin release of 287 kg TEQ and its 2016 population of 7.42 billion </w:t>
      </w:r>
      <w:r w:rsidRPr="00EB795F">
        <w:rPr>
          <w:noProof/>
          <w:szCs w:val="18"/>
        </w:rPr>
        <w:t>(Population Reference Bureau, 2016)</w:t>
      </w:r>
      <w:r w:rsidRPr="00EB795F">
        <w:rPr>
          <w:szCs w:val="18"/>
        </w:rPr>
        <w:t>.</w:t>
      </w:r>
    </w:p>
    <w:p w14:paraId="3109FA14" w14:textId="3973A45B" w:rsidR="002114B8" w:rsidRPr="00C50BB7" w:rsidRDefault="002114B8" w:rsidP="006761D2">
      <w:pPr>
        <w:spacing w:line="300" w:lineRule="atLeast"/>
        <w:jc w:val="both"/>
        <w:rPr>
          <w:szCs w:val="18"/>
        </w:rPr>
      </w:pPr>
      <w:r w:rsidRPr="00C50BB7">
        <w:rPr>
          <w:szCs w:val="18"/>
        </w:rPr>
        <w:t xml:space="preserve">A predictive </w:t>
      </w:r>
      <w:r w:rsidR="001E3994" w:rsidRPr="00C50BB7">
        <w:rPr>
          <w:szCs w:val="18"/>
        </w:rPr>
        <w:t xml:space="preserve">global </w:t>
      </w:r>
      <w:r w:rsidRPr="00C50BB7">
        <w:rPr>
          <w:szCs w:val="18"/>
        </w:rPr>
        <w:t xml:space="preserve">dioxin release model was developed by Wang </w:t>
      </w:r>
      <w:r w:rsidR="001E3994" w:rsidRPr="00C50BB7">
        <w:rPr>
          <w:szCs w:val="18"/>
        </w:rPr>
        <w:t xml:space="preserve">and co-authors (Wang et al, 2016). This used markers of human social economic activities </w:t>
      </w:r>
      <w:r w:rsidR="00AA36BA" w:rsidRPr="00C50BB7">
        <w:rPr>
          <w:szCs w:val="18"/>
        </w:rPr>
        <w:t>including gross national income and per capita national income, carbon dioxide emissions per unit GDP combined with land area to estimate releases for individual nations. The total dioxin release for 189 countries was estimated to be 100.4 kg TEQ</w:t>
      </w:r>
      <w:r w:rsidR="005F7561" w:rsidRPr="00C50BB7">
        <w:rPr>
          <w:szCs w:val="18"/>
        </w:rPr>
        <w:t xml:space="preserve"> per year with the authors giving a global per capita average release of 15.4 g TEQ per million people per year.</w:t>
      </w:r>
    </w:p>
    <w:p w14:paraId="7DC8F718" w14:textId="67A2B606" w:rsidR="00AE7C3C" w:rsidRPr="00C50BB7" w:rsidRDefault="3659BA68" w:rsidP="006761D2">
      <w:pPr>
        <w:spacing w:line="300" w:lineRule="atLeast"/>
        <w:jc w:val="both"/>
      </w:pPr>
      <w:r>
        <w:lastRenderedPageBreak/>
        <w:t xml:space="preserve">In comparison New Zealand’s </w:t>
      </w:r>
      <w:r w:rsidR="23D4090E">
        <w:t xml:space="preserve">2020 </w:t>
      </w:r>
      <w:r w:rsidR="669F4A84">
        <w:t xml:space="preserve">release of </w:t>
      </w:r>
      <w:r w:rsidR="23D4090E">
        <w:t>3</w:t>
      </w:r>
      <w:r w:rsidR="006B3240">
        <w:t>6.</w:t>
      </w:r>
      <w:r w:rsidR="004E2AAF">
        <w:t>6</w:t>
      </w:r>
      <w:r w:rsidR="65F6C300">
        <w:t xml:space="preserve"> g TEQ combined with a population of </w:t>
      </w:r>
      <w:r w:rsidR="23D4090E">
        <w:t>5.025</w:t>
      </w:r>
      <w:r w:rsidR="65F6C300">
        <w:t xml:space="preserve"> million gives a</w:t>
      </w:r>
      <w:r w:rsidR="669F4A84">
        <w:t xml:space="preserve"> per capita value of </w:t>
      </w:r>
      <w:r w:rsidR="23D4090E">
        <w:t>7.</w:t>
      </w:r>
      <w:r w:rsidR="006B3240">
        <w:t>3</w:t>
      </w:r>
      <w:r w:rsidR="65F6C300">
        <w:t xml:space="preserve"> g TEQ per </w:t>
      </w:r>
      <w:r w:rsidR="6CC7C731">
        <w:t xml:space="preserve">million people. </w:t>
      </w:r>
      <w:r w:rsidR="65F6C300">
        <w:t>The valu</w:t>
      </w:r>
      <w:r w:rsidR="4D535FCC">
        <w:t xml:space="preserve">es for </w:t>
      </w:r>
      <w:r w:rsidR="23D4090E">
        <w:t>2012</w:t>
      </w:r>
      <w:r w:rsidR="4D535FCC">
        <w:t xml:space="preserve"> and </w:t>
      </w:r>
      <w:r w:rsidR="23D4090E">
        <w:t>2016</w:t>
      </w:r>
      <w:r w:rsidR="4D535FCC">
        <w:t xml:space="preserve"> were </w:t>
      </w:r>
      <w:r w:rsidR="3B348305">
        <w:t>8.</w:t>
      </w:r>
      <w:r w:rsidR="004E2AAF">
        <w:t>4</w:t>
      </w:r>
      <w:r w:rsidR="669F4A84">
        <w:t xml:space="preserve"> </w:t>
      </w:r>
      <w:r w:rsidR="2B15E7CC">
        <w:t xml:space="preserve">and </w:t>
      </w:r>
      <w:r w:rsidR="3B348305">
        <w:t>7.</w:t>
      </w:r>
      <w:r w:rsidR="004E2AAF">
        <w:t>9</w:t>
      </w:r>
      <w:r w:rsidR="3B348305">
        <w:t xml:space="preserve"> </w:t>
      </w:r>
      <w:r w:rsidR="65F6C300">
        <w:t>g TEQ p</w:t>
      </w:r>
      <w:r w:rsidR="669F4A84">
        <w:t xml:space="preserve">er million </w:t>
      </w:r>
      <w:bookmarkStart w:id="517" w:name="_Int_2FboTwD7"/>
      <w:r w:rsidR="669F4A84">
        <w:t>people,</w:t>
      </w:r>
      <w:bookmarkEnd w:id="517"/>
      <w:r w:rsidR="669F4A84">
        <w:t xml:space="preserve"> respectively.</w:t>
      </w:r>
    </w:p>
    <w:p w14:paraId="2B3F981B" w14:textId="2C98E0A4" w:rsidR="00C50BB7" w:rsidRPr="00C50BB7" w:rsidRDefault="3B348305" w:rsidP="006761D2">
      <w:pPr>
        <w:spacing w:line="300" w:lineRule="atLeast"/>
        <w:jc w:val="both"/>
      </w:pPr>
      <w:r>
        <w:t xml:space="preserve">Other countries of similar population size and economic status had the following per capita values (g TEQ per million people):  Cyprus 7.6, Hungary </w:t>
      </w:r>
      <w:bookmarkStart w:id="518" w:name="_Int_EFiNxaIz"/>
      <w:r>
        <w:t>11.8,</w:t>
      </w:r>
      <w:bookmarkEnd w:id="518"/>
      <w:r>
        <w:t xml:space="preserve"> and Portugal 6.7 (Saral, Gunes and Demir, 2014) </w:t>
      </w:r>
    </w:p>
    <w:p w14:paraId="07D42669" w14:textId="073AAF2B" w:rsidR="006761D2" w:rsidRPr="00D91952" w:rsidRDefault="006761D2" w:rsidP="00261F78">
      <w:pPr>
        <w:pStyle w:val="Heading2"/>
      </w:pPr>
      <w:bookmarkStart w:id="519" w:name="_Toc112768179"/>
      <w:r w:rsidRPr="00D91952">
        <w:t xml:space="preserve">Other New Zealand </w:t>
      </w:r>
      <w:r w:rsidR="00B50F57">
        <w:t>S</w:t>
      </w:r>
      <w:r w:rsidRPr="00D91952">
        <w:t>tudies</w:t>
      </w:r>
      <w:bookmarkEnd w:id="519"/>
    </w:p>
    <w:p w14:paraId="70D232E7" w14:textId="58914CF5" w:rsidR="006761D2" w:rsidRPr="00D91952" w:rsidRDefault="24854215" w:rsidP="006761D2">
      <w:pPr>
        <w:spacing w:line="300" w:lineRule="atLeast"/>
        <w:jc w:val="both"/>
      </w:pPr>
      <w:r>
        <w:t>There are no official recommendations for ‘acceptable’ levels of national dioxin releases, and it is also not possible to relate the release estimates to any potential health effects. The more relevant information is provided by national surveys of dioxin body burdens, for which there have been several New Zealand studies.</w:t>
      </w:r>
    </w:p>
    <w:p w14:paraId="4AF7C0ED" w14:textId="50A996E1" w:rsidR="006761D2" w:rsidRPr="00D91952" w:rsidRDefault="24854215" w:rsidP="006761D2">
      <w:pPr>
        <w:spacing w:line="300" w:lineRule="atLeast"/>
        <w:jc w:val="both"/>
      </w:pPr>
      <w:r>
        <w:t xml:space="preserve">The levels of dioxins in mothers’ milk have been measured on 3 occasions in New Zealand, 1988, 1998 and 2008 </w:t>
      </w:r>
      <w:r w:rsidR="7CFA8A92" w:rsidRPr="0C34660A">
        <w:rPr>
          <w:noProof/>
        </w:rPr>
        <w:t>(Mannetje, Douwes, &amp; Duckett, Concentrations of Persistent Organic Pollutants in the Milk of New Zealand Women, 2010)</w:t>
      </w:r>
      <w:r>
        <w:t xml:space="preserve">. These studies showed that the dioxin concentrations in New Zealand mothers are </w:t>
      </w:r>
      <w:bookmarkStart w:id="520" w:name="_Int_eIbcGqRY"/>
      <w:r>
        <w:t>relatively low</w:t>
      </w:r>
      <w:bookmarkEnd w:id="520"/>
      <w:r>
        <w:t xml:space="preserve"> by comparison with many other countries. Also, the levels have been steadily dropping, with a reduction of 70% observed from 1988 to 1998, and a further reduction of 40% from 1998 to 2008.</w:t>
      </w:r>
    </w:p>
    <w:p w14:paraId="66D1B0DC" w14:textId="3CEFFF9A" w:rsidR="00876150" w:rsidRPr="00D91952" w:rsidRDefault="00876150" w:rsidP="00876150">
      <w:pPr>
        <w:pStyle w:val="Caption"/>
      </w:pPr>
      <w:r w:rsidRPr="00D91952">
        <w:t xml:space="preserve">Figure </w:t>
      </w:r>
      <w:r>
        <w:fldChar w:fldCharType="begin"/>
      </w:r>
      <w:r>
        <w:instrText>STYLEREF 1 \s</w:instrText>
      </w:r>
      <w:r>
        <w:fldChar w:fldCharType="separate"/>
      </w:r>
      <w:r w:rsidR="00141D7F">
        <w:rPr>
          <w:noProof/>
        </w:rPr>
        <w:t>13</w:t>
      </w:r>
      <w:r>
        <w:fldChar w:fldCharType="end"/>
      </w:r>
      <w:r w:rsidRPr="00D91952">
        <w:noBreakHyphen/>
      </w:r>
      <w:r w:rsidR="007B3B1D" w:rsidRPr="00D91952">
        <w:t>5</w:t>
      </w:r>
      <w:r w:rsidRPr="00D91952">
        <w:t>: Serum dioxin concentrations in New Zealanders, 1997 and 2012</w:t>
      </w:r>
    </w:p>
    <w:p w14:paraId="272BF268" w14:textId="77777777" w:rsidR="009C4E50" w:rsidRPr="00AF1200" w:rsidRDefault="009C4E50" w:rsidP="009C4E50">
      <w:pPr>
        <w:spacing w:line="300" w:lineRule="atLeast"/>
        <w:jc w:val="center"/>
        <w:rPr>
          <w:szCs w:val="18"/>
          <w:highlight w:val="yellow"/>
        </w:rPr>
      </w:pPr>
      <w:r w:rsidRPr="00AF1200">
        <w:rPr>
          <w:noProof/>
          <w:highlight w:val="yellow"/>
          <w:lang w:eastAsia="en-NZ"/>
        </w:rPr>
        <w:drawing>
          <wp:inline distT="0" distB="0" distL="0" distR="0" wp14:anchorId="68CB77BB" wp14:editId="60BD3D8A">
            <wp:extent cx="4001414" cy="2737293"/>
            <wp:effectExtent l="0" t="0" r="0" b="635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03516" cy="2738731"/>
                    </a:xfrm>
                    <a:prstGeom prst="rect">
                      <a:avLst/>
                    </a:prstGeom>
                  </pic:spPr>
                </pic:pic>
              </a:graphicData>
            </a:graphic>
          </wp:inline>
        </w:drawing>
      </w:r>
    </w:p>
    <w:p w14:paraId="5BFF361A" w14:textId="65FF2B89" w:rsidR="009C4E50" w:rsidRPr="00D91952" w:rsidRDefault="009C4E50" w:rsidP="009C4E50">
      <w:pPr>
        <w:spacing w:line="300" w:lineRule="atLeast"/>
        <w:jc w:val="center"/>
        <w:rPr>
          <w:rFonts w:ascii="Arial" w:hAnsi="Arial" w:cs="Arial"/>
          <w:sz w:val="16"/>
          <w:szCs w:val="18"/>
        </w:rPr>
      </w:pPr>
      <w:r w:rsidRPr="00D91952">
        <w:rPr>
          <w:rFonts w:ascii="Arial" w:hAnsi="Arial" w:cs="Arial"/>
          <w:sz w:val="16"/>
          <w:szCs w:val="18"/>
        </w:rPr>
        <w:t xml:space="preserve">(Reproduced from </w:t>
      </w:r>
      <w:sdt>
        <w:sdtPr>
          <w:rPr>
            <w:rFonts w:ascii="Arial" w:hAnsi="Arial" w:cs="Arial"/>
            <w:sz w:val="16"/>
            <w:szCs w:val="18"/>
          </w:rPr>
          <w:id w:val="-32420011"/>
          <w:citation/>
        </w:sdtPr>
        <w:sdtEndPr/>
        <w:sdtContent>
          <w:r w:rsidRPr="00D91952">
            <w:rPr>
              <w:rFonts w:ascii="Arial" w:hAnsi="Arial" w:cs="Arial"/>
              <w:sz w:val="16"/>
              <w:szCs w:val="18"/>
            </w:rPr>
            <w:fldChar w:fldCharType="begin"/>
          </w:r>
          <w:r w:rsidRPr="00D91952">
            <w:rPr>
              <w:rFonts w:ascii="Arial" w:hAnsi="Arial" w:cs="Arial"/>
              <w:sz w:val="16"/>
              <w:szCs w:val="18"/>
            </w:rPr>
            <w:instrText xml:space="preserve"> CITATION Man13 \l 5129 </w:instrText>
          </w:r>
          <w:r w:rsidRPr="00D91952">
            <w:rPr>
              <w:rFonts w:ascii="Arial" w:hAnsi="Arial" w:cs="Arial"/>
              <w:sz w:val="16"/>
              <w:szCs w:val="18"/>
            </w:rPr>
            <w:fldChar w:fldCharType="separate"/>
          </w:r>
          <w:r w:rsidR="00F1175E" w:rsidRPr="00D91952">
            <w:rPr>
              <w:rFonts w:ascii="Arial" w:hAnsi="Arial" w:cs="Arial"/>
              <w:noProof/>
              <w:sz w:val="16"/>
              <w:szCs w:val="18"/>
            </w:rPr>
            <w:t>(Mannetje, Coakley, Bates, Borman, &amp; Douwes, 2013)</w:t>
          </w:r>
          <w:r w:rsidRPr="00D91952">
            <w:rPr>
              <w:rFonts w:ascii="Arial" w:hAnsi="Arial" w:cs="Arial"/>
              <w:sz w:val="16"/>
              <w:szCs w:val="18"/>
            </w:rPr>
            <w:fldChar w:fldCharType="end"/>
          </w:r>
        </w:sdtContent>
      </w:sdt>
      <w:r w:rsidRPr="00D91952">
        <w:rPr>
          <w:rFonts w:ascii="Arial" w:hAnsi="Arial" w:cs="Arial"/>
          <w:sz w:val="16"/>
          <w:szCs w:val="18"/>
        </w:rPr>
        <w:t>)</w:t>
      </w:r>
    </w:p>
    <w:p w14:paraId="5314281F" w14:textId="62DDDB82" w:rsidR="00E17745" w:rsidRPr="00D91952" w:rsidRDefault="24854215" w:rsidP="005A1191">
      <w:pPr>
        <w:spacing w:line="300" w:lineRule="atLeast"/>
        <w:jc w:val="both"/>
      </w:pPr>
      <w:r w:rsidRPr="0C34660A">
        <w:t xml:space="preserve">The levels of dioxins in blood serum have been monitored on two occasions in New Zealand, in 1997 and 2012 </w:t>
      </w:r>
      <w:sdt>
        <w:sdtPr>
          <w:rPr>
            <w:szCs w:val="18"/>
          </w:rPr>
          <w:id w:val="1427929822"/>
          <w:lock w:val="contentLocked"/>
          <w:placeholder>
            <w:docPart w:val="DefaultPlaceholder_1081868574"/>
          </w:placeholder>
          <w:citation/>
        </w:sdtPr>
        <w:sdtEndPr/>
        <w:sdtContent>
          <w:r w:rsidR="006761D2" w:rsidRPr="00D91952">
            <w:rPr>
              <w:szCs w:val="18"/>
            </w:rPr>
            <w:fldChar w:fldCharType="begin"/>
          </w:r>
          <w:r w:rsidR="006761D2" w:rsidRPr="00D91952">
            <w:rPr>
              <w:szCs w:val="18"/>
            </w:rPr>
            <w:instrText xml:space="preserve"> CITATION Man13 \l 5129 </w:instrText>
          </w:r>
          <w:r w:rsidR="006761D2" w:rsidRPr="00D91952">
            <w:rPr>
              <w:szCs w:val="18"/>
            </w:rPr>
            <w:fldChar w:fldCharType="separate"/>
          </w:r>
          <w:r w:rsidR="25EC959F" w:rsidRPr="0C34660A">
            <w:rPr>
              <w:noProof/>
            </w:rPr>
            <w:t>(Mannetje, Coakley, Bates, Borman, &amp; Douwes, 2013)</w:t>
          </w:r>
          <w:r w:rsidR="006761D2" w:rsidRPr="00D91952">
            <w:rPr>
              <w:szCs w:val="18"/>
            </w:rPr>
            <w:fldChar w:fldCharType="end"/>
          </w:r>
        </w:sdtContent>
      </w:sdt>
      <w:r w:rsidRPr="0C34660A">
        <w:t xml:space="preserve">. Once again, these studies showed the dioxin concentrations in New Zealanders are </w:t>
      </w:r>
      <w:bookmarkStart w:id="521" w:name="_Int_uTQYFalC"/>
      <w:r w:rsidRPr="0C34660A">
        <w:t>relatively low</w:t>
      </w:r>
      <w:bookmarkEnd w:id="521"/>
      <w:r w:rsidRPr="0C34660A">
        <w:t xml:space="preserve"> by comparison with many other countries, and the levels have dropped over time. This reduction is</w:t>
      </w:r>
      <w:r w:rsidR="436DFFE1" w:rsidRPr="0C34660A">
        <w:t xml:space="preserve"> illustrated in Figure 13-5</w:t>
      </w:r>
      <w:r w:rsidRPr="0C34660A">
        <w:t xml:space="preserve"> and shows both a reduction from one ‘generation’ to the next (</w:t>
      </w:r>
      <w:r w:rsidR="005F499B">
        <w:t>eg,</w:t>
      </w:r>
      <w:r w:rsidRPr="0C34660A">
        <w:t xml:space="preserve"> 25–34-year-olds had lower dioxin levels in 2012 compared to 1997) but also a reduction as people </w:t>
      </w:r>
      <w:bookmarkStart w:id="522" w:name="_Int_1O4nd8s3"/>
      <w:r w:rsidRPr="0C34660A">
        <w:t>get</w:t>
      </w:r>
      <w:bookmarkEnd w:id="522"/>
      <w:r w:rsidRPr="0C34660A">
        <w:t xml:space="preserve"> older (</w:t>
      </w:r>
      <w:r w:rsidR="005F499B">
        <w:t>eg,</w:t>
      </w:r>
      <w:r w:rsidRPr="0C34660A">
        <w:t xml:space="preserve"> 50–64-year-olds have lower dioxin levels in 2012 than in 1997, when they were 35-49 years old).</w:t>
      </w:r>
    </w:p>
    <w:p w14:paraId="6DD180BC" w14:textId="293F95DF" w:rsidR="00512E5F" w:rsidRPr="00D91952" w:rsidRDefault="6D3C36D0" w:rsidP="005A1191">
      <w:pPr>
        <w:spacing w:line="300" w:lineRule="atLeast"/>
        <w:jc w:val="both"/>
      </w:pPr>
      <w:r>
        <w:t xml:space="preserve">A recent Japanese study </w:t>
      </w:r>
      <w:r w:rsidR="34B0C8F5">
        <w:t xml:space="preserve">confirms these trends (Muzembo et al, 2019). </w:t>
      </w:r>
      <w:r w:rsidR="3A4F771B">
        <w:t xml:space="preserve">Here the median blood dioxin level </w:t>
      </w:r>
      <w:r w:rsidR="7A1BA507">
        <w:t xml:space="preserve">was found to have decreased by 41% when comparing levels from a survey conducted between 2002- 2010 with one conducted between 2011-2016. For the latter </w:t>
      </w:r>
      <w:bookmarkStart w:id="523" w:name="_Int_r9wFvgOT"/>
      <w:r w:rsidR="7A1BA507">
        <w:t>survey,</w:t>
      </w:r>
      <w:bookmarkEnd w:id="523"/>
      <w:r w:rsidR="7A1BA507">
        <w:t xml:space="preserve"> the median dioxin blood level was 5.7</w:t>
      </w:r>
      <w:r w:rsidR="7FAD7632">
        <w:t xml:space="preserve"> pg TEQ/g lipid with 25</w:t>
      </w:r>
      <w:r w:rsidR="7FAD7632" w:rsidRPr="0C34660A">
        <w:rPr>
          <w:vertAlign w:val="superscript"/>
        </w:rPr>
        <w:t>th</w:t>
      </w:r>
      <w:r w:rsidR="7FAD7632">
        <w:t xml:space="preserve"> and 75</w:t>
      </w:r>
      <w:r w:rsidR="7FAD7632" w:rsidRPr="0C34660A">
        <w:rPr>
          <w:vertAlign w:val="superscript"/>
        </w:rPr>
        <w:t>th</w:t>
      </w:r>
      <w:r w:rsidR="7FAD7632">
        <w:t xml:space="preserve"> percentile levels of 3.8 and 8.3 pg TEQ/g lipid, respectively.</w:t>
      </w:r>
      <w:r w:rsidR="75824141">
        <w:t xml:space="preserve"> </w:t>
      </w:r>
      <w:r w:rsidR="0656EAB3">
        <w:t>A similar correlation of age and increasing dioxin serum concentrations was observed.</w:t>
      </w:r>
    </w:p>
    <w:p w14:paraId="295FCDA3" w14:textId="33BF5851" w:rsidR="0024361A" w:rsidRPr="00D91952" w:rsidRDefault="00B13477" w:rsidP="005A1191">
      <w:pPr>
        <w:spacing w:line="300" w:lineRule="atLeast"/>
        <w:jc w:val="both"/>
        <w:rPr>
          <w:szCs w:val="18"/>
        </w:rPr>
      </w:pPr>
      <w:r w:rsidRPr="00D91952">
        <w:rPr>
          <w:szCs w:val="18"/>
        </w:rPr>
        <w:lastRenderedPageBreak/>
        <w:t>It should be noted the Japanese study used WHO 200</w:t>
      </w:r>
      <w:r w:rsidR="00512E5F" w:rsidRPr="00D91952">
        <w:rPr>
          <w:szCs w:val="18"/>
        </w:rPr>
        <w:t>5</w:t>
      </w:r>
      <w:r w:rsidRPr="00D91952">
        <w:rPr>
          <w:szCs w:val="18"/>
        </w:rPr>
        <w:t xml:space="preserve"> toxic equivalence factors. To make a direct comparison with the Mannetje study results for 2012 shown above</w:t>
      </w:r>
      <w:r w:rsidR="00512E5F" w:rsidRPr="00D91952">
        <w:rPr>
          <w:szCs w:val="18"/>
        </w:rPr>
        <w:t>,</w:t>
      </w:r>
      <w:r w:rsidRPr="00D91952">
        <w:rPr>
          <w:szCs w:val="18"/>
        </w:rPr>
        <w:t xml:space="preserve"> it is necessary to express them in terms of the same toxic equivalence scheme as they have been calculated with earlier WHO 1998 factors. </w:t>
      </w:r>
      <w:r w:rsidR="00512E5F" w:rsidRPr="00D91952">
        <w:rPr>
          <w:szCs w:val="18"/>
        </w:rPr>
        <w:t>Using WHO 2005 factors the weighted mean serum concentration for New Zealand in 2012 was 5.81 with the following age distributions</w:t>
      </w:r>
      <w:r w:rsidR="00400D0F">
        <w:rPr>
          <w:szCs w:val="18"/>
        </w:rPr>
        <w:t xml:space="preserve">: </w:t>
      </w:r>
      <w:r w:rsidR="00006B87" w:rsidRPr="00D91952">
        <w:rPr>
          <w:szCs w:val="18"/>
        </w:rPr>
        <w:t>age 19-24: 3.27 pg TEQ/g lipid</w:t>
      </w:r>
      <w:r w:rsidR="00400D0F">
        <w:rPr>
          <w:szCs w:val="18"/>
        </w:rPr>
        <w:t>;</w:t>
      </w:r>
      <w:r w:rsidR="00006B87" w:rsidRPr="00D91952">
        <w:rPr>
          <w:szCs w:val="18"/>
        </w:rPr>
        <w:t xml:space="preserve"> age 25-34: 4.47 pg TEQ/g lipid</w:t>
      </w:r>
      <w:r w:rsidR="00400D0F">
        <w:rPr>
          <w:szCs w:val="18"/>
        </w:rPr>
        <w:t>;</w:t>
      </w:r>
      <w:r w:rsidR="00006B87" w:rsidRPr="00D91952">
        <w:rPr>
          <w:szCs w:val="18"/>
        </w:rPr>
        <w:t xml:space="preserve"> age 35-49: 4.97 pg TEQ/g lipid and age 50-64: 8.51 pg TEQ/g lipid</w:t>
      </w:r>
    </w:p>
    <w:p w14:paraId="52B9107C" w14:textId="77777777" w:rsidR="006761D2" w:rsidRPr="00AF1200" w:rsidRDefault="006761D2" w:rsidP="006761D2">
      <w:pPr>
        <w:spacing w:after="0"/>
        <w:rPr>
          <w:szCs w:val="18"/>
          <w:highlight w:val="yellow"/>
        </w:rPr>
      </w:pPr>
      <w:r w:rsidRPr="00AF1200">
        <w:rPr>
          <w:szCs w:val="18"/>
          <w:highlight w:val="yellow"/>
        </w:rPr>
        <w:br w:type="page"/>
      </w:r>
    </w:p>
    <w:p w14:paraId="20BA55E4" w14:textId="77777777" w:rsidR="006761D2" w:rsidRPr="00EB1460" w:rsidRDefault="006761D2" w:rsidP="00EC29F2">
      <w:pPr>
        <w:pStyle w:val="Heading1"/>
      </w:pPr>
      <w:bookmarkStart w:id="524" w:name="_Toc358573578"/>
      <w:bookmarkStart w:id="525" w:name="_Toc112768180"/>
      <w:r w:rsidRPr="00EB1460">
        <w:lastRenderedPageBreak/>
        <w:t>List of References</w:t>
      </w:r>
      <w:bookmarkEnd w:id="524"/>
      <w:bookmarkEnd w:id="525"/>
    </w:p>
    <w:p w14:paraId="277DD46F" w14:textId="77777777" w:rsidR="006761D2" w:rsidRPr="00EB1460" w:rsidRDefault="006761D2" w:rsidP="006761D2">
      <w:pPr>
        <w:pStyle w:val="Bibliography"/>
        <w:ind w:left="720" w:hanging="720"/>
      </w:pPr>
    </w:p>
    <w:p w14:paraId="49BC2AA5" w14:textId="0669963A" w:rsidR="00F1175E" w:rsidRPr="00EB1460" w:rsidRDefault="006761D2" w:rsidP="00F1175E">
      <w:pPr>
        <w:pStyle w:val="Bibliography"/>
        <w:ind w:left="720" w:hanging="720"/>
        <w:rPr>
          <w:noProof/>
        </w:rPr>
      </w:pPr>
      <w:r w:rsidRPr="00EB1460">
        <w:fldChar w:fldCharType="begin"/>
      </w:r>
      <w:r w:rsidRPr="00EB1460">
        <w:instrText xml:space="preserve"> BIBLIOGRAPHY  \l 5129 </w:instrText>
      </w:r>
      <w:r w:rsidRPr="00EB1460">
        <w:fldChar w:fldCharType="separate"/>
      </w:r>
      <w:r w:rsidR="00F1175E" w:rsidRPr="00EB1460">
        <w:rPr>
          <w:noProof/>
        </w:rPr>
        <w:t xml:space="preserve">APR Consultants. (2012). </w:t>
      </w:r>
      <w:r w:rsidR="00F1175E" w:rsidRPr="00EB1460">
        <w:rPr>
          <w:i/>
          <w:iCs/>
          <w:noProof/>
        </w:rPr>
        <w:t>Rotorua Heating Survey 2012.</w:t>
      </w:r>
      <w:r w:rsidR="00F1175E" w:rsidRPr="00EB1460">
        <w:rPr>
          <w:noProof/>
        </w:rPr>
        <w:t xml:space="preserve"> Rotorua: APR Consultants Ltd.</w:t>
      </w:r>
    </w:p>
    <w:p w14:paraId="1BB4F3DB" w14:textId="32A5A6EC" w:rsidR="00C769D7" w:rsidRPr="00EB1460" w:rsidRDefault="2438A502" w:rsidP="00C769D7">
      <w:r>
        <w:t>Auckland Council. (2022)</w:t>
      </w:r>
      <w:bookmarkStart w:id="526" w:name="_Int_q8aL7PUR"/>
      <w:r>
        <w:t xml:space="preserve">. </w:t>
      </w:r>
      <w:bookmarkEnd w:id="526"/>
      <w:r w:rsidRPr="0C34660A">
        <w:rPr>
          <w:i/>
          <w:iCs/>
        </w:rPr>
        <w:t>Help Protect Our Special Places by Maintaining Your Septic Tank. A Septic Tank Guide</w:t>
      </w:r>
      <w:r>
        <w:t>. https://www.aucklandcouncil.govt.nz/environment/looking-after-aucklands-water/stormwater/docs</w:t>
      </w:r>
      <w:r w:rsidR="123F7962">
        <w:t>maintenanceguides/maintaining-your-septic-tank-booklet-general.pdf.</w:t>
      </w:r>
    </w:p>
    <w:p w14:paraId="52BCC991" w14:textId="77777777" w:rsidR="00F1175E" w:rsidRPr="00EB1460" w:rsidRDefault="00F1175E" w:rsidP="00F1175E">
      <w:pPr>
        <w:pStyle w:val="Bibliography"/>
        <w:ind w:left="720" w:hanging="720"/>
        <w:rPr>
          <w:noProof/>
        </w:rPr>
      </w:pPr>
      <w:r w:rsidRPr="00EB1460">
        <w:rPr>
          <w:noProof/>
        </w:rPr>
        <w:t xml:space="preserve">Auckland Regional Council. (1999). </w:t>
      </w:r>
      <w:r w:rsidRPr="00EB1460">
        <w:rPr>
          <w:i/>
          <w:iCs/>
          <w:noProof/>
        </w:rPr>
        <w:t>Oil Refining and Recovery. Information Sheet 11.</w:t>
      </w:r>
      <w:r w:rsidRPr="00EB1460">
        <w:rPr>
          <w:noProof/>
        </w:rPr>
        <w:t xml:space="preserve"> Auckland: Auckland Regional Council.</w:t>
      </w:r>
    </w:p>
    <w:p w14:paraId="2F8DA069" w14:textId="77777777" w:rsidR="00F1175E" w:rsidRPr="00EB1460" w:rsidRDefault="00F1175E" w:rsidP="00F1175E">
      <w:pPr>
        <w:pStyle w:val="Bibliography"/>
        <w:ind w:left="720" w:hanging="720"/>
        <w:rPr>
          <w:noProof/>
        </w:rPr>
      </w:pPr>
      <w:r w:rsidRPr="00EB1460">
        <w:rPr>
          <w:noProof/>
        </w:rPr>
        <w:t xml:space="preserve">Auckland Regional Council. (2010). </w:t>
      </w:r>
      <w:r w:rsidRPr="00EB1460">
        <w:rPr>
          <w:i/>
          <w:iCs/>
          <w:noProof/>
        </w:rPr>
        <w:t>Decision Report on the application for resource consent for the discharges to air from the Sims Pacific Metals Limited operation at 193 James Fletcher Drive.</w:t>
      </w:r>
      <w:r w:rsidRPr="00EB1460">
        <w:rPr>
          <w:noProof/>
        </w:rPr>
        <w:t xml:space="preserve"> Auckland: Auckland Regional Council.</w:t>
      </w:r>
    </w:p>
    <w:p w14:paraId="75229774" w14:textId="77777777" w:rsidR="00F1175E" w:rsidRPr="00EB1460" w:rsidRDefault="00F1175E" w:rsidP="00F1175E">
      <w:pPr>
        <w:pStyle w:val="Bibliography"/>
        <w:ind w:left="720" w:hanging="720"/>
        <w:rPr>
          <w:noProof/>
        </w:rPr>
      </w:pPr>
      <w:r w:rsidRPr="00EB1460">
        <w:rPr>
          <w:noProof/>
        </w:rPr>
        <w:t xml:space="preserve">Beca Amec. (2006). </w:t>
      </w:r>
      <w:r w:rsidRPr="00EB1460">
        <w:rPr>
          <w:i/>
          <w:iCs/>
          <w:noProof/>
        </w:rPr>
        <w:t>Air Permit Technical Review on the Carter Holt Harvey Tasman Kraft Pulp Mill. Report prepared for the Bay of Plenty Regional Council.</w:t>
      </w:r>
      <w:r w:rsidRPr="00EB1460">
        <w:rPr>
          <w:noProof/>
        </w:rPr>
        <w:t xml:space="preserve"> Auckland: Beca Amec.</w:t>
      </w:r>
    </w:p>
    <w:p w14:paraId="4B192DD5" w14:textId="5185D87B" w:rsidR="00F1175E" w:rsidRPr="00EB1460" w:rsidRDefault="00F1175E" w:rsidP="00F1175E">
      <w:pPr>
        <w:pStyle w:val="Bibliography"/>
        <w:ind w:left="720" w:hanging="720"/>
        <w:rPr>
          <w:noProof/>
        </w:rPr>
      </w:pPr>
      <w:r w:rsidRPr="00EB1460">
        <w:rPr>
          <w:noProof/>
        </w:rPr>
        <w:t xml:space="preserve">Beca Amec. (2009). </w:t>
      </w:r>
      <w:r w:rsidRPr="00EB1460">
        <w:rPr>
          <w:i/>
          <w:iCs/>
          <w:noProof/>
        </w:rPr>
        <w:t>Technical Air Discharges Report - Tasman Pulp Mill. Report prepared for Carter Holt Harvey in support of an air discharge consent application.</w:t>
      </w:r>
      <w:r w:rsidRPr="00EB1460">
        <w:rPr>
          <w:noProof/>
        </w:rPr>
        <w:t xml:space="preserve"> Christchurch: Beca Amec.</w:t>
      </w:r>
    </w:p>
    <w:p w14:paraId="63E34ECB" w14:textId="57E806FD" w:rsidR="009B5D58" w:rsidRPr="00EB1460" w:rsidRDefault="002E6DC4" w:rsidP="009B5D58">
      <w:pPr>
        <w:pStyle w:val="Bibliography"/>
        <w:ind w:left="720" w:hanging="720"/>
        <w:rPr>
          <w:noProof/>
        </w:rPr>
      </w:pPr>
      <w:r w:rsidRPr="00EB1460">
        <w:t xml:space="preserve">Beca, GHD and Boffa Miskell. (2020). </w:t>
      </w:r>
      <w:r w:rsidRPr="00EB1460">
        <w:rPr>
          <w:i/>
          <w:iCs/>
        </w:rPr>
        <w:t xml:space="preserve">The New Zealand Wastewater Sector Report. </w:t>
      </w:r>
      <w:r w:rsidRPr="00EB1460">
        <w:t>Auckland: Beca, GHD and Boffa Miskell.</w:t>
      </w:r>
    </w:p>
    <w:p w14:paraId="527A5529" w14:textId="77777777" w:rsidR="009B5D58" w:rsidRPr="00EB1460" w:rsidRDefault="00F1175E" w:rsidP="009B5D58">
      <w:pPr>
        <w:pStyle w:val="Bibliography"/>
        <w:ind w:left="720" w:hanging="720"/>
        <w:rPr>
          <w:noProof/>
        </w:rPr>
      </w:pPr>
      <w:r w:rsidRPr="00EB1460">
        <w:rPr>
          <w:noProof/>
        </w:rPr>
        <w:t xml:space="preserve">Bell, D. H., &amp; Wilson, D. (1988). Hazardous Waste Disposal in New Zealand. </w:t>
      </w:r>
      <w:r w:rsidRPr="00EB1460">
        <w:rPr>
          <w:i/>
          <w:iCs/>
          <w:noProof/>
        </w:rPr>
        <w:t>Bulletin of the Unternational Association of Engineering Geology, 37</w:t>
      </w:r>
      <w:r w:rsidRPr="00EB1460">
        <w:rPr>
          <w:noProof/>
        </w:rPr>
        <w:t>, 15-26.</w:t>
      </w:r>
    </w:p>
    <w:p w14:paraId="37479AB7" w14:textId="77777777" w:rsidR="009B5D58" w:rsidRPr="00EB1460" w:rsidRDefault="00036CA8" w:rsidP="009B5D58">
      <w:pPr>
        <w:pStyle w:val="Bibliography"/>
        <w:ind w:left="720" w:hanging="720"/>
        <w:rPr>
          <w:noProof/>
        </w:rPr>
      </w:pPr>
      <w:r w:rsidRPr="00EB1460">
        <w:rPr>
          <w:noProof/>
        </w:rPr>
        <w:t>Climate Leaders Coalition. (2022). https://www.climateleaderscoalition.org.nz/wp-content/uploads/2022/06/OjiFS-carbon-reduction-case-study_Tasman-Mill.pdf</w:t>
      </w:r>
    </w:p>
    <w:p w14:paraId="5C01329D" w14:textId="77777777" w:rsidR="009B5D58" w:rsidRPr="00EB1460" w:rsidRDefault="00F1175E" w:rsidP="009B5D58">
      <w:pPr>
        <w:pStyle w:val="Bibliography"/>
        <w:ind w:left="720" w:hanging="720"/>
        <w:rPr>
          <w:noProof/>
        </w:rPr>
      </w:pPr>
      <w:r w:rsidRPr="00EB1460">
        <w:rPr>
          <w:noProof/>
        </w:rPr>
        <w:t xml:space="preserve">CRL Energy. (2011). </w:t>
      </w:r>
      <w:r w:rsidRPr="00EB1460">
        <w:rPr>
          <w:i/>
          <w:iCs/>
          <w:noProof/>
        </w:rPr>
        <w:t>Heat Plant in New Zealand: Heat Plant Sized Greater than 100 Kilowattt Thermal Segmented by Industry Sector as at August 2011.</w:t>
      </w:r>
      <w:r w:rsidRPr="00EB1460">
        <w:rPr>
          <w:noProof/>
        </w:rPr>
        <w:t xml:space="preserve"> Wellington: CRL Energy Ltd on behalf of the Energy Efficiency and Conservation Authority.</w:t>
      </w:r>
    </w:p>
    <w:p w14:paraId="4FD645D2" w14:textId="77777777" w:rsidR="009B5D58" w:rsidRPr="00EB1460" w:rsidRDefault="00F1175E" w:rsidP="009B5D58">
      <w:pPr>
        <w:pStyle w:val="Bibliography"/>
        <w:ind w:left="720" w:hanging="720"/>
        <w:rPr>
          <w:noProof/>
        </w:rPr>
      </w:pPr>
      <w:r w:rsidRPr="00EB1460">
        <w:rPr>
          <w:noProof/>
        </w:rPr>
        <w:t xml:space="preserve">Crown Minerals. (undated). </w:t>
      </w:r>
      <w:r w:rsidRPr="00EB1460">
        <w:rPr>
          <w:i/>
          <w:iCs/>
          <w:noProof/>
        </w:rPr>
        <w:t>Fact Sheet: Metallic Mineral Occurrences.</w:t>
      </w:r>
      <w:r w:rsidRPr="00EB1460">
        <w:rPr>
          <w:noProof/>
        </w:rPr>
        <w:t xml:space="preserve"> Wellington: Ministry of Economic Development.</w:t>
      </w:r>
    </w:p>
    <w:p w14:paraId="38B7B440" w14:textId="77777777" w:rsidR="009B5D58" w:rsidRPr="00EB1460" w:rsidRDefault="00F1175E" w:rsidP="009B5D58">
      <w:pPr>
        <w:pStyle w:val="Bibliography"/>
        <w:ind w:left="720" w:hanging="720"/>
        <w:rPr>
          <w:noProof/>
        </w:rPr>
      </w:pPr>
      <w:r w:rsidRPr="00EB1460">
        <w:rPr>
          <w:noProof/>
        </w:rPr>
        <w:t xml:space="preserve">Dopico, M., &amp; Gomez, D. (2015). Review of the Current State and Main Sources of Dioxins Around the World. </w:t>
      </w:r>
      <w:r w:rsidRPr="00EB1460">
        <w:rPr>
          <w:i/>
          <w:iCs/>
          <w:noProof/>
        </w:rPr>
        <w:t>Journal of the Air and Waste Management Association</w:t>
      </w:r>
      <w:r w:rsidRPr="00EB1460">
        <w:rPr>
          <w:noProof/>
        </w:rPr>
        <w:t>, 1033-1049.</w:t>
      </w:r>
    </w:p>
    <w:p w14:paraId="573F9D0C" w14:textId="77777777" w:rsidR="009B5D58" w:rsidRPr="00EB1460" w:rsidRDefault="00877FFD" w:rsidP="009B5D58">
      <w:pPr>
        <w:pStyle w:val="Bibliography"/>
        <w:ind w:left="720" w:hanging="720"/>
        <w:rPr>
          <w:noProof/>
        </w:rPr>
      </w:pPr>
      <w:r w:rsidRPr="00EB1460">
        <w:t xml:space="preserve">EnergyConsult. (2021). </w:t>
      </w:r>
      <w:r w:rsidRPr="00EB1460">
        <w:rPr>
          <w:i/>
          <w:iCs/>
        </w:rPr>
        <w:t>2021 Residential Baseline Study for Australia and New Zealand for 2000 - 2040</w:t>
      </w:r>
      <w:r w:rsidRPr="00EB1460">
        <w:t>. https://www.energyrating.gov.au/news/2021-residential-energy-baseline-study-australia-and-new-zealand-20000-2040</w:t>
      </w:r>
    </w:p>
    <w:p w14:paraId="29012643" w14:textId="77777777" w:rsidR="009B5D58" w:rsidRPr="00EB1460" w:rsidRDefault="00A15502" w:rsidP="009B5D58">
      <w:pPr>
        <w:pStyle w:val="Bibliography"/>
        <w:ind w:left="720" w:hanging="720"/>
        <w:rPr>
          <w:noProof/>
        </w:rPr>
      </w:pPr>
      <w:r w:rsidRPr="00EB1460">
        <w:t>Energy Efficiency and Conservation Authority. (2021). O</w:t>
      </w:r>
      <w:r w:rsidRPr="00EB1460">
        <w:rPr>
          <w:i/>
          <w:iCs/>
        </w:rPr>
        <w:t xml:space="preserve">ff-Road Liquid Fuel Insights. Quantifying Off Road Diesel and Petrol Use in New Zealand. </w:t>
      </w:r>
      <w:r w:rsidRPr="00EB1460">
        <w:t>Wellington: Energy Efficiency and Conservation Authority.</w:t>
      </w:r>
    </w:p>
    <w:p w14:paraId="707AE5E2" w14:textId="14766201" w:rsidR="00F1175E" w:rsidRPr="00EB1460" w:rsidRDefault="00F1175E" w:rsidP="00F1175E">
      <w:pPr>
        <w:pStyle w:val="Bibliography"/>
        <w:ind w:left="720" w:hanging="720"/>
        <w:rPr>
          <w:noProof/>
        </w:rPr>
      </w:pPr>
      <w:r w:rsidRPr="00EB1460">
        <w:rPr>
          <w:noProof/>
        </w:rPr>
        <w:t>Energy Efficiency and Conservation Authority. (</w:t>
      </w:r>
      <w:r w:rsidR="00D357EA" w:rsidRPr="00EB1460">
        <w:rPr>
          <w:noProof/>
        </w:rPr>
        <w:t>2022</w:t>
      </w:r>
      <w:r w:rsidRPr="00EB1460">
        <w:rPr>
          <w:noProof/>
        </w:rPr>
        <w:t xml:space="preserve">). </w:t>
      </w:r>
      <w:r w:rsidRPr="00EB1460">
        <w:rPr>
          <w:i/>
          <w:iCs/>
          <w:noProof/>
        </w:rPr>
        <w:t>Energy End Use Database.</w:t>
      </w:r>
      <w:r w:rsidRPr="00EB1460">
        <w:rPr>
          <w:noProof/>
        </w:rPr>
        <w:t xml:space="preserve"> Wellington: Energy Efficiency and Conservation Authority.</w:t>
      </w:r>
      <w:r w:rsidR="00D357EA" w:rsidRPr="00EB1460">
        <w:rPr>
          <w:noProof/>
          <w:szCs w:val="18"/>
        </w:rPr>
        <w:t xml:space="preserve"> </w:t>
      </w:r>
      <w:r w:rsidR="00D357EA" w:rsidRPr="00EB1460">
        <w:rPr>
          <w:szCs w:val="18"/>
          <w:lang w:val="en"/>
        </w:rPr>
        <w:t>(www.eeca.govt.nz/resources-and-tools/tools/energy-end-use-database).</w:t>
      </w:r>
    </w:p>
    <w:p w14:paraId="35D20DF5" w14:textId="77777777" w:rsidR="00F1175E" w:rsidRPr="00EB1460" w:rsidRDefault="00F1175E" w:rsidP="00F1175E">
      <w:pPr>
        <w:pStyle w:val="Bibliography"/>
        <w:ind w:left="720" w:hanging="720"/>
        <w:rPr>
          <w:noProof/>
        </w:rPr>
      </w:pPr>
      <w:r w:rsidRPr="00EB1460">
        <w:rPr>
          <w:noProof/>
        </w:rPr>
        <w:t xml:space="preserve">Environment Southland. (2013). </w:t>
      </w:r>
      <w:r w:rsidRPr="00EB1460">
        <w:rPr>
          <w:i/>
          <w:iCs/>
          <w:noProof/>
        </w:rPr>
        <w:t>Dust Suppression- Keeping Your Air Clean! .</w:t>
      </w:r>
      <w:r w:rsidRPr="00EB1460">
        <w:rPr>
          <w:noProof/>
        </w:rPr>
        <w:t xml:space="preserve"> Invercargill: Environment Southland.</w:t>
      </w:r>
    </w:p>
    <w:p w14:paraId="566E3769" w14:textId="77777777" w:rsidR="00F1175E" w:rsidRPr="00EB1460" w:rsidRDefault="00F1175E" w:rsidP="00F1175E">
      <w:pPr>
        <w:pStyle w:val="Bibliography"/>
        <w:ind w:left="720" w:hanging="720"/>
        <w:rPr>
          <w:noProof/>
        </w:rPr>
      </w:pPr>
      <w:r w:rsidRPr="00EB1460">
        <w:rPr>
          <w:noProof/>
        </w:rPr>
        <w:t xml:space="preserve">Environmental Protection Authority. (2012 and 2013). </w:t>
      </w:r>
      <w:r w:rsidRPr="00EB1460">
        <w:rPr>
          <w:i/>
          <w:iCs/>
          <w:noProof/>
        </w:rPr>
        <w:t>Climate Change Response Act 2002; 2011 and 2012 Annual Reports.</w:t>
      </w:r>
      <w:r w:rsidRPr="00EB1460">
        <w:rPr>
          <w:noProof/>
        </w:rPr>
        <w:t xml:space="preserve"> Wellington: Environmental Protection Authority.</w:t>
      </w:r>
    </w:p>
    <w:p w14:paraId="5D5094F4" w14:textId="77777777" w:rsidR="00F1175E" w:rsidRPr="00EB1460" w:rsidRDefault="25EC959F" w:rsidP="00F1175E">
      <w:pPr>
        <w:pStyle w:val="Bibliography"/>
        <w:ind w:left="720" w:hanging="720"/>
        <w:rPr>
          <w:noProof/>
        </w:rPr>
      </w:pPr>
      <w:r w:rsidRPr="0C34660A">
        <w:rPr>
          <w:noProof/>
        </w:rPr>
        <w:t xml:space="preserve">Environmental Protection Authority. (2013). </w:t>
      </w:r>
      <w:r w:rsidRPr="0C34660A">
        <w:rPr>
          <w:i/>
          <w:iCs/>
          <w:noProof/>
        </w:rPr>
        <w:t xml:space="preserve">Management and Handling of Used Oil. HSNO </w:t>
      </w:r>
      <w:bookmarkStart w:id="527" w:name="_Int_Huyp6uPx"/>
      <w:r w:rsidRPr="0C34660A">
        <w:rPr>
          <w:i/>
          <w:iCs/>
          <w:noProof/>
        </w:rPr>
        <w:t>COP</w:t>
      </w:r>
      <w:bookmarkEnd w:id="527"/>
      <w:r w:rsidRPr="0C34660A">
        <w:rPr>
          <w:i/>
          <w:iCs/>
          <w:noProof/>
        </w:rPr>
        <w:t xml:space="preserve"> 63.</w:t>
      </w:r>
      <w:r w:rsidRPr="0C34660A">
        <w:rPr>
          <w:noProof/>
        </w:rPr>
        <w:t xml:space="preserve"> Wellington: Environmental Protection Authority.</w:t>
      </w:r>
    </w:p>
    <w:p w14:paraId="776F3E5D" w14:textId="77777777" w:rsidR="00F1175E" w:rsidRPr="00EB1460" w:rsidRDefault="00F1175E" w:rsidP="00F1175E">
      <w:pPr>
        <w:pStyle w:val="Bibliography"/>
        <w:ind w:left="720" w:hanging="720"/>
        <w:rPr>
          <w:noProof/>
        </w:rPr>
      </w:pPr>
      <w:r w:rsidRPr="00EB1460">
        <w:rPr>
          <w:noProof/>
        </w:rPr>
        <w:t xml:space="preserve">Environmental Risk Management Authority. (2008). </w:t>
      </w:r>
      <w:r w:rsidRPr="00EB1460">
        <w:rPr>
          <w:i/>
          <w:iCs/>
          <w:noProof/>
        </w:rPr>
        <w:t>Decision Report on Application HRC07004.</w:t>
      </w:r>
      <w:r w:rsidRPr="00EB1460">
        <w:rPr>
          <w:noProof/>
        </w:rPr>
        <w:t xml:space="preserve"> Wellington: ERMA New Zealand.</w:t>
      </w:r>
    </w:p>
    <w:p w14:paraId="01B85AF1" w14:textId="77777777" w:rsidR="00F1175E" w:rsidRPr="00EB1460" w:rsidRDefault="00F1175E" w:rsidP="00F1175E">
      <w:pPr>
        <w:pStyle w:val="Bibliography"/>
        <w:ind w:left="720" w:hanging="720"/>
        <w:rPr>
          <w:noProof/>
        </w:rPr>
      </w:pPr>
      <w:r w:rsidRPr="00EB1460">
        <w:rPr>
          <w:noProof/>
        </w:rPr>
        <w:t xml:space="preserve">ERMA New Zealand. (2011). </w:t>
      </w:r>
      <w:r w:rsidRPr="00EB1460">
        <w:rPr>
          <w:i/>
          <w:iCs/>
          <w:noProof/>
        </w:rPr>
        <w:t>Application for the Reassessment of a Hazardous Substance under Section 63 of the Hazardous Substances and New Organisms Act 1996; No. HS200692.</w:t>
      </w:r>
      <w:r w:rsidRPr="00EB1460">
        <w:rPr>
          <w:noProof/>
        </w:rPr>
        <w:t xml:space="preserve"> Wellington: New Zealand Environmental Risk Management Authority.</w:t>
      </w:r>
    </w:p>
    <w:p w14:paraId="4C6C0320" w14:textId="77777777" w:rsidR="00F1175E" w:rsidRPr="00EB1460" w:rsidRDefault="00F1175E" w:rsidP="00F1175E">
      <w:pPr>
        <w:pStyle w:val="Bibliography"/>
        <w:ind w:left="720" w:hanging="720"/>
        <w:rPr>
          <w:noProof/>
        </w:rPr>
      </w:pPr>
      <w:r w:rsidRPr="00EB1460">
        <w:rPr>
          <w:noProof/>
        </w:rPr>
        <w:lastRenderedPageBreak/>
        <w:t xml:space="preserve">Halliday, L., Slaughter, G., Rynne, M., &amp; Totty, B. (2007). </w:t>
      </w:r>
      <w:r w:rsidRPr="00EB1460">
        <w:rPr>
          <w:i/>
          <w:iCs/>
          <w:noProof/>
        </w:rPr>
        <w:t>Ten Years of the New Zealand Used Oil Recovery Programme. Paper presented at the Annual Conference.</w:t>
      </w:r>
      <w:r w:rsidRPr="00EB1460">
        <w:rPr>
          <w:noProof/>
        </w:rPr>
        <w:t xml:space="preserve"> Auckland: Waste Management Institute of New Zealand.</w:t>
      </w:r>
    </w:p>
    <w:p w14:paraId="42C0F160" w14:textId="674FCE12" w:rsidR="008D660F" w:rsidRPr="00EB1460" w:rsidRDefault="3B0A1B65" w:rsidP="003D73C3">
      <w:r>
        <w:t>Health Promotion Agency. (2022)</w:t>
      </w:r>
      <w:bookmarkStart w:id="528" w:name="_Int_U0zpYzSW"/>
      <w:r>
        <w:t xml:space="preserve">. </w:t>
      </w:r>
      <w:bookmarkEnd w:id="528"/>
      <w:r w:rsidRPr="0C34660A">
        <w:rPr>
          <w:i/>
          <w:iCs/>
        </w:rPr>
        <w:t>Tobacco Control Data Repository. 4 Weekly Equivalent Cigarette Sales Volume</w:t>
      </w:r>
    </w:p>
    <w:p w14:paraId="0E3B4E2D" w14:textId="63C80012" w:rsidR="00F1175E" w:rsidRPr="00EB1460" w:rsidRDefault="00F1175E" w:rsidP="00F1175E">
      <w:pPr>
        <w:pStyle w:val="Bibliography"/>
        <w:ind w:left="720" w:hanging="720"/>
        <w:rPr>
          <w:noProof/>
        </w:rPr>
      </w:pPr>
      <w:r w:rsidRPr="00EB1460">
        <w:rPr>
          <w:noProof/>
        </w:rPr>
        <w:t xml:space="preserve">Jaques, R. (2002). </w:t>
      </w:r>
      <w:r w:rsidRPr="00EB1460">
        <w:rPr>
          <w:i/>
          <w:iCs/>
          <w:noProof/>
        </w:rPr>
        <w:t>Environmental Impacts Associated with New Zealand Structural Steel Manufacture – Preliminary Study. Study Report No. 113.</w:t>
      </w:r>
      <w:r w:rsidRPr="00EB1460">
        <w:rPr>
          <w:noProof/>
        </w:rPr>
        <w:t xml:space="preserve"> Wellington: BRANZ.</w:t>
      </w:r>
    </w:p>
    <w:p w14:paraId="0AB7936D" w14:textId="01588014" w:rsidR="008C3CAA" w:rsidRPr="00EB1460" w:rsidRDefault="008C3CAA">
      <w:r w:rsidRPr="00EB1460">
        <w:t>K2 Environmental. (2020</w:t>
      </w:r>
      <w:r w:rsidR="00694661" w:rsidRPr="00EB1460">
        <w:t>)</w:t>
      </w:r>
      <w:r w:rsidRPr="00EB1460">
        <w:t>. S</w:t>
      </w:r>
      <w:r w:rsidRPr="00EB1460">
        <w:rPr>
          <w:i/>
          <w:iCs/>
        </w:rPr>
        <w:t>tack Emission Assessment, Wastewater Treatment Plant , Dunedin.</w:t>
      </w:r>
      <w:r w:rsidRPr="00EB1460">
        <w:t xml:space="preserve"> Report Number UO462</w:t>
      </w:r>
      <w:r w:rsidR="00694661" w:rsidRPr="00EB1460">
        <w:t>. March 2020.</w:t>
      </w:r>
    </w:p>
    <w:p w14:paraId="3B362D92" w14:textId="6C160694" w:rsidR="00220CAC" w:rsidRPr="00EB1460" w:rsidRDefault="00220CAC" w:rsidP="003D73C3">
      <w:r w:rsidRPr="00EB1460">
        <w:t xml:space="preserve">Law Commission. (2013). </w:t>
      </w:r>
      <w:r w:rsidRPr="00EB1460">
        <w:rPr>
          <w:i/>
          <w:iCs/>
        </w:rPr>
        <w:t>The Legal Framework for Burial and Cremation in New Zealand</w:t>
      </w:r>
      <w:r w:rsidR="00057355" w:rsidRPr="00EB1460">
        <w:rPr>
          <w:i/>
          <w:iCs/>
        </w:rPr>
        <w:t>. A First Principles Review.</w:t>
      </w:r>
      <w:r w:rsidR="00057355" w:rsidRPr="00EB1460">
        <w:t xml:space="preserve"> Wellington: Law Commission.</w:t>
      </w:r>
    </w:p>
    <w:p w14:paraId="1432DA42" w14:textId="77777777" w:rsidR="00F1175E" w:rsidRPr="00EB1460" w:rsidRDefault="00F1175E" w:rsidP="00F1175E">
      <w:pPr>
        <w:pStyle w:val="Bibliography"/>
        <w:ind w:left="720" w:hanging="720"/>
        <w:rPr>
          <w:noProof/>
        </w:rPr>
      </w:pPr>
      <w:r w:rsidRPr="00EB1460">
        <w:rPr>
          <w:noProof/>
        </w:rPr>
        <w:t xml:space="preserve">Lubrication Engineers. (1991). </w:t>
      </w:r>
      <w:r w:rsidRPr="00EB1460">
        <w:rPr>
          <w:i/>
          <w:iCs/>
          <w:noProof/>
        </w:rPr>
        <w:t>Notes on Oil Consumption.</w:t>
      </w:r>
      <w:r w:rsidRPr="00EB1460">
        <w:rPr>
          <w:noProof/>
        </w:rPr>
        <w:t xml:space="preserve"> Kansas: Lubrication Engineers Inc.</w:t>
      </w:r>
    </w:p>
    <w:p w14:paraId="7DEBDB82" w14:textId="77777777" w:rsidR="00F1175E" w:rsidRPr="00EB1460" w:rsidRDefault="00F1175E" w:rsidP="00F1175E">
      <w:pPr>
        <w:pStyle w:val="Bibliography"/>
        <w:ind w:left="720" w:hanging="720"/>
        <w:rPr>
          <w:noProof/>
        </w:rPr>
      </w:pPr>
      <w:r w:rsidRPr="00EB1460">
        <w:rPr>
          <w:noProof/>
        </w:rPr>
        <w:t xml:space="preserve">Mannetje, A., Coakley, J., Bates, M., Borman, B., &amp; Douwes, J. (2013). </w:t>
      </w:r>
      <w:r w:rsidRPr="00EB1460">
        <w:rPr>
          <w:i/>
          <w:iCs/>
          <w:noProof/>
        </w:rPr>
        <w:t>Concentrations of Selected Persistent Organic Pollutants in the Serum of New Zealanders.</w:t>
      </w:r>
      <w:r w:rsidRPr="00EB1460">
        <w:rPr>
          <w:noProof/>
        </w:rPr>
        <w:t xml:space="preserve"> Wellington: Report prepared by the Centre for Public Health Research for the Ministry of Health.</w:t>
      </w:r>
    </w:p>
    <w:p w14:paraId="5C50F9A5" w14:textId="77777777" w:rsidR="00F1175E" w:rsidRPr="00EB1460" w:rsidRDefault="00F1175E" w:rsidP="00F1175E">
      <w:pPr>
        <w:pStyle w:val="Bibliography"/>
        <w:ind w:left="720" w:hanging="720"/>
        <w:rPr>
          <w:noProof/>
        </w:rPr>
      </w:pPr>
      <w:r w:rsidRPr="00EB1460">
        <w:rPr>
          <w:noProof/>
        </w:rPr>
        <w:t xml:space="preserve">Mannetje, A., Douwes, J., &amp; Duckett, H. (2010). </w:t>
      </w:r>
      <w:r w:rsidRPr="00EB1460">
        <w:rPr>
          <w:i/>
          <w:iCs/>
          <w:noProof/>
        </w:rPr>
        <w:t>Concentrations of Persistent Organic Pollutants in the Milk of New Zealand Women.</w:t>
      </w:r>
      <w:r w:rsidRPr="00EB1460">
        <w:rPr>
          <w:noProof/>
        </w:rPr>
        <w:t xml:space="preserve"> Wellington: Ministry of Health, Public Health Research Centre, Massey University.</w:t>
      </w:r>
    </w:p>
    <w:p w14:paraId="29860CAE" w14:textId="77777777" w:rsidR="00F1175E" w:rsidRPr="00EB1460" w:rsidRDefault="00F1175E" w:rsidP="00F1175E">
      <w:pPr>
        <w:pStyle w:val="Bibliography"/>
        <w:ind w:left="720" w:hanging="720"/>
        <w:rPr>
          <w:noProof/>
        </w:rPr>
      </w:pPr>
      <w:r w:rsidRPr="00EB1460">
        <w:rPr>
          <w:noProof/>
        </w:rPr>
        <w:t xml:space="preserve">Maritime New Zealand. (2001). </w:t>
      </w:r>
      <w:r w:rsidRPr="00EB1460">
        <w:rPr>
          <w:i/>
          <w:iCs/>
          <w:noProof/>
        </w:rPr>
        <w:t>National Policy on the Sea Disposal of Waste.</w:t>
      </w:r>
      <w:r w:rsidRPr="00EB1460">
        <w:rPr>
          <w:noProof/>
        </w:rPr>
        <w:t xml:space="preserve"> Wellington: Maritime New Zealand.</w:t>
      </w:r>
    </w:p>
    <w:p w14:paraId="16A12B9B" w14:textId="13487375" w:rsidR="00F1175E" w:rsidRPr="00EB1460" w:rsidRDefault="00F1175E" w:rsidP="00F1175E">
      <w:pPr>
        <w:pStyle w:val="Bibliography"/>
        <w:ind w:left="720" w:hanging="720"/>
        <w:rPr>
          <w:noProof/>
        </w:rPr>
      </w:pPr>
      <w:r w:rsidRPr="00EB1460">
        <w:rPr>
          <w:noProof/>
        </w:rPr>
        <w:t xml:space="preserve">Maritime New Zealand. (undated-2). </w:t>
      </w:r>
      <w:r w:rsidRPr="00EB1460">
        <w:rPr>
          <w:i/>
          <w:iCs/>
          <w:noProof/>
        </w:rPr>
        <w:t>Oil Spill Prevention in Recreational Boating: Two-Stroke vs. Four Stroke Engines.</w:t>
      </w:r>
      <w:r w:rsidRPr="00EB1460">
        <w:rPr>
          <w:noProof/>
        </w:rPr>
        <w:t xml:space="preserve"> Wellington: Maritime New Zealand.</w:t>
      </w:r>
    </w:p>
    <w:p w14:paraId="5E351A50" w14:textId="2C57755D" w:rsidR="00AF6D6E" w:rsidRPr="00EB1460" w:rsidRDefault="00AF6D6E" w:rsidP="00AF6D6E">
      <w:pPr>
        <w:pStyle w:val="Bibliography"/>
        <w:ind w:left="720" w:hanging="720"/>
        <w:rPr>
          <w:noProof/>
        </w:rPr>
      </w:pPr>
      <w:bookmarkStart w:id="529" w:name="OLE_LINK1"/>
      <w:r w:rsidRPr="00EB1460">
        <w:rPr>
          <w:noProof/>
        </w:rPr>
        <w:t>Ministry of Business Innovation and Employment. (2017)</w:t>
      </w:r>
      <w:bookmarkEnd w:id="529"/>
      <w:r w:rsidRPr="00EB1460">
        <w:rPr>
          <w:noProof/>
        </w:rPr>
        <w:t xml:space="preserve">. </w:t>
      </w:r>
      <w:r w:rsidRPr="00EB1460">
        <w:t>I</w:t>
      </w:r>
      <w:r w:rsidRPr="00EB1460">
        <w:rPr>
          <w:i/>
          <w:iCs/>
        </w:rPr>
        <w:t>ndustrial Bioenergy Use. Updated Methodology to Estimate Demand.</w:t>
      </w:r>
      <w:r w:rsidRPr="00EB1460">
        <w:t xml:space="preserve"> Wellington, Ministry of Business Innovation and Employment.</w:t>
      </w:r>
    </w:p>
    <w:p w14:paraId="1C7B530F" w14:textId="77777777" w:rsidR="00560141" w:rsidRPr="00EB1460" w:rsidRDefault="00AF6D6E" w:rsidP="00560141">
      <w:pPr>
        <w:pStyle w:val="Bibliography"/>
        <w:ind w:left="720" w:hanging="720"/>
        <w:rPr>
          <w:noProof/>
        </w:rPr>
      </w:pPr>
      <w:r w:rsidRPr="00EB1460">
        <w:rPr>
          <w:noProof/>
        </w:rPr>
        <w:t xml:space="preserve">Ministry of Business Innovation and Employment. (2021). </w:t>
      </w:r>
      <w:r w:rsidRPr="00EB1460">
        <w:rPr>
          <w:i/>
          <w:iCs/>
          <w:noProof/>
        </w:rPr>
        <w:t xml:space="preserve">Energy in New Zealand 21. 2020 Calendar Year. Comprehensive Information on and Analysis of New Zealand's Energy Supply Demand and Prices. </w:t>
      </w:r>
      <w:r w:rsidRPr="00EB1460">
        <w:t>Wellington, Ministry of Business Innovation and Employment.</w:t>
      </w:r>
    </w:p>
    <w:p w14:paraId="112B6BD0" w14:textId="36C216A6" w:rsidR="00F1175E" w:rsidRPr="00EB1460" w:rsidRDefault="00F1175E" w:rsidP="00560141">
      <w:pPr>
        <w:rPr>
          <w:noProof/>
        </w:rPr>
      </w:pPr>
      <w:r w:rsidRPr="00EB1460">
        <w:rPr>
          <w:noProof/>
        </w:rPr>
        <w:t xml:space="preserve">Ministry for the Environment. (1997). </w:t>
      </w:r>
      <w:r w:rsidRPr="00EB1460">
        <w:rPr>
          <w:i/>
          <w:iCs/>
          <w:noProof/>
        </w:rPr>
        <w:t>National Waste Data Report.</w:t>
      </w:r>
      <w:r w:rsidRPr="00EB1460">
        <w:rPr>
          <w:noProof/>
        </w:rPr>
        <w:t xml:space="preserve"> Wellingtom: Ministry for the Environment.</w:t>
      </w:r>
    </w:p>
    <w:p w14:paraId="49D3BDD0" w14:textId="43F5D5C3" w:rsidR="00F1175E" w:rsidRPr="00EB1460" w:rsidRDefault="00F1175E" w:rsidP="00F1175E">
      <w:pPr>
        <w:pStyle w:val="Bibliography"/>
        <w:ind w:left="720" w:hanging="720"/>
        <w:rPr>
          <w:noProof/>
        </w:rPr>
      </w:pPr>
      <w:r w:rsidRPr="00EB1460">
        <w:rPr>
          <w:noProof/>
        </w:rPr>
        <w:t xml:space="preserve">Ministry for the Environment. (2000). </w:t>
      </w:r>
      <w:r w:rsidRPr="00EB1460">
        <w:rPr>
          <w:i/>
          <w:iCs/>
          <w:noProof/>
        </w:rPr>
        <w:t>New Zealand Inventory of Dioxin Emissions to Air, Land and Water, and Reservoir Sources, 2000.</w:t>
      </w:r>
      <w:r w:rsidRPr="00EB1460">
        <w:rPr>
          <w:noProof/>
        </w:rPr>
        <w:t xml:space="preserve"> Wellington: Ministry for the Environment.</w:t>
      </w:r>
    </w:p>
    <w:p w14:paraId="7AA62B4E" w14:textId="77777777" w:rsidR="00560141" w:rsidRPr="00EB1460" w:rsidRDefault="00560141" w:rsidP="00560141">
      <w:pPr>
        <w:pStyle w:val="Bibliography"/>
        <w:ind w:left="720" w:hanging="720"/>
        <w:rPr>
          <w:noProof/>
        </w:rPr>
      </w:pPr>
      <w:r w:rsidRPr="00EB1460">
        <w:rPr>
          <w:noProof/>
        </w:rPr>
        <w:t xml:space="preserve">Ministry for the Environment. (2004). </w:t>
      </w:r>
      <w:r w:rsidRPr="00EB1460">
        <w:rPr>
          <w:i/>
          <w:iCs/>
          <w:noProof/>
        </w:rPr>
        <w:t>Dioxin and Furan Emissions to Air from Secondary Metallurgical Processes in New Zealand.</w:t>
      </w:r>
      <w:r w:rsidRPr="00EB1460">
        <w:rPr>
          <w:noProof/>
        </w:rPr>
        <w:t xml:space="preserve"> Wellington: Prepared by Sinclair Knight Merz Ltd for Ministry for the Environment.</w:t>
      </w:r>
    </w:p>
    <w:p w14:paraId="5B25B7B1" w14:textId="77777777" w:rsidR="00F1175E" w:rsidRPr="00EB1460" w:rsidRDefault="00F1175E" w:rsidP="00F1175E">
      <w:pPr>
        <w:pStyle w:val="Bibliography"/>
        <w:ind w:left="720" w:hanging="720"/>
        <w:rPr>
          <w:noProof/>
        </w:rPr>
      </w:pPr>
      <w:r w:rsidRPr="00EB1460">
        <w:rPr>
          <w:noProof/>
        </w:rPr>
        <w:t xml:space="preserve">Ministry for the Environment. (2005). </w:t>
      </w:r>
      <w:r w:rsidRPr="00EB1460">
        <w:rPr>
          <w:i/>
          <w:iCs/>
          <w:noProof/>
        </w:rPr>
        <w:t>Waste Management in New Zealand: A Decade of Progress.</w:t>
      </w:r>
      <w:r w:rsidRPr="00EB1460">
        <w:rPr>
          <w:noProof/>
        </w:rPr>
        <w:t xml:space="preserve"> Wellington: Ministry for the Environment.</w:t>
      </w:r>
    </w:p>
    <w:p w14:paraId="5104E70D" w14:textId="77777777" w:rsidR="00F1175E" w:rsidRPr="00EB1460" w:rsidRDefault="00F1175E" w:rsidP="00F1175E">
      <w:pPr>
        <w:pStyle w:val="Bibliography"/>
        <w:ind w:left="720" w:hanging="720"/>
        <w:rPr>
          <w:noProof/>
        </w:rPr>
      </w:pPr>
      <w:r w:rsidRPr="00EB1460">
        <w:rPr>
          <w:noProof/>
        </w:rPr>
        <w:t xml:space="preserve">Ministry for the Environment. (2007). </w:t>
      </w:r>
      <w:r w:rsidRPr="00EB1460">
        <w:rPr>
          <w:i/>
          <w:iCs/>
          <w:noProof/>
        </w:rPr>
        <w:t>Targets in the New Zealand Waste Strategy: 2006 Review of Progress.</w:t>
      </w:r>
      <w:r w:rsidRPr="00EB1460">
        <w:rPr>
          <w:noProof/>
        </w:rPr>
        <w:t xml:space="preserve"> Wellington: Ministry for the Environment.</w:t>
      </w:r>
    </w:p>
    <w:p w14:paraId="4420D130" w14:textId="77777777" w:rsidR="00F1175E" w:rsidRPr="00EB1460" w:rsidRDefault="00F1175E" w:rsidP="00F1175E">
      <w:pPr>
        <w:pStyle w:val="Bibliography"/>
        <w:ind w:left="720" w:hanging="720"/>
        <w:rPr>
          <w:noProof/>
        </w:rPr>
      </w:pPr>
      <w:r w:rsidRPr="00EB1460">
        <w:rPr>
          <w:noProof/>
        </w:rPr>
        <w:t xml:space="preserve">Ministry for the Environment. (2008). </w:t>
      </w:r>
      <w:r w:rsidRPr="00EB1460">
        <w:rPr>
          <w:i/>
          <w:iCs/>
          <w:noProof/>
        </w:rPr>
        <w:t>Proposed National Environmental Standard for On-Site Wastewater Systems: Discussion Document.</w:t>
      </w:r>
      <w:r w:rsidRPr="00EB1460">
        <w:rPr>
          <w:noProof/>
        </w:rPr>
        <w:t xml:space="preserve"> Wellington: Ministry for the Environment.</w:t>
      </w:r>
    </w:p>
    <w:p w14:paraId="3A05F4C1" w14:textId="77777777" w:rsidR="00F1175E" w:rsidRPr="00EB1460" w:rsidRDefault="00F1175E" w:rsidP="00F1175E">
      <w:pPr>
        <w:pStyle w:val="Bibliography"/>
        <w:ind w:left="720" w:hanging="720"/>
        <w:rPr>
          <w:noProof/>
        </w:rPr>
      </w:pPr>
      <w:r w:rsidRPr="00EB1460">
        <w:rPr>
          <w:noProof/>
        </w:rPr>
        <w:t xml:space="preserve">Ministry for the Environment. (2008a). </w:t>
      </w:r>
      <w:r w:rsidRPr="00EB1460">
        <w:rPr>
          <w:i/>
          <w:iCs/>
          <w:noProof/>
        </w:rPr>
        <w:t>Water (Chapter 10) in Environment New Zealand 2007.</w:t>
      </w:r>
      <w:r w:rsidRPr="00EB1460">
        <w:rPr>
          <w:noProof/>
        </w:rPr>
        <w:t xml:space="preserve"> Wellington: Ministry for the Environment.</w:t>
      </w:r>
    </w:p>
    <w:p w14:paraId="118B738C" w14:textId="77777777" w:rsidR="00F1175E" w:rsidRPr="00EB1460" w:rsidRDefault="00F1175E" w:rsidP="00F1175E">
      <w:pPr>
        <w:pStyle w:val="Bibliography"/>
        <w:ind w:left="720" w:hanging="720"/>
        <w:rPr>
          <w:noProof/>
        </w:rPr>
      </w:pPr>
      <w:r w:rsidRPr="00EB1460">
        <w:rPr>
          <w:noProof/>
        </w:rPr>
        <w:t xml:space="preserve">Ministry for the Environment. (2009). </w:t>
      </w:r>
      <w:r w:rsidRPr="00EB1460">
        <w:rPr>
          <w:i/>
          <w:iCs/>
          <w:noProof/>
        </w:rPr>
        <w:t>Proposed National Environmental Standard for On-Site Wastewater Systems: Report on submissions.</w:t>
      </w:r>
      <w:r w:rsidRPr="00EB1460">
        <w:rPr>
          <w:noProof/>
        </w:rPr>
        <w:t xml:space="preserve"> Wellington: Ministry for the Environment.</w:t>
      </w:r>
    </w:p>
    <w:p w14:paraId="7DC4D374" w14:textId="77777777" w:rsidR="00F1175E" w:rsidRPr="00EB1460" w:rsidRDefault="00F1175E" w:rsidP="00F1175E">
      <w:pPr>
        <w:pStyle w:val="Bibliography"/>
        <w:ind w:left="720" w:hanging="720"/>
        <w:rPr>
          <w:noProof/>
        </w:rPr>
      </w:pPr>
      <w:r w:rsidRPr="00EB1460">
        <w:rPr>
          <w:noProof/>
        </w:rPr>
        <w:t xml:space="preserve">Ministry for the Environment. (2011a). </w:t>
      </w:r>
      <w:r w:rsidRPr="00EB1460">
        <w:rPr>
          <w:i/>
          <w:iCs/>
          <w:noProof/>
        </w:rPr>
        <w:t>New Zealand Inventory of Dioxin Emissions to Air, Land and Water, and Reservoir Source, 2011.</w:t>
      </w:r>
      <w:r w:rsidRPr="00EB1460">
        <w:rPr>
          <w:noProof/>
        </w:rPr>
        <w:t xml:space="preserve"> Wellington: Ministry for the Environment.</w:t>
      </w:r>
    </w:p>
    <w:p w14:paraId="02F10753" w14:textId="77777777" w:rsidR="00F1175E" w:rsidRPr="00EB1460" w:rsidRDefault="00F1175E" w:rsidP="00F1175E">
      <w:pPr>
        <w:pStyle w:val="Bibliography"/>
        <w:ind w:left="720" w:hanging="720"/>
        <w:rPr>
          <w:noProof/>
        </w:rPr>
      </w:pPr>
      <w:r w:rsidRPr="00EB1460">
        <w:rPr>
          <w:noProof/>
        </w:rPr>
        <w:t xml:space="preserve">Ministry for the Environment. (2011b). </w:t>
      </w:r>
      <w:r w:rsidRPr="00EB1460">
        <w:rPr>
          <w:i/>
          <w:iCs/>
          <w:noProof/>
        </w:rPr>
        <w:t>Review of the effectiveness of the waste disposal levy, 2011: In accordance with section 39 of the Waste Minimisation Act 2008.</w:t>
      </w:r>
      <w:r w:rsidRPr="00EB1460">
        <w:rPr>
          <w:noProof/>
        </w:rPr>
        <w:t xml:space="preserve"> Wellington: Ministry for the Environment.</w:t>
      </w:r>
    </w:p>
    <w:p w14:paraId="73B2AA21" w14:textId="77777777" w:rsidR="00F1175E" w:rsidRPr="00EB1460" w:rsidRDefault="00F1175E" w:rsidP="00F1175E">
      <w:pPr>
        <w:pStyle w:val="Bibliography"/>
        <w:ind w:left="720" w:hanging="720"/>
        <w:rPr>
          <w:noProof/>
        </w:rPr>
      </w:pPr>
      <w:r w:rsidRPr="00EB1460">
        <w:rPr>
          <w:noProof/>
        </w:rPr>
        <w:lastRenderedPageBreak/>
        <w:t xml:space="preserve">Ministry for the Environment. (2014). </w:t>
      </w:r>
      <w:r w:rsidRPr="00EB1460">
        <w:rPr>
          <w:i/>
          <w:iCs/>
          <w:noProof/>
        </w:rPr>
        <w:t>New Zealand Inventory of Dioxin Emissions to Air, Land and Water, and Reservoir Sources 2014.</w:t>
      </w:r>
      <w:r w:rsidRPr="00EB1460">
        <w:rPr>
          <w:noProof/>
        </w:rPr>
        <w:t xml:space="preserve"> Wellington: Ministry for the Environment.</w:t>
      </w:r>
    </w:p>
    <w:p w14:paraId="68DF7552" w14:textId="378068AF" w:rsidR="00B05E13" w:rsidRPr="00EB1460" w:rsidRDefault="4AB48A48" w:rsidP="00B05E13">
      <w:pPr>
        <w:pStyle w:val="Bibliography"/>
        <w:ind w:left="720" w:hanging="720"/>
        <w:rPr>
          <w:noProof/>
        </w:rPr>
      </w:pPr>
      <w:r>
        <w:t>Ministry for the Environment . (2019)</w:t>
      </w:r>
      <w:bookmarkStart w:id="530" w:name="_Int_jxHwqsuM"/>
      <w:r>
        <w:t xml:space="preserve">. </w:t>
      </w:r>
      <w:bookmarkEnd w:id="530"/>
      <w:r w:rsidRPr="0C34660A">
        <w:rPr>
          <w:i/>
          <w:iCs/>
          <w:noProof/>
        </w:rPr>
        <w:t>New Zealand Inventory of Dioxin Emissions to Air, Land and Water, and Reservoir Sources 2018.</w:t>
      </w:r>
      <w:r w:rsidRPr="0C34660A">
        <w:rPr>
          <w:noProof/>
        </w:rPr>
        <w:t xml:space="preserve"> Wellington: Ministry for the Environment.</w:t>
      </w:r>
    </w:p>
    <w:p w14:paraId="078FC43A" w14:textId="75D8269B" w:rsidR="00595CC4" w:rsidRPr="00EB1460" w:rsidRDefault="00595CC4" w:rsidP="00560141">
      <w:pPr>
        <w:pStyle w:val="Bibliography"/>
        <w:ind w:left="720" w:hanging="720"/>
        <w:rPr>
          <w:noProof/>
        </w:rPr>
      </w:pPr>
      <w:r w:rsidRPr="00EB1460">
        <w:t>Ministry for the Environment. (2021).</w:t>
      </w:r>
      <w:r w:rsidR="00690023" w:rsidRPr="00EB1460">
        <w:t xml:space="preserve"> </w:t>
      </w:r>
      <w:r w:rsidR="00690023" w:rsidRPr="00EB1460">
        <w:rPr>
          <w:i/>
          <w:iCs/>
        </w:rPr>
        <w:t>Estimates of Waste Generated in Aotearoa New Zealand.</w:t>
      </w:r>
      <w:r w:rsidR="00690023" w:rsidRPr="00EB1460">
        <w:t xml:space="preserve"> See https://environment.govt.nz/facts-and-science/wasste/#amount-of-waste-generated (accessed 6 August 2022)</w:t>
      </w:r>
    </w:p>
    <w:p w14:paraId="48DAE71A" w14:textId="77777777" w:rsidR="00560141" w:rsidRPr="00EB1460" w:rsidRDefault="00690023" w:rsidP="00560141">
      <w:pPr>
        <w:pStyle w:val="Bibliography"/>
        <w:ind w:left="720" w:hanging="720"/>
        <w:rPr>
          <w:noProof/>
        </w:rPr>
      </w:pPr>
      <w:r w:rsidRPr="00EB1460">
        <w:t>Ministry for the Environment. (2021b). Waste Reduction Work Programme. Wellington. Ministry for the Environment.</w:t>
      </w:r>
    </w:p>
    <w:p w14:paraId="1A80ABBB" w14:textId="77777777" w:rsidR="00560141" w:rsidRPr="00EB1460" w:rsidRDefault="00DE6108" w:rsidP="00560141">
      <w:pPr>
        <w:pStyle w:val="Bibliography"/>
        <w:ind w:left="720" w:hanging="720"/>
        <w:rPr>
          <w:noProof/>
        </w:rPr>
      </w:pPr>
      <w:r w:rsidRPr="00EB1460">
        <w:t>Ministry for the Environment. (2022). New Zealand's Greenhouse Gas Inventory 1990-2020. Wellington: Ministry for the Environment</w:t>
      </w:r>
    </w:p>
    <w:p w14:paraId="672CFF9B" w14:textId="77777777" w:rsidR="00560141" w:rsidRPr="00EB1460" w:rsidRDefault="00560141" w:rsidP="00560141">
      <w:pPr>
        <w:pStyle w:val="Bibliography"/>
        <w:ind w:left="720" w:hanging="720"/>
        <w:rPr>
          <w:noProof/>
        </w:rPr>
      </w:pPr>
      <w:r w:rsidRPr="00EB1460">
        <w:rPr>
          <w:noProof/>
        </w:rPr>
        <w:t xml:space="preserve">Ministry for Primary Industries. (2018). </w:t>
      </w:r>
      <w:r w:rsidRPr="00EB1460">
        <w:rPr>
          <w:i/>
          <w:iCs/>
          <w:noProof/>
        </w:rPr>
        <w:t>Production of pulp in New Zealand, 1951 to 2017.</w:t>
      </w:r>
      <w:r w:rsidRPr="00EB1460">
        <w:rPr>
          <w:noProof/>
        </w:rPr>
        <w:t xml:space="preserve"> Wellington: Ministry for Primary Industries -https://www.mpi.govt.nz/dmsdocument/788-production-of-wood-pulp-1951-2016/sitemap.</w:t>
      </w:r>
    </w:p>
    <w:p w14:paraId="08ECC363" w14:textId="77777777" w:rsidR="00F1175E" w:rsidRPr="00EB1460" w:rsidRDefault="00F1175E" w:rsidP="00F1175E">
      <w:pPr>
        <w:pStyle w:val="Bibliography"/>
        <w:ind w:left="720" w:hanging="720"/>
        <w:rPr>
          <w:noProof/>
        </w:rPr>
      </w:pPr>
      <w:r w:rsidRPr="00EB1460">
        <w:rPr>
          <w:noProof/>
        </w:rPr>
        <w:t xml:space="preserve">Ministry of Economic Development. (2008). </w:t>
      </w:r>
      <w:r w:rsidRPr="00EB1460">
        <w:rPr>
          <w:i/>
          <w:iCs/>
          <w:noProof/>
        </w:rPr>
        <w:t>Oil: An Introduction for New Zealanders.</w:t>
      </w:r>
      <w:r w:rsidRPr="00EB1460">
        <w:rPr>
          <w:noProof/>
        </w:rPr>
        <w:t xml:space="preserve"> Wellington: Ministry of Economic Development.</w:t>
      </w:r>
    </w:p>
    <w:p w14:paraId="7E105114" w14:textId="77777777" w:rsidR="00F1175E" w:rsidRPr="00EB1460" w:rsidRDefault="00F1175E" w:rsidP="00F1175E">
      <w:pPr>
        <w:pStyle w:val="Bibliography"/>
        <w:ind w:left="720" w:hanging="720"/>
        <w:rPr>
          <w:noProof/>
        </w:rPr>
      </w:pPr>
      <w:r w:rsidRPr="00EB1460">
        <w:rPr>
          <w:noProof/>
        </w:rPr>
        <w:t xml:space="preserve">Ministry of Economic Development. (2008b). </w:t>
      </w:r>
      <w:r w:rsidRPr="00EB1460">
        <w:rPr>
          <w:i/>
          <w:iCs/>
          <w:noProof/>
        </w:rPr>
        <w:t>Liquid Fuel Use in New Zealand. report prepared by Outcome Management Services Ltd.</w:t>
      </w:r>
      <w:r w:rsidRPr="00EB1460">
        <w:rPr>
          <w:noProof/>
        </w:rPr>
        <w:t xml:space="preserve"> Welllington: Ministry of Economic Development.</w:t>
      </w:r>
    </w:p>
    <w:p w14:paraId="53035B3C" w14:textId="77777777" w:rsidR="00F1175E" w:rsidRPr="00EB1460" w:rsidRDefault="00F1175E" w:rsidP="00F1175E">
      <w:pPr>
        <w:pStyle w:val="Bibliography"/>
        <w:ind w:left="720" w:hanging="720"/>
        <w:rPr>
          <w:noProof/>
        </w:rPr>
      </w:pPr>
      <w:r w:rsidRPr="00EB1460">
        <w:rPr>
          <w:noProof/>
        </w:rPr>
        <w:t xml:space="preserve">Ministry of Economic Development. (2009). </w:t>
      </w:r>
      <w:r w:rsidRPr="00EB1460">
        <w:rPr>
          <w:i/>
          <w:iCs/>
          <w:noProof/>
        </w:rPr>
        <w:t>New Zealand Energy Data File 2009.</w:t>
      </w:r>
      <w:r w:rsidRPr="00EB1460">
        <w:rPr>
          <w:noProof/>
        </w:rPr>
        <w:t xml:space="preserve"> Wellington: Ministry of Economic Development.</w:t>
      </w:r>
    </w:p>
    <w:p w14:paraId="42CFE716" w14:textId="77777777" w:rsidR="00F1175E" w:rsidRPr="00EB1460" w:rsidRDefault="00F1175E" w:rsidP="00F1175E">
      <w:pPr>
        <w:pStyle w:val="Bibliography"/>
        <w:ind w:left="720" w:hanging="720"/>
        <w:rPr>
          <w:noProof/>
        </w:rPr>
      </w:pPr>
      <w:r w:rsidRPr="00EB1460">
        <w:rPr>
          <w:noProof/>
        </w:rPr>
        <w:t xml:space="preserve">Ministry of Health. (2008). </w:t>
      </w:r>
      <w:r w:rsidRPr="00EB1460">
        <w:rPr>
          <w:i/>
          <w:iCs/>
          <w:noProof/>
        </w:rPr>
        <w:t>Safe Management of PCBs; Code of Practice.</w:t>
      </w:r>
      <w:r w:rsidRPr="00EB1460">
        <w:rPr>
          <w:noProof/>
        </w:rPr>
        <w:t xml:space="preserve"> Wellington: Ministry of Health.</w:t>
      </w:r>
    </w:p>
    <w:p w14:paraId="3CE10C1C" w14:textId="77777777" w:rsidR="00F1175E" w:rsidRPr="00EB1460" w:rsidRDefault="00F1175E" w:rsidP="00F1175E">
      <w:pPr>
        <w:pStyle w:val="Bibliography"/>
        <w:ind w:left="720" w:hanging="720"/>
        <w:rPr>
          <w:noProof/>
        </w:rPr>
      </w:pPr>
      <w:r w:rsidRPr="00EB1460">
        <w:rPr>
          <w:noProof/>
        </w:rPr>
        <w:t xml:space="preserve">Ministry of Health. (2016). </w:t>
      </w:r>
      <w:r w:rsidRPr="00EB1460">
        <w:rPr>
          <w:i/>
          <w:iCs/>
          <w:noProof/>
        </w:rPr>
        <w:t>Report Back on New Zealand's Tobacco Control Programme.</w:t>
      </w:r>
      <w:r w:rsidRPr="00EB1460">
        <w:rPr>
          <w:noProof/>
        </w:rPr>
        <w:t xml:space="preserve"> Wellington: Ministry of Health - www.health.govt.nz/systemfiles/documents/pages/cabinet-paper-8-april-2016.</w:t>
      </w:r>
    </w:p>
    <w:p w14:paraId="209A7533" w14:textId="77777777" w:rsidR="00F1175E" w:rsidRPr="00EB1460" w:rsidRDefault="00F1175E" w:rsidP="00F1175E">
      <w:pPr>
        <w:pStyle w:val="Bibliography"/>
        <w:ind w:left="720" w:hanging="720"/>
        <w:rPr>
          <w:noProof/>
        </w:rPr>
      </w:pPr>
      <w:r w:rsidRPr="00EB1460">
        <w:rPr>
          <w:noProof/>
        </w:rPr>
        <w:t xml:space="preserve">Ministry of Primary Industries. (2018). </w:t>
      </w:r>
      <w:r w:rsidRPr="00EB1460">
        <w:rPr>
          <w:i/>
          <w:iCs/>
          <w:noProof/>
        </w:rPr>
        <w:t>Production of Pulp In New Zealand 1951 - 2017.</w:t>
      </w:r>
      <w:r w:rsidRPr="00EB1460">
        <w:rPr>
          <w:noProof/>
        </w:rPr>
        <w:t xml:space="preserve"> Wellington: Ministry of Primary Industries - https://www.mpi.govt.nz/dmsdocument/788-production-of-wood-pulp-1951-2016/sitemap.</w:t>
      </w:r>
    </w:p>
    <w:p w14:paraId="608EF600" w14:textId="25D85BA6" w:rsidR="00F1175E" w:rsidRPr="00EB1460" w:rsidRDefault="00D55908" w:rsidP="00F1175E">
      <w:pPr>
        <w:pStyle w:val="Bibliography"/>
        <w:ind w:left="720" w:hanging="720"/>
        <w:rPr>
          <w:noProof/>
        </w:rPr>
      </w:pPr>
      <w:r w:rsidRPr="00EB1460">
        <w:rPr>
          <w:noProof/>
        </w:rPr>
        <w:t>Ministry of Transport (2021)</w:t>
      </w:r>
      <w:r w:rsidR="00F1175E" w:rsidRPr="00EB1460">
        <w:rPr>
          <w:noProof/>
        </w:rPr>
        <w:t>.</w:t>
      </w:r>
      <w:r w:rsidRPr="00EB1460">
        <w:rPr>
          <w:noProof/>
        </w:rPr>
        <w:t xml:space="preserve"> </w:t>
      </w:r>
      <w:r w:rsidRPr="00EB1460">
        <w:rPr>
          <w:i/>
          <w:iCs/>
          <w:noProof/>
        </w:rPr>
        <w:t>Annual Fleet Statistics 2020.</w:t>
      </w:r>
      <w:r w:rsidRPr="00EB1460">
        <w:rPr>
          <w:noProof/>
        </w:rPr>
        <w:t xml:space="preserve"> Wellington: Ministry of Transport.</w:t>
      </w:r>
    </w:p>
    <w:p w14:paraId="67803AFC" w14:textId="3D7A5144" w:rsidR="00F1175E" w:rsidRPr="00EB1460" w:rsidRDefault="00F1175E" w:rsidP="00F1175E">
      <w:pPr>
        <w:pStyle w:val="Bibliography"/>
        <w:ind w:left="720" w:hanging="720"/>
        <w:rPr>
          <w:noProof/>
        </w:rPr>
      </w:pPr>
      <w:r w:rsidRPr="00EB1460">
        <w:rPr>
          <w:noProof/>
        </w:rPr>
        <w:t xml:space="preserve">Ministry of Transport. (2018). </w:t>
      </w:r>
      <w:r w:rsidRPr="00EB1460">
        <w:rPr>
          <w:i/>
          <w:iCs/>
          <w:noProof/>
        </w:rPr>
        <w:t>The New Zealand 2017 Vehicle Fleet: Data Spreadsheet version 4, 2018.</w:t>
      </w:r>
      <w:r w:rsidRPr="00EB1460">
        <w:rPr>
          <w:noProof/>
        </w:rPr>
        <w:t xml:space="preserve"> Wellington: Ministry of Transport.</w:t>
      </w:r>
    </w:p>
    <w:p w14:paraId="3EE98D1E" w14:textId="01421523" w:rsidR="009B5D58" w:rsidRPr="00EB1460" w:rsidRDefault="34B0C8F5" w:rsidP="009B5D58">
      <w:pPr>
        <w:pStyle w:val="Bibliography"/>
        <w:ind w:left="720" w:hanging="720"/>
        <w:rPr>
          <w:noProof/>
        </w:rPr>
      </w:pPr>
      <w:r>
        <w:t>Muzembo, B., Iwai-shimada, M., Isobe, T., Arisawa, K., Shima, M., Fukushima, T., and Nakayama</w:t>
      </w:r>
      <w:r w:rsidR="3A4F771B">
        <w:t xml:space="preserve"> </w:t>
      </w:r>
      <w:bookmarkStart w:id="531" w:name="_Int_RhJl9kOq"/>
      <w:bookmarkStart w:id="532" w:name="_Int_O8rQo2g3"/>
      <w:r>
        <w:t>S.</w:t>
      </w:r>
      <w:bookmarkEnd w:id="531"/>
      <w:r>
        <w:t xml:space="preserve"> </w:t>
      </w:r>
      <w:bookmarkEnd w:id="532"/>
      <w:r w:rsidRPr="0C34660A">
        <w:rPr>
          <w:i/>
          <w:iCs/>
        </w:rPr>
        <w:t xml:space="preserve">Dioxin </w:t>
      </w:r>
      <w:r w:rsidR="3A4F771B" w:rsidRPr="0C34660A">
        <w:rPr>
          <w:i/>
          <w:iCs/>
        </w:rPr>
        <w:t>L</w:t>
      </w:r>
      <w:r w:rsidRPr="0C34660A">
        <w:rPr>
          <w:i/>
          <w:iCs/>
        </w:rPr>
        <w:t xml:space="preserve">evels in </w:t>
      </w:r>
      <w:r w:rsidR="3A4F771B" w:rsidRPr="0C34660A">
        <w:rPr>
          <w:i/>
          <w:iCs/>
        </w:rPr>
        <w:t>H</w:t>
      </w:r>
      <w:r w:rsidRPr="0C34660A">
        <w:rPr>
          <w:i/>
          <w:iCs/>
        </w:rPr>
        <w:t xml:space="preserve">uman </w:t>
      </w:r>
      <w:r w:rsidR="3A4F771B" w:rsidRPr="0C34660A">
        <w:rPr>
          <w:i/>
          <w:iCs/>
        </w:rPr>
        <w:t>B</w:t>
      </w:r>
      <w:r w:rsidRPr="0C34660A">
        <w:rPr>
          <w:i/>
          <w:iCs/>
        </w:rPr>
        <w:t xml:space="preserve">lood after </w:t>
      </w:r>
      <w:r w:rsidR="3A4F771B" w:rsidRPr="0C34660A">
        <w:rPr>
          <w:i/>
          <w:iCs/>
        </w:rPr>
        <w:t>I</w:t>
      </w:r>
      <w:r w:rsidRPr="0C34660A">
        <w:rPr>
          <w:i/>
          <w:iCs/>
        </w:rPr>
        <w:t xml:space="preserve">mplementation </w:t>
      </w:r>
      <w:r w:rsidR="3A4F771B" w:rsidRPr="0C34660A">
        <w:rPr>
          <w:i/>
          <w:iCs/>
        </w:rPr>
        <w:t>of Measures Against Dioxin Exposure in Japan</w:t>
      </w:r>
      <w:r w:rsidR="3A4F771B">
        <w:t>. Environmental Health and Preventive Medicine. 24:6.</w:t>
      </w:r>
    </w:p>
    <w:p w14:paraId="0989AADD" w14:textId="77777777" w:rsidR="009B5D58" w:rsidRPr="00EB1460" w:rsidRDefault="00F1175E" w:rsidP="009B5D58">
      <w:pPr>
        <w:pStyle w:val="Bibliography"/>
        <w:ind w:left="720" w:hanging="720"/>
        <w:rPr>
          <w:noProof/>
        </w:rPr>
      </w:pPr>
      <w:r w:rsidRPr="00EB1460">
        <w:rPr>
          <w:noProof/>
        </w:rPr>
        <w:t xml:space="preserve">New Zealand Fire Service . (2017). </w:t>
      </w:r>
      <w:r w:rsidRPr="00EB1460">
        <w:rPr>
          <w:i/>
          <w:iCs/>
          <w:noProof/>
        </w:rPr>
        <w:t>Annual Report for the Year Ended 30 June 2017 .</w:t>
      </w:r>
      <w:r w:rsidRPr="00EB1460">
        <w:rPr>
          <w:noProof/>
        </w:rPr>
        <w:t xml:space="preserve"> Wellington: New Zealand Fire Service.</w:t>
      </w:r>
    </w:p>
    <w:p w14:paraId="36B07F17" w14:textId="77777777" w:rsidR="00F1175E" w:rsidRPr="00EB1460" w:rsidRDefault="00F1175E" w:rsidP="00F1175E">
      <w:pPr>
        <w:pStyle w:val="Bibliography"/>
        <w:ind w:left="720" w:hanging="720"/>
        <w:rPr>
          <w:noProof/>
        </w:rPr>
      </w:pPr>
      <w:r w:rsidRPr="00EB1460">
        <w:rPr>
          <w:noProof/>
        </w:rPr>
        <w:t xml:space="preserve">New Zealand Law Commission. (2013). </w:t>
      </w:r>
      <w:r w:rsidRPr="00EB1460">
        <w:rPr>
          <w:i/>
          <w:iCs/>
          <w:noProof/>
        </w:rPr>
        <w:t>The legal framework for burial and cremation in New Zealand - a first principles review.</w:t>
      </w:r>
      <w:r w:rsidRPr="00EB1460">
        <w:rPr>
          <w:noProof/>
        </w:rPr>
        <w:t xml:space="preserve"> Wellington: NZ Law Commission - issues paper 34.</w:t>
      </w:r>
    </w:p>
    <w:p w14:paraId="2C087351" w14:textId="77777777" w:rsidR="00F1175E" w:rsidRPr="00EB1460" w:rsidRDefault="00F1175E" w:rsidP="00F1175E">
      <w:pPr>
        <w:pStyle w:val="Bibliography"/>
        <w:ind w:left="720" w:hanging="720"/>
        <w:rPr>
          <w:noProof/>
        </w:rPr>
      </w:pPr>
      <w:r w:rsidRPr="00EB1460">
        <w:rPr>
          <w:noProof/>
        </w:rPr>
        <w:t xml:space="preserve">New Zealand Steel. (2010). </w:t>
      </w:r>
      <w:r w:rsidRPr="00EB1460">
        <w:rPr>
          <w:i/>
          <w:iCs/>
          <w:noProof/>
        </w:rPr>
        <w:t>Submission to the Ministry of Economic Development in respect of its discussion paper entitled “Reviewing the Crown Minerals Act 1991”.</w:t>
      </w:r>
      <w:r w:rsidRPr="00EB1460">
        <w:rPr>
          <w:noProof/>
        </w:rPr>
        <w:t xml:space="preserve"> Auckland: New Zealand Steel.</w:t>
      </w:r>
    </w:p>
    <w:p w14:paraId="5B3CBBB9" w14:textId="77777777" w:rsidR="00F1175E" w:rsidRPr="00EB1460" w:rsidRDefault="00F1175E" w:rsidP="00F1175E">
      <w:pPr>
        <w:pStyle w:val="Bibliography"/>
        <w:ind w:left="720" w:hanging="720"/>
        <w:rPr>
          <w:noProof/>
        </w:rPr>
      </w:pPr>
      <w:r w:rsidRPr="00EB1460">
        <w:rPr>
          <w:noProof/>
        </w:rPr>
        <w:t xml:space="preserve">New Zealand Water and Wastes Assn. (2003). </w:t>
      </w:r>
      <w:r w:rsidRPr="00EB1460">
        <w:rPr>
          <w:i/>
          <w:iCs/>
          <w:noProof/>
        </w:rPr>
        <w:t>Guidelines for the Safe Application of Biosolids to Land in New Zealand.</w:t>
      </w:r>
      <w:r w:rsidRPr="00EB1460">
        <w:rPr>
          <w:noProof/>
        </w:rPr>
        <w:t xml:space="preserve"> Wellington: New Zealand Water and Wastes Association.</w:t>
      </w:r>
    </w:p>
    <w:p w14:paraId="43FA851E" w14:textId="77777777" w:rsidR="00F1175E" w:rsidRPr="00EB1460" w:rsidRDefault="00F1175E" w:rsidP="00F1175E">
      <w:pPr>
        <w:pStyle w:val="Bibliography"/>
        <w:ind w:left="720" w:hanging="720"/>
        <w:rPr>
          <w:noProof/>
        </w:rPr>
      </w:pPr>
      <w:r w:rsidRPr="00EB1460">
        <w:rPr>
          <w:noProof/>
        </w:rPr>
        <w:t xml:space="preserve">NICNAS. (2009). </w:t>
      </w:r>
      <w:r w:rsidRPr="00EB1460">
        <w:rPr>
          <w:i/>
          <w:iCs/>
          <w:noProof/>
        </w:rPr>
        <w:t>Priority Existing Chemical Assessment Report No 30.</w:t>
      </w:r>
      <w:r w:rsidRPr="00EB1460">
        <w:rPr>
          <w:noProof/>
        </w:rPr>
        <w:t xml:space="preserve"> Canberra: Department of Health and Aging, Australian Government.</w:t>
      </w:r>
    </w:p>
    <w:p w14:paraId="7CD1B2BA" w14:textId="32C809C7" w:rsidR="00F1175E" w:rsidRPr="00EB1460" w:rsidRDefault="00F1175E" w:rsidP="00F1175E">
      <w:pPr>
        <w:pStyle w:val="Bibliography"/>
        <w:ind w:left="720" w:hanging="720"/>
        <w:rPr>
          <w:noProof/>
        </w:rPr>
      </w:pPr>
      <w:r w:rsidRPr="00EB1460">
        <w:rPr>
          <w:noProof/>
        </w:rPr>
        <w:t xml:space="preserve">NZ Institute of Chemistry. (1998). </w:t>
      </w:r>
      <w:r w:rsidRPr="00EB1460">
        <w:rPr>
          <w:i/>
          <w:iCs/>
          <w:noProof/>
        </w:rPr>
        <w:t>Steel Making, in Chemical Processes in New Zealand, 2nd Edition, volume 2.</w:t>
      </w:r>
      <w:r w:rsidRPr="00EB1460">
        <w:rPr>
          <w:noProof/>
        </w:rPr>
        <w:t xml:space="preserve"> Auckland: NZ Institute of Chemistry.</w:t>
      </w:r>
    </w:p>
    <w:p w14:paraId="13C279D1" w14:textId="7C3F18A2" w:rsidR="00F1175E" w:rsidRPr="00EB1460" w:rsidRDefault="00F1175E" w:rsidP="00F1175E">
      <w:pPr>
        <w:pStyle w:val="Bibliography"/>
        <w:ind w:left="720" w:hanging="720"/>
        <w:rPr>
          <w:noProof/>
        </w:rPr>
      </w:pPr>
      <w:r w:rsidRPr="00EB1460">
        <w:rPr>
          <w:noProof/>
        </w:rPr>
        <w:t>NZ Petroleum and Minerals. (20</w:t>
      </w:r>
      <w:r w:rsidR="00071062" w:rsidRPr="00EB1460">
        <w:rPr>
          <w:noProof/>
        </w:rPr>
        <w:t>22)</w:t>
      </w:r>
      <w:r w:rsidRPr="00EB1460">
        <w:rPr>
          <w:noProof/>
        </w:rPr>
        <w:t xml:space="preserve">. </w:t>
      </w:r>
      <w:r w:rsidR="00071062" w:rsidRPr="00EB1460">
        <w:rPr>
          <w:i/>
          <w:iCs/>
          <w:noProof/>
        </w:rPr>
        <w:t>Minerals Statistics</w:t>
      </w:r>
      <w:r w:rsidR="00590DAF" w:rsidRPr="00EB1460">
        <w:rPr>
          <w:noProof/>
        </w:rPr>
        <w:t xml:space="preserve">. </w:t>
      </w:r>
      <w:r w:rsidRPr="00EB1460">
        <w:rPr>
          <w:noProof/>
        </w:rPr>
        <w:t>Wellington: Ministry of Business, Innovation and Employment.</w:t>
      </w:r>
    </w:p>
    <w:p w14:paraId="4062ECFA" w14:textId="77777777" w:rsidR="00F1175E" w:rsidRPr="00EB1460" w:rsidRDefault="00F1175E" w:rsidP="00F1175E">
      <w:pPr>
        <w:pStyle w:val="Bibliography"/>
        <w:ind w:left="720" w:hanging="720"/>
        <w:rPr>
          <w:noProof/>
        </w:rPr>
      </w:pPr>
      <w:r w:rsidRPr="00EB1460">
        <w:rPr>
          <w:noProof/>
        </w:rPr>
        <w:t xml:space="preserve">Plastics New Zealand. (2011). </w:t>
      </w:r>
      <w:r w:rsidRPr="00EB1460">
        <w:rPr>
          <w:i/>
          <w:iCs/>
          <w:noProof/>
        </w:rPr>
        <w:t>Annual Production Statistics.</w:t>
      </w:r>
      <w:r w:rsidRPr="00EB1460">
        <w:rPr>
          <w:noProof/>
        </w:rPr>
        <w:t xml:space="preserve"> Auckland: Plastics New Zealand.</w:t>
      </w:r>
    </w:p>
    <w:p w14:paraId="2E2A017F" w14:textId="77777777" w:rsidR="00F1175E" w:rsidRPr="00EB1460" w:rsidRDefault="00F1175E" w:rsidP="00F1175E">
      <w:pPr>
        <w:pStyle w:val="Bibliography"/>
        <w:ind w:left="720" w:hanging="720"/>
        <w:rPr>
          <w:noProof/>
        </w:rPr>
      </w:pPr>
      <w:r w:rsidRPr="00EB1460">
        <w:rPr>
          <w:noProof/>
        </w:rPr>
        <w:t xml:space="preserve">Population Reference Bureau. (2016). </w:t>
      </w:r>
      <w:r w:rsidRPr="00EB1460">
        <w:rPr>
          <w:i/>
          <w:iCs/>
          <w:noProof/>
        </w:rPr>
        <w:t>2016 World Population Datasheet.</w:t>
      </w:r>
      <w:r w:rsidRPr="00EB1460">
        <w:rPr>
          <w:noProof/>
        </w:rPr>
        <w:t xml:space="preserve"> Population Reference Bureau.</w:t>
      </w:r>
    </w:p>
    <w:p w14:paraId="304CA0DC" w14:textId="715EB399" w:rsidR="00F1175E" w:rsidRPr="00EB1460" w:rsidRDefault="00F1175E" w:rsidP="00F1175E">
      <w:pPr>
        <w:pStyle w:val="Bibliography"/>
        <w:ind w:left="720" w:hanging="720"/>
        <w:rPr>
          <w:noProof/>
        </w:rPr>
      </w:pPr>
      <w:r w:rsidRPr="00EB1460">
        <w:rPr>
          <w:noProof/>
        </w:rPr>
        <w:lastRenderedPageBreak/>
        <w:t>Refining NZ. (</w:t>
      </w:r>
      <w:r w:rsidR="00CE5085" w:rsidRPr="00EB1460">
        <w:rPr>
          <w:noProof/>
        </w:rPr>
        <w:t>2022</w:t>
      </w:r>
      <w:r w:rsidRPr="00EB1460">
        <w:rPr>
          <w:noProof/>
        </w:rPr>
        <w:t xml:space="preserve">). </w:t>
      </w:r>
      <w:r w:rsidRPr="00EB1460">
        <w:rPr>
          <w:i/>
          <w:iCs/>
          <w:noProof/>
        </w:rPr>
        <w:t xml:space="preserve">Annual Report </w:t>
      </w:r>
      <w:r w:rsidR="00CE5085" w:rsidRPr="00EB1460">
        <w:rPr>
          <w:i/>
          <w:iCs/>
          <w:noProof/>
        </w:rPr>
        <w:t>2020</w:t>
      </w:r>
      <w:r w:rsidRPr="00EB1460">
        <w:rPr>
          <w:i/>
          <w:iCs/>
          <w:noProof/>
        </w:rPr>
        <w:t>.</w:t>
      </w:r>
      <w:r w:rsidRPr="00EB1460">
        <w:rPr>
          <w:noProof/>
        </w:rPr>
        <w:t xml:space="preserve"> Whangarei: Refining NZ.</w:t>
      </w:r>
    </w:p>
    <w:p w14:paraId="61500129" w14:textId="5F3183C1" w:rsidR="005F48A7" w:rsidRPr="00EB1460" w:rsidRDefault="1174E003" w:rsidP="005F48A7">
      <w:pPr>
        <w:pStyle w:val="Bibliography"/>
        <w:ind w:left="720" w:hanging="720"/>
        <w:rPr>
          <w:noProof/>
        </w:rPr>
      </w:pPr>
      <w:r>
        <w:t xml:space="preserve">Saral, A., Gunes G., and Demir S. (2014). </w:t>
      </w:r>
      <w:r w:rsidRPr="0C34660A">
        <w:rPr>
          <w:i/>
          <w:iCs/>
        </w:rPr>
        <w:t>Atmospheric PCDD/PCDF Emission Inventory for Turkey</w:t>
      </w:r>
      <w:bookmarkStart w:id="533" w:name="_Int_aEJvA1rF"/>
      <w:r w:rsidRPr="0C34660A">
        <w:rPr>
          <w:i/>
          <w:iCs/>
        </w:rPr>
        <w:t xml:space="preserve">. </w:t>
      </w:r>
      <w:bookmarkEnd w:id="533"/>
      <w:r w:rsidRPr="0C34660A">
        <w:rPr>
          <w:i/>
          <w:iCs/>
        </w:rPr>
        <w:t xml:space="preserve"> Atmospheric Pollution Research,</w:t>
      </w:r>
      <w:r>
        <w:t xml:space="preserve"> 5 (1), 24 - 33.</w:t>
      </w:r>
    </w:p>
    <w:p w14:paraId="7C86A9EC" w14:textId="457115D2" w:rsidR="005F48A7" w:rsidRPr="00EB1460" w:rsidRDefault="360A7783" w:rsidP="005F48A7">
      <w:pPr>
        <w:pStyle w:val="Bibliography"/>
        <w:ind w:left="720" w:hanging="720"/>
        <w:rPr>
          <w:noProof/>
        </w:rPr>
      </w:pPr>
      <w:r>
        <w:t>Scoop</w:t>
      </w:r>
      <w:r w:rsidR="2C3B58A6">
        <w:t>.</w:t>
      </w:r>
      <w:r>
        <w:t xml:space="preserve"> </w:t>
      </w:r>
      <w:r w:rsidR="2C3B58A6">
        <w:t xml:space="preserve">(2021). </w:t>
      </w:r>
      <w:r w:rsidR="2C3B58A6" w:rsidRPr="0C34660A">
        <w:rPr>
          <w:i/>
          <w:iCs/>
        </w:rPr>
        <w:t>Home Grown and Imported Roll Your Owns Now Part of New Zealand's Growing Tobacco Black Market</w:t>
      </w:r>
      <w:bookmarkStart w:id="534" w:name="_Int_rwYYKtLP"/>
      <w:r w:rsidR="2C3B58A6">
        <w:t xml:space="preserve">. </w:t>
      </w:r>
      <w:bookmarkEnd w:id="534"/>
      <w:r w:rsidR="2C3B58A6">
        <w:t>https://www.scoop.co.nz/stories/BU2206/500326/homegrown-and-imported-roll-your-owns-now-part-of-nz's-growing-black-market.htm.</w:t>
      </w:r>
    </w:p>
    <w:p w14:paraId="473DA436" w14:textId="77777777" w:rsidR="005F48A7" w:rsidRPr="00EB1460" w:rsidRDefault="00F1175E" w:rsidP="005F48A7">
      <w:pPr>
        <w:pStyle w:val="Bibliography"/>
        <w:ind w:left="720" w:hanging="720"/>
        <w:rPr>
          <w:noProof/>
        </w:rPr>
      </w:pPr>
      <w:r w:rsidRPr="00EB1460">
        <w:rPr>
          <w:noProof/>
        </w:rPr>
        <w:t xml:space="preserve">Secretariat of the Rotterdam Convention. (2013). </w:t>
      </w:r>
      <w:r w:rsidRPr="00EB1460">
        <w:rPr>
          <w:i/>
          <w:iCs/>
          <w:noProof/>
        </w:rPr>
        <w:t>PIC Circular XXXVIII.</w:t>
      </w:r>
      <w:r w:rsidRPr="00EB1460">
        <w:rPr>
          <w:noProof/>
        </w:rPr>
        <w:t xml:space="preserve"> Rome: Secretariat of the Rotterdam Convention on the Prior Informed Consent Procedure for Certain Hazardous Chemicals and Pesticides in International Trade.</w:t>
      </w:r>
    </w:p>
    <w:p w14:paraId="3AF67EDE" w14:textId="77777777" w:rsidR="005F48A7" w:rsidRPr="00EB1460" w:rsidRDefault="00F1175E" w:rsidP="005F48A7">
      <w:pPr>
        <w:pStyle w:val="Bibliography"/>
        <w:ind w:left="720" w:hanging="720"/>
        <w:rPr>
          <w:noProof/>
        </w:rPr>
      </w:pPr>
      <w:r w:rsidRPr="00EB1460">
        <w:rPr>
          <w:noProof/>
        </w:rPr>
        <w:t xml:space="preserve">Sinclair Knight Merz. (2011). </w:t>
      </w:r>
      <w:r w:rsidRPr="00EB1460">
        <w:rPr>
          <w:i/>
          <w:iCs/>
          <w:noProof/>
        </w:rPr>
        <w:t>Genesis Energy Limited, Huntly Re-Consenting of Thermal Power Stations: Technical Report – Discharges to Air.</w:t>
      </w:r>
      <w:r w:rsidRPr="00EB1460">
        <w:rPr>
          <w:noProof/>
        </w:rPr>
        <w:t xml:space="preserve"> Wellington: Sinclair Knight Merz.</w:t>
      </w:r>
    </w:p>
    <w:p w14:paraId="3E9F3F96" w14:textId="77777777" w:rsidR="005F48A7" w:rsidRPr="00EB1460" w:rsidRDefault="00F1175E" w:rsidP="005F48A7">
      <w:pPr>
        <w:pStyle w:val="Bibliography"/>
        <w:ind w:left="720" w:hanging="720"/>
        <w:rPr>
          <w:noProof/>
        </w:rPr>
      </w:pPr>
      <w:r w:rsidRPr="00EB1460">
        <w:rPr>
          <w:noProof/>
        </w:rPr>
        <w:t xml:space="preserve">Slaughter, G., &amp; Halliday, L. (2008). </w:t>
      </w:r>
      <w:r w:rsidRPr="00EB1460">
        <w:rPr>
          <w:i/>
          <w:iCs/>
          <w:noProof/>
        </w:rPr>
        <w:t>Disposal of New Zealand’s Used Oil. Paper presented to the Annual Conference.</w:t>
      </w:r>
      <w:r w:rsidRPr="00EB1460">
        <w:rPr>
          <w:noProof/>
        </w:rPr>
        <w:t xml:space="preserve"> Auckland: Waste Management Institute of New Zealand.</w:t>
      </w:r>
    </w:p>
    <w:p w14:paraId="197B938E" w14:textId="6348D04E" w:rsidR="00472C67" w:rsidRPr="00EB1460" w:rsidRDefault="00472C67" w:rsidP="00472C67">
      <w:pPr>
        <w:pStyle w:val="Bibliography"/>
        <w:ind w:left="720" w:hanging="720"/>
        <w:rPr>
          <w:noProof/>
        </w:rPr>
      </w:pPr>
      <w:r w:rsidRPr="00EB1460">
        <w:rPr>
          <w:noProof/>
        </w:rPr>
        <w:t xml:space="preserve">Taranaki Regional Council. (2019a). </w:t>
      </w:r>
      <w:r w:rsidRPr="00EB1460">
        <w:rPr>
          <w:i/>
          <w:iCs/>
          <w:noProof/>
        </w:rPr>
        <w:t>Dow AgroSciences (NZ) Ltd Monitoring Programme: Annual Report 2017-2018.</w:t>
      </w:r>
      <w:r w:rsidRPr="00EB1460">
        <w:rPr>
          <w:noProof/>
        </w:rPr>
        <w:t xml:space="preserve"> Stratford: Taranaki Regional Council, Technical report 2018-22, March 2019.</w:t>
      </w:r>
    </w:p>
    <w:p w14:paraId="5FA74D70" w14:textId="300C52B6" w:rsidR="00472C67" w:rsidRPr="00EB1460" w:rsidRDefault="00472C67" w:rsidP="00472C67">
      <w:pPr>
        <w:pStyle w:val="Bibliography"/>
        <w:ind w:left="720" w:hanging="720"/>
        <w:rPr>
          <w:noProof/>
        </w:rPr>
      </w:pPr>
      <w:r w:rsidRPr="00EB1460">
        <w:rPr>
          <w:noProof/>
        </w:rPr>
        <w:t xml:space="preserve">Taranaki Regional Council. (2019b). </w:t>
      </w:r>
      <w:r w:rsidRPr="00EB1460">
        <w:rPr>
          <w:i/>
          <w:iCs/>
          <w:noProof/>
        </w:rPr>
        <w:t>Dow AgroSciences (NZ) Ltd Monitoring Programme: Annual Report 2018-2019.</w:t>
      </w:r>
      <w:r w:rsidRPr="00EB1460">
        <w:rPr>
          <w:noProof/>
        </w:rPr>
        <w:t xml:space="preserve"> Stratford: Taranaki Regional Council, Technical report 2019-54, March 2019.</w:t>
      </w:r>
    </w:p>
    <w:p w14:paraId="3D645DEE" w14:textId="78602A18" w:rsidR="00472C67" w:rsidRPr="00EB1460" w:rsidRDefault="00472C67" w:rsidP="00472C67">
      <w:pPr>
        <w:pStyle w:val="Bibliography"/>
        <w:ind w:left="720" w:hanging="720"/>
        <w:rPr>
          <w:noProof/>
        </w:rPr>
      </w:pPr>
      <w:r w:rsidRPr="00EB1460">
        <w:rPr>
          <w:noProof/>
        </w:rPr>
        <w:t xml:space="preserve">Taranaki Regional Council. (2021). </w:t>
      </w:r>
      <w:r w:rsidRPr="00EB1460">
        <w:rPr>
          <w:i/>
          <w:iCs/>
          <w:noProof/>
        </w:rPr>
        <w:t>Dow AgroSciences (NZ) Ltd Monitoring Programme: Annual Report 20</w:t>
      </w:r>
      <w:r w:rsidR="001A17A9" w:rsidRPr="00EB1460">
        <w:rPr>
          <w:i/>
          <w:iCs/>
          <w:noProof/>
        </w:rPr>
        <w:t>19</w:t>
      </w:r>
      <w:r w:rsidRPr="00EB1460">
        <w:rPr>
          <w:i/>
          <w:iCs/>
          <w:noProof/>
        </w:rPr>
        <w:t>-202</w:t>
      </w:r>
      <w:r w:rsidR="001A17A9" w:rsidRPr="00EB1460">
        <w:rPr>
          <w:i/>
          <w:iCs/>
          <w:noProof/>
        </w:rPr>
        <w:t>0</w:t>
      </w:r>
      <w:r w:rsidRPr="00EB1460">
        <w:rPr>
          <w:i/>
          <w:iCs/>
          <w:noProof/>
        </w:rPr>
        <w:t>.</w:t>
      </w:r>
      <w:r w:rsidRPr="00EB1460">
        <w:rPr>
          <w:noProof/>
        </w:rPr>
        <w:t xml:space="preserve"> Stratford: Taranaki Regional Council, Technical report 20</w:t>
      </w:r>
      <w:r w:rsidR="001A17A9" w:rsidRPr="00EB1460">
        <w:rPr>
          <w:noProof/>
        </w:rPr>
        <w:t>20</w:t>
      </w:r>
      <w:r w:rsidRPr="00EB1460">
        <w:rPr>
          <w:noProof/>
        </w:rPr>
        <w:t>-</w:t>
      </w:r>
      <w:r w:rsidR="001A17A9" w:rsidRPr="00EB1460">
        <w:rPr>
          <w:noProof/>
        </w:rPr>
        <w:t>57</w:t>
      </w:r>
      <w:r w:rsidRPr="00EB1460">
        <w:rPr>
          <w:noProof/>
        </w:rPr>
        <w:t xml:space="preserve">, </w:t>
      </w:r>
      <w:r w:rsidR="001A17A9" w:rsidRPr="00EB1460">
        <w:rPr>
          <w:noProof/>
        </w:rPr>
        <w:t xml:space="preserve">June </w:t>
      </w:r>
      <w:r w:rsidRPr="00EB1460">
        <w:rPr>
          <w:noProof/>
        </w:rPr>
        <w:t>20</w:t>
      </w:r>
      <w:r w:rsidR="001A17A9" w:rsidRPr="00EB1460">
        <w:rPr>
          <w:noProof/>
        </w:rPr>
        <w:t>21</w:t>
      </w:r>
      <w:r w:rsidRPr="00EB1460">
        <w:rPr>
          <w:noProof/>
        </w:rPr>
        <w:t>.</w:t>
      </w:r>
    </w:p>
    <w:p w14:paraId="2179F7AC" w14:textId="77777777" w:rsidR="00F1175E" w:rsidRPr="00EB1460" w:rsidRDefault="00F1175E" w:rsidP="00F1175E">
      <w:pPr>
        <w:pStyle w:val="Bibliography"/>
        <w:ind w:left="720" w:hanging="720"/>
        <w:rPr>
          <w:noProof/>
        </w:rPr>
      </w:pPr>
      <w:r w:rsidRPr="00EB1460">
        <w:rPr>
          <w:noProof/>
        </w:rPr>
        <w:t xml:space="preserve">Tyler, H., &amp; Anderson, G. (2011). Making Good Use of Cement Kiln Dust. </w:t>
      </w:r>
      <w:r w:rsidRPr="00EB1460">
        <w:rPr>
          <w:i/>
          <w:iCs/>
          <w:noProof/>
        </w:rPr>
        <w:t>Waste Awareness</w:t>
      </w:r>
      <w:r w:rsidRPr="00EB1460">
        <w:rPr>
          <w:noProof/>
        </w:rPr>
        <w:t>, p20-21 and 25, November/December.</w:t>
      </w:r>
    </w:p>
    <w:p w14:paraId="5F1F533B" w14:textId="77777777" w:rsidR="00F1175E" w:rsidRPr="00EB1460" w:rsidRDefault="00F1175E" w:rsidP="00F1175E">
      <w:pPr>
        <w:pStyle w:val="Bibliography"/>
        <w:ind w:left="720" w:hanging="720"/>
        <w:rPr>
          <w:noProof/>
        </w:rPr>
      </w:pPr>
      <w:r w:rsidRPr="00EB1460">
        <w:rPr>
          <w:noProof/>
        </w:rPr>
        <w:t xml:space="preserve">United Nations Environment Programme. (2005). </w:t>
      </w:r>
      <w:r w:rsidRPr="00EB1460">
        <w:rPr>
          <w:i/>
          <w:iCs/>
          <w:noProof/>
        </w:rPr>
        <w:t>Standardised Toolkit for Identification and Quantification of Dioxin and Furan Releases.</w:t>
      </w:r>
      <w:r w:rsidRPr="00EB1460">
        <w:rPr>
          <w:noProof/>
        </w:rPr>
        <w:t xml:space="preserve"> Geneva: UNEP Chemicals, United Nations Environment Programme.</w:t>
      </w:r>
    </w:p>
    <w:p w14:paraId="4FC8DECA" w14:textId="28F066DA" w:rsidR="00F1175E" w:rsidRPr="00EB1460" w:rsidRDefault="00F1175E" w:rsidP="00F1175E">
      <w:pPr>
        <w:pStyle w:val="Bibliography"/>
        <w:ind w:left="720" w:hanging="720"/>
        <w:rPr>
          <w:noProof/>
        </w:rPr>
      </w:pPr>
      <w:r w:rsidRPr="00EB1460">
        <w:rPr>
          <w:noProof/>
        </w:rPr>
        <w:t xml:space="preserve">United Nations Environment Programme. (2013). </w:t>
      </w:r>
      <w:r w:rsidRPr="00EB1460">
        <w:rPr>
          <w:i/>
          <w:iCs/>
          <w:noProof/>
        </w:rPr>
        <w:t>Standardised Toolkit for Identification and Quantification of Dioxin and Furan Releases.</w:t>
      </w:r>
      <w:r w:rsidRPr="00EB1460">
        <w:rPr>
          <w:noProof/>
        </w:rPr>
        <w:t xml:space="preserve"> Geneva: UNEP Chemicals, UNited Nations Environment Programme.</w:t>
      </w:r>
    </w:p>
    <w:p w14:paraId="5EB2F299" w14:textId="0600DF3A" w:rsidR="0063557F" w:rsidRPr="00EB1460" w:rsidRDefault="0063557F" w:rsidP="0063557F">
      <w:pPr>
        <w:pStyle w:val="Bibliography"/>
        <w:ind w:left="720" w:hanging="720"/>
        <w:rPr>
          <w:noProof/>
        </w:rPr>
      </w:pPr>
      <w:r w:rsidRPr="00EB1460">
        <w:t xml:space="preserve">Water New Zealand. (2022). </w:t>
      </w:r>
      <w:r w:rsidRPr="00EB1460">
        <w:rPr>
          <w:i/>
          <w:iCs/>
        </w:rPr>
        <w:t>National Wastewater Treatment Plant Database</w:t>
      </w:r>
      <w:r w:rsidR="009B5D58" w:rsidRPr="00EB1460">
        <w:rPr>
          <w:i/>
          <w:iCs/>
        </w:rPr>
        <w:t>:</w:t>
      </w:r>
      <w:r w:rsidRPr="00EB1460">
        <w:t xml:space="preserve"> www.waternz.org.nz/WWTPInventory. Water New Zealand, accessed August 2022.</w:t>
      </w:r>
    </w:p>
    <w:p w14:paraId="6817DBD9" w14:textId="77777777" w:rsidR="00F1175E" w:rsidRPr="00EB1460" w:rsidRDefault="00F1175E" w:rsidP="00F1175E">
      <w:pPr>
        <w:pStyle w:val="Bibliography"/>
        <w:ind w:left="720" w:hanging="720"/>
        <w:rPr>
          <w:noProof/>
        </w:rPr>
      </w:pPr>
      <w:r w:rsidRPr="00EB1460">
        <w:rPr>
          <w:noProof/>
        </w:rPr>
        <w:t xml:space="preserve">Walmsley, N. (2012). </w:t>
      </w:r>
      <w:r w:rsidRPr="00EB1460">
        <w:rPr>
          <w:i/>
          <w:iCs/>
          <w:noProof/>
        </w:rPr>
        <w:t>New Zealand Biosolids - Lost opportunity or Just Lost?</w:t>
      </w:r>
      <w:r w:rsidRPr="00EB1460">
        <w:rPr>
          <w:noProof/>
        </w:rPr>
        <w:t xml:space="preserve"> Rotorua: Paper presented to the Water New Zealand Annual Conference.</w:t>
      </w:r>
    </w:p>
    <w:p w14:paraId="765A0652" w14:textId="77777777" w:rsidR="00F1175E" w:rsidRPr="00EB1460" w:rsidRDefault="00F1175E" w:rsidP="00F1175E">
      <w:pPr>
        <w:pStyle w:val="Bibliography"/>
        <w:ind w:left="720" w:hanging="720"/>
        <w:rPr>
          <w:noProof/>
        </w:rPr>
      </w:pPr>
      <w:r w:rsidRPr="00EB1460">
        <w:rPr>
          <w:noProof/>
        </w:rPr>
        <w:t xml:space="preserve">Wang, B., H, F., J, H., D, S., W, Y., &amp; Y, G. (2016). A primary estimate of global PCDD/F release based on the quantity and quality of national economic and social activities . </w:t>
      </w:r>
      <w:r w:rsidRPr="00EB1460">
        <w:rPr>
          <w:i/>
          <w:iCs/>
          <w:noProof/>
        </w:rPr>
        <w:t>Chemosphere</w:t>
      </w:r>
      <w:r w:rsidRPr="00EB1460">
        <w:rPr>
          <w:noProof/>
        </w:rPr>
        <w:t>, 303 - 309.</w:t>
      </w:r>
    </w:p>
    <w:p w14:paraId="76B1669B" w14:textId="77777777" w:rsidR="00F1175E" w:rsidRPr="00EB1460" w:rsidRDefault="00F1175E" w:rsidP="00F1175E">
      <w:pPr>
        <w:pStyle w:val="Bibliography"/>
        <w:ind w:left="720" w:hanging="720"/>
        <w:rPr>
          <w:noProof/>
        </w:rPr>
      </w:pPr>
      <w:r w:rsidRPr="00EB1460">
        <w:rPr>
          <w:noProof/>
        </w:rPr>
        <w:t xml:space="preserve">Waste Management Institute of New Zealand. (2013). </w:t>
      </w:r>
      <w:r w:rsidRPr="00EB1460">
        <w:rPr>
          <w:i/>
          <w:iCs/>
          <w:noProof/>
        </w:rPr>
        <w:t>Technical Guidelines for the Disposal to Land of Residual Waste and Other Material (Land Disposal Technical Guidelines: Draft for Consultation).</w:t>
      </w:r>
      <w:r w:rsidRPr="00EB1460">
        <w:rPr>
          <w:noProof/>
        </w:rPr>
        <w:t xml:space="preserve"> Auckland: Waste Management Institute of New Zealand.</w:t>
      </w:r>
    </w:p>
    <w:p w14:paraId="6D2CFF23" w14:textId="77777777" w:rsidR="005F48A7" w:rsidRPr="00EB1460" w:rsidRDefault="005F48A7" w:rsidP="005F48A7">
      <w:r w:rsidRPr="00EB1460">
        <w:t xml:space="preserve">WSP (2020). </w:t>
      </w:r>
      <w:r w:rsidRPr="00EB1460">
        <w:rPr>
          <w:i/>
          <w:iCs/>
        </w:rPr>
        <w:t xml:space="preserve">2020 Thermal Generation Stack Update Report. </w:t>
      </w:r>
      <w:r w:rsidRPr="00EB1460">
        <w:t>WSP, Taupo, 29 October 2020.</w:t>
      </w:r>
    </w:p>
    <w:p w14:paraId="0C42791D" w14:textId="77777777" w:rsidR="005F48A7" w:rsidRPr="00EB1460" w:rsidRDefault="005F48A7" w:rsidP="005F48A7"/>
    <w:p w14:paraId="78A98A19" w14:textId="77777777" w:rsidR="006761D2" w:rsidRPr="00AF1200" w:rsidRDefault="006761D2" w:rsidP="00F1175E">
      <w:pPr>
        <w:pStyle w:val="Bibliography"/>
        <w:ind w:left="720" w:hanging="720"/>
        <w:rPr>
          <w:szCs w:val="18"/>
          <w:highlight w:val="yellow"/>
        </w:rPr>
      </w:pPr>
      <w:r w:rsidRPr="00EB1460">
        <w:fldChar w:fldCharType="end"/>
      </w:r>
    </w:p>
    <w:p w14:paraId="1B23EA81" w14:textId="77777777" w:rsidR="006761D2" w:rsidRPr="00AF1200" w:rsidRDefault="006761D2" w:rsidP="006761D2">
      <w:pPr>
        <w:spacing w:line="300" w:lineRule="atLeast"/>
        <w:jc w:val="both"/>
        <w:rPr>
          <w:szCs w:val="18"/>
          <w:highlight w:val="yellow"/>
        </w:rPr>
        <w:sectPr w:rsidR="006761D2" w:rsidRPr="00AF1200" w:rsidSect="004723B2">
          <w:headerReference w:type="even" r:id="rId36"/>
          <w:headerReference w:type="default" r:id="rId37"/>
          <w:footerReference w:type="default" r:id="rId38"/>
          <w:headerReference w:type="first" r:id="rId39"/>
          <w:footerReference w:type="first" r:id="rId40"/>
          <w:endnotePr>
            <w:numFmt w:val="decimal"/>
          </w:endnotePr>
          <w:pgSz w:w="11907" w:h="16840" w:code="9"/>
          <w:pgMar w:top="1418" w:right="1418" w:bottom="1440" w:left="1418" w:header="720" w:footer="720" w:gutter="0"/>
          <w:pgNumType w:start="1"/>
          <w:cols w:space="720"/>
          <w:titlePg/>
          <w:docGrid w:linePitch="272"/>
        </w:sectPr>
      </w:pPr>
    </w:p>
    <w:p w14:paraId="1DFF4E99" w14:textId="7C9312B0" w:rsidR="002E6404" w:rsidRPr="00EC29F2" w:rsidRDefault="002E6404" w:rsidP="002E6404">
      <w:pPr>
        <w:pStyle w:val="Heading1"/>
        <w:numPr>
          <w:ilvl w:val="0"/>
          <w:numId w:val="0"/>
        </w:numPr>
        <w:spacing w:after="360"/>
        <w:ind w:left="431" w:hanging="431"/>
        <w:rPr>
          <w:szCs w:val="18"/>
        </w:rPr>
      </w:pPr>
      <w:bookmarkStart w:id="535" w:name="_Toc391653016"/>
      <w:bookmarkStart w:id="536" w:name="_Toc112768181"/>
      <w:r w:rsidRPr="00EC29F2">
        <w:lastRenderedPageBreak/>
        <w:t>Ap</w:t>
      </w:r>
      <w:r w:rsidR="001C3771" w:rsidRPr="00EC29F2">
        <w:t xml:space="preserve">pendix 1: Summary of </w:t>
      </w:r>
      <w:r w:rsidRPr="00EC29F2">
        <w:t>release estimates</w:t>
      </w:r>
      <w:bookmarkEnd w:id="535"/>
      <w:r w:rsidR="009B5D58" w:rsidRPr="009B5D58">
        <w:rPr>
          <w:vertAlign w:val="superscript"/>
        </w:rPr>
        <w:t>1</w:t>
      </w:r>
      <w:bookmarkEnd w:id="536"/>
    </w:p>
    <w:tbl>
      <w:tblPr>
        <w:tblStyle w:val="TableGrid"/>
        <w:tblW w:w="14793" w:type="dxa"/>
        <w:tblInd w:w="108" w:type="dxa"/>
        <w:tblLayout w:type="fixed"/>
        <w:tblLook w:val="04A0" w:firstRow="1" w:lastRow="0" w:firstColumn="1" w:lastColumn="0" w:noHBand="0" w:noVBand="1"/>
      </w:tblPr>
      <w:tblGrid>
        <w:gridCol w:w="1960"/>
        <w:gridCol w:w="1159"/>
        <w:gridCol w:w="942"/>
        <w:gridCol w:w="1042"/>
        <w:gridCol w:w="1134"/>
        <w:gridCol w:w="1134"/>
        <w:gridCol w:w="1084"/>
        <w:gridCol w:w="1043"/>
        <w:gridCol w:w="1134"/>
        <w:gridCol w:w="1134"/>
        <w:gridCol w:w="1043"/>
        <w:gridCol w:w="992"/>
        <w:gridCol w:w="992"/>
      </w:tblGrid>
      <w:tr w:rsidR="001F2B7B" w:rsidRPr="00660468" w14:paraId="7A3BE0F7" w14:textId="70B85D74" w:rsidTr="0C34660A">
        <w:trPr>
          <w:tblHeader/>
        </w:trPr>
        <w:tc>
          <w:tcPr>
            <w:tcW w:w="1960" w:type="dxa"/>
            <w:vMerge w:val="restart"/>
            <w:vAlign w:val="center"/>
          </w:tcPr>
          <w:p w14:paraId="642F3B9C" w14:textId="0E34043B" w:rsidR="00F44959" w:rsidRPr="00191031" w:rsidRDefault="009B5D58" w:rsidP="002E6404">
            <w:pPr>
              <w:spacing w:before="120"/>
              <w:rPr>
                <w:rFonts w:ascii="Arial" w:hAnsi="Arial" w:cs="Arial"/>
                <w:b/>
                <w:sz w:val="16"/>
                <w:szCs w:val="16"/>
              </w:rPr>
            </w:pPr>
            <w:r>
              <w:rPr>
                <w:rFonts w:ascii="Arial" w:hAnsi="Arial" w:cs="Arial"/>
                <w:b/>
                <w:sz w:val="16"/>
                <w:szCs w:val="16"/>
              </w:rPr>
              <w:t>Category</w:t>
            </w:r>
          </w:p>
        </w:tc>
        <w:tc>
          <w:tcPr>
            <w:tcW w:w="3143" w:type="dxa"/>
            <w:gridSpan w:val="3"/>
          </w:tcPr>
          <w:p w14:paraId="021FB0F2" w14:textId="7359418D"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Air</w:t>
            </w:r>
            <w:r w:rsidR="004A23C7" w:rsidRPr="00191031">
              <w:rPr>
                <w:rFonts w:ascii="Arial" w:hAnsi="Arial" w:cs="Arial"/>
                <w:b/>
                <w:sz w:val="16"/>
                <w:szCs w:val="16"/>
              </w:rPr>
              <w:t xml:space="preserve"> (g TEQ / annum)</w:t>
            </w:r>
          </w:p>
        </w:tc>
        <w:tc>
          <w:tcPr>
            <w:tcW w:w="3352" w:type="dxa"/>
            <w:gridSpan w:val="3"/>
          </w:tcPr>
          <w:p w14:paraId="2AEBAA5D" w14:textId="474DE4B9"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Water</w:t>
            </w:r>
            <w:r w:rsidR="004A23C7" w:rsidRPr="00191031">
              <w:rPr>
                <w:rFonts w:ascii="Arial" w:hAnsi="Arial" w:cs="Arial"/>
                <w:b/>
                <w:sz w:val="16"/>
                <w:szCs w:val="16"/>
              </w:rPr>
              <w:t xml:space="preserve"> (g TEQ / annum)</w:t>
            </w:r>
          </w:p>
        </w:tc>
        <w:tc>
          <w:tcPr>
            <w:tcW w:w="3311" w:type="dxa"/>
            <w:gridSpan w:val="3"/>
          </w:tcPr>
          <w:p w14:paraId="3E12488C" w14:textId="1AF9E7ED"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Land</w:t>
            </w:r>
            <w:r w:rsidR="004A23C7" w:rsidRPr="00191031">
              <w:rPr>
                <w:rFonts w:ascii="Arial" w:hAnsi="Arial" w:cs="Arial"/>
                <w:b/>
                <w:sz w:val="16"/>
                <w:szCs w:val="16"/>
              </w:rPr>
              <w:t xml:space="preserve"> (g TEQ / annum)</w:t>
            </w:r>
          </w:p>
        </w:tc>
        <w:tc>
          <w:tcPr>
            <w:tcW w:w="3027" w:type="dxa"/>
            <w:gridSpan w:val="3"/>
          </w:tcPr>
          <w:p w14:paraId="6BE61F5A" w14:textId="2D60D2BF"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Residue</w:t>
            </w:r>
            <w:r w:rsidR="004A23C7" w:rsidRPr="00191031">
              <w:rPr>
                <w:rFonts w:ascii="Arial" w:hAnsi="Arial" w:cs="Arial"/>
                <w:b/>
                <w:sz w:val="16"/>
                <w:szCs w:val="16"/>
              </w:rPr>
              <w:t xml:space="preserve"> (g TEQ / annum)</w:t>
            </w:r>
          </w:p>
        </w:tc>
      </w:tr>
      <w:tr w:rsidR="001F2B7B" w:rsidRPr="00660468" w14:paraId="3D711AB5" w14:textId="764DB568" w:rsidTr="0C34660A">
        <w:trPr>
          <w:tblHeader/>
        </w:trPr>
        <w:tc>
          <w:tcPr>
            <w:tcW w:w="1960" w:type="dxa"/>
            <w:vMerge/>
            <w:vAlign w:val="center"/>
          </w:tcPr>
          <w:p w14:paraId="66324B5B" w14:textId="77777777" w:rsidR="00F44959" w:rsidRPr="00191031" w:rsidRDefault="00F44959" w:rsidP="002E6404">
            <w:pPr>
              <w:spacing w:before="120"/>
              <w:rPr>
                <w:rFonts w:ascii="Arial" w:hAnsi="Arial" w:cs="Arial"/>
                <w:b/>
                <w:sz w:val="16"/>
                <w:szCs w:val="16"/>
              </w:rPr>
            </w:pPr>
          </w:p>
        </w:tc>
        <w:tc>
          <w:tcPr>
            <w:tcW w:w="1159" w:type="dxa"/>
            <w:vAlign w:val="center"/>
          </w:tcPr>
          <w:p w14:paraId="3281C3FE" w14:textId="784AC75C"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20</w:t>
            </w:r>
            <w:r w:rsidR="00793D48">
              <w:rPr>
                <w:rFonts w:ascii="Arial" w:hAnsi="Arial" w:cs="Arial"/>
                <w:b/>
                <w:sz w:val="16"/>
                <w:szCs w:val="16"/>
              </w:rPr>
              <w:t>12</w:t>
            </w:r>
          </w:p>
        </w:tc>
        <w:tc>
          <w:tcPr>
            <w:tcW w:w="942" w:type="dxa"/>
            <w:vAlign w:val="center"/>
          </w:tcPr>
          <w:p w14:paraId="3748AA43" w14:textId="67CF1A9E"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20</w:t>
            </w:r>
            <w:r w:rsidR="00793D48">
              <w:rPr>
                <w:rFonts w:ascii="Arial" w:hAnsi="Arial" w:cs="Arial"/>
                <w:b/>
                <w:sz w:val="16"/>
                <w:szCs w:val="16"/>
              </w:rPr>
              <w:t>16</w:t>
            </w:r>
          </w:p>
        </w:tc>
        <w:tc>
          <w:tcPr>
            <w:tcW w:w="1042" w:type="dxa"/>
          </w:tcPr>
          <w:p w14:paraId="1F94A230" w14:textId="0F3D0587" w:rsidR="00F44959" w:rsidRPr="00191031" w:rsidRDefault="00F44959" w:rsidP="002E6404">
            <w:pPr>
              <w:spacing w:before="120"/>
              <w:jc w:val="center"/>
              <w:rPr>
                <w:rFonts w:ascii="Arial" w:hAnsi="Arial" w:cs="Arial"/>
                <w:b/>
                <w:sz w:val="16"/>
                <w:szCs w:val="16"/>
              </w:rPr>
            </w:pPr>
            <w:r w:rsidRPr="00191031">
              <w:rPr>
                <w:rFonts w:ascii="Arial" w:hAnsi="Arial" w:cs="Arial"/>
                <w:b/>
                <w:sz w:val="16"/>
                <w:szCs w:val="16"/>
              </w:rPr>
              <w:t>20</w:t>
            </w:r>
            <w:r w:rsidR="00793D48">
              <w:rPr>
                <w:rFonts w:ascii="Arial" w:hAnsi="Arial" w:cs="Arial"/>
                <w:b/>
                <w:sz w:val="16"/>
                <w:szCs w:val="16"/>
              </w:rPr>
              <w:t>20</w:t>
            </w:r>
          </w:p>
        </w:tc>
        <w:tc>
          <w:tcPr>
            <w:tcW w:w="1134" w:type="dxa"/>
            <w:vAlign w:val="center"/>
          </w:tcPr>
          <w:p w14:paraId="79B88EA6" w14:textId="3309D5A0" w:rsidR="00F44959" w:rsidRPr="00191031" w:rsidRDefault="00793D48" w:rsidP="002E6404">
            <w:pPr>
              <w:spacing w:before="120"/>
              <w:jc w:val="center"/>
              <w:rPr>
                <w:rFonts w:ascii="Arial" w:hAnsi="Arial" w:cs="Arial"/>
                <w:b/>
                <w:sz w:val="16"/>
                <w:szCs w:val="16"/>
              </w:rPr>
            </w:pPr>
            <w:r>
              <w:rPr>
                <w:rFonts w:ascii="Arial" w:hAnsi="Arial" w:cs="Arial"/>
                <w:b/>
                <w:sz w:val="16"/>
                <w:szCs w:val="16"/>
              </w:rPr>
              <w:t>2012</w:t>
            </w:r>
          </w:p>
        </w:tc>
        <w:tc>
          <w:tcPr>
            <w:tcW w:w="1134" w:type="dxa"/>
            <w:vAlign w:val="center"/>
          </w:tcPr>
          <w:p w14:paraId="38456CFE" w14:textId="1B551CD7" w:rsidR="00F44959" w:rsidRPr="00191031" w:rsidRDefault="00793D48" w:rsidP="002E6404">
            <w:pPr>
              <w:spacing w:before="120"/>
              <w:jc w:val="center"/>
              <w:rPr>
                <w:rFonts w:ascii="Arial" w:hAnsi="Arial" w:cs="Arial"/>
                <w:b/>
                <w:sz w:val="16"/>
                <w:szCs w:val="16"/>
              </w:rPr>
            </w:pPr>
            <w:r>
              <w:rPr>
                <w:rFonts w:ascii="Arial" w:hAnsi="Arial" w:cs="Arial"/>
                <w:b/>
                <w:sz w:val="16"/>
                <w:szCs w:val="16"/>
              </w:rPr>
              <w:t>2016</w:t>
            </w:r>
          </w:p>
        </w:tc>
        <w:tc>
          <w:tcPr>
            <w:tcW w:w="1084" w:type="dxa"/>
          </w:tcPr>
          <w:p w14:paraId="6E6F2246" w14:textId="2B40230C" w:rsidR="00F44959" w:rsidRPr="00191031" w:rsidRDefault="00793D48" w:rsidP="002E6404">
            <w:pPr>
              <w:spacing w:before="120"/>
              <w:jc w:val="center"/>
              <w:rPr>
                <w:rFonts w:ascii="Arial" w:hAnsi="Arial" w:cs="Arial"/>
                <w:b/>
                <w:sz w:val="16"/>
                <w:szCs w:val="16"/>
              </w:rPr>
            </w:pPr>
            <w:r>
              <w:rPr>
                <w:rFonts w:ascii="Arial" w:hAnsi="Arial" w:cs="Arial"/>
                <w:b/>
                <w:sz w:val="16"/>
                <w:szCs w:val="16"/>
              </w:rPr>
              <w:t>2020</w:t>
            </w:r>
          </w:p>
        </w:tc>
        <w:tc>
          <w:tcPr>
            <w:tcW w:w="1043" w:type="dxa"/>
            <w:vAlign w:val="center"/>
          </w:tcPr>
          <w:p w14:paraId="5A731B52" w14:textId="568D4D03" w:rsidR="00F44959" w:rsidRPr="00191031" w:rsidRDefault="00793D48" w:rsidP="002E6404">
            <w:pPr>
              <w:spacing w:before="120"/>
              <w:jc w:val="center"/>
              <w:rPr>
                <w:rFonts w:ascii="Arial" w:hAnsi="Arial" w:cs="Arial"/>
                <w:b/>
                <w:sz w:val="16"/>
                <w:szCs w:val="16"/>
              </w:rPr>
            </w:pPr>
            <w:r>
              <w:rPr>
                <w:rFonts w:ascii="Arial" w:hAnsi="Arial" w:cs="Arial"/>
                <w:b/>
                <w:sz w:val="16"/>
                <w:szCs w:val="16"/>
              </w:rPr>
              <w:t>2012</w:t>
            </w:r>
          </w:p>
        </w:tc>
        <w:tc>
          <w:tcPr>
            <w:tcW w:w="1134" w:type="dxa"/>
            <w:vAlign w:val="center"/>
          </w:tcPr>
          <w:p w14:paraId="0CEC0AD5" w14:textId="05D05B23" w:rsidR="00F44959" w:rsidRPr="00191031" w:rsidRDefault="00793D48" w:rsidP="002E6404">
            <w:pPr>
              <w:spacing w:before="120"/>
              <w:jc w:val="center"/>
              <w:rPr>
                <w:rFonts w:ascii="Arial" w:hAnsi="Arial" w:cs="Arial"/>
                <w:b/>
                <w:sz w:val="16"/>
                <w:szCs w:val="16"/>
              </w:rPr>
            </w:pPr>
            <w:r>
              <w:rPr>
                <w:rFonts w:ascii="Arial" w:hAnsi="Arial" w:cs="Arial"/>
                <w:b/>
                <w:sz w:val="16"/>
                <w:szCs w:val="16"/>
              </w:rPr>
              <w:t>2016</w:t>
            </w:r>
          </w:p>
        </w:tc>
        <w:tc>
          <w:tcPr>
            <w:tcW w:w="1134" w:type="dxa"/>
          </w:tcPr>
          <w:p w14:paraId="6FE4EB44" w14:textId="25450889" w:rsidR="00F44959" w:rsidRPr="00191031" w:rsidRDefault="00793D48" w:rsidP="002E6404">
            <w:pPr>
              <w:spacing w:before="120"/>
              <w:jc w:val="center"/>
              <w:rPr>
                <w:rFonts w:ascii="Arial" w:hAnsi="Arial" w:cs="Arial"/>
                <w:b/>
                <w:sz w:val="16"/>
                <w:szCs w:val="16"/>
              </w:rPr>
            </w:pPr>
            <w:r>
              <w:rPr>
                <w:rFonts w:ascii="Arial" w:hAnsi="Arial" w:cs="Arial"/>
                <w:b/>
                <w:sz w:val="16"/>
                <w:szCs w:val="16"/>
              </w:rPr>
              <w:t>2020</w:t>
            </w:r>
          </w:p>
        </w:tc>
        <w:tc>
          <w:tcPr>
            <w:tcW w:w="1043" w:type="dxa"/>
          </w:tcPr>
          <w:p w14:paraId="1C52F23E" w14:textId="646539CC" w:rsidR="00F44959" w:rsidRPr="00191031" w:rsidRDefault="00793D48" w:rsidP="002E6404">
            <w:pPr>
              <w:spacing w:before="120"/>
              <w:jc w:val="center"/>
              <w:rPr>
                <w:rFonts w:ascii="Arial" w:hAnsi="Arial" w:cs="Arial"/>
                <w:b/>
                <w:sz w:val="16"/>
                <w:szCs w:val="16"/>
              </w:rPr>
            </w:pPr>
            <w:r>
              <w:rPr>
                <w:rFonts w:ascii="Arial" w:hAnsi="Arial" w:cs="Arial"/>
                <w:b/>
                <w:sz w:val="16"/>
                <w:szCs w:val="16"/>
              </w:rPr>
              <w:t>2012</w:t>
            </w:r>
          </w:p>
        </w:tc>
        <w:tc>
          <w:tcPr>
            <w:tcW w:w="992" w:type="dxa"/>
            <w:vAlign w:val="center"/>
          </w:tcPr>
          <w:p w14:paraId="3523E767" w14:textId="1A6732A2" w:rsidR="00F44959" w:rsidRPr="00191031" w:rsidRDefault="00793D48" w:rsidP="002E6404">
            <w:pPr>
              <w:spacing w:before="120"/>
              <w:jc w:val="center"/>
              <w:rPr>
                <w:rFonts w:ascii="Arial" w:hAnsi="Arial" w:cs="Arial"/>
                <w:b/>
                <w:sz w:val="16"/>
                <w:szCs w:val="16"/>
              </w:rPr>
            </w:pPr>
            <w:r>
              <w:rPr>
                <w:rFonts w:ascii="Arial" w:hAnsi="Arial" w:cs="Arial"/>
                <w:b/>
                <w:sz w:val="16"/>
                <w:szCs w:val="16"/>
              </w:rPr>
              <w:t>2016</w:t>
            </w:r>
          </w:p>
        </w:tc>
        <w:tc>
          <w:tcPr>
            <w:tcW w:w="992" w:type="dxa"/>
          </w:tcPr>
          <w:p w14:paraId="1E353E69" w14:textId="040E3D6F" w:rsidR="00F44959" w:rsidRPr="00191031" w:rsidRDefault="00793D48" w:rsidP="002E6404">
            <w:pPr>
              <w:spacing w:before="120"/>
              <w:jc w:val="center"/>
              <w:rPr>
                <w:rFonts w:ascii="Arial" w:hAnsi="Arial" w:cs="Arial"/>
                <w:b/>
                <w:sz w:val="16"/>
                <w:szCs w:val="16"/>
              </w:rPr>
            </w:pPr>
            <w:r>
              <w:rPr>
                <w:rFonts w:ascii="Arial" w:hAnsi="Arial" w:cs="Arial"/>
                <w:b/>
                <w:sz w:val="16"/>
                <w:szCs w:val="16"/>
              </w:rPr>
              <w:t>2020</w:t>
            </w:r>
          </w:p>
        </w:tc>
      </w:tr>
      <w:tr w:rsidR="00D26B14" w:rsidRPr="00660468" w14:paraId="605DB8F1" w14:textId="7BA7FDB6" w:rsidTr="0C34660A">
        <w:tc>
          <w:tcPr>
            <w:tcW w:w="1960" w:type="dxa"/>
            <w:vAlign w:val="center"/>
          </w:tcPr>
          <w:p w14:paraId="371A65C0"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Hazardous waste incineration</w:t>
            </w:r>
          </w:p>
        </w:tc>
        <w:tc>
          <w:tcPr>
            <w:tcW w:w="1159" w:type="dxa"/>
            <w:vAlign w:val="center"/>
          </w:tcPr>
          <w:p w14:paraId="0ABE41FB" w14:textId="315770D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0.000048</w:t>
            </w:r>
          </w:p>
        </w:tc>
        <w:tc>
          <w:tcPr>
            <w:tcW w:w="942" w:type="dxa"/>
            <w:vAlign w:val="center"/>
          </w:tcPr>
          <w:p w14:paraId="3FF5FBBF" w14:textId="0291A83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0.00033</w:t>
            </w:r>
          </w:p>
        </w:tc>
        <w:tc>
          <w:tcPr>
            <w:tcW w:w="1042" w:type="dxa"/>
            <w:vAlign w:val="center"/>
          </w:tcPr>
          <w:p w14:paraId="4BCB1A74" w14:textId="28EE852B" w:rsidR="00D26B14" w:rsidRPr="00191031" w:rsidRDefault="00D26B14" w:rsidP="00D26B14">
            <w:pPr>
              <w:spacing w:before="120"/>
              <w:jc w:val="center"/>
              <w:rPr>
                <w:rFonts w:ascii="Arial" w:hAnsi="Arial" w:cs="Arial"/>
                <w:sz w:val="16"/>
                <w:szCs w:val="16"/>
              </w:rPr>
            </w:pPr>
          </w:p>
        </w:tc>
        <w:tc>
          <w:tcPr>
            <w:tcW w:w="1134" w:type="dxa"/>
            <w:vAlign w:val="center"/>
          </w:tcPr>
          <w:p w14:paraId="5AC7A5C0" w14:textId="24D08901" w:rsidR="00D26B14" w:rsidRPr="00191031" w:rsidRDefault="00091EAE" w:rsidP="00D26B14">
            <w:pPr>
              <w:spacing w:before="120"/>
              <w:jc w:val="center"/>
              <w:rPr>
                <w:rFonts w:ascii="Arial" w:hAnsi="Arial" w:cs="Arial"/>
                <w:sz w:val="16"/>
                <w:szCs w:val="16"/>
              </w:rPr>
            </w:pPr>
            <w:r>
              <w:rPr>
                <w:rFonts w:ascii="Arial" w:hAnsi="Arial" w:cs="Arial"/>
                <w:sz w:val="16"/>
                <w:szCs w:val="16"/>
              </w:rPr>
              <w:t>0.0000055</w:t>
            </w:r>
          </w:p>
        </w:tc>
        <w:tc>
          <w:tcPr>
            <w:tcW w:w="1134" w:type="dxa"/>
            <w:vAlign w:val="center"/>
          </w:tcPr>
          <w:p w14:paraId="382EAF03"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0F018EBE" w14:textId="50E0225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1FCCE05" w14:textId="3882DA6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A787E0C"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1F52BB1" w14:textId="4191911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0BD3AB3" w14:textId="617797E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0.000053</w:t>
            </w:r>
          </w:p>
        </w:tc>
        <w:tc>
          <w:tcPr>
            <w:tcW w:w="992" w:type="dxa"/>
            <w:vAlign w:val="center"/>
          </w:tcPr>
          <w:p w14:paraId="2681E5E8" w14:textId="4C9DB13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0.000017</w:t>
            </w:r>
          </w:p>
        </w:tc>
        <w:tc>
          <w:tcPr>
            <w:tcW w:w="992" w:type="dxa"/>
            <w:vAlign w:val="center"/>
          </w:tcPr>
          <w:p w14:paraId="76BD1877" w14:textId="71F6C07C" w:rsidR="00D26B14" w:rsidRPr="00191031" w:rsidRDefault="00091EAE" w:rsidP="00075468">
            <w:pPr>
              <w:spacing w:before="120"/>
              <w:ind w:left="743" w:hanging="1901"/>
              <w:jc w:val="right"/>
              <w:rPr>
                <w:rFonts w:ascii="Arial" w:hAnsi="Arial" w:cs="Arial"/>
                <w:sz w:val="16"/>
                <w:szCs w:val="16"/>
              </w:rPr>
            </w:pPr>
            <w:r>
              <w:rPr>
                <w:rFonts w:ascii="Arial" w:hAnsi="Arial" w:cs="Arial"/>
                <w:color w:val="000000"/>
                <w:sz w:val="16"/>
                <w:szCs w:val="16"/>
              </w:rPr>
              <w:t>0.0000003</w:t>
            </w:r>
          </w:p>
        </w:tc>
      </w:tr>
      <w:tr w:rsidR="00D26B14" w:rsidRPr="00660468" w14:paraId="249C8780" w14:textId="4F6075E8" w:rsidTr="0C34660A">
        <w:tc>
          <w:tcPr>
            <w:tcW w:w="1960" w:type="dxa"/>
            <w:vAlign w:val="center"/>
          </w:tcPr>
          <w:p w14:paraId="068CD038"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Medical waste incineration</w:t>
            </w:r>
          </w:p>
        </w:tc>
        <w:tc>
          <w:tcPr>
            <w:tcW w:w="1159" w:type="dxa"/>
            <w:vAlign w:val="center"/>
          </w:tcPr>
          <w:p w14:paraId="631C9F93" w14:textId="224359F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0.657</w:t>
            </w:r>
          </w:p>
        </w:tc>
        <w:tc>
          <w:tcPr>
            <w:tcW w:w="942" w:type="dxa"/>
            <w:vAlign w:val="center"/>
          </w:tcPr>
          <w:p w14:paraId="5C22C32F" w14:textId="0CDF61E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0.234</w:t>
            </w:r>
          </w:p>
        </w:tc>
        <w:tc>
          <w:tcPr>
            <w:tcW w:w="1042" w:type="dxa"/>
            <w:vAlign w:val="center"/>
          </w:tcPr>
          <w:p w14:paraId="4D963C79" w14:textId="70BC8AF9"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0.234</w:t>
            </w:r>
          </w:p>
        </w:tc>
        <w:tc>
          <w:tcPr>
            <w:tcW w:w="1134" w:type="dxa"/>
            <w:vAlign w:val="center"/>
          </w:tcPr>
          <w:p w14:paraId="3CA6DAC9" w14:textId="49C2B49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8241C6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5BF9943" w14:textId="0878B98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C62448E" w14:textId="49CDC30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0ECCAB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9E1BEAD" w14:textId="1A7298D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EC3A19B" w14:textId="0C2C766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0.0044</w:t>
            </w:r>
          </w:p>
        </w:tc>
        <w:tc>
          <w:tcPr>
            <w:tcW w:w="992" w:type="dxa"/>
            <w:vAlign w:val="center"/>
          </w:tcPr>
          <w:p w14:paraId="721B83CF" w14:textId="20C748A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0.0016</w:t>
            </w:r>
          </w:p>
        </w:tc>
        <w:tc>
          <w:tcPr>
            <w:tcW w:w="992" w:type="dxa"/>
            <w:vAlign w:val="center"/>
          </w:tcPr>
          <w:p w14:paraId="429815AE" w14:textId="183BE6F9"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0.0016</w:t>
            </w:r>
          </w:p>
        </w:tc>
      </w:tr>
      <w:tr w:rsidR="00D26B14" w:rsidRPr="00660468" w14:paraId="7B8DCB3F" w14:textId="5F848A3A" w:rsidTr="0C34660A">
        <w:tc>
          <w:tcPr>
            <w:tcW w:w="1960" w:type="dxa"/>
            <w:vAlign w:val="center"/>
          </w:tcPr>
          <w:p w14:paraId="2406F12C"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Sewage sludge incineration</w:t>
            </w:r>
          </w:p>
        </w:tc>
        <w:tc>
          <w:tcPr>
            <w:tcW w:w="1159" w:type="dxa"/>
            <w:vAlign w:val="center"/>
          </w:tcPr>
          <w:p w14:paraId="395EFD40" w14:textId="4D1894E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0.000097</w:t>
            </w:r>
          </w:p>
        </w:tc>
        <w:tc>
          <w:tcPr>
            <w:tcW w:w="942" w:type="dxa"/>
            <w:vAlign w:val="center"/>
          </w:tcPr>
          <w:p w14:paraId="0C26590B" w14:textId="43164A53"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0.00023</w:t>
            </w:r>
          </w:p>
        </w:tc>
        <w:tc>
          <w:tcPr>
            <w:tcW w:w="1042" w:type="dxa"/>
            <w:vAlign w:val="center"/>
          </w:tcPr>
          <w:p w14:paraId="2B034B59" w14:textId="492E2027"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0.00039</w:t>
            </w:r>
          </w:p>
        </w:tc>
        <w:tc>
          <w:tcPr>
            <w:tcW w:w="1134" w:type="dxa"/>
            <w:vAlign w:val="center"/>
          </w:tcPr>
          <w:p w14:paraId="3632B7D7" w14:textId="179ADC54"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2C37976"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6DBC3984" w14:textId="395EEC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0179336" w14:textId="5267A89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3775550"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E4C5B3A" w14:textId="09A2621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E87355E" w14:textId="0994556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0.00085</w:t>
            </w:r>
          </w:p>
        </w:tc>
        <w:tc>
          <w:tcPr>
            <w:tcW w:w="992" w:type="dxa"/>
            <w:vAlign w:val="center"/>
          </w:tcPr>
          <w:p w14:paraId="341743B8" w14:textId="1A9C4295"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0.00071</w:t>
            </w:r>
          </w:p>
        </w:tc>
        <w:tc>
          <w:tcPr>
            <w:tcW w:w="992" w:type="dxa"/>
            <w:vAlign w:val="center"/>
          </w:tcPr>
          <w:p w14:paraId="7AB7C0FD" w14:textId="77B30785"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0.00079</w:t>
            </w:r>
          </w:p>
        </w:tc>
      </w:tr>
      <w:tr w:rsidR="00D26B14" w:rsidRPr="00660468" w14:paraId="06C528F1" w14:textId="767395A7" w:rsidTr="0C34660A">
        <w:tc>
          <w:tcPr>
            <w:tcW w:w="1960" w:type="dxa"/>
            <w:vAlign w:val="center"/>
          </w:tcPr>
          <w:p w14:paraId="09BB3530" w14:textId="556EF104" w:rsidR="00D26B14" w:rsidRPr="00191031" w:rsidRDefault="00D26B14" w:rsidP="00D26B14">
            <w:pPr>
              <w:spacing w:before="120"/>
              <w:rPr>
                <w:rFonts w:ascii="Arial" w:hAnsi="Arial" w:cs="Arial"/>
                <w:sz w:val="16"/>
                <w:szCs w:val="16"/>
              </w:rPr>
            </w:pPr>
            <w:r w:rsidRPr="00191031">
              <w:rPr>
                <w:rFonts w:ascii="Arial" w:hAnsi="Arial" w:cs="Arial"/>
                <w:sz w:val="16"/>
                <w:szCs w:val="16"/>
              </w:rPr>
              <w:t xml:space="preserve">Wood and biomass incineration </w:t>
            </w:r>
            <w:r w:rsidRPr="00191031">
              <w:rPr>
                <w:rFonts w:ascii="Arial" w:hAnsi="Arial" w:cs="Arial"/>
                <w:sz w:val="16"/>
                <w:szCs w:val="16"/>
                <w:vertAlign w:val="superscript"/>
              </w:rPr>
              <w:t>2</w:t>
            </w:r>
          </w:p>
        </w:tc>
        <w:tc>
          <w:tcPr>
            <w:tcW w:w="1159" w:type="dxa"/>
            <w:vAlign w:val="center"/>
          </w:tcPr>
          <w:p w14:paraId="6DF42B4E" w14:textId="2A347EC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0.021</w:t>
            </w:r>
          </w:p>
        </w:tc>
        <w:tc>
          <w:tcPr>
            <w:tcW w:w="942" w:type="dxa"/>
            <w:vAlign w:val="center"/>
          </w:tcPr>
          <w:p w14:paraId="4B2E4A5E" w14:textId="3AEFEC03"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0.015</w:t>
            </w:r>
          </w:p>
        </w:tc>
        <w:tc>
          <w:tcPr>
            <w:tcW w:w="1042" w:type="dxa"/>
            <w:vAlign w:val="center"/>
          </w:tcPr>
          <w:p w14:paraId="7D1C5A24" w14:textId="213DFB85"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0.0039</w:t>
            </w:r>
          </w:p>
        </w:tc>
        <w:tc>
          <w:tcPr>
            <w:tcW w:w="1134" w:type="dxa"/>
            <w:vAlign w:val="center"/>
          </w:tcPr>
          <w:p w14:paraId="49E7DBBA" w14:textId="386E5E1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EE557C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97AD9D9" w14:textId="359972B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1F64FB4F" w14:textId="68F77CC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009B7E8"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5DA4C32" w14:textId="5AD34520"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30EBBAF" w14:textId="61E6DB48"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0.042</w:t>
            </w:r>
          </w:p>
        </w:tc>
        <w:tc>
          <w:tcPr>
            <w:tcW w:w="992" w:type="dxa"/>
            <w:vAlign w:val="center"/>
          </w:tcPr>
          <w:p w14:paraId="17432A94" w14:textId="70773B4F"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0.03</w:t>
            </w:r>
          </w:p>
        </w:tc>
        <w:tc>
          <w:tcPr>
            <w:tcW w:w="992" w:type="dxa"/>
            <w:vAlign w:val="center"/>
          </w:tcPr>
          <w:p w14:paraId="4B412F83" w14:textId="292B43F5"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0.0078</w:t>
            </w:r>
          </w:p>
        </w:tc>
      </w:tr>
      <w:tr w:rsidR="00D26B14" w:rsidRPr="00660468" w14:paraId="605002EC" w14:textId="1EC89A92" w:rsidTr="0C34660A">
        <w:tc>
          <w:tcPr>
            <w:tcW w:w="1960" w:type="dxa"/>
          </w:tcPr>
          <w:p w14:paraId="54C0495E"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Destruction of animal carcasses</w:t>
            </w:r>
          </w:p>
        </w:tc>
        <w:tc>
          <w:tcPr>
            <w:tcW w:w="1159" w:type="dxa"/>
            <w:vAlign w:val="center"/>
          </w:tcPr>
          <w:p w14:paraId="6FCB6E3E" w14:textId="7BDAC406"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0.116</w:t>
            </w:r>
          </w:p>
        </w:tc>
        <w:tc>
          <w:tcPr>
            <w:tcW w:w="942" w:type="dxa"/>
            <w:vAlign w:val="center"/>
          </w:tcPr>
          <w:p w14:paraId="6A512B38" w14:textId="129F18F6"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0.116</w:t>
            </w:r>
          </w:p>
        </w:tc>
        <w:tc>
          <w:tcPr>
            <w:tcW w:w="1042" w:type="dxa"/>
            <w:vAlign w:val="center"/>
          </w:tcPr>
          <w:p w14:paraId="787C594D" w14:textId="7C8D55BA"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0.255</w:t>
            </w:r>
          </w:p>
        </w:tc>
        <w:tc>
          <w:tcPr>
            <w:tcW w:w="1134" w:type="dxa"/>
            <w:vAlign w:val="center"/>
          </w:tcPr>
          <w:p w14:paraId="46F3F65C" w14:textId="43BB035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83EFA4C"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34445C5E" w14:textId="760FCA9E"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314E50A" w14:textId="790447D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3A389A7"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3AB2F58" w14:textId="56DD021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60105BC" w14:textId="551EC1E5"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1045C981" w14:textId="18015BD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w:t>
            </w:r>
          </w:p>
        </w:tc>
        <w:tc>
          <w:tcPr>
            <w:tcW w:w="992" w:type="dxa"/>
            <w:vAlign w:val="center"/>
          </w:tcPr>
          <w:p w14:paraId="10DE8EAF" w14:textId="072C0A71" w:rsidR="00D26B14" w:rsidRPr="00191031" w:rsidRDefault="00D26B14" w:rsidP="00D26B14">
            <w:pPr>
              <w:spacing w:before="120"/>
              <w:jc w:val="center"/>
              <w:rPr>
                <w:rFonts w:ascii="Arial" w:hAnsi="Arial" w:cs="Arial"/>
                <w:sz w:val="16"/>
                <w:szCs w:val="16"/>
              </w:rPr>
            </w:pPr>
          </w:p>
        </w:tc>
      </w:tr>
      <w:tr w:rsidR="00D26B14" w:rsidRPr="00660468" w14:paraId="2A0B8C0E" w14:textId="45149987" w:rsidTr="0C34660A">
        <w:tc>
          <w:tcPr>
            <w:tcW w:w="1960" w:type="dxa"/>
            <w:vAlign w:val="center"/>
          </w:tcPr>
          <w:p w14:paraId="788D0640"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Primary iron &amp; steel production</w:t>
            </w:r>
          </w:p>
        </w:tc>
        <w:tc>
          <w:tcPr>
            <w:tcW w:w="1159" w:type="dxa"/>
            <w:vAlign w:val="center"/>
          </w:tcPr>
          <w:p w14:paraId="5535C261" w14:textId="3F99364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0.082</w:t>
            </w:r>
          </w:p>
        </w:tc>
        <w:tc>
          <w:tcPr>
            <w:tcW w:w="942" w:type="dxa"/>
            <w:vAlign w:val="center"/>
          </w:tcPr>
          <w:p w14:paraId="0A6EEA1E" w14:textId="73C4994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0.078</w:t>
            </w:r>
          </w:p>
        </w:tc>
        <w:tc>
          <w:tcPr>
            <w:tcW w:w="1042" w:type="dxa"/>
            <w:vAlign w:val="center"/>
          </w:tcPr>
          <w:p w14:paraId="645803F6" w14:textId="58396EA5"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0.081</w:t>
            </w:r>
          </w:p>
        </w:tc>
        <w:tc>
          <w:tcPr>
            <w:tcW w:w="1134" w:type="dxa"/>
            <w:vAlign w:val="center"/>
          </w:tcPr>
          <w:p w14:paraId="5C18436F" w14:textId="525C156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0.0143</w:t>
            </w:r>
          </w:p>
        </w:tc>
        <w:tc>
          <w:tcPr>
            <w:tcW w:w="1134" w:type="dxa"/>
            <w:vAlign w:val="center"/>
          </w:tcPr>
          <w:p w14:paraId="29DFDE8E" w14:textId="31AD377B"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0.0149</w:t>
            </w:r>
          </w:p>
        </w:tc>
        <w:tc>
          <w:tcPr>
            <w:tcW w:w="1084" w:type="dxa"/>
            <w:vAlign w:val="center"/>
          </w:tcPr>
          <w:p w14:paraId="1997C461" w14:textId="5D362C38" w:rsidR="00D26B14" w:rsidRPr="00191031" w:rsidRDefault="00091EAE" w:rsidP="00D26B14">
            <w:pPr>
              <w:spacing w:before="120"/>
              <w:jc w:val="center"/>
              <w:rPr>
                <w:rFonts w:ascii="Arial" w:hAnsi="Arial" w:cs="Arial"/>
                <w:sz w:val="16"/>
                <w:szCs w:val="16"/>
              </w:rPr>
            </w:pPr>
            <w:r>
              <w:rPr>
                <w:rFonts w:ascii="Arial" w:hAnsi="Arial" w:cs="Arial"/>
                <w:color w:val="000000"/>
                <w:sz w:val="16"/>
                <w:szCs w:val="16"/>
              </w:rPr>
              <w:t>0.0165</w:t>
            </w:r>
          </w:p>
        </w:tc>
        <w:tc>
          <w:tcPr>
            <w:tcW w:w="1043" w:type="dxa"/>
            <w:vAlign w:val="center"/>
          </w:tcPr>
          <w:p w14:paraId="0C69B047" w14:textId="024B459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0.206</w:t>
            </w:r>
          </w:p>
        </w:tc>
        <w:tc>
          <w:tcPr>
            <w:tcW w:w="1134" w:type="dxa"/>
            <w:vAlign w:val="center"/>
          </w:tcPr>
          <w:p w14:paraId="4D9C3A3B" w14:textId="1CB8DB1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0.274</w:t>
            </w:r>
          </w:p>
        </w:tc>
        <w:tc>
          <w:tcPr>
            <w:tcW w:w="1134" w:type="dxa"/>
            <w:vAlign w:val="center"/>
          </w:tcPr>
          <w:p w14:paraId="06B88FDD" w14:textId="7AB9CE28"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0.0866</w:t>
            </w:r>
          </w:p>
        </w:tc>
        <w:tc>
          <w:tcPr>
            <w:tcW w:w="1043" w:type="dxa"/>
            <w:vAlign w:val="center"/>
          </w:tcPr>
          <w:p w14:paraId="2DE904BE" w14:textId="4526CC5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5F67BEB2" w14:textId="670C23F5"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4252B499" w14:textId="57CC655D" w:rsidR="00D26B14" w:rsidRPr="00191031" w:rsidRDefault="00D26B14" w:rsidP="00D26B14">
            <w:pPr>
              <w:spacing w:before="120"/>
              <w:jc w:val="center"/>
              <w:rPr>
                <w:rFonts w:ascii="Arial" w:hAnsi="Arial" w:cs="Arial"/>
                <w:sz w:val="16"/>
                <w:szCs w:val="16"/>
              </w:rPr>
            </w:pPr>
          </w:p>
        </w:tc>
      </w:tr>
      <w:tr w:rsidR="00D26B14" w:rsidRPr="00660468" w14:paraId="72E03359" w14:textId="79E72247" w:rsidTr="0C34660A">
        <w:tc>
          <w:tcPr>
            <w:tcW w:w="1960" w:type="dxa"/>
            <w:vAlign w:val="center"/>
          </w:tcPr>
          <w:p w14:paraId="1808C350"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Secondary iron &amp; steel production</w:t>
            </w:r>
          </w:p>
        </w:tc>
        <w:tc>
          <w:tcPr>
            <w:tcW w:w="1159" w:type="dxa"/>
            <w:vAlign w:val="center"/>
          </w:tcPr>
          <w:p w14:paraId="23399FD1" w14:textId="5759882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0.036</w:t>
            </w:r>
          </w:p>
        </w:tc>
        <w:tc>
          <w:tcPr>
            <w:tcW w:w="942" w:type="dxa"/>
            <w:vAlign w:val="center"/>
          </w:tcPr>
          <w:p w14:paraId="74B4E0E6" w14:textId="20CA666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w:t>
            </w:r>
          </w:p>
        </w:tc>
        <w:tc>
          <w:tcPr>
            <w:tcW w:w="1042" w:type="dxa"/>
            <w:vAlign w:val="center"/>
          </w:tcPr>
          <w:p w14:paraId="5DF8B4EA" w14:textId="0FC6D2B6"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w:t>
            </w:r>
          </w:p>
        </w:tc>
        <w:tc>
          <w:tcPr>
            <w:tcW w:w="1134" w:type="dxa"/>
            <w:vAlign w:val="center"/>
          </w:tcPr>
          <w:p w14:paraId="5A24DECD" w14:textId="1F9CD08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384331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5DDAB946" w14:textId="1B8C9398" w:rsidR="00D26B14" w:rsidRPr="00191031" w:rsidRDefault="00D26B14" w:rsidP="00D26B14">
            <w:pPr>
              <w:spacing w:before="120"/>
              <w:jc w:val="center"/>
              <w:rPr>
                <w:rFonts w:ascii="Arial" w:hAnsi="Arial" w:cs="Arial"/>
                <w:sz w:val="16"/>
                <w:szCs w:val="16"/>
              </w:rPr>
            </w:pPr>
          </w:p>
        </w:tc>
        <w:tc>
          <w:tcPr>
            <w:tcW w:w="1043" w:type="dxa"/>
            <w:vAlign w:val="center"/>
          </w:tcPr>
          <w:p w14:paraId="11A7EFCA" w14:textId="6E556A4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2A6DF56"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2729174" w14:textId="72DE4AC8" w:rsidR="00D26B14" w:rsidRPr="00191031" w:rsidRDefault="00D26B14" w:rsidP="00D26B14">
            <w:pPr>
              <w:spacing w:before="120"/>
              <w:jc w:val="center"/>
              <w:rPr>
                <w:rFonts w:ascii="Arial" w:hAnsi="Arial" w:cs="Arial"/>
                <w:sz w:val="16"/>
                <w:szCs w:val="16"/>
              </w:rPr>
            </w:pPr>
            <w:r w:rsidRPr="00191031">
              <w:rPr>
                <w:rFonts w:ascii="Arial" w:hAnsi="Arial" w:cs="Arial"/>
                <w:color w:val="000000"/>
                <w:sz w:val="16"/>
                <w:szCs w:val="16"/>
              </w:rPr>
              <w:t>-</w:t>
            </w:r>
          </w:p>
        </w:tc>
        <w:tc>
          <w:tcPr>
            <w:tcW w:w="1043" w:type="dxa"/>
            <w:vAlign w:val="center"/>
          </w:tcPr>
          <w:p w14:paraId="12888B9F" w14:textId="598E556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2.80</w:t>
            </w:r>
          </w:p>
        </w:tc>
        <w:tc>
          <w:tcPr>
            <w:tcW w:w="992" w:type="dxa"/>
            <w:vAlign w:val="center"/>
          </w:tcPr>
          <w:p w14:paraId="1B60FD40" w14:textId="4470111C"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w:t>
            </w:r>
          </w:p>
        </w:tc>
        <w:tc>
          <w:tcPr>
            <w:tcW w:w="992" w:type="dxa"/>
            <w:vAlign w:val="center"/>
          </w:tcPr>
          <w:p w14:paraId="331AEFAF" w14:textId="1A4D4933"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w:t>
            </w:r>
          </w:p>
        </w:tc>
      </w:tr>
      <w:tr w:rsidR="00D26B14" w:rsidRPr="00660468" w14:paraId="02A1EAB2" w14:textId="2B69EA03" w:rsidTr="0C34660A">
        <w:tc>
          <w:tcPr>
            <w:tcW w:w="1960" w:type="dxa"/>
            <w:vAlign w:val="center"/>
          </w:tcPr>
          <w:p w14:paraId="1E1ED8E4" w14:textId="77777777" w:rsidR="00D26B14" w:rsidRPr="00EC29F2" w:rsidRDefault="00D26B14" w:rsidP="00D26B14">
            <w:pPr>
              <w:spacing w:before="120"/>
              <w:rPr>
                <w:rFonts w:ascii="Arial" w:hAnsi="Arial" w:cs="Arial"/>
                <w:sz w:val="16"/>
                <w:szCs w:val="16"/>
              </w:rPr>
            </w:pPr>
            <w:r w:rsidRPr="00EC29F2">
              <w:rPr>
                <w:rFonts w:ascii="Arial" w:hAnsi="Arial" w:cs="Arial"/>
                <w:sz w:val="16"/>
                <w:szCs w:val="16"/>
              </w:rPr>
              <w:t>Iron foundries</w:t>
            </w:r>
          </w:p>
        </w:tc>
        <w:tc>
          <w:tcPr>
            <w:tcW w:w="1159" w:type="dxa"/>
            <w:vAlign w:val="center"/>
          </w:tcPr>
          <w:p w14:paraId="20736A89" w14:textId="21FDDDD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0.131</w:t>
            </w:r>
          </w:p>
        </w:tc>
        <w:tc>
          <w:tcPr>
            <w:tcW w:w="942" w:type="dxa"/>
            <w:vAlign w:val="center"/>
          </w:tcPr>
          <w:p w14:paraId="06CADD18" w14:textId="2333DF9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0.072</w:t>
            </w:r>
          </w:p>
        </w:tc>
        <w:tc>
          <w:tcPr>
            <w:tcW w:w="1042" w:type="dxa"/>
            <w:vAlign w:val="center"/>
          </w:tcPr>
          <w:p w14:paraId="4D4360EC" w14:textId="18165C76"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0.011</w:t>
            </w:r>
          </w:p>
        </w:tc>
        <w:tc>
          <w:tcPr>
            <w:tcW w:w="1134" w:type="dxa"/>
            <w:vAlign w:val="center"/>
          </w:tcPr>
          <w:p w14:paraId="2F909499" w14:textId="2941681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8A171DF"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D1975BD" w14:textId="7B06E882" w:rsidR="00D26B14" w:rsidRPr="00191031" w:rsidRDefault="00D26B14" w:rsidP="00D26B14">
            <w:pPr>
              <w:spacing w:before="120"/>
              <w:jc w:val="center"/>
              <w:rPr>
                <w:rFonts w:ascii="Arial" w:hAnsi="Arial" w:cs="Arial"/>
                <w:sz w:val="16"/>
                <w:szCs w:val="16"/>
              </w:rPr>
            </w:pPr>
          </w:p>
        </w:tc>
        <w:tc>
          <w:tcPr>
            <w:tcW w:w="1043" w:type="dxa"/>
            <w:vAlign w:val="center"/>
          </w:tcPr>
          <w:p w14:paraId="449A4C02" w14:textId="2B0294F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E62B3F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CFFEFC3" w14:textId="50839D9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C8118C3" w14:textId="2CE5C6D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0.083</w:t>
            </w:r>
          </w:p>
        </w:tc>
        <w:tc>
          <w:tcPr>
            <w:tcW w:w="992" w:type="dxa"/>
            <w:vAlign w:val="center"/>
          </w:tcPr>
          <w:p w14:paraId="0F9FDB04" w14:textId="060A649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0.07</w:t>
            </w:r>
          </w:p>
        </w:tc>
        <w:tc>
          <w:tcPr>
            <w:tcW w:w="992" w:type="dxa"/>
            <w:vAlign w:val="center"/>
          </w:tcPr>
          <w:p w14:paraId="19433BFA" w14:textId="57C12AE6"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0.0104</w:t>
            </w:r>
          </w:p>
        </w:tc>
      </w:tr>
      <w:tr w:rsidR="00D26B14" w:rsidRPr="00660468" w14:paraId="7AC6FEE3" w14:textId="436092DA" w:rsidTr="0C34660A">
        <w:tc>
          <w:tcPr>
            <w:tcW w:w="1960" w:type="dxa"/>
            <w:vAlign w:val="center"/>
          </w:tcPr>
          <w:p w14:paraId="18B551A9" w14:textId="77777777" w:rsidR="00D26B14" w:rsidRPr="00EC29F2" w:rsidRDefault="00D26B14" w:rsidP="00D26B14">
            <w:pPr>
              <w:spacing w:before="120"/>
              <w:rPr>
                <w:rFonts w:ascii="Arial" w:hAnsi="Arial" w:cs="Arial"/>
                <w:sz w:val="16"/>
                <w:szCs w:val="16"/>
              </w:rPr>
            </w:pPr>
            <w:r w:rsidRPr="00EC29F2">
              <w:rPr>
                <w:rFonts w:ascii="Arial" w:hAnsi="Arial" w:cs="Arial"/>
                <w:sz w:val="16"/>
                <w:szCs w:val="16"/>
              </w:rPr>
              <w:t>Galvanising</w:t>
            </w:r>
          </w:p>
        </w:tc>
        <w:tc>
          <w:tcPr>
            <w:tcW w:w="1159" w:type="dxa"/>
            <w:vAlign w:val="center"/>
          </w:tcPr>
          <w:p w14:paraId="7F0A6D33" w14:textId="2897AF0B"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0.0056</w:t>
            </w:r>
          </w:p>
        </w:tc>
        <w:tc>
          <w:tcPr>
            <w:tcW w:w="942" w:type="dxa"/>
            <w:vAlign w:val="center"/>
          </w:tcPr>
          <w:p w14:paraId="4E0C4632" w14:textId="5E230BA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0.0073</w:t>
            </w:r>
          </w:p>
        </w:tc>
        <w:tc>
          <w:tcPr>
            <w:tcW w:w="1042" w:type="dxa"/>
            <w:vAlign w:val="center"/>
          </w:tcPr>
          <w:p w14:paraId="2A5DE22C" w14:textId="018279D5"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0.00581</w:t>
            </w:r>
          </w:p>
        </w:tc>
        <w:tc>
          <w:tcPr>
            <w:tcW w:w="1134" w:type="dxa"/>
            <w:vAlign w:val="center"/>
          </w:tcPr>
          <w:p w14:paraId="47EDD1FE" w14:textId="2CEA0F6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99DD159"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02433879" w14:textId="6441831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0674EF2B" w14:textId="74C69B5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F080210"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0A948F6" w14:textId="404F165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A69470E" w14:textId="05889F66"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0.245</w:t>
            </w:r>
          </w:p>
        </w:tc>
        <w:tc>
          <w:tcPr>
            <w:tcW w:w="992" w:type="dxa"/>
            <w:vAlign w:val="center"/>
          </w:tcPr>
          <w:p w14:paraId="33D7D9B0" w14:textId="6557B65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0.268</w:t>
            </w:r>
          </w:p>
        </w:tc>
        <w:tc>
          <w:tcPr>
            <w:tcW w:w="992" w:type="dxa"/>
            <w:vAlign w:val="center"/>
          </w:tcPr>
          <w:p w14:paraId="6AEE9567" w14:textId="70FA117B"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0.261</w:t>
            </w:r>
          </w:p>
        </w:tc>
      </w:tr>
      <w:tr w:rsidR="00D26B14" w:rsidRPr="00660468" w14:paraId="18DD1BA4" w14:textId="5DE672F2" w:rsidTr="0C34660A">
        <w:tc>
          <w:tcPr>
            <w:tcW w:w="1960" w:type="dxa"/>
            <w:vAlign w:val="center"/>
          </w:tcPr>
          <w:p w14:paraId="3F2D5562" w14:textId="77777777" w:rsidR="00D26B14" w:rsidRPr="00EC29F2" w:rsidRDefault="00D26B14" w:rsidP="00D26B14">
            <w:pPr>
              <w:spacing w:before="120"/>
              <w:rPr>
                <w:rFonts w:ascii="Arial" w:hAnsi="Arial" w:cs="Arial"/>
                <w:sz w:val="16"/>
                <w:szCs w:val="16"/>
              </w:rPr>
            </w:pPr>
            <w:r w:rsidRPr="00EC29F2">
              <w:rPr>
                <w:rFonts w:ascii="Arial" w:hAnsi="Arial" w:cs="Arial"/>
                <w:sz w:val="16"/>
                <w:szCs w:val="16"/>
              </w:rPr>
              <w:t>Secondary aluminium production</w:t>
            </w:r>
          </w:p>
        </w:tc>
        <w:tc>
          <w:tcPr>
            <w:tcW w:w="1159" w:type="dxa"/>
            <w:vAlign w:val="center"/>
          </w:tcPr>
          <w:p w14:paraId="4931614D" w14:textId="447D844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0.044</w:t>
            </w:r>
          </w:p>
        </w:tc>
        <w:tc>
          <w:tcPr>
            <w:tcW w:w="942" w:type="dxa"/>
            <w:vAlign w:val="center"/>
          </w:tcPr>
          <w:p w14:paraId="066E9281" w14:textId="1E48ADE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0.039</w:t>
            </w:r>
          </w:p>
        </w:tc>
        <w:tc>
          <w:tcPr>
            <w:tcW w:w="1042" w:type="dxa"/>
            <w:vAlign w:val="center"/>
          </w:tcPr>
          <w:p w14:paraId="03D56360" w14:textId="65433D8B"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0.023</w:t>
            </w:r>
          </w:p>
        </w:tc>
        <w:tc>
          <w:tcPr>
            <w:tcW w:w="1134" w:type="dxa"/>
            <w:vAlign w:val="center"/>
          </w:tcPr>
          <w:p w14:paraId="5AF715EF" w14:textId="6EBA803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4115F12"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37F6CE09" w14:textId="351A0E8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97908EF" w14:textId="67DA2CD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3589908"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23D9E7F" w14:textId="43AB5C74"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BF46A07" w14:textId="5F9CEF2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4.05</w:t>
            </w:r>
          </w:p>
        </w:tc>
        <w:tc>
          <w:tcPr>
            <w:tcW w:w="992" w:type="dxa"/>
            <w:vAlign w:val="center"/>
          </w:tcPr>
          <w:p w14:paraId="2A945DBE" w14:textId="228FE6CA"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3.63</w:t>
            </w:r>
          </w:p>
        </w:tc>
        <w:tc>
          <w:tcPr>
            <w:tcW w:w="992" w:type="dxa"/>
            <w:vAlign w:val="center"/>
          </w:tcPr>
          <w:p w14:paraId="6CD4A8B8" w14:textId="0595A6A2"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2.17</w:t>
            </w:r>
          </w:p>
        </w:tc>
      </w:tr>
      <w:tr w:rsidR="00D26B14" w:rsidRPr="00660468" w14:paraId="10EB93C8" w14:textId="35598FE2" w:rsidTr="0C34660A">
        <w:tc>
          <w:tcPr>
            <w:tcW w:w="1960" w:type="dxa"/>
            <w:vAlign w:val="center"/>
          </w:tcPr>
          <w:p w14:paraId="757A1F58" w14:textId="77777777" w:rsidR="00D26B14" w:rsidRPr="00EC29F2" w:rsidRDefault="00D26B14" w:rsidP="00D26B14">
            <w:pPr>
              <w:spacing w:before="120"/>
              <w:rPr>
                <w:rFonts w:ascii="Arial" w:hAnsi="Arial" w:cs="Arial"/>
                <w:sz w:val="16"/>
                <w:szCs w:val="16"/>
              </w:rPr>
            </w:pPr>
            <w:r w:rsidRPr="00EC29F2">
              <w:rPr>
                <w:rFonts w:ascii="Arial" w:hAnsi="Arial" w:cs="Arial"/>
                <w:sz w:val="16"/>
                <w:szCs w:val="16"/>
              </w:rPr>
              <w:t>Lead production</w:t>
            </w:r>
          </w:p>
        </w:tc>
        <w:tc>
          <w:tcPr>
            <w:tcW w:w="1159" w:type="dxa"/>
            <w:vAlign w:val="center"/>
          </w:tcPr>
          <w:p w14:paraId="691158B8" w14:textId="592640C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42" w:type="dxa"/>
            <w:vAlign w:val="center"/>
          </w:tcPr>
          <w:p w14:paraId="59857E4F" w14:textId="2B8F3D4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w:t>
            </w:r>
          </w:p>
        </w:tc>
        <w:tc>
          <w:tcPr>
            <w:tcW w:w="1042" w:type="dxa"/>
            <w:vAlign w:val="center"/>
          </w:tcPr>
          <w:p w14:paraId="60C61F29" w14:textId="312D93DF" w:rsidR="00D26B14" w:rsidRPr="00191031" w:rsidRDefault="00D26B14" w:rsidP="00D26B14">
            <w:pPr>
              <w:spacing w:before="120"/>
              <w:jc w:val="center"/>
              <w:rPr>
                <w:rFonts w:ascii="Arial" w:hAnsi="Arial" w:cs="Arial"/>
                <w:sz w:val="16"/>
                <w:szCs w:val="16"/>
              </w:rPr>
            </w:pPr>
          </w:p>
        </w:tc>
        <w:tc>
          <w:tcPr>
            <w:tcW w:w="1134" w:type="dxa"/>
            <w:vAlign w:val="center"/>
          </w:tcPr>
          <w:p w14:paraId="714B7304" w14:textId="2C51FF9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68843E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607BCD71" w14:textId="2006B61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4A11070" w14:textId="124AF3E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20082B7"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57E791D" w14:textId="3C83818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0B519C0A" w14:textId="3C8EA0C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54DBD79D" w14:textId="46BA2F02"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w:t>
            </w:r>
          </w:p>
        </w:tc>
        <w:tc>
          <w:tcPr>
            <w:tcW w:w="992" w:type="dxa"/>
            <w:vAlign w:val="center"/>
          </w:tcPr>
          <w:p w14:paraId="47F1A04D" w14:textId="6FAA3538" w:rsidR="00D26B14" w:rsidRPr="00191031" w:rsidRDefault="00D26B14" w:rsidP="00D26B14">
            <w:pPr>
              <w:spacing w:before="120"/>
              <w:jc w:val="center"/>
              <w:rPr>
                <w:rFonts w:ascii="Arial" w:hAnsi="Arial" w:cs="Arial"/>
                <w:sz w:val="16"/>
                <w:szCs w:val="16"/>
              </w:rPr>
            </w:pPr>
          </w:p>
        </w:tc>
      </w:tr>
      <w:tr w:rsidR="00D26B14" w:rsidRPr="00660468" w14:paraId="29DFA77C" w14:textId="1B9F8397" w:rsidTr="0C34660A">
        <w:tc>
          <w:tcPr>
            <w:tcW w:w="1960" w:type="dxa"/>
            <w:vAlign w:val="center"/>
          </w:tcPr>
          <w:p w14:paraId="389108CB" w14:textId="77777777" w:rsidR="00D26B14" w:rsidRPr="00EC29F2" w:rsidRDefault="00D26B14" w:rsidP="00D26B14">
            <w:pPr>
              <w:spacing w:before="120"/>
              <w:rPr>
                <w:rFonts w:ascii="Arial" w:hAnsi="Arial" w:cs="Arial"/>
                <w:sz w:val="16"/>
                <w:szCs w:val="16"/>
              </w:rPr>
            </w:pPr>
            <w:r w:rsidRPr="00EC29F2">
              <w:rPr>
                <w:rFonts w:ascii="Arial" w:hAnsi="Arial" w:cs="Arial"/>
                <w:sz w:val="16"/>
                <w:szCs w:val="16"/>
              </w:rPr>
              <w:t>Brass and bronze production</w:t>
            </w:r>
          </w:p>
        </w:tc>
        <w:tc>
          <w:tcPr>
            <w:tcW w:w="1159" w:type="dxa"/>
            <w:vAlign w:val="center"/>
          </w:tcPr>
          <w:p w14:paraId="2F0B22DF" w14:textId="6FC888D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0.042</w:t>
            </w:r>
          </w:p>
        </w:tc>
        <w:tc>
          <w:tcPr>
            <w:tcW w:w="942" w:type="dxa"/>
            <w:vAlign w:val="center"/>
          </w:tcPr>
          <w:p w14:paraId="594597A8" w14:textId="7B36CF0F"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0.014</w:t>
            </w:r>
          </w:p>
        </w:tc>
        <w:tc>
          <w:tcPr>
            <w:tcW w:w="1042" w:type="dxa"/>
            <w:vAlign w:val="center"/>
          </w:tcPr>
          <w:p w14:paraId="288A290D" w14:textId="00B277C0"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0.008</w:t>
            </w:r>
          </w:p>
        </w:tc>
        <w:tc>
          <w:tcPr>
            <w:tcW w:w="1134" w:type="dxa"/>
            <w:vAlign w:val="center"/>
          </w:tcPr>
          <w:p w14:paraId="5DD7EF48" w14:textId="2BA65EA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0038289"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D799FC3" w14:textId="44C95520" w:rsidR="00D26B14" w:rsidRPr="00191031" w:rsidRDefault="00D26B14" w:rsidP="00D26B14">
            <w:pPr>
              <w:spacing w:before="120"/>
              <w:jc w:val="center"/>
              <w:rPr>
                <w:rFonts w:ascii="Arial" w:hAnsi="Arial" w:cs="Arial"/>
                <w:sz w:val="16"/>
                <w:szCs w:val="16"/>
              </w:rPr>
            </w:pPr>
          </w:p>
        </w:tc>
        <w:tc>
          <w:tcPr>
            <w:tcW w:w="1043" w:type="dxa"/>
            <w:vAlign w:val="center"/>
          </w:tcPr>
          <w:p w14:paraId="61B39264" w14:textId="088550CE"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103F140"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F15DCDA" w14:textId="565798F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59CAA2AB" w14:textId="59A8B99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0.993</w:t>
            </w:r>
          </w:p>
        </w:tc>
        <w:tc>
          <w:tcPr>
            <w:tcW w:w="992" w:type="dxa"/>
            <w:vAlign w:val="center"/>
          </w:tcPr>
          <w:p w14:paraId="4DCF6EEF" w14:textId="38E5DD6F"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0.323</w:t>
            </w:r>
          </w:p>
        </w:tc>
        <w:tc>
          <w:tcPr>
            <w:tcW w:w="992" w:type="dxa"/>
            <w:vAlign w:val="center"/>
          </w:tcPr>
          <w:p w14:paraId="5187F49F" w14:textId="656CB401"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0.178</w:t>
            </w:r>
          </w:p>
        </w:tc>
      </w:tr>
      <w:tr w:rsidR="00D26B14" w:rsidRPr="00660468" w14:paraId="4163FA11" w14:textId="67C05D83" w:rsidTr="0C34660A">
        <w:tc>
          <w:tcPr>
            <w:tcW w:w="1960" w:type="dxa"/>
            <w:vAlign w:val="center"/>
          </w:tcPr>
          <w:p w14:paraId="0428FFAA" w14:textId="77777777" w:rsidR="00D26B14" w:rsidRPr="004816C1" w:rsidRDefault="00D26B14" w:rsidP="00D26B14">
            <w:pPr>
              <w:spacing w:before="120"/>
              <w:rPr>
                <w:rFonts w:ascii="Arial" w:hAnsi="Arial" w:cs="Arial"/>
                <w:sz w:val="16"/>
                <w:szCs w:val="16"/>
                <w:highlight w:val="yellow"/>
              </w:rPr>
            </w:pPr>
            <w:r w:rsidRPr="00EC29F2">
              <w:rPr>
                <w:rFonts w:ascii="Arial" w:hAnsi="Arial" w:cs="Arial"/>
                <w:sz w:val="16"/>
                <w:szCs w:val="16"/>
              </w:rPr>
              <w:t>Metal shredding</w:t>
            </w:r>
          </w:p>
        </w:tc>
        <w:tc>
          <w:tcPr>
            <w:tcW w:w="1159" w:type="dxa"/>
            <w:vAlign w:val="center"/>
          </w:tcPr>
          <w:p w14:paraId="33E4D867" w14:textId="16426B8C"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0.070</w:t>
            </w:r>
          </w:p>
        </w:tc>
        <w:tc>
          <w:tcPr>
            <w:tcW w:w="942" w:type="dxa"/>
            <w:vAlign w:val="center"/>
          </w:tcPr>
          <w:p w14:paraId="6D4EB15F" w14:textId="0D24A3E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0.05</w:t>
            </w:r>
          </w:p>
        </w:tc>
        <w:tc>
          <w:tcPr>
            <w:tcW w:w="1042" w:type="dxa"/>
            <w:vAlign w:val="center"/>
          </w:tcPr>
          <w:p w14:paraId="0ACC528B" w14:textId="2B2F787E"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0.0</w:t>
            </w:r>
            <w:r w:rsidR="005C19D8">
              <w:rPr>
                <w:rFonts w:ascii="Arial" w:hAnsi="Arial" w:cs="Arial"/>
                <w:color w:val="000000"/>
                <w:sz w:val="16"/>
                <w:szCs w:val="16"/>
              </w:rPr>
              <w:t>7</w:t>
            </w:r>
          </w:p>
        </w:tc>
        <w:tc>
          <w:tcPr>
            <w:tcW w:w="1134" w:type="dxa"/>
            <w:vAlign w:val="center"/>
          </w:tcPr>
          <w:p w14:paraId="7EF76E10" w14:textId="57559F4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54652DF"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2B7FFD68" w14:textId="61997CC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5E626FB" w14:textId="3DF2ED2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972294E"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5A1805D" w14:textId="7994EEC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2FB59C5" w14:textId="6DD4847C"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1.75</w:t>
            </w:r>
          </w:p>
        </w:tc>
        <w:tc>
          <w:tcPr>
            <w:tcW w:w="992" w:type="dxa"/>
            <w:vAlign w:val="center"/>
          </w:tcPr>
          <w:p w14:paraId="6FAFABF0" w14:textId="0CEB7B51"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1.25</w:t>
            </w:r>
          </w:p>
        </w:tc>
        <w:tc>
          <w:tcPr>
            <w:tcW w:w="992" w:type="dxa"/>
            <w:vAlign w:val="center"/>
          </w:tcPr>
          <w:p w14:paraId="59D05E0E" w14:textId="264AAB38" w:rsidR="00D26B14" w:rsidRPr="00191031" w:rsidRDefault="00C95E4E" w:rsidP="00D26B14">
            <w:pPr>
              <w:spacing w:before="120"/>
              <w:jc w:val="center"/>
              <w:rPr>
                <w:rFonts w:ascii="Arial" w:hAnsi="Arial" w:cs="Arial"/>
                <w:sz w:val="16"/>
                <w:szCs w:val="16"/>
              </w:rPr>
            </w:pPr>
            <w:r>
              <w:rPr>
                <w:rFonts w:ascii="Arial" w:hAnsi="Arial" w:cs="Arial"/>
                <w:color w:val="000000"/>
                <w:sz w:val="16"/>
                <w:szCs w:val="16"/>
              </w:rPr>
              <w:t>1.</w:t>
            </w:r>
            <w:r w:rsidR="005C19D8">
              <w:rPr>
                <w:rFonts w:ascii="Arial" w:hAnsi="Arial" w:cs="Arial"/>
                <w:color w:val="000000"/>
                <w:sz w:val="16"/>
                <w:szCs w:val="16"/>
              </w:rPr>
              <w:t>7</w:t>
            </w:r>
            <w:r>
              <w:rPr>
                <w:rFonts w:ascii="Arial" w:hAnsi="Arial" w:cs="Arial"/>
                <w:color w:val="000000"/>
                <w:sz w:val="16"/>
                <w:szCs w:val="16"/>
              </w:rPr>
              <w:t>5</w:t>
            </w:r>
          </w:p>
        </w:tc>
      </w:tr>
      <w:tr w:rsidR="00D26B14" w:rsidRPr="00660468" w14:paraId="6F989861" w14:textId="29B51568" w:rsidTr="0C34660A">
        <w:tc>
          <w:tcPr>
            <w:tcW w:w="1960" w:type="dxa"/>
            <w:vAlign w:val="center"/>
          </w:tcPr>
          <w:p w14:paraId="337D3CF6"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lastRenderedPageBreak/>
              <w:t>Coal-fired electricity generation</w:t>
            </w:r>
          </w:p>
        </w:tc>
        <w:tc>
          <w:tcPr>
            <w:tcW w:w="1159" w:type="dxa"/>
            <w:vAlign w:val="center"/>
          </w:tcPr>
          <w:p w14:paraId="66987A96" w14:textId="66B1805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0.291</w:t>
            </w:r>
          </w:p>
        </w:tc>
        <w:tc>
          <w:tcPr>
            <w:tcW w:w="942" w:type="dxa"/>
            <w:vAlign w:val="center"/>
          </w:tcPr>
          <w:p w14:paraId="02A3C8CD" w14:textId="42950E0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0.0484</w:t>
            </w:r>
          </w:p>
        </w:tc>
        <w:tc>
          <w:tcPr>
            <w:tcW w:w="1042" w:type="dxa"/>
            <w:vAlign w:val="center"/>
          </w:tcPr>
          <w:p w14:paraId="7285C1EF" w14:textId="6B47F184"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0.195</w:t>
            </w:r>
          </w:p>
        </w:tc>
        <w:tc>
          <w:tcPr>
            <w:tcW w:w="1134" w:type="dxa"/>
            <w:vAlign w:val="center"/>
          </w:tcPr>
          <w:p w14:paraId="605B210F" w14:textId="5B87599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3102C52"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1936778" w14:textId="5855679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E811789" w14:textId="4209400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0.407</w:t>
            </w:r>
          </w:p>
        </w:tc>
        <w:tc>
          <w:tcPr>
            <w:tcW w:w="1134" w:type="dxa"/>
            <w:vAlign w:val="center"/>
          </w:tcPr>
          <w:p w14:paraId="7970C320" w14:textId="77EA15BF"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0.0678</w:t>
            </w:r>
          </w:p>
        </w:tc>
        <w:tc>
          <w:tcPr>
            <w:tcW w:w="1134" w:type="dxa"/>
            <w:vAlign w:val="center"/>
          </w:tcPr>
          <w:p w14:paraId="65D8073A" w14:textId="6A512BFB"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0.273</w:t>
            </w:r>
          </w:p>
        </w:tc>
        <w:tc>
          <w:tcPr>
            <w:tcW w:w="1043" w:type="dxa"/>
            <w:vAlign w:val="center"/>
          </w:tcPr>
          <w:p w14:paraId="2C40EC3C" w14:textId="47113618"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51B388EC" w14:textId="7A54FE7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2302F3DA" w14:textId="29B44ECA" w:rsidR="00D26B14" w:rsidRPr="00191031" w:rsidRDefault="00D26B14" w:rsidP="00D26B14">
            <w:pPr>
              <w:spacing w:before="120"/>
              <w:jc w:val="center"/>
              <w:rPr>
                <w:rFonts w:ascii="Arial" w:hAnsi="Arial" w:cs="Arial"/>
                <w:sz w:val="16"/>
                <w:szCs w:val="16"/>
              </w:rPr>
            </w:pPr>
          </w:p>
        </w:tc>
      </w:tr>
      <w:tr w:rsidR="00D26B14" w:rsidRPr="00660468" w14:paraId="5BA99953" w14:textId="4351A718" w:rsidTr="0C34660A">
        <w:tc>
          <w:tcPr>
            <w:tcW w:w="1960" w:type="dxa"/>
            <w:vAlign w:val="center"/>
          </w:tcPr>
          <w:p w14:paraId="4C1AA87D"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Industrial/commercial coal use</w:t>
            </w:r>
          </w:p>
        </w:tc>
        <w:tc>
          <w:tcPr>
            <w:tcW w:w="1159" w:type="dxa"/>
            <w:vAlign w:val="center"/>
          </w:tcPr>
          <w:p w14:paraId="35BEA8CA" w14:textId="053F7095"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1.062</w:t>
            </w:r>
          </w:p>
        </w:tc>
        <w:tc>
          <w:tcPr>
            <w:tcW w:w="942" w:type="dxa"/>
            <w:vAlign w:val="center"/>
          </w:tcPr>
          <w:p w14:paraId="6E5E1E01" w14:textId="6DCEA565"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1.232</w:t>
            </w:r>
          </w:p>
        </w:tc>
        <w:tc>
          <w:tcPr>
            <w:tcW w:w="1042" w:type="dxa"/>
            <w:vAlign w:val="center"/>
          </w:tcPr>
          <w:p w14:paraId="647F5238" w14:textId="2BAC0668"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1.053</w:t>
            </w:r>
          </w:p>
        </w:tc>
        <w:tc>
          <w:tcPr>
            <w:tcW w:w="1134" w:type="dxa"/>
            <w:vAlign w:val="center"/>
          </w:tcPr>
          <w:p w14:paraId="2BB1F74A" w14:textId="106DEF3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5688D26"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B635CCE" w14:textId="1FD4F58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6FBDEA4" w14:textId="5EF5163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79932BD"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180DABB" w14:textId="47DB1F2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59689356" w14:textId="017EA13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0.281</w:t>
            </w:r>
          </w:p>
        </w:tc>
        <w:tc>
          <w:tcPr>
            <w:tcW w:w="992" w:type="dxa"/>
            <w:vAlign w:val="center"/>
          </w:tcPr>
          <w:p w14:paraId="1BE92E80" w14:textId="71FBA83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0.327</w:t>
            </w:r>
          </w:p>
        </w:tc>
        <w:tc>
          <w:tcPr>
            <w:tcW w:w="992" w:type="dxa"/>
            <w:vAlign w:val="center"/>
          </w:tcPr>
          <w:p w14:paraId="2E8426B3" w14:textId="5E718C77"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0.279</w:t>
            </w:r>
          </w:p>
        </w:tc>
      </w:tr>
      <w:tr w:rsidR="00D26B14" w:rsidRPr="00660468" w14:paraId="4C8F10CE" w14:textId="1ECD78D8" w:rsidTr="0C34660A">
        <w:tc>
          <w:tcPr>
            <w:tcW w:w="1960" w:type="dxa"/>
            <w:vAlign w:val="center"/>
          </w:tcPr>
          <w:p w14:paraId="146BE12B"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Heavy fuel oil-fired power plants</w:t>
            </w:r>
          </w:p>
        </w:tc>
        <w:tc>
          <w:tcPr>
            <w:tcW w:w="1159" w:type="dxa"/>
            <w:vAlign w:val="center"/>
          </w:tcPr>
          <w:p w14:paraId="09A9E433" w14:textId="45269D0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0.0083</w:t>
            </w:r>
          </w:p>
        </w:tc>
        <w:tc>
          <w:tcPr>
            <w:tcW w:w="942" w:type="dxa"/>
            <w:vAlign w:val="center"/>
          </w:tcPr>
          <w:p w14:paraId="55A42722" w14:textId="7563E42B"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0.0026</w:t>
            </w:r>
          </w:p>
        </w:tc>
        <w:tc>
          <w:tcPr>
            <w:tcW w:w="1042" w:type="dxa"/>
            <w:vAlign w:val="center"/>
          </w:tcPr>
          <w:p w14:paraId="3118C6DF" w14:textId="14354DC5"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0.0016</w:t>
            </w:r>
          </w:p>
        </w:tc>
        <w:tc>
          <w:tcPr>
            <w:tcW w:w="1134" w:type="dxa"/>
            <w:vAlign w:val="center"/>
          </w:tcPr>
          <w:p w14:paraId="157E1C72" w14:textId="0382197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215F3C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59F6D39C" w14:textId="3C469AA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F358271" w14:textId="2DEC369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2D9F389"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E4EF535" w14:textId="7BA77B5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481476B" w14:textId="5BF533B0"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0E9D88A0" w14:textId="68CCDED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4BA1CBD0" w14:textId="168D101C" w:rsidR="00D26B14" w:rsidRPr="00191031" w:rsidRDefault="00D26B14" w:rsidP="00D26B14">
            <w:pPr>
              <w:spacing w:before="120"/>
              <w:jc w:val="center"/>
              <w:rPr>
                <w:rFonts w:ascii="Arial" w:hAnsi="Arial" w:cs="Arial"/>
                <w:sz w:val="16"/>
                <w:szCs w:val="16"/>
              </w:rPr>
            </w:pPr>
          </w:p>
        </w:tc>
      </w:tr>
      <w:tr w:rsidR="00D26B14" w:rsidRPr="00660468" w14:paraId="0D27B3BB" w14:textId="1914C022" w:rsidTr="0C34660A">
        <w:tc>
          <w:tcPr>
            <w:tcW w:w="1960" w:type="dxa"/>
            <w:vAlign w:val="center"/>
          </w:tcPr>
          <w:p w14:paraId="27848EE5"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Fuel oil/gas-fired electricity generation</w:t>
            </w:r>
          </w:p>
        </w:tc>
        <w:tc>
          <w:tcPr>
            <w:tcW w:w="1159" w:type="dxa"/>
            <w:vAlign w:val="center"/>
          </w:tcPr>
          <w:p w14:paraId="236ABBCA" w14:textId="3CAFB24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0.036</w:t>
            </w:r>
          </w:p>
        </w:tc>
        <w:tc>
          <w:tcPr>
            <w:tcW w:w="942" w:type="dxa"/>
            <w:vAlign w:val="center"/>
          </w:tcPr>
          <w:p w14:paraId="50B2EAA1" w14:textId="3B5718CC"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0.028</w:t>
            </w:r>
          </w:p>
        </w:tc>
        <w:tc>
          <w:tcPr>
            <w:tcW w:w="1042" w:type="dxa"/>
            <w:vAlign w:val="center"/>
          </w:tcPr>
          <w:p w14:paraId="6AB57B5B" w14:textId="175F1D22"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0.0021</w:t>
            </w:r>
          </w:p>
        </w:tc>
        <w:tc>
          <w:tcPr>
            <w:tcW w:w="1134" w:type="dxa"/>
            <w:vAlign w:val="center"/>
          </w:tcPr>
          <w:p w14:paraId="7AE00FCE" w14:textId="1E92398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0CB529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2346FB71" w14:textId="6F28FA8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132B3A67" w14:textId="6D20ED9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C6C3DF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87493D8" w14:textId="721DC02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50A522E3" w14:textId="36ED5EB8"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6A384E7B" w14:textId="4B57899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4C1B9C76" w14:textId="784744E4" w:rsidR="00D26B14" w:rsidRPr="00191031" w:rsidRDefault="00D26B14" w:rsidP="00D26B14">
            <w:pPr>
              <w:spacing w:before="120"/>
              <w:jc w:val="center"/>
              <w:rPr>
                <w:rFonts w:ascii="Arial" w:hAnsi="Arial" w:cs="Arial"/>
                <w:sz w:val="16"/>
                <w:szCs w:val="16"/>
              </w:rPr>
            </w:pPr>
          </w:p>
        </w:tc>
      </w:tr>
      <w:tr w:rsidR="00D26B14" w:rsidRPr="00660468" w14:paraId="68297E9E" w14:textId="5A4E38FA" w:rsidTr="0C34660A">
        <w:tc>
          <w:tcPr>
            <w:tcW w:w="1960" w:type="dxa"/>
            <w:vAlign w:val="center"/>
          </w:tcPr>
          <w:p w14:paraId="4726C7C1"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Fuel oil and gas-fired power plants</w:t>
            </w:r>
          </w:p>
        </w:tc>
        <w:tc>
          <w:tcPr>
            <w:tcW w:w="1159" w:type="dxa"/>
            <w:vAlign w:val="center"/>
          </w:tcPr>
          <w:p w14:paraId="35CA0125" w14:textId="612ADE81"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0.027</w:t>
            </w:r>
          </w:p>
        </w:tc>
        <w:tc>
          <w:tcPr>
            <w:tcW w:w="942" w:type="dxa"/>
            <w:vAlign w:val="center"/>
          </w:tcPr>
          <w:p w14:paraId="219AAD9A" w14:textId="44A6E87C"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0.041</w:t>
            </w:r>
          </w:p>
        </w:tc>
        <w:tc>
          <w:tcPr>
            <w:tcW w:w="1042" w:type="dxa"/>
            <w:vAlign w:val="center"/>
          </w:tcPr>
          <w:p w14:paraId="6DF86BE7" w14:textId="5231ACEB"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0.038</w:t>
            </w:r>
          </w:p>
        </w:tc>
        <w:tc>
          <w:tcPr>
            <w:tcW w:w="1134" w:type="dxa"/>
            <w:vAlign w:val="center"/>
          </w:tcPr>
          <w:p w14:paraId="4602B986" w14:textId="4F4A3C4E"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194159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3DFA4BAD" w14:textId="1220A74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590CCF0B" w14:textId="7528EC3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B6FB1A3"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D1062FC" w14:textId="2CDD789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1CAFE68A" w14:textId="56C3A556"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232BF382" w14:textId="2AAAB8A6"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05ECAE0F" w14:textId="727A7B10" w:rsidR="00D26B14" w:rsidRPr="00191031" w:rsidRDefault="00D26B14" w:rsidP="00D26B14">
            <w:pPr>
              <w:spacing w:before="120"/>
              <w:jc w:val="center"/>
              <w:rPr>
                <w:rFonts w:ascii="Arial" w:hAnsi="Arial" w:cs="Arial"/>
                <w:sz w:val="16"/>
                <w:szCs w:val="16"/>
              </w:rPr>
            </w:pPr>
          </w:p>
        </w:tc>
      </w:tr>
      <w:tr w:rsidR="00D26B14" w:rsidRPr="00660468" w14:paraId="50600D6A" w14:textId="63DE23C1" w:rsidTr="0C34660A">
        <w:tc>
          <w:tcPr>
            <w:tcW w:w="1960" w:type="dxa"/>
            <w:vAlign w:val="center"/>
          </w:tcPr>
          <w:p w14:paraId="1AEB5CAD"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Biomass power plants</w:t>
            </w:r>
          </w:p>
        </w:tc>
        <w:tc>
          <w:tcPr>
            <w:tcW w:w="1159" w:type="dxa"/>
            <w:vAlign w:val="center"/>
          </w:tcPr>
          <w:p w14:paraId="524F1431" w14:textId="5FD00EF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1.000</w:t>
            </w:r>
          </w:p>
        </w:tc>
        <w:tc>
          <w:tcPr>
            <w:tcW w:w="942" w:type="dxa"/>
            <w:vAlign w:val="center"/>
          </w:tcPr>
          <w:p w14:paraId="3EC6703F" w14:textId="4BDA36C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1.000</w:t>
            </w:r>
          </w:p>
        </w:tc>
        <w:tc>
          <w:tcPr>
            <w:tcW w:w="1042" w:type="dxa"/>
            <w:vAlign w:val="center"/>
          </w:tcPr>
          <w:p w14:paraId="1DC66380" w14:textId="0D733F9E"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1.584</w:t>
            </w:r>
          </w:p>
        </w:tc>
        <w:tc>
          <w:tcPr>
            <w:tcW w:w="1134" w:type="dxa"/>
            <w:vAlign w:val="center"/>
          </w:tcPr>
          <w:p w14:paraId="5DCCEF8F" w14:textId="6E50688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A0F368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200F536D" w14:textId="09BEF1BE"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54AB1934" w14:textId="4635FBF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2F2C305"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34C58F5" w14:textId="7D4CC56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81CCD79" w14:textId="195C380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0.300</w:t>
            </w:r>
          </w:p>
        </w:tc>
        <w:tc>
          <w:tcPr>
            <w:tcW w:w="992" w:type="dxa"/>
            <w:vAlign w:val="center"/>
          </w:tcPr>
          <w:p w14:paraId="44035EFE" w14:textId="01DE8E7C"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0.300</w:t>
            </w:r>
          </w:p>
        </w:tc>
        <w:tc>
          <w:tcPr>
            <w:tcW w:w="992" w:type="dxa"/>
            <w:vAlign w:val="center"/>
          </w:tcPr>
          <w:p w14:paraId="5C0E86B1" w14:textId="520CDD06"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0.475</w:t>
            </w:r>
          </w:p>
        </w:tc>
      </w:tr>
      <w:tr w:rsidR="00D26B14" w:rsidRPr="00660468" w14:paraId="03AA2E6B" w14:textId="34521D80" w:rsidTr="0C34660A">
        <w:tc>
          <w:tcPr>
            <w:tcW w:w="1960" w:type="dxa"/>
            <w:vAlign w:val="center"/>
          </w:tcPr>
          <w:p w14:paraId="0FEF7EDE"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Landfill gas/biogas combustion</w:t>
            </w:r>
          </w:p>
        </w:tc>
        <w:tc>
          <w:tcPr>
            <w:tcW w:w="1159" w:type="dxa"/>
            <w:vAlign w:val="center"/>
          </w:tcPr>
          <w:p w14:paraId="71E2B894" w14:textId="52880EF1"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0.025</w:t>
            </w:r>
          </w:p>
        </w:tc>
        <w:tc>
          <w:tcPr>
            <w:tcW w:w="942" w:type="dxa"/>
            <w:vAlign w:val="center"/>
          </w:tcPr>
          <w:p w14:paraId="21CFECDE" w14:textId="48B20346"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0.028</w:t>
            </w:r>
          </w:p>
        </w:tc>
        <w:tc>
          <w:tcPr>
            <w:tcW w:w="1042" w:type="dxa"/>
            <w:vAlign w:val="center"/>
          </w:tcPr>
          <w:p w14:paraId="69159D50" w14:textId="70347875"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0.030</w:t>
            </w:r>
          </w:p>
        </w:tc>
        <w:tc>
          <w:tcPr>
            <w:tcW w:w="1134" w:type="dxa"/>
            <w:vAlign w:val="center"/>
          </w:tcPr>
          <w:p w14:paraId="40BED817" w14:textId="5EE3ED5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474C338"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2CFC1DAE" w14:textId="46C66DC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E722584" w14:textId="07002E4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C1621A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E53135F" w14:textId="053E409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FA139B6" w14:textId="27FE0D2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772FE67D" w14:textId="584B535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4D42923D" w14:textId="5CC8A644" w:rsidR="00D26B14" w:rsidRPr="00191031" w:rsidRDefault="00D26B14" w:rsidP="00D26B14">
            <w:pPr>
              <w:spacing w:before="120"/>
              <w:jc w:val="center"/>
              <w:rPr>
                <w:rFonts w:ascii="Arial" w:hAnsi="Arial" w:cs="Arial"/>
                <w:sz w:val="16"/>
                <w:szCs w:val="16"/>
              </w:rPr>
            </w:pPr>
          </w:p>
        </w:tc>
      </w:tr>
      <w:tr w:rsidR="00D26B14" w:rsidRPr="00660468" w14:paraId="01410143" w14:textId="0DF106BB" w:rsidTr="0C34660A">
        <w:tc>
          <w:tcPr>
            <w:tcW w:w="1960" w:type="dxa"/>
            <w:vAlign w:val="center"/>
          </w:tcPr>
          <w:p w14:paraId="32C36CA7" w14:textId="348FBC4E" w:rsidR="00D26B14" w:rsidRPr="00191031" w:rsidRDefault="0B652E32" w:rsidP="00D26B14">
            <w:pPr>
              <w:spacing w:before="120"/>
              <w:rPr>
                <w:rFonts w:ascii="Arial" w:hAnsi="Arial" w:cs="Arial"/>
                <w:sz w:val="16"/>
                <w:szCs w:val="16"/>
              </w:rPr>
            </w:pPr>
            <w:r w:rsidRPr="0C34660A">
              <w:rPr>
                <w:rFonts w:ascii="Arial" w:hAnsi="Arial" w:cs="Arial"/>
                <w:sz w:val="16"/>
                <w:szCs w:val="16"/>
              </w:rPr>
              <w:t>Household heating &amp; cooking with biomass</w:t>
            </w:r>
          </w:p>
        </w:tc>
        <w:tc>
          <w:tcPr>
            <w:tcW w:w="1159" w:type="dxa"/>
            <w:vAlign w:val="center"/>
          </w:tcPr>
          <w:p w14:paraId="0E2C1BD6" w14:textId="189F55F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0.82</w:t>
            </w:r>
          </w:p>
        </w:tc>
        <w:tc>
          <w:tcPr>
            <w:tcW w:w="942" w:type="dxa"/>
            <w:vAlign w:val="center"/>
          </w:tcPr>
          <w:p w14:paraId="4D349A10" w14:textId="33B2E291"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0.812</w:t>
            </w:r>
          </w:p>
        </w:tc>
        <w:tc>
          <w:tcPr>
            <w:tcW w:w="1042" w:type="dxa"/>
            <w:vAlign w:val="center"/>
          </w:tcPr>
          <w:p w14:paraId="4146FFA3" w14:textId="70AAA0BA"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0.754</w:t>
            </w:r>
          </w:p>
        </w:tc>
        <w:tc>
          <w:tcPr>
            <w:tcW w:w="1134" w:type="dxa"/>
            <w:vAlign w:val="center"/>
          </w:tcPr>
          <w:p w14:paraId="76072FED" w14:textId="7D40FD6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CC6885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533E7F1B" w14:textId="456D8ED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7685096" w14:textId="5F0B656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7E85712"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EFCA340" w14:textId="2A818B3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265255E" w14:textId="5CE4E76B"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0.164</w:t>
            </w:r>
          </w:p>
        </w:tc>
        <w:tc>
          <w:tcPr>
            <w:tcW w:w="992" w:type="dxa"/>
            <w:vAlign w:val="center"/>
          </w:tcPr>
          <w:p w14:paraId="5D5782C7" w14:textId="548EEAC8"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0.162</w:t>
            </w:r>
          </w:p>
        </w:tc>
        <w:tc>
          <w:tcPr>
            <w:tcW w:w="992" w:type="dxa"/>
            <w:vAlign w:val="center"/>
          </w:tcPr>
          <w:p w14:paraId="729BDBDE" w14:textId="09D1DE9D"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0.151</w:t>
            </w:r>
          </w:p>
        </w:tc>
      </w:tr>
      <w:tr w:rsidR="00D26B14" w:rsidRPr="00660468" w14:paraId="402C1365" w14:textId="604ECCBB" w:rsidTr="0C34660A">
        <w:tc>
          <w:tcPr>
            <w:tcW w:w="1960" w:type="dxa"/>
          </w:tcPr>
          <w:p w14:paraId="35DA0935" w14:textId="4851D505" w:rsidR="00D26B14" w:rsidRPr="00191031" w:rsidRDefault="0B652E32" w:rsidP="00D26B14">
            <w:pPr>
              <w:spacing w:before="120"/>
              <w:rPr>
                <w:rFonts w:ascii="Arial" w:hAnsi="Arial" w:cs="Arial"/>
                <w:sz w:val="16"/>
                <w:szCs w:val="16"/>
              </w:rPr>
            </w:pPr>
            <w:r w:rsidRPr="0C34660A">
              <w:rPr>
                <w:rFonts w:ascii="Arial" w:hAnsi="Arial" w:cs="Arial"/>
                <w:sz w:val="16"/>
                <w:szCs w:val="16"/>
              </w:rPr>
              <w:t>Household heating &amp; cooking with coal</w:t>
            </w:r>
          </w:p>
        </w:tc>
        <w:tc>
          <w:tcPr>
            <w:tcW w:w="1159" w:type="dxa"/>
            <w:vAlign w:val="center"/>
          </w:tcPr>
          <w:p w14:paraId="08A013FE" w14:textId="5355EC5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0.044</w:t>
            </w:r>
          </w:p>
        </w:tc>
        <w:tc>
          <w:tcPr>
            <w:tcW w:w="942" w:type="dxa"/>
            <w:vAlign w:val="center"/>
          </w:tcPr>
          <w:p w14:paraId="002BBF22" w14:textId="2258FED5"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0.034</w:t>
            </w:r>
          </w:p>
        </w:tc>
        <w:tc>
          <w:tcPr>
            <w:tcW w:w="1042" w:type="dxa"/>
            <w:vAlign w:val="center"/>
          </w:tcPr>
          <w:p w14:paraId="6A368300" w14:textId="4B34E574"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0.027</w:t>
            </w:r>
          </w:p>
        </w:tc>
        <w:tc>
          <w:tcPr>
            <w:tcW w:w="1134" w:type="dxa"/>
            <w:vAlign w:val="center"/>
          </w:tcPr>
          <w:p w14:paraId="2950363F" w14:textId="5BC9DD2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53DDFE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322A24D7" w14:textId="170D55A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1C2D6E4" w14:textId="1F9F025B"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ABAB0FD"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AF2C013" w14:textId="759C8E9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07FB117" w14:textId="4753763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0.00023</w:t>
            </w:r>
          </w:p>
        </w:tc>
        <w:tc>
          <w:tcPr>
            <w:tcW w:w="992" w:type="dxa"/>
            <w:vAlign w:val="center"/>
          </w:tcPr>
          <w:p w14:paraId="2DB97E39" w14:textId="67EA3AF2"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0.00018</w:t>
            </w:r>
          </w:p>
        </w:tc>
        <w:tc>
          <w:tcPr>
            <w:tcW w:w="992" w:type="dxa"/>
            <w:vAlign w:val="center"/>
          </w:tcPr>
          <w:p w14:paraId="4A111027" w14:textId="1FE44D80" w:rsidR="00D26B14" w:rsidRPr="00191031" w:rsidRDefault="004816C1" w:rsidP="00D26B14">
            <w:pPr>
              <w:spacing w:before="120"/>
              <w:jc w:val="center"/>
              <w:rPr>
                <w:rFonts w:ascii="Arial" w:hAnsi="Arial" w:cs="Arial"/>
                <w:sz w:val="16"/>
                <w:szCs w:val="16"/>
              </w:rPr>
            </w:pPr>
            <w:r>
              <w:rPr>
                <w:rFonts w:ascii="Arial" w:hAnsi="Arial" w:cs="Arial"/>
                <w:color w:val="000000"/>
                <w:sz w:val="16"/>
                <w:szCs w:val="16"/>
              </w:rPr>
              <w:t>0.00014</w:t>
            </w:r>
          </w:p>
        </w:tc>
      </w:tr>
      <w:tr w:rsidR="00D26B14" w:rsidRPr="00660468" w14:paraId="690B857C" w14:textId="0BA5896E" w:rsidTr="0C34660A">
        <w:tc>
          <w:tcPr>
            <w:tcW w:w="1960" w:type="dxa"/>
          </w:tcPr>
          <w:p w14:paraId="75F0D67D" w14:textId="5EC615CE" w:rsidR="00D26B14" w:rsidRPr="00191031" w:rsidRDefault="0B652E32" w:rsidP="00D26B14">
            <w:pPr>
              <w:spacing w:before="120"/>
              <w:rPr>
                <w:rFonts w:ascii="Arial" w:hAnsi="Arial" w:cs="Arial"/>
                <w:sz w:val="16"/>
                <w:szCs w:val="16"/>
              </w:rPr>
            </w:pPr>
            <w:r w:rsidRPr="0C34660A">
              <w:rPr>
                <w:rFonts w:ascii="Arial" w:hAnsi="Arial" w:cs="Arial"/>
                <w:sz w:val="16"/>
                <w:szCs w:val="16"/>
              </w:rPr>
              <w:t>Household heating &amp; cooking with oil</w:t>
            </w:r>
          </w:p>
        </w:tc>
        <w:tc>
          <w:tcPr>
            <w:tcW w:w="1159" w:type="dxa"/>
            <w:vAlign w:val="center"/>
          </w:tcPr>
          <w:p w14:paraId="33618095" w14:textId="147DFD7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0.0029</w:t>
            </w:r>
          </w:p>
        </w:tc>
        <w:tc>
          <w:tcPr>
            <w:tcW w:w="942" w:type="dxa"/>
            <w:vAlign w:val="center"/>
          </w:tcPr>
          <w:p w14:paraId="3E8EA1AE" w14:textId="4070BF01"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0.0012</w:t>
            </w:r>
          </w:p>
        </w:tc>
        <w:tc>
          <w:tcPr>
            <w:tcW w:w="1042" w:type="dxa"/>
            <w:vAlign w:val="center"/>
          </w:tcPr>
          <w:p w14:paraId="3A3DDB00" w14:textId="405C52DE" w:rsidR="00D26B14" w:rsidRPr="00191031" w:rsidRDefault="00E32796" w:rsidP="00D26B14">
            <w:pPr>
              <w:spacing w:before="120"/>
              <w:jc w:val="center"/>
              <w:rPr>
                <w:rFonts w:ascii="Arial" w:hAnsi="Arial" w:cs="Arial"/>
                <w:sz w:val="16"/>
                <w:szCs w:val="16"/>
              </w:rPr>
            </w:pPr>
            <w:r>
              <w:rPr>
                <w:rFonts w:ascii="Arial" w:hAnsi="Arial" w:cs="Arial"/>
                <w:color w:val="000000"/>
                <w:sz w:val="16"/>
                <w:szCs w:val="16"/>
              </w:rPr>
              <w:t>0.0010</w:t>
            </w:r>
          </w:p>
        </w:tc>
        <w:tc>
          <w:tcPr>
            <w:tcW w:w="1134" w:type="dxa"/>
            <w:vAlign w:val="center"/>
          </w:tcPr>
          <w:p w14:paraId="00DD69FB" w14:textId="484C82A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9376686"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06D1C5D0" w14:textId="1216E7F0"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D650030" w14:textId="15D4266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6C5311D"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28DECA0" w14:textId="13CC94C4"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19E52263" w14:textId="30E3EFC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0664EE02" w14:textId="3371A88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6895EB98" w14:textId="2A5B7F6A" w:rsidR="00D26B14" w:rsidRPr="00191031" w:rsidRDefault="00D26B14" w:rsidP="00D26B14">
            <w:pPr>
              <w:spacing w:before="120"/>
              <w:jc w:val="center"/>
              <w:rPr>
                <w:rFonts w:ascii="Arial" w:hAnsi="Arial" w:cs="Arial"/>
                <w:sz w:val="16"/>
                <w:szCs w:val="16"/>
              </w:rPr>
            </w:pPr>
          </w:p>
        </w:tc>
      </w:tr>
      <w:tr w:rsidR="00D26B14" w:rsidRPr="00660468" w14:paraId="244BAC61" w14:textId="5A7C0D9E" w:rsidTr="0C34660A">
        <w:tc>
          <w:tcPr>
            <w:tcW w:w="1960" w:type="dxa"/>
          </w:tcPr>
          <w:p w14:paraId="7A0CE02D" w14:textId="68C10AFE" w:rsidR="00D26B14" w:rsidRPr="00191031" w:rsidRDefault="0B652E32" w:rsidP="00D26B14">
            <w:pPr>
              <w:spacing w:before="120"/>
              <w:rPr>
                <w:rFonts w:ascii="Arial" w:hAnsi="Arial" w:cs="Arial"/>
                <w:sz w:val="16"/>
                <w:szCs w:val="16"/>
              </w:rPr>
            </w:pPr>
            <w:r w:rsidRPr="0C34660A">
              <w:rPr>
                <w:rFonts w:ascii="Arial" w:hAnsi="Arial" w:cs="Arial"/>
                <w:sz w:val="16"/>
                <w:szCs w:val="16"/>
              </w:rPr>
              <w:t>Household heating &amp; cooking with gas</w:t>
            </w:r>
          </w:p>
        </w:tc>
        <w:tc>
          <w:tcPr>
            <w:tcW w:w="1159" w:type="dxa"/>
            <w:vAlign w:val="center"/>
          </w:tcPr>
          <w:p w14:paraId="5B012165" w14:textId="1333D1B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0.0135</w:t>
            </w:r>
          </w:p>
        </w:tc>
        <w:tc>
          <w:tcPr>
            <w:tcW w:w="942" w:type="dxa"/>
            <w:vAlign w:val="center"/>
          </w:tcPr>
          <w:p w14:paraId="556B140E" w14:textId="4601028B"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0.0144</w:t>
            </w:r>
          </w:p>
        </w:tc>
        <w:tc>
          <w:tcPr>
            <w:tcW w:w="1042" w:type="dxa"/>
            <w:vAlign w:val="center"/>
          </w:tcPr>
          <w:p w14:paraId="1DFAF80F" w14:textId="2FCB56A7" w:rsidR="00D26B14" w:rsidRPr="00191031" w:rsidRDefault="00E32796" w:rsidP="00D26B14">
            <w:pPr>
              <w:spacing w:before="120"/>
              <w:jc w:val="center"/>
              <w:rPr>
                <w:rFonts w:ascii="Arial" w:hAnsi="Arial" w:cs="Arial"/>
                <w:sz w:val="16"/>
                <w:szCs w:val="16"/>
              </w:rPr>
            </w:pPr>
            <w:r>
              <w:rPr>
                <w:rFonts w:ascii="Arial" w:hAnsi="Arial" w:cs="Arial"/>
                <w:color w:val="000000"/>
                <w:sz w:val="16"/>
                <w:szCs w:val="16"/>
              </w:rPr>
              <w:t>0.0162</w:t>
            </w:r>
          </w:p>
        </w:tc>
        <w:tc>
          <w:tcPr>
            <w:tcW w:w="1134" w:type="dxa"/>
            <w:vAlign w:val="center"/>
          </w:tcPr>
          <w:p w14:paraId="07ED3A4D" w14:textId="720752A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2E24DF3"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3336EA8B" w14:textId="3C7D9AA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ED54309" w14:textId="389E7D3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6798F5A"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502F3CD" w14:textId="6E6C388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664BC57" w14:textId="26C81B70"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519A3763" w14:textId="65D1583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92" w:type="dxa"/>
            <w:vAlign w:val="center"/>
          </w:tcPr>
          <w:p w14:paraId="642359B6" w14:textId="2B31856E" w:rsidR="00D26B14" w:rsidRPr="00191031" w:rsidRDefault="00D26B14" w:rsidP="00D26B14">
            <w:pPr>
              <w:spacing w:before="120"/>
              <w:jc w:val="center"/>
              <w:rPr>
                <w:rFonts w:ascii="Arial" w:hAnsi="Arial" w:cs="Arial"/>
                <w:sz w:val="16"/>
                <w:szCs w:val="16"/>
              </w:rPr>
            </w:pPr>
          </w:p>
        </w:tc>
      </w:tr>
      <w:tr w:rsidR="00E32796" w:rsidRPr="00660468" w14:paraId="4676EA69" w14:textId="3B3589DD" w:rsidTr="0C34660A">
        <w:tc>
          <w:tcPr>
            <w:tcW w:w="1960" w:type="dxa"/>
            <w:vAlign w:val="center"/>
          </w:tcPr>
          <w:p w14:paraId="0620CFCC" w14:textId="77777777" w:rsidR="00E32796" w:rsidRPr="00191031" w:rsidRDefault="00E32796" w:rsidP="00E32796">
            <w:pPr>
              <w:spacing w:before="120"/>
              <w:rPr>
                <w:rFonts w:ascii="Arial" w:hAnsi="Arial" w:cs="Arial"/>
                <w:sz w:val="16"/>
                <w:szCs w:val="16"/>
              </w:rPr>
            </w:pPr>
            <w:r w:rsidRPr="00191031">
              <w:rPr>
                <w:rFonts w:ascii="Arial" w:hAnsi="Arial" w:cs="Arial"/>
                <w:sz w:val="16"/>
                <w:szCs w:val="16"/>
              </w:rPr>
              <w:t>Cement production</w:t>
            </w:r>
          </w:p>
        </w:tc>
        <w:tc>
          <w:tcPr>
            <w:tcW w:w="1159" w:type="dxa"/>
            <w:vAlign w:val="center"/>
          </w:tcPr>
          <w:p w14:paraId="33D06E52" w14:textId="25D88BD4" w:rsidR="00E32796" w:rsidRPr="00191031" w:rsidRDefault="00E32796" w:rsidP="00E32796">
            <w:pPr>
              <w:spacing w:before="120"/>
              <w:jc w:val="center"/>
              <w:rPr>
                <w:rFonts w:ascii="Arial" w:hAnsi="Arial" w:cs="Arial"/>
                <w:sz w:val="16"/>
                <w:szCs w:val="16"/>
              </w:rPr>
            </w:pPr>
            <w:r w:rsidRPr="00211A50">
              <w:rPr>
                <w:rFonts w:ascii="Arial" w:hAnsi="Arial" w:cs="Arial"/>
                <w:sz w:val="16"/>
                <w:szCs w:val="16"/>
              </w:rPr>
              <w:t>0.043</w:t>
            </w:r>
          </w:p>
        </w:tc>
        <w:tc>
          <w:tcPr>
            <w:tcW w:w="942" w:type="dxa"/>
            <w:vAlign w:val="center"/>
          </w:tcPr>
          <w:p w14:paraId="5E2515E1" w14:textId="7F7906B3" w:rsidR="00E32796" w:rsidRPr="00191031" w:rsidRDefault="00E32796" w:rsidP="00E32796">
            <w:pPr>
              <w:spacing w:before="120"/>
              <w:jc w:val="center"/>
              <w:rPr>
                <w:rFonts w:ascii="Arial" w:hAnsi="Arial" w:cs="Arial"/>
                <w:sz w:val="16"/>
                <w:szCs w:val="16"/>
              </w:rPr>
            </w:pPr>
            <w:r w:rsidRPr="00211A50">
              <w:rPr>
                <w:rFonts w:ascii="Arial" w:hAnsi="Arial" w:cs="Arial"/>
                <w:color w:val="000000"/>
                <w:sz w:val="16"/>
                <w:szCs w:val="16"/>
              </w:rPr>
              <w:t>0.044</w:t>
            </w:r>
          </w:p>
        </w:tc>
        <w:tc>
          <w:tcPr>
            <w:tcW w:w="1042" w:type="dxa"/>
            <w:vAlign w:val="center"/>
          </w:tcPr>
          <w:p w14:paraId="073283C9" w14:textId="6102F431" w:rsidR="00E32796" w:rsidRPr="00191031" w:rsidRDefault="00E32796" w:rsidP="00E32796">
            <w:pPr>
              <w:spacing w:before="120"/>
              <w:jc w:val="center"/>
              <w:rPr>
                <w:rFonts w:ascii="Arial" w:hAnsi="Arial" w:cs="Arial"/>
                <w:sz w:val="16"/>
                <w:szCs w:val="16"/>
              </w:rPr>
            </w:pPr>
            <w:r>
              <w:rPr>
                <w:rFonts w:ascii="Arial" w:hAnsi="Arial" w:cs="Arial"/>
                <w:color w:val="000000"/>
                <w:sz w:val="16"/>
                <w:szCs w:val="16"/>
              </w:rPr>
              <w:t>0.040</w:t>
            </w:r>
          </w:p>
        </w:tc>
        <w:tc>
          <w:tcPr>
            <w:tcW w:w="1134" w:type="dxa"/>
            <w:vAlign w:val="center"/>
          </w:tcPr>
          <w:p w14:paraId="4FC54DA0" w14:textId="400B290C"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F3FDAC0" w14:textId="77777777"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4D825F7B" w14:textId="39A3357D"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FB7D99C" w14:textId="495EDCAF" w:rsidR="00E32796" w:rsidRPr="00191031" w:rsidRDefault="00E32796" w:rsidP="00E32796">
            <w:pPr>
              <w:spacing w:before="120"/>
              <w:jc w:val="center"/>
              <w:rPr>
                <w:rFonts w:ascii="Arial" w:hAnsi="Arial" w:cs="Arial"/>
                <w:sz w:val="16"/>
                <w:szCs w:val="16"/>
              </w:rPr>
            </w:pPr>
            <w:r w:rsidRPr="00211A50">
              <w:rPr>
                <w:rFonts w:ascii="Arial" w:hAnsi="Arial" w:cs="Arial"/>
                <w:sz w:val="16"/>
                <w:szCs w:val="16"/>
              </w:rPr>
              <w:t>0.134</w:t>
            </w:r>
          </w:p>
        </w:tc>
        <w:tc>
          <w:tcPr>
            <w:tcW w:w="1134" w:type="dxa"/>
            <w:vAlign w:val="center"/>
          </w:tcPr>
          <w:p w14:paraId="3B23F1B1" w14:textId="5744FA18" w:rsidR="00E32796" w:rsidRPr="00191031" w:rsidRDefault="00E32796" w:rsidP="00E32796">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1C8CD583" w14:textId="0C3B405E" w:rsidR="00E32796" w:rsidRPr="00191031" w:rsidRDefault="00E32796" w:rsidP="00E32796">
            <w:pPr>
              <w:spacing w:before="120"/>
              <w:jc w:val="center"/>
              <w:rPr>
                <w:rFonts w:ascii="Arial" w:hAnsi="Arial" w:cs="Arial"/>
                <w:sz w:val="16"/>
                <w:szCs w:val="16"/>
              </w:rPr>
            </w:pPr>
          </w:p>
        </w:tc>
        <w:tc>
          <w:tcPr>
            <w:tcW w:w="1043" w:type="dxa"/>
            <w:vAlign w:val="center"/>
          </w:tcPr>
          <w:p w14:paraId="76543088" w14:textId="5D013410"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16D6B8A9" w14:textId="77777777"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FF6A899" w14:textId="48C0C3FE" w:rsidR="00E32796" w:rsidRPr="00191031" w:rsidRDefault="00E32796" w:rsidP="00E32796">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41B2ECC0" w14:textId="04AEA9BC" w:rsidTr="0C34660A">
        <w:tc>
          <w:tcPr>
            <w:tcW w:w="1960" w:type="dxa"/>
            <w:vAlign w:val="center"/>
          </w:tcPr>
          <w:p w14:paraId="5B0B8EC4"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Lime production</w:t>
            </w:r>
          </w:p>
        </w:tc>
        <w:tc>
          <w:tcPr>
            <w:tcW w:w="1159" w:type="dxa"/>
            <w:vAlign w:val="center"/>
          </w:tcPr>
          <w:p w14:paraId="6570E020" w14:textId="6066882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0.0125</w:t>
            </w:r>
          </w:p>
        </w:tc>
        <w:tc>
          <w:tcPr>
            <w:tcW w:w="942" w:type="dxa"/>
            <w:vAlign w:val="center"/>
          </w:tcPr>
          <w:p w14:paraId="36530D2F" w14:textId="58833695"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0.0173</w:t>
            </w:r>
          </w:p>
        </w:tc>
        <w:tc>
          <w:tcPr>
            <w:tcW w:w="1042" w:type="dxa"/>
            <w:vAlign w:val="center"/>
          </w:tcPr>
          <w:p w14:paraId="021A8BBF" w14:textId="3CD1E538" w:rsidR="00D26B14" w:rsidRPr="00191031" w:rsidRDefault="00E32796" w:rsidP="00D26B14">
            <w:pPr>
              <w:spacing w:before="120"/>
              <w:jc w:val="center"/>
              <w:rPr>
                <w:rFonts w:ascii="Arial" w:hAnsi="Arial" w:cs="Arial"/>
                <w:sz w:val="16"/>
                <w:szCs w:val="16"/>
              </w:rPr>
            </w:pPr>
            <w:r>
              <w:rPr>
                <w:rFonts w:ascii="Arial" w:hAnsi="Arial" w:cs="Arial"/>
                <w:color w:val="000000"/>
                <w:sz w:val="16"/>
                <w:szCs w:val="16"/>
              </w:rPr>
              <w:t>0.0107</w:t>
            </w:r>
          </w:p>
        </w:tc>
        <w:tc>
          <w:tcPr>
            <w:tcW w:w="1134" w:type="dxa"/>
            <w:vAlign w:val="center"/>
          </w:tcPr>
          <w:p w14:paraId="2B2D8A95" w14:textId="37F6620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D2A4D0D"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96B05CC" w14:textId="79BE6EA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ADA93D0" w14:textId="5B536F2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0.042</w:t>
            </w:r>
          </w:p>
        </w:tc>
        <w:tc>
          <w:tcPr>
            <w:tcW w:w="1134" w:type="dxa"/>
            <w:vAlign w:val="center"/>
          </w:tcPr>
          <w:p w14:paraId="1E654CDC" w14:textId="2ADD2FBF"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0.0576</w:t>
            </w:r>
          </w:p>
        </w:tc>
        <w:tc>
          <w:tcPr>
            <w:tcW w:w="1134" w:type="dxa"/>
            <w:vAlign w:val="center"/>
          </w:tcPr>
          <w:p w14:paraId="123D7078" w14:textId="027D8BC8" w:rsidR="00D26B14" w:rsidRPr="00191031" w:rsidRDefault="00E32796" w:rsidP="00D26B14">
            <w:pPr>
              <w:spacing w:before="120"/>
              <w:jc w:val="center"/>
              <w:rPr>
                <w:rFonts w:ascii="Arial" w:hAnsi="Arial" w:cs="Arial"/>
                <w:sz w:val="16"/>
                <w:szCs w:val="16"/>
              </w:rPr>
            </w:pPr>
            <w:r>
              <w:rPr>
                <w:rFonts w:ascii="Arial" w:hAnsi="Arial" w:cs="Arial"/>
                <w:color w:val="000000"/>
                <w:sz w:val="16"/>
                <w:szCs w:val="16"/>
              </w:rPr>
              <w:t>0.035</w:t>
            </w:r>
          </w:p>
        </w:tc>
        <w:tc>
          <w:tcPr>
            <w:tcW w:w="1043" w:type="dxa"/>
            <w:vAlign w:val="center"/>
          </w:tcPr>
          <w:p w14:paraId="6B3DEC3F" w14:textId="6BE066F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19D117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BB254F5" w14:textId="19A72CD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525E6993" w14:textId="437215AB" w:rsidTr="0C34660A">
        <w:tc>
          <w:tcPr>
            <w:tcW w:w="1960" w:type="dxa"/>
            <w:vAlign w:val="center"/>
          </w:tcPr>
          <w:p w14:paraId="08314D48"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Brick production</w:t>
            </w:r>
          </w:p>
        </w:tc>
        <w:tc>
          <w:tcPr>
            <w:tcW w:w="1159" w:type="dxa"/>
            <w:vAlign w:val="center"/>
          </w:tcPr>
          <w:p w14:paraId="666E7A3A" w14:textId="25681F85"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0.00089</w:t>
            </w:r>
          </w:p>
        </w:tc>
        <w:tc>
          <w:tcPr>
            <w:tcW w:w="942" w:type="dxa"/>
            <w:vAlign w:val="center"/>
          </w:tcPr>
          <w:p w14:paraId="3753F051" w14:textId="268DFD13"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0.0002</w:t>
            </w:r>
          </w:p>
        </w:tc>
        <w:tc>
          <w:tcPr>
            <w:tcW w:w="1042" w:type="dxa"/>
            <w:vAlign w:val="center"/>
          </w:tcPr>
          <w:p w14:paraId="0E462ECF" w14:textId="30327E85" w:rsidR="00660468" w:rsidRPr="00191031" w:rsidRDefault="00E32796" w:rsidP="00660468">
            <w:pPr>
              <w:spacing w:before="120"/>
              <w:jc w:val="center"/>
              <w:rPr>
                <w:rFonts w:ascii="Arial" w:hAnsi="Arial" w:cs="Arial"/>
                <w:sz w:val="16"/>
                <w:szCs w:val="16"/>
              </w:rPr>
            </w:pPr>
            <w:r>
              <w:rPr>
                <w:rFonts w:ascii="Arial" w:hAnsi="Arial" w:cs="Arial"/>
                <w:color w:val="000000"/>
                <w:sz w:val="16"/>
                <w:szCs w:val="16"/>
              </w:rPr>
              <w:t>0.00022</w:t>
            </w:r>
          </w:p>
        </w:tc>
        <w:tc>
          <w:tcPr>
            <w:tcW w:w="1134" w:type="dxa"/>
            <w:vAlign w:val="center"/>
          </w:tcPr>
          <w:p w14:paraId="2A3726D3" w14:textId="4F6FC786"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0D92680"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D4956B2" w14:textId="50563D95"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45A6B8AB" w14:textId="39CA346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8074C7E"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42FA3C7" w14:textId="55E3158F" w:rsidR="00660468" w:rsidRPr="00191031" w:rsidRDefault="00660468" w:rsidP="00660468">
            <w:pPr>
              <w:spacing w:before="120"/>
              <w:jc w:val="center"/>
              <w:rPr>
                <w:rFonts w:ascii="Arial" w:hAnsi="Arial" w:cs="Arial"/>
                <w:sz w:val="16"/>
                <w:szCs w:val="16"/>
              </w:rPr>
            </w:pPr>
          </w:p>
        </w:tc>
        <w:tc>
          <w:tcPr>
            <w:tcW w:w="1043" w:type="dxa"/>
            <w:vAlign w:val="center"/>
          </w:tcPr>
          <w:p w14:paraId="7B592699" w14:textId="00C22534"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62AC899"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AB612B9" w14:textId="3D712FC4"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2FC345C2" w14:textId="05F8EF45" w:rsidTr="0C34660A">
        <w:tc>
          <w:tcPr>
            <w:tcW w:w="1960" w:type="dxa"/>
            <w:vAlign w:val="center"/>
          </w:tcPr>
          <w:p w14:paraId="0B051DFF"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lastRenderedPageBreak/>
              <w:t>Glass production</w:t>
            </w:r>
          </w:p>
        </w:tc>
        <w:tc>
          <w:tcPr>
            <w:tcW w:w="1159" w:type="dxa"/>
            <w:vAlign w:val="center"/>
          </w:tcPr>
          <w:p w14:paraId="5E5C8133" w14:textId="1C2C8C23"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0.0035</w:t>
            </w:r>
          </w:p>
        </w:tc>
        <w:tc>
          <w:tcPr>
            <w:tcW w:w="942" w:type="dxa"/>
            <w:vAlign w:val="center"/>
          </w:tcPr>
          <w:p w14:paraId="1DD558E5" w14:textId="7408C9B1"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0.0031</w:t>
            </w:r>
          </w:p>
        </w:tc>
        <w:tc>
          <w:tcPr>
            <w:tcW w:w="1042" w:type="dxa"/>
            <w:vAlign w:val="center"/>
          </w:tcPr>
          <w:p w14:paraId="50C7393B" w14:textId="102E873C" w:rsidR="00660468" w:rsidRPr="00191031" w:rsidRDefault="00E32796" w:rsidP="00660468">
            <w:pPr>
              <w:spacing w:before="120"/>
              <w:jc w:val="center"/>
              <w:rPr>
                <w:rFonts w:ascii="Arial" w:hAnsi="Arial" w:cs="Arial"/>
                <w:sz w:val="16"/>
                <w:szCs w:val="16"/>
              </w:rPr>
            </w:pPr>
            <w:r>
              <w:rPr>
                <w:rFonts w:ascii="Arial" w:hAnsi="Arial" w:cs="Arial"/>
                <w:color w:val="000000"/>
                <w:sz w:val="16"/>
                <w:szCs w:val="16"/>
              </w:rPr>
              <w:t>0.0031</w:t>
            </w:r>
          </w:p>
        </w:tc>
        <w:tc>
          <w:tcPr>
            <w:tcW w:w="1134" w:type="dxa"/>
            <w:vAlign w:val="center"/>
          </w:tcPr>
          <w:p w14:paraId="1CC01B17" w14:textId="357E7E7C"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0DC094A"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F0B8D3C" w14:textId="600C3B92"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45D1DBE" w14:textId="218FA722"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34AF543"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E48FE83" w14:textId="493E58E7" w:rsidR="00660468" w:rsidRPr="00191031" w:rsidRDefault="00660468" w:rsidP="00660468">
            <w:pPr>
              <w:spacing w:before="120"/>
              <w:jc w:val="center"/>
              <w:rPr>
                <w:rFonts w:ascii="Arial" w:hAnsi="Arial" w:cs="Arial"/>
                <w:sz w:val="16"/>
                <w:szCs w:val="16"/>
              </w:rPr>
            </w:pPr>
          </w:p>
        </w:tc>
        <w:tc>
          <w:tcPr>
            <w:tcW w:w="1043" w:type="dxa"/>
            <w:vAlign w:val="center"/>
          </w:tcPr>
          <w:p w14:paraId="339D63A8" w14:textId="06008F51"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804EB4A"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9FFD60D" w14:textId="3A425A5B"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601F48EE" w14:textId="26C37C1A" w:rsidTr="0C34660A">
        <w:tc>
          <w:tcPr>
            <w:tcW w:w="1960" w:type="dxa"/>
            <w:vAlign w:val="center"/>
          </w:tcPr>
          <w:p w14:paraId="7157EF14"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Pottery and ceramics</w:t>
            </w:r>
          </w:p>
        </w:tc>
        <w:tc>
          <w:tcPr>
            <w:tcW w:w="1159" w:type="dxa"/>
            <w:vAlign w:val="center"/>
          </w:tcPr>
          <w:p w14:paraId="557BB6AB" w14:textId="6406CD0E"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0.00032</w:t>
            </w:r>
          </w:p>
        </w:tc>
        <w:tc>
          <w:tcPr>
            <w:tcW w:w="942" w:type="dxa"/>
            <w:vAlign w:val="center"/>
          </w:tcPr>
          <w:p w14:paraId="061BA740" w14:textId="73F57E21"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0.00075</w:t>
            </w:r>
          </w:p>
        </w:tc>
        <w:tc>
          <w:tcPr>
            <w:tcW w:w="1042" w:type="dxa"/>
            <w:vAlign w:val="center"/>
          </w:tcPr>
          <w:p w14:paraId="3499A7C4" w14:textId="2BF4B558" w:rsidR="00660468" w:rsidRPr="00191031" w:rsidRDefault="00E32796" w:rsidP="00660468">
            <w:pPr>
              <w:spacing w:before="120"/>
              <w:jc w:val="center"/>
              <w:rPr>
                <w:rFonts w:ascii="Arial" w:hAnsi="Arial" w:cs="Arial"/>
                <w:sz w:val="16"/>
                <w:szCs w:val="16"/>
              </w:rPr>
            </w:pPr>
            <w:r>
              <w:rPr>
                <w:rFonts w:ascii="Arial" w:hAnsi="Arial" w:cs="Arial"/>
                <w:color w:val="000000"/>
                <w:sz w:val="16"/>
                <w:szCs w:val="16"/>
              </w:rPr>
              <w:t>0.00079</w:t>
            </w:r>
          </w:p>
        </w:tc>
        <w:tc>
          <w:tcPr>
            <w:tcW w:w="1134" w:type="dxa"/>
            <w:vAlign w:val="center"/>
          </w:tcPr>
          <w:p w14:paraId="6DEBEFA7" w14:textId="05EB72A4"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F55DCB9"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44F90AA3" w14:textId="26FA5F30"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C014CD7" w14:textId="1935EE06"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8EDD7AF"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204CD08" w14:textId="37544503" w:rsidR="00660468" w:rsidRPr="00191031" w:rsidRDefault="00660468" w:rsidP="00660468">
            <w:pPr>
              <w:spacing w:before="120"/>
              <w:jc w:val="center"/>
              <w:rPr>
                <w:rFonts w:ascii="Arial" w:hAnsi="Arial" w:cs="Arial"/>
                <w:sz w:val="16"/>
                <w:szCs w:val="16"/>
              </w:rPr>
            </w:pPr>
          </w:p>
        </w:tc>
        <w:tc>
          <w:tcPr>
            <w:tcW w:w="1043" w:type="dxa"/>
            <w:vAlign w:val="center"/>
          </w:tcPr>
          <w:p w14:paraId="16373245" w14:textId="726B76A1"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5E9047CC"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47CC0F2" w14:textId="1E911AF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30BC3238" w14:textId="3102D30A" w:rsidTr="0C34660A">
        <w:tc>
          <w:tcPr>
            <w:tcW w:w="1960" w:type="dxa"/>
            <w:vAlign w:val="center"/>
          </w:tcPr>
          <w:p w14:paraId="2B3DBAEA"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Asphalt production</w:t>
            </w:r>
          </w:p>
        </w:tc>
        <w:tc>
          <w:tcPr>
            <w:tcW w:w="1159" w:type="dxa"/>
            <w:vAlign w:val="center"/>
          </w:tcPr>
          <w:p w14:paraId="7A385E6C" w14:textId="65DDC676"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0.006</w:t>
            </w:r>
          </w:p>
        </w:tc>
        <w:tc>
          <w:tcPr>
            <w:tcW w:w="942" w:type="dxa"/>
            <w:vAlign w:val="center"/>
          </w:tcPr>
          <w:p w14:paraId="5F8B5702" w14:textId="0813806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0.0098</w:t>
            </w:r>
          </w:p>
        </w:tc>
        <w:tc>
          <w:tcPr>
            <w:tcW w:w="1042" w:type="dxa"/>
            <w:vAlign w:val="center"/>
          </w:tcPr>
          <w:p w14:paraId="0F8E9C6D" w14:textId="6F309EBD" w:rsidR="00D26B14" w:rsidRPr="00191031" w:rsidRDefault="00E32796" w:rsidP="00D26B14">
            <w:pPr>
              <w:spacing w:before="120"/>
              <w:jc w:val="center"/>
              <w:rPr>
                <w:rFonts w:ascii="Arial" w:hAnsi="Arial" w:cs="Arial"/>
                <w:sz w:val="16"/>
                <w:szCs w:val="16"/>
              </w:rPr>
            </w:pPr>
            <w:r>
              <w:rPr>
                <w:rFonts w:ascii="Arial" w:hAnsi="Arial" w:cs="Arial"/>
                <w:color w:val="000000"/>
                <w:sz w:val="16"/>
                <w:szCs w:val="16"/>
              </w:rPr>
              <w:t>0.011</w:t>
            </w:r>
          </w:p>
        </w:tc>
        <w:tc>
          <w:tcPr>
            <w:tcW w:w="1134" w:type="dxa"/>
            <w:vAlign w:val="center"/>
          </w:tcPr>
          <w:p w14:paraId="7F95D8A4" w14:textId="05C5C7C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2A5018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7DB291A" w14:textId="4DB1544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F37FB0B" w14:textId="2119DA5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21A6C9E3"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C659CE4" w14:textId="5440D7BF" w:rsidR="00D26B14" w:rsidRPr="00191031" w:rsidRDefault="00D26B14" w:rsidP="00D26B14">
            <w:pPr>
              <w:spacing w:before="120"/>
              <w:jc w:val="center"/>
              <w:rPr>
                <w:rFonts w:ascii="Arial" w:hAnsi="Arial" w:cs="Arial"/>
                <w:sz w:val="16"/>
                <w:szCs w:val="16"/>
              </w:rPr>
            </w:pPr>
          </w:p>
        </w:tc>
        <w:tc>
          <w:tcPr>
            <w:tcW w:w="1043" w:type="dxa"/>
            <w:vAlign w:val="center"/>
          </w:tcPr>
          <w:p w14:paraId="0004EEFC" w14:textId="3746BDE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0.026</w:t>
            </w:r>
          </w:p>
        </w:tc>
        <w:tc>
          <w:tcPr>
            <w:tcW w:w="992" w:type="dxa"/>
            <w:vAlign w:val="center"/>
          </w:tcPr>
          <w:p w14:paraId="5850D9B1" w14:textId="2FEF5F71"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0.042</w:t>
            </w:r>
          </w:p>
        </w:tc>
        <w:tc>
          <w:tcPr>
            <w:tcW w:w="992" w:type="dxa"/>
            <w:vAlign w:val="center"/>
          </w:tcPr>
          <w:p w14:paraId="5466F947" w14:textId="0D2D51D0"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0.047</w:t>
            </w:r>
          </w:p>
        </w:tc>
      </w:tr>
      <w:tr w:rsidR="00660468" w:rsidRPr="00660468" w14:paraId="5A1FA8F5" w14:textId="0D76000C" w:rsidTr="0C34660A">
        <w:tc>
          <w:tcPr>
            <w:tcW w:w="1960" w:type="dxa"/>
            <w:vAlign w:val="center"/>
          </w:tcPr>
          <w:p w14:paraId="3EDF6AA8"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4-stroke engines</w:t>
            </w:r>
          </w:p>
        </w:tc>
        <w:tc>
          <w:tcPr>
            <w:tcW w:w="1159" w:type="dxa"/>
            <w:vAlign w:val="center"/>
          </w:tcPr>
          <w:p w14:paraId="1C0B807B" w14:textId="1EA85149"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0.040</w:t>
            </w:r>
          </w:p>
        </w:tc>
        <w:tc>
          <w:tcPr>
            <w:tcW w:w="942" w:type="dxa"/>
            <w:vAlign w:val="center"/>
          </w:tcPr>
          <w:p w14:paraId="004CB32C" w14:textId="3A432441"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0.0142</w:t>
            </w:r>
          </w:p>
        </w:tc>
        <w:tc>
          <w:tcPr>
            <w:tcW w:w="1042" w:type="dxa"/>
            <w:vAlign w:val="center"/>
          </w:tcPr>
          <w:p w14:paraId="2AE22B60" w14:textId="3CD29713" w:rsidR="00660468" w:rsidRPr="00191031" w:rsidRDefault="005D0936" w:rsidP="00660468">
            <w:pPr>
              <w:spacing w:before="120"/>
              <w:jc w:val="center"/>
              <w:rPr>
                <w:rFonts w:ascii="Arial" w:hAnsi="Arial" w:cs="Arial"/>
                <w:sz w:val="16"/>
                <w:szCs w:val="16"/>
              </w:rPr>
            </w:pPr>
            <w:r>
              <w:rPr>
                <w:rFonts w:ascii="Arial" w:hAnsi="Arial" w:cs="Arial"/>
                <w:color w:val="000000"/>
                <w:sz w:val="16"/>
                <w:szCs w:val="16"/>
              </w:rPr>
              <w:t>0.0124</w:t>
            </w:r>
          </w:p>
        </w:tc>
        <w:tc>
          <w:tcPr>
            <w:tcW w:w="1134" w:type="dxa"/>
            <w:vAlign w:val="center"/>
          </w:tcPr>
          <w:p w14:paraId="19825336" w14:textId="6D13C7BA"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7BF0940"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1DE5134" w14:textId="0F370B1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36D29ACC" w14:textId="2DC4CC4C"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8895927"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55CB49F" w14:textId="1163F3DD" w:rsidR="00660468" w:rsidRPr="00191031" w:rsidRDefault="00660468" w:rsidP="00660468">
            <w:pPr>
              <w:spacing w:before="120"/>
              <w:jc w:val="center"/>
              <w:rPr>
                <w:rFonts w:ascii="Arial" w:hAnsi="Arial" w:cs="Arial"/>
                <w:sz w:val="16"/>
                <w:szCs w:val="16"/>
              </w:rPr>
            </w:pPr>
          </w:p>
        </w:tc>
        <w:tc>
          <w:tcPr>
            <w:tcW w:w="1043" w:type="dxa"/>
            <w:vAlign w:val="center"/>
          </w:tcPr>
          <w:p w14:paraId="1276DC5F" w14:textId="0C593684"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74F0EF77"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2EC8B61" w14:textId="3FC461A1"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390DE3FB" w14:textId="47ABB27F" w:rsidTr="0C34660A">
        <w:tc>
          <w:tcPr>
            <w:tcW w:w="1960" w:type="dxa"/>
            <w:vAlign w:val="center"/>
          </w:tcPr>
          <w:p w14:paraId="0BA19B18"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2-stroke engines</w:t>
            </w:r>
          </w:p>
        </w:tc>
        <w:tc>
          <w:tcPr>
            <w:tcW w:w="1159" w:type="dxa"/>
            <w:vAlign w:val="center"/>
          </w:tcPr>
          <w:p w14:paraId="51C7A443" w14:textId="75FA75FC"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0.014</w:t>
            </w:r>
          </w:p>
        </w:tc>
        <w:tc>
          <w:tcPr>
            <w:tcW w:w="942" w:type="dxa"/>
            <w:vAlign w:val="center"/>
          </w:tcPr>
          <w:p w14:paraId="72F56F2F" w14:textId="248D4CB2"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0.014</w:t>
            </w:r>
          </w:p>
        </w:tc>
        <w:tc>
          <w:tcPr>
            <w:tcW w:w="1042" w:type="dxa"/>
            <w:vAlign w:val="center"/>
          </w:tcPr>
          <w:p w14:paraId="34EC7F55" w14:textId="5BC3FDC9" w:rsidR="00660468" w:rsidRPr="00191031" w:rsidRDefault="005D0936" w:rsidP="00660468">
            <w:pPr>
              <w:spacing w:before="120"/>
              <w:jc w:val="center"/>
              <w:rPr>
                <w:rFonts w:ascii="Arial" w:hAnsi="Arial" w:cs="Arial"/>
                <w:sz w:val="16"/>
                <w:szCs w:val="16"/>
              </w:rPr>
            </w:pPr>
            <w:r>
              <w:rPr>
                <w:rFonts w:ascii="Arial" w:hAnsi="Arial" w:cs="Arial"/>
                <w:color w:val="000000"/>
                <w:sz w:val="16"/>
                <w:szCs w:val="16"/>
              </w:rPr>
              <w:t>0.188</w:t>
            </w:r>
          </w:p>
        </w:tc>
        <w:tc>
          <w:tcPr>
            <w:tcW w:w="1134" w:type="dxa"/>
            <w:vAlign w:val="center"/>
          </w:tcPr>
          <w:p w14:paraId="4CB75DE7" w14:textId="41A6BEA4"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19A3C1D"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7EFE2F31" w14:textId="39D3D8F5"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0500EC2C" w14:textId="78DE30AC"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F70F9FA"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67402740" w14:textId="38DC7BEC" w:rsidR="00660468" w:rsidRPr="00191031" w:rsidRDefault="00660468" w:rsidP="00660468">
            <w:pPr>
              <w:spacing w:before="120"/>
              <w:jc w:val="center"/>
              <w:rPr>
                <w:rFonts w:ascii="Arial" w:hAnsi="Arial" w:cs="Arial"/>
                <w:sz w:val="16"/>
                <w:szCs w:val="16"/>
              </w:rPr>
            </w:pPr>
          </w:p>
        </w:tc>
        <w:tc>
          <w:tcPr>
            <w:tcW w:w="1043" w:type="dxa"/>
            <w:vAlign w:val="center"/>
          </w:tcPr>
          <w:p w14:paraId="4DD02C7B" w14:textId="22F84CE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647517C"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0EB9D10" w14:textId="6BE2268A"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6E8A6D5B" w14:textId="09F54103" w:rsidTr="0C34660A">
        <w:tc>
          <w:tcPr>
            <w:tcW w:w="1960" w:type="dxa"/>
            <w:vAlign w:val="center"/>
          </w:tcPr>
          <w:p w14:paraId="64EFD72B"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Diesel engines</w:t>
            </w:r>
          </w:p>
        </w:tc>
        <w:tc>
          <w:tcPr>
            <w:tcW w:w="1159" w:type="dxa"/>
            <w:vAlign w:val="center"/>
          </w:tcPr>
          <w:p w14:paraId="601E754B" w14:textId="08EBFFE9"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0.238</w:t>
            </w:r>
          </w:p>
        </w:tc>
        <w:tc>
          <w:tcPr>
            <w:tcW w:w="942" w:type="dxa"/>
            <w:vAlign w:val="center"/>
          </w:tcPr>
          <w:p w14:paraId="0B86B4F0" w14:textId="60C532BB"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0.266</w:t>
            </w:r>
          </w:p>
        </w:tc>
        <w:tc>
          <w:tcPr>
            <w:tcW w:w="1042" w:type="dxa"/>
            <w:vAlign w:val="center"/>
          </w:tcPr>
          <w:p w14:paraId="2641EF81" w14:textId="08382CC5" w:rsidR="00660468" w:rsidRPr="00191031" w:rsidRDefault="005D0936" w:rsidP="00660468">
            <w:pPr>
              <w:spacing w:before="120"/>
              <w:jc w:val="center"/>
              <w:rPr>
                <w:rFonts w:ascii="Arial" w:hAnsi="Arial" w:cs="Arial"/>
                <w:sz w:val="16"/>
                <w:szCs w:val="16"/>
              </w:rPr>
            </w:pPr>
            <w:r>
              <w:rPr>
                <w:rFonts w:ascii="Arial" w:hAnsi="Arial" w:cs="Arial"/>
                <w:color w:val="000000"/>
                <w:sz w:val="16"/>
                <w:szCs w:val="16"/>
              </w:rPr>
              <w:t>0.285</w:t>
            </w:r>
          </w:p>
        </w:tc>
        <w:tc>
          <w:tcPr>
            <w:tcW w:w="1134" w:type="dxa"/>
            <w:vAlign w:val="center"/>
          </w:tcPr>
          <w:p w14:paraId="49D803E0" w14:textId="6FDDACFA"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7F19740D"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639EEFF0" w14:textId="49D2DF7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0E860219" w14:textId="78655C9D"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60B37CC"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23A6115" w14:textId="07DFDB04" w:rsidR="00660468" w:rsidRPr="00191031" w:rsidRDefault="00660468" w:rsidP="00660468">
            <w:pPr>
              <w:spacing w:before="120"/>
              <w:jc w:val="center"/>
              <w:rPr>
                <w:rFonts w:ascii="Arial" w:hAnsi="Arial" w:cs="Arial"/>
                <w:sz w:val="16"/>
                <w:szCs w:val="16"/>
              </w:rPr>
            </w:pPr>
          </w:p>
        </w:tc>
        <w:tc>
          <w:tcPr>
            <w:tcW w:w="1043" w:type="dxa"/>
            <w:vAlign w:val="center"/>
          </w:tcPr>
          <w:p w14:paraId="4BC8D0CF" w14:textId="058B4CD1"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71FF69CA"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0CBCD89" w14:textId="5DED802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660468" w:rsidRPr="00660468" w14:paraId="15814873" w14:textId="4598B226" w:rsidTr="0C34660A">
        <w:tc>
          <w:tcPr>
            <w:tcW w:w="1960" w:type="dxa"/>
            <w:vAlign w:val="center"/>
          </w:tcPr>
          <w:p w14:paraId="4F922961" w14:textId="77777777" w:rsidR="00660468" w:rsidRPr="00191031" w:rsidRDefault="00660468" w:rsidP="00660468">
            <w:pPr>
              <w:spacing w:before="120"/>
              <w:rPr>
                <w:rFonts w:ascii="Arial" w:hAnsi="Arial" w:cs="Arial"/>
                <w:sz w:val="16"/>
                <w:szCs w:val="16"/>
              </w:rPr>
            </w:pPr>
            <w:r w:rsidRPr="00191031">
              <w:rPr>
                <w:rFonts w:ascii="Arial" w:hAnsi="Arial" w:cs="Arial"/>
                <w:sz w:val="16"/>
                <w:szCs w:val="16"/>
              </w:rPr>
              <w:t>Heavy oil-fired engines</w:t>
            </w:r>
          </w:p>
        </w:tc>
        <w:tc>
          <w:tcPr>
            <w:tcW w:w="1159" w:type="dxa"/>
            <w:vAlign w:val="center"/>
          </w:tcPr>
          <w:p w14:paraId="354A48AD" w14:textId="6E1A2634" w:rsidR="00660468" w:rsidRPr="00191031" w:rsidRDefault="00660468" w:rsidP="00660468">
            <w:pPr>
              <w:spacing w:before="120"/>
              <w:jc w:val="center"/>
              <w:rPr>
                <w:rFonts w:ascii="Arial" w:hAnsi="Arial" w:cs="Arial"/>
                <w:sz w:val="16"/>
                <w:szCs w:val="16"/>
              </w:rPr>
            </w:pPr>
            <w:r w:rsidRPr="00211A50">
              <w:rPr>
                <w:rFonts w:ascii="Arial" w:hAnsi="Arial" w:cs="Arial"/>
                <w:sz w:val="16"/>
                <w:szCs w:val="16"/>
              </w:rPr>
              <w:t>0.368</w:t>
            </w:r>
          </w:p>
        </w:tc>
        <w:tc>
          <w:tcPr>
            <w:tcW w:w="942" w:type="dxa"/>
            <w:vAlign w:val="center"/>
          </w:tcPr>
          <w:p w14:paraId="7DD2F7E6" w14:textId="7C389245" w:rsidR="00660468" w:rsidRPr="00191031" w:rsidRDefault="00660468" w:rsidP="00660468">
            <w:pPr>
              <w:spacing w:before="120"/>
              <w:jc w:val="center"/>
              <w:rPr>
                <w:rFonts w:ascii="Arial" w:hAnsi="Arial" w:cs="Arial"/>
                <w:sz w:val="16"/>
                <w:szCs w:val="16"/>
              </w:rPr>
            </w:pPr>
            <w:r w:rsidRPr="00211A50">
              <w:rPr>
                <w:rFonts w:ascii="Arial" w:hAnsi="Arial" w:cs="Arial"/>
                <w:color w:val="000000"/>
                <w:sz w:val="16"/>
                <w:szCs w:val="16"/>
              </w:rPr>
              <w:t>0.377</w:t>
            </w:r>
          </w:p>
        </w:tc>
        <w:tc>
          <w:tcPr>
            <w:tcW w:w="1042" w:type="dxa"/>
            <w:vAlign w:val="center"/>
          </w:tcPr>
          <w:p w14:paraId="409459B9" w14:textId="21506B29" w:rsidR="00660468" w:rsidRPr="00191031" w:rsidRDefault="005D0936" w:rsidP="00660468">
            <w:pPr>
              <w:spacing w:before="120"/>
              <w:jc w:val="center"/>
              <w:rPr>
                <w:rFonts w:ascii="Arial" w:hAnsi="Arial" w:cs="Arial"/>
                <w:sz w:val="16"/>
                <w:szCs w:val="16"/>
              </w:rPr>
            </w:pPr>
            <w:r>
              <w:rPr>
                <w:rFonts w:ascii="Arial" w:hAnsi="Arial" w:cs="Arial"/>
                <w:color w:val="000000"/>
                <w:sz w:val="16"/>
                <w:szCs w:val="16"/>
              </w:rPr>
              <w:t>0.343</w:t>
            </w:r>
          </w:p>
        </w:tc>
        <w:tc>
          <w:tcPr>
            <w:tcW w:w="1134" w:type="dxa"/>
            <w:vAlign w:val="center"/>
          </w:tcPr>
          <w:p w14:paraId="217D37B4" w14:textId="4A8DE4EE"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BCEC5B0"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1EA13D74" w14:textId="1F959DC9"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2682CDDA" w14:textId="6367C298"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031FE0AB"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5832F9A7" w14:textId="1BA137BA" w:rsidR="00660468" w:rsidRPr="00191031" w:rsidRDefault="00660468" w:rsidP="00660468">
            <w:pPr>
              <w:spacing w:before="120"/>
              <w:jc w:val="center"/>
              <w:rPr>
                <w:rFonts w:ascii="Arial" w:hAnsi="Arial" w:cs="Arial"/>
                <w:sz w:val="16"/>
                <w:szCs w:val="16"/>
              </w:rPr>
            </w:pPr>
          </w:p>
        </w:tc>
        <w:tc>
          <w:tcPr>
            <w:tcW w:w="1043" w:type="dxa"/>
            <w:vAlign w:val="center"/>
          </w:tcPr>
          <w:p w14:paraId="24D4814C" w14:textId="6989301F"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77102B3" w14:textId="77777777"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DF72A2F" w14:textId="7B5A5A51" w:rsidR="00660468" w:rsidRPr="00191031" w:rsidRDefault="00660468" w:rsidP="00660468">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04E82E9D" w14:textId="5E1A0066" w:rsidTr="0C34660A">
        <w:tc>
          <w:tcPr>
            <w:tcW w:w="1960" w:type="dxa"/>
            <w:vAlign w:val="center"/>
          </w:tcPr>
          <w:p w14:paraId="1BC518D4"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Agricultural residue burning</w:t>
            </w:r>
          </w:p>
        </w:tc>
        <w:tc>
          <w:tcPr>
            <w:tcW w:w="1159" w:type="dxa"/>
            <w:vAlign w:val="center"/>
          </w:tcPr>
          <w:p w14:paraId="73564791" w14:textId="252BD4BE"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0.144</w:t>
            </w:r>
          </w:p>
        </w:tc>
        <w:tc>
          <w:tcPr>
            <w:tcW w:w="942" w:type="dxa"/>
            <w:vAlign w:val="center"/>
          </w:tcPr>
          <w:p w14:paraId="50047B9D" w14:textId="1D8D567E"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0.145</w:t>
            </w:r>
          </w:p>
        </w:tc>
        <w:tc>
          <w:tcPr>
            <w:tcW w:w="1042" w:type="dxa"/>
            <w:vAlign w:val="center"/>
          </w:tcPr>
          <w:p w14:paraId="212B9641" w14:textId="523BCE9A"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0.130</w:t>
            </w:r>
          </w:p>
        </w:tc>
        <w:tc>
          <w:tcPr>
            <w:tcW w:w="1134" w:type="dxa"/>
            <w:vAlign w:val="center"/>
          </w:tcPr>
          <w:p w14:paraId="57070C20" w14:textId="1642F13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44691C83"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06BDBA78" w14:textId="026609E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0F77B538" w14:textId="5B71D7F0"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0.014</w:t>
            </w:r>
          </w:p>
        </w:tc>
        <w:tc>
          <w:tcPr>
            <w:tcW w:w="1134" w:type="dxa"/>
            <w:vAlign w:val="center"/>
          </w:tcPr>
          <w:p w14:paraId="7E6FE0D5" w14:textId="397604E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0.0145</w:t>
            </w:r>
          </w:p>
        </w:tc>
        <w:tc>
          <w:tcPr>
            <w:tcW w:w="1134" w:type="dxa"/>
            <w:vAlign w:val="center"/>
          </w:tcPr>
          <w:p w14:paraId="41C63956" w14:textId="7FA6EF46"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0.0130</w:t>
            </w:r>
          </w:p>
        </w:tc>
        <w:tc>
          <w:tcPr>
            <w:tcW w:w="1043" w:type="dxa"/>
            <w:vAlign w:val="center"/>
          </w:tcPr>
          <w:p w14:paraId="1DBEED45" w14:textId="00A5B084"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0A13E84"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68E3328" w14:textId="5447C2D2"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3B3AB493" w14:textId="384D40CD" w:rsidTr="0C34660A">
        <w:tc>
          <w:tcPr>
            <w:tcW w:w="1960" w:type="dxa"/>
            <w:vAlign w:val="center"/>
          </w:tcPr>
          <w:p w14:paraId="5A50FCA6"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Forest fires</w:t>
            </w:r>
          </w:p>
        </w:tc>
        <w:tc>
          <w:tcPr>
            <w:tcW w:w="1159" w:type="dxa"/>
            <w:vAlign w:val="center"/>
          </w:tcPr>
          <w:p w14:paraId="6FF94E4F" w14:textId="42365D12"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0.151</w:t>
            </w:r>
          </w:p>
        </w:tc>
        <w:tc>
          <w:tcPr>
            <w:tcW w:w="942" w:type="dxa"/>
            <w:vAlign w:val="center"/>
          </w:tcPr>
          <w:p w14:paraId="4A3E1D04" w14:textId="3A9D5322"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0.205</w:t>
            </w:r>
          </w:p>
        </w:tc>
        <w:tc>
          <w:tcPr>
            <w:tcW w:w="1042" w:type="dxa"/>
            <w:vAlign w:val="center"/>
          </w:tcPr>
          <w:p w14:paraId="6F075C92" w14:textId="408AFFCA"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0.380</w:t>
            </w:r>
          </w:p>
        </w:tc>
        <w:tc>
          <w:tcPr>
            <w:tcW w:w="1134" w:type="dxa"/>
            <w:vAlign w:val="center"/>
          </w:tcPr>
          <w:p w14:paraId="4BEC0715" w14:textId="203010F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38D8884C"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27809551" w14:textId="3849CDB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65F19304" w14:textId="2F83CA51"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0.023</w:t>
            </w:r>
          </w:p>
        </w:tc>
        <w:tc>
          <w:tcPr>
            <w:tcW w:w="1134" w:type="dxa"/>
            <w:vAlign w:val="center"/>
          </w:tcPr>
          <w:p w14:paraId="7FA1DE43" w14:textId="6DF5486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0.0307</w:t>
            </w:r>
          </w:p>
        </w:tc>
        <w:tc>
          <w:tcPr>
            <w:tcW w:w="1134" w:type="dxa"/>
            <w:vAlign w:val="center"/>
          </w:tcPr>
          <w:p w14:paraId="48A84761" w14:textId="75E7CCD1"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0.057</w:t>
            </w:r>
          </w:p>
        </w:tc>
        <w:tc>
          <w:tcPr>
            <w:tcW w:w="1043" w:type="dxa"/>
            <w:vAlign w:val="center"/>
          </w:tcPr>
          <w:p w14:paraId="658191C1" w14:textId="6B953F41"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6C1933F"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6BBC5F4" w14:textId="6009D39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2A794DDE" w14:textId="6CA5CE12" w:rsidTr="0C34660A">
        <w:tc>
          <w:tcPr>
            <w:tcW w:w="1960" w:type="dxa"/>
            <w:vAlign w:val="center"/>
          </w:tcPr>
          <w:p w14:paraId="562E3954"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Grassland and savannah fires</w:t>
            </w:r>
          </w:p>
        </w:tc>
        <w:tc>
          <w:tcPr>
            <w:tcW w:w="1159" w:type="dxa"/>
            <w:vAlign w:val="center"/>
          </w:tcPr>
          <w:p w14:paraId="465A21C2" w14:textId="58A964B0"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0.189</w:t>
            </w:r>
          </w:p>
        </w:tc>
        <w:tc>
          <w:tcPr>
            <w:tcW w:w="942" w:type="dxa"/>
            <w:vAlign w:val="center"/>
          </w:tcPr>
          <w:p w14:paraId="0ACDEBF1" w14:textId="75888A0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0.164</w:t>
            </w:r>
          </w:p>
        </w:tc>
        <w:tc>
          <w:tcPr>
            <w:tcW w:w="1042" w:type="dxa"/>
            <w:vAlign w:val="center"/>
          </w:tcPr>
          <w:p w14:paraId="60997AC6" w14:textId="1224236F"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0.171</w:t>
            </w:r>
          </w:p>
        </w:tc>
        <w:tc>
          <w:tcPr>
            <w:tcW w:w="1134" w:type="dxa"/>
            <w:vAlign w:val="center"/>
          </w:tcPr>
          <w:p w14:paraId="18E13593" w14:textId="08773784"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134" w:type="dxa"/>
            <w:vAlign w:val="center"/>
          </w:tcPr>
          <w:p w14:paraId="12D104A6"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84" w:type="dxa"/>
            <w:vAlign w:val="center"/>
          </w:tcPr>
          <w:p w14:paraId="408A639B" w14:textId="369CCBF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1043" w:type="dxa"/>
            <w:vAlign w:val="center"/>
          </w:tcPr>
          <w:p w14:paraId="77AC0947" w14:textId="0F701A97"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0.057</w:t>
            </w:r>
          </w:p>
        </w:tc>
        <w:tc>
          <w:tcPr>
            <w:tcW w:w="1134" w:type="dxa"/>
            <w:vAlign w:val="center"/>
          </w:tcPr>
          <w:p w14:paraId="1DECD2BE" w14:textId="5AB8CE5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0.0493</w:t>
            </w:r>
          </w:p>
        </w:tc>
        <w:tc>
          <w:tcPr>
            <w:tcW w:w="1134" w:type="dxa"/>
            <w:vAlign w:val="center"/>
          </w:tcPr>
          <w:p w14:paraId="4679045A" w14:textId="7ED10EB6"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0.0513</w:t>
            </w:r>
          </w:p>
        </w:tc>
        <w:tc>
          <w:tcPr>
            <w:tcW w:w="1043" w:type="dxa"/>
            <w:vAlign w:val="center"/>
          </w:tcPr>
          <w:p w14:paraId="2C78F45C" w14:textId="79C9D3B5"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743434A"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FDF7DBA" w14:textId="740852BA"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139F0893" w14:textId="2BE725B5" w:rsidTr="0C34660A">
        <w:tc>
          <w:tcPr>
            <w:tcW w:w="1960" w:type="dxa"/>
            <w:vAlign w:val="center"/>
          </w:tcPr>
          <w:p w14:paraId="0AAD0B47"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Fires at waste dumps</w:t>
            </w:r>
          </w:p>
        </w:tc>
        <w:tc>
          <w:tcPr>
            <w:tcW w:w="1159" w:type="dxa"/>
            <w:vAlign w:val="center"/>
          </w:tcPr>
          <w:p w14:paraId="2B965D2A" w14:textId="352E48E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0.378</w:t>
            </w:r>
          </w:p>
        </w:tc>
        <w:tc>
          <w:tcPr>
            <w:tcW w:w="942" w:type="dxa"/>
            <w:vAlign w:val="center"/>
          </w:tcPr>
          <w:p w14:paraId="4280DAD7" w14:textId="4BB008F5"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0.365</w:t>
            </w:r>
          </w:p>
        </w:tc>
        <w:tc>
          <w:tcPr>
            <w:tcW w:w="1042" w:type="dxa"/>
            <w:vAlign w:val="center"/>
          </w:tcPr>
          <w:p w14:paraId="78C7BCE5" w14:textId="3B547193"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1.094</w:t>
            </w:r>
          </w:p>
        </w:tc>
        <w:tc>
          <w:tcPr>
            <w:tcW w:w="1134" w:type="dxa"/>
            <w:vAlign w:val="center"/>
          </w:tcPr>
          <w:p w14:paraId="645847FD" w14:textId="3195F4B0"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29CEA59B" w14:textId="60D8C71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84" w:type="dxa"/>
            <w:vAlign w:val="center"/>
          </w:tcPr>
          <w:p w14:paraId="07F87611" w14:textId="7759F426" w:rsidR="00D26B14" w:rsidRPr="00191031" w:rsidRDefault="00D26B14" w:rsidP="00D26B14">
            <w:pPr>
              <w:spacing w:before="120"/>
              <w:jc w:val="center"/>
              <w:rPr>
                <w:rFonts w:ascii="Arial" w:hAnsi="Arial" w:cs="Arial"/>
                <w:sz w:val="16"/>
                <w:szCs w:val="16"/>
              </w:rPr>
            </w:pPr>
          </w:p>
        </w:tc>
        <w:tc>
          <w:tcPr>
            <w:tcW w:w="1043" w:type="dxa"/>
            <w:vAlign w:val="center"/>
          </w:tcPr>
          <w:p w14:paraId="77B3E5F9" w14:textId="50F84440"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0.0126</w:t>
            </w:r>
          </w:p>
        </w:tc>
        <w:tc>
          <w:tcPr>
            <w:tcW w:w="1134" w:type="dxa"/>
            <w:vAlign w:val="center"/>
          </w:tcPr>
          <w:p w14:paraId="4B8A8A47" w14:textId="5F5F1B32"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0.0122</w:t>
            </w:r>
          </w:p>
        </w:tc>
        <w:tc>
          <w:tcPr>
            <w:tcW w:w="1134" w:type="dxa"/>
            <w:vAlign w:val="center"/>
          </w:tcPr>
          <w:p w14:paraId="0483060D" w14:textId="5EA34619" w:rsidR="00D26B14" w:rsidRPr="00191031" w:rsidRDefault="005D0936" w:rsidP="00D26B14">
            <w:pPr>
              <w:spacing w:before="120"/>
              <w:jc w:val="center"/>
              <w:rPr>
                <w:rFonts w:ascii="Arial" w:hAnsi="Arial" w:cs="Arial"/>
                <w:sz w:val="16"/>
                <w:szCs w:val="16"/>
              </w:rPr>
            </w:pPr>
            <w:r>
              <w:rPr>
                <w:rFonts w:ascii="Arial" w:hAnsi="Arial" w:cs="Arial"/>
                <w:color w:val="000000"/>
                <w:sz w:val="16"/>
                <w:szCs w:val="16"/>
              </w:rPr>
              <w:t>0.0364</w:t>
            </w:r>
          </w:p>
        </w:tc>
        <w:tc>
          <w:tcPr>
            <w:tcW w:w="1043" w:type="dxa"/>
            <w:vAlign w:val="center"/>
          </w:tcPr>
          <w:p w14:paraId="4AC0D338" w14:textId="77AE386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6273E82E"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5D9E6220" w14:textId="7E5A8CD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4924D8FB" w14:textId="20274982" w:rsidTr="0C34660A">
        <w:tc>
          <w:tcPr>
            <w:tcW w:w="1960" w:type="dxa"/>
            <w:vAlign w:val="center"/>
          </w:tcPr>
          <w:p w14:paraId="5718BD67"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Structure fires</w:t>
            </w:r>
          </w:p>
        </w:tc>
        <w:tc>
          <w:tcPr>
            <w:tcW w:w="1159" w:type="dxa"/>
            <w:vAlign w:val="center"/>
          </w:tcPr>
          <w:p w14:paraId="6B26F5A0" w14:textId="38C50D5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0.625</w:t>
            </w:r>
          </w:p>
        </w:tc>
        <w:tc>
          <w:tcPr>
            <w:tcW w:w="942" w:type="dxa"/>
            <w:vAlign w:val="center"/>
          </w:tcPr>
          <w:p w14:paraId="50A9F9D4" w14:textId="7A9E9248"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0.698</w:t>
            </w:r>
          </w:p>
        </w:tc>
        <w:tc>
          <w:tcPr>
            <w:tcW w:w="1042" w:type="dxa"/>
            <w:vAlign w:val="center"/>
          </w:tcPr>
          <w:p w14:paraId="1177EBDA" w14:textId="305ECAC5"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0.262</w:t>
            </w:r>
          </w:p>
        </w:tc>
        <w:tc>
          <w:tcPr>
            <w:tcW w:w="1134" w:type="dxa"/>
            <w:vAlign w:val="center"/>
          </w:tcPr>
          <w:p w14:paraId="23E219DA" w14:textId="3F95AFB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34067FE3" w14:textId="6C8322F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84" w:type="dxa"/>
            <w:vAlign w:val="center"/>
          </w:tcPr>
          <w:p w14:paraId="6C5F36CE" w14:textId="7DE19155" w:rsidR="00D26B14" w:rsidRPr="00191031" w:rsidRDefault="00D26B14" w:rsidP="00D26B14">
            <w:pPr>
              <w:spacing w:before="120"/>
              <w:jc w:val="center"/>
              <w:rPr>
                <w:rFonts w:ascii="Arial" w:hAnsi="Arial" w:cs="Arial"/>
                <w:sz w:val="16"/>
                <w:szCs w:val="16"/>
              </w:rPr>
            </w:pPr>
          </w:p>
        </w:tc>
        <w:tc>
          <w:tcPr>
            <w:tcW w:w="1043" w:type="dxa"/>
            <w:vAlign w:val="center"/>
          </w:tcPr>
          <w:p w14:paraId="7864EA13" w14:textId="519152D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0.625</w:t>
            </w:r>
          </w:p>
        </w:tc>
        <w:tc>
          <w:tcPr>
            <w:tcW w:w="1134" w:type="dxa"/>
            <w:vAlign w:val="center"/>
          </w:tcPr>
          <w:p w14:paraId="5274C719" w14:textId="4F24617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0.698</w:t>
            </w:r>
          </w:p>
        </w:tc>
        <w:tc>
          <w:tcPr>
            <w:tcW w:w="1134" w:type="dxa"/>
            <w:vAlign w:val="center"/>
          </w:tcPr>
          <w:p w14:paraId="5B2D87A6" w14:textId="41BBFE21"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0.262</w:t>
            </w:r>
          </w:p>
        </w:tc>
        <w:tc>
          <w:tcPr>
            <w:tcW w:w="1043" w:type="dxa"/>
            <w:vAlign w:val="center"/>
          </w:tcPr>
          <w:p w14:paraId="284BF4FE" w14:textId="2EB8C1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5026D39"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1E3BB893" w14:textId="72DA549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7543B0EF" w14:textId="7424A9A7" w:rsidTr="0C34660A">
        <w:tc>
          <w:tcPr>
            <w:tcW w:w="1960" w:type="dxa"/>
            <w:vAlign w:val="center"/>
          </w:tcPr>
          <w:p w14:paraId="25A4F4A5"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Open burning of domestic wastes</w:t>
            </w:r>
          </w:p>
        </w:tc>
        <w:tc>
          <w:tcPr>
            <w:tcW w:w="1159" w:type="dxa"/>
            <w:vAlign w:val="center"/>
          </w:tcPr>
          <w:p w14:paraId="444A2127" w14:textId="6411010B"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0.780</w:t>
            </w:r>
          </w:p>
        </w:tc>
        <w:tc>
          <w:tcPr>
            <w:tcW w:w="942" w:type="dxa"/>
            <w:vAlign w:val="center"/>
          </w:tcPr>
          <w:p w14:paraId="6AE6AC62" w14:textId="7B61E0A7"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0.807</w:t>
            </w:r>
          </w:p>
        </w:tc>
        <w:tc>
          <w:tcPr>
            <w:tcW w:w="1042" w:type="dxa"/>
            <w:vAlign w:val="center"/>
          </w:tcPr>
          <w:p w14:paraId="4E753C0A" w14:textId="74F468D1"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0.466</w:t>
            </w:r>
          </w:p>
        </w:tc>
        <w:tc>
          <w:tcPr>
            <w:tcW w:w="1134" w:type="dxa"/>
            <w:vAlign w:val="center"/>
          </w:tcPr>
          <w:p w14:paraId="2E7015ED" w14:textId="5F660765"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1D05F559" w14:textId="68369610"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84" w:type="dxa"/>
            <w:vAlign w:val="center"/>
          </w:tcPr>
          <w:p w14:paraId="27AF4648" w14:textId="1127E4FE" w:rsidR="00D26B14" w:rsidRPr="00191031" w:rsidRDefault="00D26B14" w:rsidP="00D26B14">
            <w:pPr>
              <w:spacing w:before="120"/>
              <w:jc w:val="center"/>
              <w:rPr>
                <w:rFonts w:ascii="Arial" w:hAnsi="Arial" w:cs="Arial"/>
                <w:sz w:val="16"/>
                <w:szCs w:val="16"/>
              </w:rPr>
            </w:pPr>
          </w:p>
        </w:tc>
        <w:tc>
          <w:tcPr>
            <w:tcW w:w="1043" w:type="dxa"/>
            <w:vAlign w:val="center"/>
          </w:tcPr>
          <w:p w14:paraId="08A21F6B" w14:textId="42889D72"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0.020</w:t>
            </w:r>
          </w:p>
        </w:tc>
        <w:tc>
          <w:tcPr>
            <w:tcW w:w="1134" w:type="dxa"/>
            <w:vAlign w:val="center"/>
          </w:tcPr>
          <w:p w14:paraId="4E9BF54E" w14:textId="0E0CE89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0.0202</w:t>
            </w:r>
          </w:p>
        </w:tc>
        <w:tc>
          <w:tcPr>
            <w:tcW w:w="1134" w:type="dxa"/>
            <w:vAlign w:val="center"/>
          </w:tcPr>
          <w:p w14:paraId="7EB8A381" w14:textId="2043E251"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0.0117</w:t>
            </w:r>
          </w:p>
        </w:tc>
        <w:tc>
          <w:tcPr>
            <w:tcW w:w="1043" w:type="dxa"/>
            <w:vAlign w:val="center"/>
          </w:tcPr>
          <w:p w14:paraId="271FC52B" w14:textId="1565BB1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8DBD9EB"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D8D6C18" w14:textId="3CEC3D7C"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045A0546" w14:textId="7578BB4B" w:rsidTr="0C34660A">
        <w:tc>
          <w:tcPr>
            <w:tcW w:w="1960" w:type="dxa"/>
            <w:vAlign w:val="center"/>
          </w:tcPr>
          <w:p w14:paraId="40E7B33D"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Vehicle fires</w:t>
            </w:r>
          </w:p>
        </w:tc>
        <w:tc>
          <w:tcPr>
            <w:tcW w:w="1159" w:type="dxa"/>
            <w:vAlign w:val="center"/>
          </w:tcPr>
          <w:p w14:paraId="13D41317" w14:textId="674E01C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0.171</w:t>
            </w:r>
          </w:p>
        </w:tc>
        <w:tc>
          <w:tcPr>
            <w:tcW w:w="942" w:type="dxa"/>
            <w:vAlign w:val="center"/>
          </w:tcPr>
          <w:p w14:paraId="49ED0A5C" w14:textId="36A6627E"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0.209</w:t>
            </w:r>
          </w:p>
        </w:tc>
        <w:tc>
          <w:tcPr>
            <w:tcW w:w="1042" w:type="dxa"/>
            <w:vAlign w:val="center"/>
          </w:tcPr>
          <w:p w14:paraId="7CCC3A26" w14:textId="281D4EA5"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0248</w:t>
            </w:r>
          </w:p>
        </w:tc>
        <w:tc>
          <w:tcPr>
            <w:tcW w:w="1134" w:type="dxa"/>
            <w:vAlign w:val="center"/>
          </w:tcPr>
          <w:p w14:paraId="25B33D52" w14:textId="075EE5B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68443AB8" w14:textId="5EA0364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84" w:type="dxa"/>
            <w:vAlign w:val="center"/>
          </w:tcPr>
          <w:p w14:paraId="38D51408" w14:textId="43506CCF" w:rsidR="00D26B14" w:rsidRPr="00191031" w:rsidRDefault="00D26B14" w:rsidP="00D26B14">
            <w:pPr>
              <w:spacing w:before="120"/>
              <w:jc w:val="center"/>
              <w:rPr>
                <w:rFonts w:ascii="Arial" w:hAnsi="Arial" w:cs="Arial"/>
                <w:sz w:val="16"/>
                <w:szCs w:val="16"/>
              </w:rPr>
            </w:pPr>
          </w:p>
        </w:tc>
        <w:tc>
          <w:tcPr>
            <w:tcW w:w="1043" w:type="dxa"/>
            <w:vAlign w:val="center"/>
          </w:tcPr>
          <w:p w14:paraId="1C8D8D12" w14:textId="7F6B218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0.031</w:t>
            </w:r>
          </w:p>
        </w:tc>
        <w:tc>
          <w:tcPr>
            <w:tcW w:w="1134" w:type="dxa"/>
            <w:vAlign w:val="center"/>
          </w:tcPr>
          <w:p w14:paraId="7D69B869" w14:textId="4BF3350E"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0.038</w:t>
            </w:r>
          </w:p>
        </w:tc>
        <w:tc>
          <w:tcPr>
            <w:tcW w:w="1134" w:type="dxa"/>
            <w:vAlign w:val="center"/>
          </w:tcPr>
          <w:p w14:paraId="2FC3AE07" w14:textId="4C47264A"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0.0446</w:t>
            </w:r>
          </w:p>
        </w:tc>
        <w:tc>
          <w:tcPr>
            <w:tcW w:w="1043" w:type="dxa"/>
            <w:vAlign w:val="center"/>
          </w:tcPr>
          <w:p w14:paraId="6BD58B49" w14:textId="66DE294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7A4D58F1"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3B61FA3" w14:textId="4DFF9809"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r>
      <w:tr w:rsidR="00D26B14" w:rsidRPr="00660468" w14:paraId="59D0C3C2" w14:textId="6CE87F90" w:rsidTr="0C34660A">
        <w:tc>
          <w:tcPr>
            <w:tcW w:w="1960" w:type="dxa"/>
            <w:vAlign w:val="center"/>
          </w:tcPr>
          <w:p w14:paraId="0C88FB51"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Black liquor combustion</w:t>
            </w:r>
          </w:p>
        </w:tc>
        <w:tc>
          <w:tcPr>
            <w:tcW w:w="1159" w:type="dxa"/>
            <w:vAlign w:val="center"/>
          </w:tcPr>
          <w:p w14:paraId="7E1DFE55" w14:textId="6094B44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0.036</w:t>
            </w:r>
          </w:p>
        </w:tc>
        <w:tc>
          <w:tcPr>
            <w:tcW w:w="942" w:type="dxa"/>
            <w:vAlign w:val="center"/>
          </w:tcPr>
          <w:p w14:paraId="5FB2EDA6" w14:textId="43D602DB"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0.0483</w:t>
            </w:r>
          </w:p>
        </w:tc>
        <w:tc>
          <w:tcPr>
            <w:tcW w:w="1042" w:type="dxa"/>
            <w:vAlign w:val="center"/>
          </w:tcPr>
          <w:p w14:paraId="4215F651" w14:textId="542F446F"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0.03</w:t>
            </w:r>
            <w:r w:rsidR="005C2924">
              <w:rPr>
                <w:rFonts w:ascii="Arial" w:hAnsi="Arial" w:cs="Arial"/>
                <w:color w:val="000000"/>
                <w:sz w:val="16"/>
                <w:szCs w:val="16"/>
              </w:rPr>
              <w:t>04</w:t>
            </w:r>
          </w:p>
        </w:tc>
        <w:tc>
          <w:tcPr>
            <w:tcW w:w="1134" w:type="dxa"/>
            <w:vAlign w:val="center"/>
          </w:tcPr>
          <w:p w14:paraId="6E53F35C" w14:textId="0220F108"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25AC0C81" w14:textId="44CB8271" w:rsidR="00D26B14" w:rsidRPr="00191031" w:rsidRDefault="00D26B14" w:rsidP="00D26B14">
            <w:pPr>
              <w:spacing w:before="120"/>
              <w:jc w:val="center"/>
              <w:rPr>
                <w:rFonts w:ascii="Arial" w:hAnsi="Arial" w:cs="Arial"/>
                <w:sz w:val="16"/>
                <w:szCs w:val="16"/>
              </w:rPr>
            </w:pPr>
          </w:p>
        </w:tc>
        <w:tc>
          <w:tcPr>
            <w:tcW w:w="1084" w:type="dxa"/>
            <w:vAlign w:val="center"/>
          </w:tcPr>
          <w:p w14:paraId="609DDB3D" w14:textId="51DBFD31" w:rsidR="00D26B14" w:rsidRPr="00191031" w:rsidRDefault="00D26B14" w:rsidP="00D26B14">
            <w:pPr>
              <w:spacing w:before="120"/>
              <w:jc w:val="center"/>
              <w:rPr>
                <w:rFonts w:ascii="Arial" w:hAnsi="Arial" w:cs="Arial"/>
                <w:sz w:val="16"/>
                <w:szCs w:val="16"/>
              </w:rPr>
            </w:pPr>
          </w:p>
        </w:tc>
        <w:tc>
          <w:tcPr>
            <w:tcW w:w="1043" w:type="dxa"/>
            <w:vAlign w:val="center"/>
          </w:tcPr>
          <w:p w14:paraId="546882E9" w14:textId="4E580E48"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4872FA83" w14:textId="2328B9D9" w:rsidR="00D26B14" w:rsidRPr="00191031" w:rsidRDefault="00D26B14" w:rsidP="00D26B14">
            <w:pPr>
              <w:spacing w:before="120"/>
              <w:jc w:val="center"/>
              <w:rPr>
                <w:rFonts w:ascii="Arial" w:hAnsi="Arial" w:cs="Arial"/>
                <w:sz w:val="16"/>
                <w:szCs w:val="16"/>
              </w:rPr>
            </w:pPr>
          </w:p>
        </w:tc>
        <w:tc>
          <w:tcPr>
            <w:tcW w:w="1134" w:type="dxa"/>
            <w:vAlign w:val="center"/>
          </w:tcPr>
          <w:p w14:paraId="454C7C7A" w14:textId="7F8D1671" w:rsidR="00D26B14" w:rsidRPr="00191031" w:rsidRDefault="00D26B14" w:rsidP="00D26B14">
            <w:pPr>
              <w:spacing w:before="120"/>
              <w:jc w:val="center"/>
              <w:rPr>
                <w:rFonts w:ascii="Arial" w:hAnsi="Arial" w:cs="Arial"/>
                <w:sz w:val="16"/>
                <w:szCs w:val="16"/>
              </w:rPr>
            </w:pPr>
          </w:p>
        </w:tc>
        <w:tc>
          <w:tcPr>
            <w:tcW w:w="1043" w:type="dxa"/>
            <w:vAlign w:val="center"/>
          </w:tcPr>
          <w:p w14:paraId="78A47946" w14:textId="4F8FAB4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58CD5F60"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2E729EDD" w14:textId="62A2DE7E" w:rsidR="00D26B14" w:rsidRPr="00191031" w:rsidRDefault="00D26B14" w:rsidP="00D26B14">
            <w:pPr>
              <w:spacing w:before="120"/>
              <w:jc w:val="center"/>
              <w:rPr>
                <w:rFonts w:ascii="Arial" w:hAnsi="Arial" w:cs="Arial"/>
                <w:sz w:val="16"/>
                <w:szCs w:val="16"/>
              </w:rPr>
            </w:pPr>
          </w:p>
        </w:tc>
      </w:tr>
      <w:tr w:rsidR="00D26B14" w:rsidRPr="00660468" w14:paraId="204A1F7E" w14:textId="7E455F2B" w:rsidTr="0C34660A">
        <w:tc>
          <w:tcPr>
            <w:tcW w:w="1960" w:type="dxa"/>
            <w:vAlign w:val="center"/>
          </w:tcPr>
          <w:p w14:paraId="38F2DA2B"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Pulp &amp; paper sludge disposal</w:t>
            </w:r>
          </w:p>
        </w:tc>
        <w:tc>
          <w:tcPr>
            <w:tcW w:w="1159" w:type="dxa"/>
            <w:vAlign w:val="center"/>
          </w:tcPr>
          <w:p w14:paraId="57A884A7" w14:textId="6C6E7D91"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42" w:type="dxa"/>
            <w:vAlign w:val="center"/>
          </w:tcPr>
          <w:p w14:paraId="76F5DD1F" w14:textId="65D4054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42" w:type="dxa"/>
            <w:vAlign w:val="center"/>
          </w:tcPr>
          <w:p w14:paraId="4B503FFD" w14:textId="11DC7541" w:rsidR="00D26B14" w:rsidRPr="00191031" w:rsidRDefault="00D26B14" w:rsidP="00D26B14">
            <w:pPr>
              <w:spacing w:before="120"/>
              <w:jc w:val="center"/>
              <w:rPr>
                <w:rFonts w:ascii="Arial" w:hAnsi="Arial" w:cs="Arial"/>
                <w:sz w:val="16"/>
                <w:szCs w:val="16"/>
              </w:rPr>
            </w:pPr>
          </w:p>
        </w:tc>
        <w:tc>
          <w:tcPr>
            <w:tcW w:w="1134" w:type="dxa"/>
            <w:vAlign w:val="center"/>
          </w:tcPr>
          <w:p w14:paraId="5130E206" w14:textId="518AF20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5B5BF272" w14:textId="5A734E28" w:rsidR="00D26B14" w:rsidRPr="00191031" w:rsidRDefault="00D26B14" w:rsidP="00D26B14">
            <w:pPr>
              <w:spacing w:before="120"/>
              <w:jc w:val="center"/>
              <w:rPr>
                <w:rFonts w:ascii="Arial" w:hAnsi="Arial" w:cs="Arial"/>
                <w:sz w:val="16"/>
                <w:szCs w:val="16"/>
              </w:rPr>
            </w:pPr>
          </w:p>
        </w:tc>
        <w:tc>
          <w:tcPr>
            <w:tcW w:w="1084" w:type="dxa"/>
            <w:vAlign w:val="center"/>
          </w:tcPr>
          <w:p w14:paraId="02412076" w14:textId="7D395572" w:rsidR="00D26B14" w:rsidRPr="00191031" w:rsidRDefault="00D26B14" w:rsidP="00D26B14">
            <w:pPr>
              <w:spacing w:before="120"/>
              <w:jc w:val="center"/>
              <w:rPr>
                <w:rFonts w:ascii="Arial" w:hAnsi="Arial" w:cs="Arial"/>
                <w:sz w:val="16"/>
                <w:szCs w:val="16"/>
              </w:rPr>
            </w:pPr>
          </w:p>
        </w:tc>
        <w:tc>
          <w:tcPr>
            <w:tcW w:w="1043" w:type="dxa"/>
            <w:vAlign w:val="center"/>
          </w:tcPr>
          <w:p w14:paraId="7170D953" w14:textId="148A320B"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0.093</w:t>
            </w:r>
          </w:p>
        </w:tc>
        <w:tc>
          <w:tcPr>
            <w:tcW w:w="1134" w:type="dxa"/>
            <w:vAlign w:val="center"/>
          </w:tcPr>
          <w:p w14:paraId="114E4429" w14:textId="14AE9DD9"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0.146</w:t>
            </w:r>
          </w:p>
        </w:tc>
        <w:tc>
          <w:tcPr>
            <w:tcW w:w="1134" w:type="dxa"/>
            <w:vAlign w:val="center"/>
          </w:tcPr>
          <w:p w14:paraId="7A2A0AF7" w14:textId="5FA6E3F8"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w:t>
            </w:r>
            <w:r w:rsidR="005C2924">
              <w:rPr>
                <w:rFonts w:ascii="Arial" w:hAnsi="Arial" w:cs="Arial"/>
                <w:color w:val="000000"/>
                <w:sz w:val="16"/>
                <w:szCs w:val="16"/>
              </w:rPr>
              <w:t>48</w:t>
            </w:r>
          </w:p>
        </w:tc>
        <w:tc>
          <w:tcPr>
            <w:tcW w:w="1043" w:type="dxa"/>
            <w:vAlign w:val="center"/>
          </w:tcPr>
          <w:p w14:paraId="7A661506" w14:textId="12DF441F"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9417C4B"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661017C" w14:textId="1B8FEDED" w:rsidR="00D26B14" w:rsidRPr="00191031" w:rsidRDefault="00D26B14" w:rsidP="00D26B14">
            <w:pPr>
              <w:spacing w:before="120"/>
              <w:jc w:val="center"/>
              <w:rPr>
                <w:rFonts w:ascii="Arial" w:hAnsi="Arial" w:cs="Arial"/>
                <w:sz w:val="16"/>
                <w:szCs w:val="16"/>
              </w:rPr>
            </w:pPr>
          </w:p>
        </w:tc>
      </w:tr>
      <w:tr w:rsidR="00D26B14" w:rsidRPr="00660468" w14:paraId="08EE9294" w14:textId="1282DE79" w:rsidTr="0C34660A">
        <w:tc>
          <w:tcPr>
            <w:tcW w:w="1960" w:type="dxa"/>
            <w:vAlign w:val="center"/>
          </w:tcPr>
          <w:p w14:paraId="56A6DADF"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Use of 2,4-D</w:t>
            </w:r>
          </w:p>
        </w:tc>
        <w:tc>
          <w:tcPr>
            <w:tcW w:w="1159" w:type="dxa"/>
            <w:vAlign w:val="center"/>
          </w:tcPr>
          <w:p w14:paraId="5A277C65" w14:textId="7F02B56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42" w:type="dxa"/>
            <w:vAlign w:val="center"/>
          </w:tcPr>
          <w:p w14:paraId="37DC114C" w14:textId="25F59C5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42" w:type="dxa"/>
            <w:vAlign w:val="center"/>
          </w:tcPr>
          <w:p w14:paraId="67CBBD03" w14:textId="5A7B755E" w:rsidR="00D26B14" w:rsidRPr="00191031" w:rsidRDefault="00D26B14" w:rsidP="00D26B14">
            <w:pPr>
              <w:spacing w:before="120"/>
              <w:jc w:val="center"/>
              <w:rPr>
                <w:rFonts w:ascii="Arial" w:hAnsi="Arial" w:cs="Arial"/>
                <w:sz w:val="16"/>
                <w:szCs w:val="16"/>
              </w:rPr>
            </w:pPr>
          </w:p>
        </w:tc>
        <w:tc>
          <w:tcPr>
            <w:tcW w:w="1134" w:type="dxa"/>
            <w:vAlign w:val="center"/>
          </w:tcPr>
          <w:p w14:paraId="10906BF3" w14:textId="4D528717"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0F8A0CDE" w14:textId="7215656E" w:rsidR="00D26B14" w:rsidRPr="00191031" w:rsidRDefault="00D26B14" w:rsidP="00D26B14">
            <w:pPr>
              <w:spacing w:before="120"/>
              <w:jc w:val="center"/>
              <w:rPr>
                <w:rFonts w:ascii="Arial" w:hAnsi="Arial" w:cs="Arial"/>
                <w:sz w:val="16"/>
                <w:szCs w:val="16"/>
              </w:rPr>
            </w:pPr>
          </w:p>
        </w:tc>
        <w:tc>
          <w:tcPr>
            <w:tcW w:w="1084" w:type="dxa"/>
            <w:vAlign w:val="center"/>
          </w:tcPr>
          <w:p w14:paraId="2E94BC9F" w14:textId="60ECB97B" w:rsidR="00D26B14" w:rsidRPr="00191031" w:rsidRDefault="00D26B14" w:rsidP="00D26B14">
            <w:pPr>
              <w:spacing w:before="120"/>
              <w:jc w:val="center"/>
              <w:rPr>
                <w:rFonts w:ascii="Arial" w:hAnsi="Arial" w:cs="Arial"/>
                <w:sz w:val="16"/>
                <w:szCs w:val="16"/>
              </w:rPr>
            </w:pPr>
          </w:p>
        </w:tc>
        <w:tc>
          <w:tcPr>
            <w:tcW w:w="1043" w:type="dxa"/>
            <w:vAlign w:val="center"/>
          </w:tcPr>
          <w:p w14:paraId="3E1C4DFB" w14:textId="39E1124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5EE86BE6" w14:textId="0A86845C" w:rsidR="00D26B14" w:rsidRPr="00191031" w:rsidRDefault="00D26B14" w:rsidP="00D26B14">
            <w:pPr>
              <w:spacing w:before="120"/>
              <w:jc w:val="center"/>
              <w:rPr>
                <w:rFonts w:ascii="Arial" w:hAnsi="Arial" w:cs="Arial"/>
                <w:sz w:val="16"/>
                <w:szCs w:val="16"/>
              </w:rPr>
            </w:pPr>
          </w:p>
        </w:tc>
        <w:tc>
          <w:tcPr>
            <w:tcW w:w="1134" w:type="dxa"/>
            <w:vAlign w:val="center"/>
          </w:tcPr>
          <w:p w14:paraId="52CA183A" w14:textId="74948F0E" w:rsidR="00D26B14" w:rsidRPr="00191031" w:rsidRDefault="00D26B14" w:rsidP="00D26B14">
            <w:pPr>
              <w:spacing w:before="120"/>
              <w:jc w:val="center"/>
              <w:rPr>
                <w:rFonts w:ascii="Arial" w:hAnsi="Arial" w:cs="Arial"/>
                <w:sz w:val="16"/>
                <w:szCs w:val="16"/>
              </w:rPr>
            </w:pPr>
          </w:p>
        </w:tc>
        <w:tc>
          <w:tcPr>
            <w:tcW w:w="1043" w:type="dxa"/>
            <w:vAlign w:val="center"/>
          </w:tcPr>
          <w:p w14:paraId="2FC8E091" w14:textId="68DADFBD"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85BE860"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419D7510" w14:textId="0240F118" w:rsidR="00D26B14" w:rsidRPr="00191031" w:rsidRDefault="00D26B14" w:rsidP="00D26B14">
            <w:pPr>
              <w:spacing w:before="120"/>
              <w:jc w:val="center"/>
              <w:rPr>
                <w:rFonts w:ascii="Arial" w:hAnsi="Arial" w:cs="Arial"/>
                <w:sz w:val="16"/>
                <w:szCs w:val="16"/>
              </w:rPr>
            </w:pPr>
          </w:p>
        </w:tc>
      </w:tr>
      <w:tr w:rsidR="00D26B14" w:rsidRPr="00660468" w14:paraId="001114C5" w14:textId="50A0CDFD" w:rsidTr="0C34660A">
        <w:tc>
          <w:tcPr>
            <w:tcW w:w="1960" w:type="dxa"/>
            <w:vAlign w:val="center"/>
          </w:tcPr>
          <w:p w14:paraId="4379FA3A"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lastRenderedPageBreak/>
              <w:t>Petroleum production</w:t>
            </w:r>
          </w:p>
        </w:tc>
        <w:tc>
          <w:tcPr>
            <w:tcW w:w="1159" w:type="dxa"/>
            <w:vAlign w:val="center"/>
          </w:tcPr>
          <w:p w14:paraId="39816155" w14:textId="6590861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0.018</w:t>
            </w:r>
          </w:p>
        </w:tc>
        <w:tc>
          <w:tcPr>
            <w:tcW w:w="942" w:type="dxa"/>
            <w:vAlign w:val="center"/>
          </w:tcPr>
          <w:p w14:paraId="337FC0B0" w14:textId="747574A0"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0.019</w:t>
            </w:r>
          </w:p>
        </w:tc>
        <w:tc>
          <w:tcPr>
            <w:tcW w:w="1042" w:type="dxa"/>
            <w:vAlign w:val="center"/>
          </w:tcPr>
          <w:p w14:paraId="5A95DA87" w14:textId="59080E84"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0.0135</w:t>
            </w:r>
          </w:p>
        </w:tc>
        <w:tc>
          <w:tcPr>
            <w:tcW w:w="1134" w:type="dxa"/>
            <w:vAlign w:val="center"/>
          </w:tcPr>
          <w:p w14:paraId="470FEC5D" w14:textId="2521C97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0.00775</w:t>
            </w:r>
          </w:p>
        </w:tc>
        <w:tc>
          <w:tcPr>
            <w:tcW w:w="1134" w:type="dxa"/>
            <w:vAlign w:val="center"/>
          </w:tcPr>
          <w:p w14:paraId="48EB901D" w14:textId="1C3B19E6"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0.0084</w:t>
            </w:r>
          </w:p>
        </w:tc>
        <w:tc>
          <w:tcPr>
            <w:tcW w:w="1084" w:type="dxa"/>
            <w:vAlign w:val="center"/>
          </w:tcPr>
          <w:p w14:paraId="0E9B9BEA" w14:textId="225D5876"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0.0031</w:t>
            </w:r>
          </w:p>
        </w:tc>
        <w:tc>
          <w:tcPr>
            <w:tcW w:w="1043" w:type="dxa"/>
            <w:vAlign w:val="center"/>
          </w:tcPr>
          <w:p w14:paraId="10048AB2" w14:textId="72175A6A"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19498032" w14:textId="04F49384" w:rsidR="00D26B14" w:rsidRPr="00191031" w:rsidRDefault="00D26B14" w:rsidP="00D26B14">
            <w:pPr>
              <w:spacing w:before="120"/>
              <w:jc w:val="center"/>
              <w:rPr>
                <w:rFonts w:ascii="Arial" w:hAnsi="Arial" w:cs="Arial"/>
                <w:sz w:val="16"/>
                <w:szCs w:val="16"/>
              </w:rPr>
            </w:pPr>
          </w:p>
        </w:tc>
        <w:tc>
          <w:tcPr>
            <w:tcW w:w="1134" w:type="dxa"/>
            <w:vAlign w:val="center"/>
          </w:tcPr>
          <w:p w14:paraId="411A53DC" w14:textId="106DD381" w:rsidR="00D26B14" w:rsidRPr="00191031" w:rsidRDefault="00D26B14" w:rsidP="00D26B14">
            <w:pPr>
              <w:spacing w:before="120"/>
              <w:jc w:val="center"/>
              <w:rPr>
                <w:rFonts w:ascii="Arial" w:hAnsi="Arial" w:cs="Arial"/>
                <w:sz w:val="16"/>
                <w:szCs w:val="16"/>
              </w:rPr>
            </w:pPr>
          </w:p>
        </w:tc>
        <w:tc>
          <w:tcPr>
            <w:tcW w:w="1043" w:type="dxa"/>
            <w:vAlign w:val="center"/>
          </w:tcPr>
          <w:p w14:paraId="6034C108" w14:textId="35CBDDE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0.00007</w:t>
            </w:r>
          </w:p>
        </w:tc>
        <w:tc>
          <w:tcPr>
            <w:tcW w:w="992" w:type="dxa"/>
            <w:vAlign w:val="center"/>
          </w:tcPr>
          <w:p w14:paraId="62DE2A7E" w14:textId="690DEF6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0.000017</w:t>
            </w:r>
          </w:p>
        </w:tc>
        <w:tc>
          <w:tcPr>
            <w:tcW w:w="992" w:type="dxa"/>
            <w:vAlign w:val="center"/>
          </w:tcPr>
          <w:p w14:paraId="440B4152" w14:textId="56A5B9CD"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0.0000039</w:t>
            </w:r>
          </w:p>
        </w:tc>
      </w:tr>
      <w:tr w:rsidR="00D26B14" w:rsidRPr="00660468" w14:paraId="7D466B81" w14:textId="7ED5BB88" w:rsidTr="0C34660A">
        <w:tc>
          <w:tcPr>
            <w:tcW w:w="1960" w:type="dxa"/>
            <w:vAlign w:val="center"/>
          </w:tcPr>
          <w:p w14:paraId="2A5679BF"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Crematoria</w:t>
            </w:r>
          </w:p>
        </w:tc>
        <w:tc>
          <w:tcPr>
            <w:tcW w:w="1159" w:type="dxa"/>
            <w:vAlign w:val="center"/>
          </w:tcPr>
          <w:p w14:paraId="5289665C" w14:textId="2ED5CB95"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0.1905</w:t>
            </w:r>
          </w:p>
        </w:tc>
        <w:tc>
          <w:tcPr>
            <w:tcW w:w="942" w:type="dxa"/>
            <w:vAlign w:val="center"/>
          </w:tcPr>
          <w:p w14:paraId="7C28B3F4" w14:textId="5AEFF25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0.201</w:t>
            </w:r>
          </w:p>
        </w:tc>
        <w:tc>
          <w:tcPr>
            <w:tcW w:w="1042" w:type="dxa"/>
            <w:vAlign w:val="center"/>
          </w:tcPr>
          <w:p w14:paraId="4A9951AC" w14:textId="4231AE74"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0.221</w:t>
            </w:r>
          </w:p>
        </w:tc>
        <w:tc>
          <w:tcPr>
            <w:tcW w:w="1134" w:type="dxa"/>
            <w:vAlign w:val="center"/>
          </w:tcPr>
          <w:p w14:paraId="408CA45B" w14:textId="06FE7BB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6E8A158A" w14:textId="6BDD2B0A" w:rsidR="00D26B14" w:rsidRPr="00191031" w:rsidRDefault="00D26B14" w:rsidP="00D26B14">
            <w:pPr>
              <w:spacing w:before="120"/>
              <w:jc w:val="center"/>
              <w:rPr>
                <w:rFonts w:ascii="Arial" w:hAnsi="Arial" w:cs="Arial"/>
                <w:sz w:val="16"/>
                <w:szCs w:val="16"/>
              </w:rPr>
            </w:pPr>
          </w:p>
        </w:tc>
        <w:tc>
          <w:tcPr>
            <w:tcW w:w="1084" w:type="dxa"/>
            <w:vAlign w:val="center"/>
          </w:tcPr>
          <w:p w14:paraId="11894995" w14:textId="6057AEAA" w:rsidR="00D26B14" w:rsidRPr="00191031" w:rsidRDefault="00D26B14" w:rsidP="00D26B14">
            <w:pPr>
              <w:spacing w:before="120"/>
              <w:jc w:val="center"/>
              <w:rPr>
                <w:rFonts w:ascii="Arial" w:hAnsi="Arial" w:cs="Arial"/>
                <w:sz w:val="16"/>
                <w:szCs w:val="16"/>
              </w:rPr>
            </w:pPr>
          </w:p>
        </w:tc>
        <w:tc>
          <w:tcPr>
            <w:tcW w:w="1043" w:type="dxa"/>
            <w:vAlign w:val="center"/>
          </w:tcPr>
          <w:p w14:paraId="42695135" w14:textId="1EC91FB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5D5D44AE" w14:textId="24D347F0" w:rsidR="00D26B14" w:rsidRPr="00191031" w:rsidRDefault="00D26B14" w:rsidP="00D26B14">
            <w:pPr>
              <w:spacing w:before="120"/>
              <w:jc w:val="center"/>
              <w:rPr>
                <w:rFonts w:ascii="Arial" w:hAnsi="Arial" w:cs="Arial"/>
                <w:sz w:val="16"/>
                <w:szCs w:val="16"/>
              </w:rPr>
            </w:pPr>
          </w:p>
        </w:tc>
        <w:tc>
          <w:tcPr>
            <w:tcW w:w="1134" w:type="dxa"/>
            <w:vAlign w:val="center"/>
          </w:tcPr>
          <w:p w14:paraId="41798601" w14:textId="1ED4A672" w:rsidR="00D26B14" w:rsidRPr="00191031" w:rsidRDefault="00D26B14" w:rsidP="00D26B14">
            <w:pPr>
              <w:spacing w:before="120"/>
              <w:jc w:val="center"/>
              <w:rPr>
                <w:rFonts w:ascii="Arial" w:hAnsi="Arial" w:cs="Arial"/>
                <w:sz w:val="16"/>
                <w:szCs w:val="16"/>
              </w:rPr>
            </w:pPr>
          </w:p>
        </w:tc>
        <w:tc>
          <w:tcPr>
            <w:tcW w:w="1043" w:type="dxa"/>
            <w:vAlign w:val="center"/>
          </w:tcPr>
          <w:p w14:paraId="02AEB623" w14:textId="4EC36866"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038E1849"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68883AF4" w14:textId="5F023276" w:rsidR="00D26B14" w:rsidRPr="00191031" w:rsidRDefault="00D26B14" w:rsidP="00D26B14">
            <w:pPr>
              <w:spacing w:before="120"/>
              <w:jc w:val="center"/>
              <w:rPr>
                <w:rFonts w:ascii="Arial" w:hAnsi="Arial" w:cs="Arial"/>
                <w:sz w:val="16"/>
                <w:szCs w:val="16"/>
              </w:rPr>
            </w:pPr>
          </w:p>
        </w:tc>
      </w:tr>
      <w:tr w:rsidR="00D26B14" w:rsidRPr="00660468" w14:paraId="3A8D19D1" w14:textId="4D4A87B8" w:rsidTr="0C34660A">
        <w:tc>
          <w:tcPr>
            <w:tcW w:w="1960" w:type="dxa"/>
            <w:vAlign w:val="center"/>
          </w:tcPr>
          <w:p w14:paraId="1197338A"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Tobacco smoking</w:t>
            </w:r>
          </w:p>
        </w:tc>
        <w:tc>
          <w:tcPr>
            <w:tcW w:w="1159" w:type="dxa"/>
            <w:vAlign w:val="center"/>
          </w:tcPr>
          <w:p w14:paraId="70A0F4BF" w14:textId="587B977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0.00028</w:t>
            </w:r>
          </w:p>
        </w:tc>
        <w:tc>
          <w:tcPr>
            <w:tcW w:w="942" w:type="dxa"/>
            <w:vAlign w:val="center"/>
          </w:tcPr>
          <w:p w14:paraId="69DA2564" w14:textId="186E321B"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0.00021</w:t>
            </w:r>
          </w:p>
        </w:tc>
        <w:tc>
          <w:tcPr>
            <w:tcW w:w="1042" w:type="dxa"/>
            <w:vAlign w:val="center"/>
          </w:tcPr>
          <w:p w14:paraId="681D0328" w14:textId="5684FE0A" w:rsidR="00D26B14" w:rsidRPr="00191031" w:rsidRDefault="00F027EE" w:rsidP="00D26B14">
            <w:pPr>
              <w:spacing w:before="120"/>
              <w:jc w:val="center"/>
              <w:rPr>
                <w:rFonts w:ascii="Arial" w:hAnsi="Arial" w:cs="Arial"/>
                <w:sz w:val="16"/>
                <w:szCs w:val="16"/>
              </w:rPr>
            </w:pPr>
            <w:r>
              <w:rPr>
                <w:rFonts w:ascii="Arial" w:hAnsi="Arial" w:cs="Arial"/>
                <w:color w:val="000000"/>
                <w:sz w:val="16"/>
                <w:szCs w:val="16"/>
              </w:rPr>
              <w:t>0.000098</w:t>
            </w:r>
          </w:p>
        </w:tc>
        <w:tc>
          <w:tcPr>
            <w:tcW w:w="1134" w:type="dxa"/>
            <w:vAlign w:val="center"/>
          </w:tcPr>
          <w:p w14:paraId="70D95DA5" w14:textId="4712A35E"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5DEA677E" w14:textId="31122FE8" w:rsidR="00D26B14" w:rsidRPr="00191031" w:rsidRDefault="00D26B14" w:rsidP="00D26B14">
            <w:pPr>
              <w:spacing w:before="120"/>
              <w:jc w:val="center"/>
              <w:rPr>
                <w:rFonts w:ascii="Arial" w:hAnsi="Arial" w:cs="Arial"/>
                <w:sz w:val="16"/>
                <w:szCs w:val="16"/>
              </w:rPr>
            </w:pPr>
          </w:p>
        </w:tc>
        <w:tc>
          <w:tcPr>
            <w:tcW w:w="1084" w:type="dxa"/>
            <w:vAlign w:val="center"/>
          </w:tcPr>
          <w:p w14:paraId="43C19A83" w14:textId="7256CAE8" w:rsidR="00D26B14" w:rsidRPr="00191031" w:rsidRDefault="00D26B14" w:rsidP="00D26B14">
            <w:pPr>
              <w:spacing w:before="120"/>
              <w:jc w:val="center"/>
              <w:rPr>
                <w:rFonts w:ascii="Arial" w:hAnsi="Arial" w:cs="Arial"/>
                <w:sz w:val="16"/>
                <w:szCs w:val="16"/>
              </w:rPr>
            </w:pPr>
          </w:p>
        </w:tc>
        <w:tc>
          <w:tcPr>
            <w:tcW w:w="1043" w:type="dxa"/>
            <w:vAlign w:val="center"/>
          </w:tcPr>
          <w:p w14:paraId="049143D7" w14:textId="21C49A3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53E43445" w14:textId="0E5C2B83" w:rsidR="00D26B14" w:rsidRPr="00191031" w:rsidRDefault="00D26B14" w:rsidP="00D26B14">
            <w:pPr>
              <w:spacing w:before="120"/>
              <w:jc w:val="center"/>
              <w:rPr>
                <w:rFonts w:ascii="Arial" w:hAnsi="Arial" w:cs="Arial"/>
                <w:sz w:val="16"/>
                <w:szCs w:val="16"/>
              </w:rPr>
            </w:pPr>
          </w:p>
        </w:tc>
        <w:tc>
          <w:tcPr>
            <w:tcW w:w="1134" w:type="dxa"/>
            <w:vAlign w:val="center"/>
          </w:tcPr>
          <w:p w14:paraId="7681F9EE" w14:textId="06B311A8" w:rsidR="00D26B14" w:rsidRPr="00191031" w:rsidRDefault="00D26B14" w:rsidP="00D26B14">
            <w:pPr>
              <w:spacing w:before="120"/>
              <w:jc w:val="center"/>
              <w:rPr>
                <w:rFonts w:ascii="Arial" w:hAnsi="Arial" w:cs="Arial"/>
                <w:sz w:val="16"/>
                <w:szCs w:val="16"/>
              </w:rPr>
            </w:pPr>
          </w:p>
        </w:tc>
        <w:tc>
          <w:tcPr>
            <w:tcW w:w="1043" w:type="dxa"/>
            <w:vAlign w:val="center"/>
          </w:tcPr>
          <w:p w14:paraId="348619C8" w14:textId="5776C488"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1797EDDE"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3F4578F5" w14:textId="1EB918C0" w:rsidR="00D26B14" w:rsidRPr="00191031" w:rsidRDefault="00D26B14" w:rsidP="00D26B14">
            <w:pPr>
              <w:spacing w:before="120"/>
              <w:jc w:val="center"/>
              <w:rPr>
                <w:rFonts w:ascii="Arial" w:hAnsi="Arial" w:cs="Arial"/>
                <w:sz w:val="16"/>
                <w:szCs w:val="16"/>
              </w:rPr>
            </w:pPr>
          </w:p>
        </w:tc>
      </w:tr>
      <w:tr w:rsidR="00D26B14" w:rsidRPr="00660468" w14:paraId="7096EB63" w14:textId="673E240C" w:rsidTr="0C34660A">
        <w:tc>
          <w:tcPr>
            <w:tcW w:w="1960" w:type="dxa"/>
            <w:vAlign w:val="center"/>
          </w:tcPr>
          <w:p w14:paraId="52243B4B"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Landfills, waste dumps and landfill mining</w:t>
            </w:r>
          </w:p>
        </w:tc>
        <w:tc>
          <w:tcPr>
            <w:tcW w:w="1159" w:type="dxa"/>
            <w:vAlign w:val="center"/>
          </w:tcPr>
          <w:p w14:paraId="53039A51" w14:textId="00FDEEAD"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42" w:type="dxa"/>
            <w:vAlign w:val="center"/>
          </w:tcPr>
          <w:p w14:paraId="4C43E8BF" w14:textId="28BA0B29"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42" w:type="dxa"/>
            <w:vAlign w:val="center"/>
          </w:tcPr>
          <w:p w14:paraId="25EA8B33" w14:textId="044AF319" w:rsidR="00D26B14" w:rsidRPr="00191031" w:rsidRDefault="00D26B14" w:rsidP="00D26B14">
            <w:pPr>
              <w:spacing w:before="120"/>
              <w:jc w:val="center"/>
              <w:rPr>
                <w:rFonts w:ascii="Arial" w:hAnsi="Arial" w:cs="Arial"/>
                <w:sz w:val="16"/>
                <w:szCs w:val="16"/>
              </w:rPr>
            </w:pPr>
          </w:p>
        </w:tc>
        <w:tc>
          <w:tcPr>
            <w:tcW w:w="1134" w:type="dxa"/>
            <w:vAlign w:val="center"/>
          </w:tcPr>
          <w:p w14:paraId="6444C0A0" w14:textId="4A5CC4D6"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1.257</w:t>
            </w:r>
          </w:p>
        </w:tc>
        <w:tc>
          <w:tcPr>
            <w:tcW w:w="1134" w:type="dxa"/>
            <w:vAlign w:val="center"/>
          </w:tcPr>
          <w:p w14:paraId="3C9EA0C7" w14:textId="63F81128"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1.703</w:t>
            </w:r>
          </w:p>
        </w:tc>
        <w:tc>
          <w:tcPr>
            <w:tcW w:w="1084" w:type="dxa"/>
            <w:vAlign w:val="center"/>
          </w:tcPr>
          <w:p w14:paraId="5283683E" w14:textId="0316654C" w:rsidR="00D26B14" w:rsidRPr="00191031" w:rsidRDefault="006C563A" w:rsidP="00D26B14">
            <w:pPr>
              <w:spacing w:before="120"/>
              <w:jc w:val="center"/>
              <w:rPr>
                <w:rFonts w:ascii="Arial" w:hAnsi="Arial" w:cs="Arial"/>
                <w:sz w:val="16"/>
                <w:szCs w:val="16"/>
              </w:rPr>
            </w:pPr>
            <w:r>
              <w:rPr>
                <w:rFonts w:ascii="Arial" w:hAnsi="Arial" w:cs="Arial"/>
                <w:color w:val="000000"/>
                <w:sz w:val="16"/>
                <w:szCs w:val="16"/>
              </w:rPr>
              <w:t>1.</w:t>
            </w:r>
            <w:r w:rsidR="007C4982">
              <w:rPr>
                <w:rFonts w:ascii="Arial" w:hAnsi="Arial" w:cs="Arial"/>
                <w:color w:val="000000"/>
                <w:sz w:val="16"/>
                <w:szCs w:val="16"/>
              </w:rPr>
              <w:t>725</w:t>
            </w:r>
          </w:p>
        </w:tc>
        <w:tc>
          <w:tcPr>
            <w:tcW w:w="1043" w:type="dxa"/>
            <w:vAlign w:val="center"/>
          </w:tcPr>
          <w:p w14:paraId="2C8AC64A" w14:textId="103029D9" w:rsidR="00D26B14" w:rsidRPr="00191031" w:rsidRDefault="00D26B14" w:rsidP="00D26B14">
            <w:pPr>
              <w:spacing w:before="120"/>
              <w:jc w:val="center"/>
              <w:rPr>
                <w:rFonts w:ascii="Arial" w:hAnsi="Arial" w:cs="Arial"/>
                <w:sz w:val="16"/>
                <w:szCs w:val="16"/>
              </w:rPr>
            </w:pPr>
            <w:r w:rsidRPr="00211A50">
              <w:rPr>
                <w:rFonts w:ascii="Arial" w:hAnsi="Arial" w:cs="Arial"/>
                <w:sz w:val="16"/>
                <w:szCs w:val="18"/>
              </w:rPr>
              <w:t>12.57</w:t>
            </w:r>
          </w:p>
        </w:tc>
        <w:tc>
          <w:tcPr>
            <w:tcW w:w="1134" w:type="dxa"/>
            <w:vAlign w:val="center"/>
          </w:tcPr>
          <w:p w14:paraId="62E5D01C" w14:textId="22C2276D"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17.03</w:t>
            </w:r>
          </w:p>
        </w:tc>
        <w:tc>
          <w:tcPr>
            <w:tcW w:w="1134" w:type="dxa"/>
            <w:vAlign w:val="center"/>
          </w:tcPr>
          <w:p w14:paraId="7D984700" w14:textId="4229BE0C" w:rsidR="00D26B14" w:rsidRPr="00191031" w:rsidRDefault="006C563A" w:rsidP="00D26B14">
            <w:pPr>
              <w:spacing w:before="120"/>
              <w:jc w:val="center"/>
              <w:rPr>
                <w:rFonts w:ascii="Arial" w:hAnsi="Arial" w:cs="Arial"/>
                <w:sz w:val="16"/>
                <w:szCs w:val="16"/>
              </w:rPr>
            </w:pPr>
            <w:r>
              <w:rPr>
                <w:rFonts w:ascii="Arial" w:hAnsi="Arial" w:cs="Arial"/>
                <w:color w:val="000000"/>
                <w:sz w:val="16"/>
                <w:szCs w:val="16"/>
              </w:rPr>
              <w:t>17.25</w:t>
            </w:r>
          </w:p>
        </w:tc>
        <w:tc>
          <w:tcPr>
            <w:tcW w:w="1043" w:type="dxa"/>
            <w:vAlign w:val="center"/>
          </w:tcPr>
          <w:p w14:paraId="160505AD" w14:textId="7CA20CC3"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59B785DA" w14:textId="77777777" w:rsidR="00D26B14" w:rsidRPr="00191031" w:rsidRDefault="00D26B14" w:rsidP="00D26B14">
            <w:pPr>
              <w:spacing w:before="120"/>
              <w:jc w:val="center"/>
              <w:rPr>
                <w:rFonts w:ascii="Arial" w:hAnsi="Arial" w:cs="Arial"/>
                <w:sz w:val="16"/>
                <w:szCs w:val="16"/>
              </w:rPr>
            </w:pPr>
            <w:r w:rsidRPr="00191031">
              <w:rPr>
                <w:rFonts w:ascii="Arial" w:hAnsi="Arial" w:cs="Arial"/>
                <w:sz w:val="16"/>
                <w:szCs w:val="16"/>
              </w:rPr>
              <w:t>-</w:t>
            </w:r>
          </w:p>
        </w:tc>
        <w:tc>
          <w:tcPr>
            <w:tcW w:w="992" w:type="dxa"/>
            <w:vAlign w:val="center"/>
          </w:tcPr>
          <w:p w14:paraId="55F9C06B" w14:textId="4F592D8B" w:rsidR="00D26B14" w:rsidRPr="00191031" w:rsidRDefault="00D26B14" w:rsidP="00D26B14">
            <w:pPr>
              <w:spacing w:before="120"/>
              <w:jc w:val="center"/>
              <w:rPr>
                <w:rFonts w:ascii="Arial" w:hAnsi="Arial" w:cs="Arial"/>
                <w:sz w:val="16"/>
                <w:szCs w:val="16"/>
              </w:rPr>
            </w:pPr>
          </w:p>
        </w:tc>
      </w:tr>
      <w:tr w:rsidR="00D26B14" w:rsidRPr="00660468" w14:paraId="28674084" w14:textId="69579D77" w:rsidTr="0C34660A">
        <w:tc>
          <w:tcPr>
            <w:tcW w:w="1960" w:type="dxa"/>
            <w:vAlign w:val="center"/>
          </w:tcPr>
          <w:p w14:paraId="68D12415" w14:textId="77777777" w:rsidR="00D26B14" w:rsidRPr="00191031" w:rsidRDefault="00D26B14" w:rsidP="00D26B14">
            <w:pPr>
              <w:spacing w:before="120"/>
              <w:rPr>
                <w:rFonts w:ascii="Arial" w:hAnsi="Arial" w:cs="Arial"/>
                <w:sz w:val="16"/>
                <w:szCs w:val="16"/>
              </w:rPr>
            </w:pPr>
            <w:r w:rsidRPr="00191031">
              <w:rPr>
                <w:rFonts w:ascii="Arial" w:hAnsi="Arial" w:cs="Arial"/>
                <w:sz w:val="16"/>
                <w:szCs w:val="16"/>
              </w:rPr>
              <w:t>Sewage/sewage treatment</w:t>
            </w:r>
          </w:p>
        </w:tc>
        <w:tc>
          <w:tcPr>
            <w:tcW w:w="1159" w:type="dxa"/>
            <w:vAlign w:val="center"/>
          </w:tcPr>
          <w:p w14:paraId="3A6221DB" w14:textId="7FF3BA23"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942" w:type="dxa"/>
            <w:vAlign w:val="center"/>
          </w:tcPr>
          <w:p w14:paraId="61B99B6F" w14:textId="4438D184"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042" w:type="dxa"/>
            <w:vAlign w:val="center"/>
          </w:tcPr>
          <w:p w14:paraId="1D7462EE" w14:textId="52CA9815" w:rsidR="00D26B14" w:rsidRPr="00191031" w:rsidRDefault="00D26B14" w:rsidP="00D26B14">
            <w:pPr>
              <w:spacing w:before="120"/>
              <w:jc w:val="center"/>
              <w:rPr>
                <w:rFonts w:ascii="Arial" w:hAnsi="Arial" w:cs="Arial"/>
                <w:sz w:val="16"/>
                <w:szCs w:val="16"/>
              </w:rPr>
            </w:pPr>
          </w:p>
        </w:tc>
        <w:tc>
          <w:tcPr>
            <w:tcW w:w="1134" w:type="dxa"/>
            <w:vAlign w:val="center"/>
          </w:tcPr>
          <w:p w14:paraId="288CD91A" w14:textId="41394362"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0.134</w:t>
            </w:r>
          </w:p>
        </w:tc>
        <w:tc>
          <w:tcPr>
            <w:tcW w:w="1134" w:type="dxa"/>
            <w:vAlign w:val="center"/>
          </w:tcPr>
          <w:p w14:paraId="3E7183E0" w14:textId="4CDAD3B4" w:rsidR="00D26B14" w:rsidRPr="00191031" w:rsidRDefault="00D26B14" w:rsidP="00D26B14">
            <w:pPr>
              <w:spacing w:before="120"/>
              <w:jc w:val="center"/>
              <w:rPr>
                <w:rFonts w:ascii="Arial" w:hAnsi="Arial" w:cs="Arial"/>
                <w:sz w:val="16"/>
                <w:szCs w:val="16"/>
              </w:rPr>
            </w:pPr>
            <w:r w:rsidRPr="00211A50">
              <w:rPr>
                <w:rFonts w:ascii="Arial" w:hAnsi="Arial" w:cs="Arial"/>
                <w:color w:val="000000"/>
                <w:sz w:val="16"/>
                <w:szCs w:val="16"/>
              </w:rPr>
              <w:t>0.0938</w:t>
            </w:r>
          </w:p>
        </w:tc>
        <w:tc>
          <w:tcPr>
            <w:tcW w:w="1084" w:type="dxa"/>
            <w:vAlign w:val="center"/>
          </w:tcPr>
          <w:p w14:paraId="1EFCCE46" w14:textId="01F876B6" w:rsidR="00D26B14" w:rsidRPr="00191031" w:rsidRDefault="006C563A" w:rsidP="00D26B14">
            <w:pPr>
              <w:spacing w:before="120"/>
              <w:jc w:val="center"/>
              <w:rPr>
                <w:rFonts w:ascii="Arial" w:hAnsi="Arial" w:cs="Arial"/>
                <w:sz w:val="16"/>
                <w:szCs w:val="16"/>
              </w:rPr>
            </w:pPr>
            <w:r>
              <w:rPr>
                <w:rFonts w:ascii="Arial" w:hAnsi="Arial" w:cs="Arial"/>
                <w:color w:val="000000"/>
                <w:sz w:val="16"/>
                <w:szCs w:val="16"/>
              </w:rPr>
              <w:t>0.105</w:t>
            </w:r>
          </w:p>
        </w:tc>
        <w:tc>
          <w:tcPr>
            <w:tcW w:w="1043" w:type="dxa"/>
            <w:vAlign w:val="center"/>
          </w:tcPr>
          <w:p w14:paraId="23DD0284" w14:textId="33EEE12F" w:rsidR="00D26B14" w:rsidRPr="00191031" w:rsidRDefault="00D26B14" w:rsidP="00D26B14">
            <w:pPr>
              <w:spacing w:before="120"/>
              <w:jc w:val="center"/>
              <w:rPr>
                <w:rFonts w:ascii="Arial" w:hAnsi="Arial" w:cs="Arial"/>
                <w:sz w:val="16"/>
                <w:szCs w:val="16"/>
              </w:rPr>
            </w:pPr>
            <w:r w:rsidRPr="00211A50">
              <w:rPr>
                <w:rFonts w:ascii="Arial" w:hAnsi="Arial" w:cs="Arial"/>
                <w:sz w:val="16"/>
                <w:szCs w:val="16"/>
              </w:rPr>
              <w:t>-</w:t>
            </w:r>
          </w:p>
        </w:tc>
        <w:tc>
          <w:tcPr>
            <w:tcW w:w="1134" w:type="dxa"/>
            <w:vAlign w:val="center"/>
          </w:tcPr>
          <w:p w14:paraId="70B64922" w14:textId="6E41A356" w:rsidR="00D26B14" w:rsidRPr="00191031" w:rsidRDefault="00D26B14" w:rsidP="00D26B14">
            <w:pPr>
              <w:spacing w:before="120"/>
              <w:jc w:val="center"/>
              <w:rPr>
                <w:rFonts w:ascii="Arial" w:hAnsi="Arial" w:cs="Arial"/>
                <w:sz w:val="16"/>
                <w:szCs w:val="16"/>
              </w:rPr>
            </w:pPr>
          </w:p>
        </w:tc>
        <w:tc>
          <w:tcPr>
            <w:tcW w:w="1134" w:type="dxa"/>
            <w:vAlign w:val="center"/>
          </w:tcPr>
          <w:p w14:paraId="5E721F84" w14:textId="2D55D52E" w:rsidR="00D26B14" w:rsidRPr="00191031" w:rsidRDefault="00D26B14" w:rsidP="00D26B14">
            <w:pPr>
              <w:spacing w:before="120"/>
              <w:jc w:val="center"/>
              <w:rPr>
                <w:rFonts w:ascii="Arial" w:hAnsi="Arial" w:cs="Arial"/>
                <w:sz w:val="16"/>
                <w:szCs w:val="16"/>
              </w:rPr>
            </w:pPr>
          </w:p>
        </w:tc>
        <w:tc>
          <w:tcPr>
            <w:tcW w:w="1043" w:type="dxa"/>
            <w:vAlign w:val="center"/>
          </w:tcPr>
          <w:p w14:paraId="788D7BF2" w14:textId="3CF8193C" w:rsidR="00D26B14" w:rsidRPr="00191031" w:rsidRDefault="00995F09" w:rsidP="00D26B14">
            <w:pPr>
              <w:spacing w:before="120"/>
              <w:jc w:val="center"/>
              <w:rPr>
                <w:rFonts w:ascii="Arial" w:hAnsi="Arial" w:cs="Arial"/>
                <w:sz w:val="16"/>
                <w:szCs w:val="16"/>
              </w:rPr>
            </w:pPr>
            <w:r>
              <w:rPr>
                <w:rFonts w:ascii="Arial" w:hAnsi="Arial" w:cs="Arial"/>
                <w:sz w:val="16"/>
                <w:szCs w:val="16"/>
              </w:rPr>
              <w:t>2.432</w:t>
            </w:r>
          </w:p>
        </w:tc>
        <w:tc>
          <w:tcPr>
            <w:tcW w:w="992" w:type="dxa"/>
            <w:vAlign w:val="center"/>
          </w:tcPr>
          <w:p w14:paraId="66D8DB70" w14:textId="077845D3" w:rsidR="00D26B14" w:rsidRPr="00191031" w:rsidRDefault="00995F09" w:rsidP="00D26B14">
            <w:pPr>
              <w:spacing w:before="120"/>
              <w:jc w:val="center"/>
              <w:rPr>
                <w:rFonts w:ascii="Arial" w:hAnsi="Arial" w:cs="Arial"/>
                <w:sz w:val="16"/>
                <w:szCs w:val="16"/>
              </w:rPr>
            </w:pPr>
            <w:r>
              <w:rPr>
                <w:rFonts w:ascii="Arial" w:hAnsi="Arial" w:cs="Arial"/>
                <w:color w:val="000000"/>
                <w:sz w:val="16"/>
                <w:szCs w:val="16"/>
              </w:rPr>
              <w:t>2.601</w:t>
            </w:r>
          </w:p>
        </w:tc>
        <w:tc>
          <w:tcPr>
            <w:tcW w:w="992" w:type="dxa"/>
            <w:vAlign w:val="center"/>
          </w:tcPr>
          <w:p w14:paraId="6140BAD7" w14:textId="679BBC69" w:rsidR="00D26B14" w:rsidRPr="00191031" w:rsidRDefault="00995F09" w:rsidP="00D26B14">
            <w:pPr>
              <w:spacing w:before="120"/>
              <w:jc w:val="center"/>
              <w:rPr>
                <w:rFonts w:ascii="Arial" w:hAnsi="Arial" w:cs="Arial"/>
                <w:sz w:val="16"/>
                <w:szCs w:val="16"/>
              </w:rPr>
            </w:pPr>
            <w:r>
              <w:rPr>
                <w:rFonts w:ascii="Arial" w:hAnsi="Arial" w:cs="Arial"/>
                <w:color w:val="000000"/>
                <w:sz w:val="16"/>
                <w:szCs w:val="16"/>
              </w:rPr>
              <w:t>2.809</w:t>
            </w:r>
          </w:p>
        </w:tc>
      </w:tr>
      <w:tr w:rsidR="00D26B14" w:rsidRPr="00660468" w14:paraId="3DF5D924" w14:textId="0B4CB76E" w:rsidTr="0C34660A">
        <w:tc>
          <w:tcPr>
            <w:tcW w:w="1960" w:type="dxa"/>
          </w:tcPr>
          <w:p w14:paraId="1C22BFDA" w14:textId="02B45B4B" w:rsidR="00D26B14" w:rsidRPr="00191031" w:rsidRDefault="00D26B14" w:rsidP="00D26B14">
            <w:pPr>
              <w:spacing w:before="120"/>
              <w:jc w:val="both"/>
              <w:rPr>
                <w:rFonts w:ascii="Arial" w:hAnsi="Arial" w:cs="Arial"/>
                <w:b/>
                <w:sz w:val="16"/>
                <w:szCs w:val="16"/>
              </w:rPr>
            </w:pPr>
            <w:r w:rsidRPr="00191031">
              <w:rPr>
                <w:rFonts w:ascii="Arial" w:hAnsi="Arial" w:cs="Arial"/>
                <w:b/>
                <w:sz w:val="16"/>
                <w:szCs w:val="16"/>
              </w:rPr>
              <w:t>Totals</w:t>
            </w:r>
            <w:r w:rsidRPr="00191031">
              <w:rPr>
                <w:rFonts w:ascii="Arial" w:hAnsi="Arial" w:cs="Arial"/>
                <w:b/>
                <w:sz w:val="16"/>
                <w:szCs w:val="16"/>
                <w:vertAlign w:val="superscript"/>
              </w:rPr>
              <w:t>3</w:t>
            </w:r>
          </w:p>
        </w:tc>
        <w:tc>
          <w:tcPr>
            <w:tcW w:w="1159" w:type="dxa"/>
            <w:vAlign w:val="center"/>
          </w:tcPr>
          <w:p w14:paraId="7C26D500" w14:textId="6C91AFE1"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7.94</w:t>
            </w:r>
          </w:p>
        </w:tc>
        <w:tc>
          <w:tcPr>
            <w:tcW w:w="942" w:type="dxa"/>
            <w:vAlign w:val="center"/>
          </w:tcPr>
          <w:p w14:paraId="78C653C9" w14:textId="2C154B18"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7.47</w:t>
            </w:r>
          </w:p>
        </w:tc>
        <w:tc>
          <w:tcPr>
            <w:tcW w:w="1042" w:type="dxa"/>
            <w:vAlign w:val="center"/>
          </w:tcPr>
          <w:p w14:paraId="5473C20C" w14:textId="16614982" w:rsidR="00D26B14" w:rsidRPr="00191031" w:rsidRDefault="00DB5B48" w:rsidP="00D26B14">
            <w:pPr>
              <w:jc w:val="center"/>
              <w:rPr>
                <w:rFonts w:ascii="Arial" w:hAnsi="Arial" w:cs="Arial"/>
                <w:b/>
                <w:bCs/>
                <w:color w:val="000000"/>
                <w:sz w:val="16"/>
                <w:szCs w:val="22"/>
              </w:rPr>
            </w:pPr>
            <w:r>
              <w:rPr>
                <w:rFonts w:ascii="Arial" w:hAnsi="Arial" w:cs="Arial"/>
                <w:b/>
                <w:bCs/>
                <w:color w:val="000000"/>
                <w:sz w:val="16"/>
                <w:szCs w:val="22"/>
              </w:rPr>
              <w:t>8.3</w:t>
            </w:r>
            <w:r w:rsidR="005C2924">
              <w:rPr>
                <w:rFonts w:ascii="Arial" w:hAnsi="Arial" w:cs="Arial"/>
                <w:b/>
                <w:bCs/>
                <w:color w:val="000000"/>
                <w:sz w:val="16"/>
                <w:szCs w:val="22"/>
              </w:rPr>
              <w:t>2</w:t>
            </w:r>
          </w:p>
        </w:tc>
        <w:tc>
          <w:tcPr>
            <w:tcW w:w="1134" w:type="dxa"/>
            <w:vAlign w:val="center"/>
          </w:tcPr>
          <w:p w14:paraId="6B8950B6" w14:textId="263F04C0"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1.41</w:t>
            </w:r>
          </w:p>
        </w:tc>
        <w:tc>
          <w:tcPr>
            <w:tcW w:w="1134" w:type="dxa"/>
            <w:vAlign w:val="center"/>
          </w:tcPr>
          <w:p w14:paraId="0DEA385A" w14:textId="5AA6049A"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1.82</w:t>
            </w:r>
          </w:p>
        </w:tc>
        <w:tc>
          <w:tcPr>
            <w:tcW w:w="1084" w:type="dxa"/>
            <w:vAlign w:val="center"/>
          </w:tcPr>
          <w:p w14:paraId="0E0AC70F" w14:textId="1821FB82" w:rsidR="00D26B14" w:rsidRPr="00191031" w:rsidRDefault="00DB5B48" w:rsidP="00D26B14">
            <w:pPr>
              <w:jc w:val="center"/>
              <w:rPr>
                <w:rFonts w:ascii="Arial" w:hAnsi="Arial" w:cs="Arial"/>
                <w:b/>
                <w:bCs/>
                <w:color w:val="000000"/>
                <w:sz w:val="16"/>
                <w:szCs w:val="22"/>
              </w:rPr>
            </w:pPr>
            <w:r>
              <w:rPr>
                <w:rFonts w:ascii="Arial" w:hAnsi="Arial" w:cs="Arial"/>
                <w:b/>
                <w:bCs/>
                <w:color w:val="000000"/>
                <w:sz w:val="16"/>
                <w:szCs w:val="22"/>
              </w:rPr>
              <w:t>1.8</w:t>
            </w:r>
            <w:r w:rsidR="005C2924">
              <w:rPr>
                <w:rFonts w:ascii="Arial" w:hAnsi="Arial" w:cs="Arial"/>
                <w:b/>
                <w:bCs/>
                <w:color w:val="000000"/>
                <w:sz w:val="16"/>
                <w:szCs w:val="22"/>
              </w:rPr>
              <w:t>5</w:t>
            </w:r>
          </w:p>
        </w:tc>
        <w:tc>
          <w:tcPr>
            <w:tcW w:w="1043" w:type="dxa"/>
            <w:vAlign w:val="center"/>
          </w:tcPr>
          <w:p w14:paraId="6D808D44" w14:textId="0856AF4E"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14.24</w:t>
            </w:r>
          </w:p>
        </w:tc>
        <w:tc>
          <w:tcPr>
            <w:tcW w:w="1134" w:type="dxa"/>
            <w:vAlign w:val="center"/>
          </w:tcPr>
          <w:p w14:paraId="77B848DC" w14:textId="008FED00" w:rsidR="00D26B14" w:rsidRPr="00191031" w:rsidRDefault="00D26B14" w:rsidP="00D26B14">
            <w:pPr>
              <w:jc w:val="center"/>
              <w:rPr>
                <w:rFonts w:ascii="Arial" w:hAnsi="Arial" w:cs="Arial"/>
                <w:b/>
                <w:bCs/>
                <w:color w:val="000000"/>
                <w:sz w:val="16"/>
                <w:szCs w:val="22"/>
              </w:rPr>
            </w:pPr>
            <w:r w:rsidRPr="00211A50">
              <w:rPr>
                <w:rFonts w:ascii="Arial" w:hAnsi="Arial" w:cs="Arial"/>
                <w:b/>
                <w:bCs/>
                <w:color w:val="000000"/>
                <w:sz w:val="16"/>
                <w:szCs w:val="22"/>
              </w:rPr>
              <w:t>18.44</w:t>
            </w:r>
          </w:p>
        </w:tc>
        <w:tc>
          <w:tcPr>
            <w:tcW w:w="1134" w:type="dxa"/>
            <w:vAlign w:val="center"/>
          </w:tcPr>
          <w:p w14:paraId="59AAD76C" w14:textId="09AF7F51" w:rsidR="00D26B14" w:rsidRPr="00191031" w:rsidRDefault="00DB5B48" w:rsidP="00D26B14">
            <w:pPr>
              <w:jc w:val="center"/>
              <w:rPr>
                <w:rFonts w:ascii="Arial" w:hAnsi="Arial" w:cs="Arial"/>
                <w:b/>
                <w:bCs/>
                <w:color w:val="000000"/>
                <w:sz w:val="16"/>
                <w:szCs w:val="22"/>
              </w:rPr>
            </w:pPr>
            <w:r>
              <w:rPr>
                <w:rFonts w:ascii="Arial" w:hAnsi="Arial" w:cs="Arial"/>
                <w:b/>
                <w:bCs/>
                <w:color w:val="000000"/>
                <w:sz w:val="16"/>
                <w:szCs w:val="22"/>
              </w:rPr>
              <w:t>18.1</w:t>
            </w:r>
            <w:r w:rsidR="005C2924">
              <w:rPr>
                <w:rFonts w:ascii="Arial" w:hAnsi="Arial" w:cs="Arial"/>
                <w:b/>
                <w:bCs/>
                <w:color w:val="000000"/>
                <w:sz w:val="16"/>
                <w:szCs w:val="22"/>
              </w:rPr>
              <w:t>7</w:t>
            </w:r>
          </w:p>
        </w:tc>
        <w:tc>
          <w:tcPr>
            <w:tcW w:w="1043" w:type="dxa"/>
            <w:vAlign w:val="center"/>
          </w:tcPr>
          <w:p w14:paraId="3B4943A8" w14:textId="14ED495F" w:rsidR="00D26B14" w:rsidRPr="00105AFF" w:rsidRDefault="00105AFF" w:rsidP="00D26B14">
            <w:pPr>
              <w:jc w:val="center"/>
              <w:rPr>
                <w:rFonts w:ascii="Arial" w:hAnsi="Arial" w:cs="Arial"/>
                <w:b/>
                <w:bCs/>
                <w:color w:val="000000"/>
                <w:sz w:val="16"/>
                <w:szCs w:val="22"/>
              </w:rPr>
            </w:pPr>
            <w:r w:rsidRPr="00105AFF">
              <w:rPr>
                <w:rFonts w:ascii="Arial" w:hAnsi="Arial" w:cs="Arial"/>
                <w:b/>
                <w:bCs/>
                <w:color w:val="000000"/>
                <w:sz w:val="16"/>
                <w:szCs w:val="22"/>
              </w:rPr>
              <w:t>12.97</w:t>
            </w:r>
          </w:p>
        </w:tc>
        <w:tc>
          <w:tcPr>
            <w:tcW w:w="992" w:type="dxa"/>
            <w:vAlign w:val="center"/>
          </w:tcPr>
          <w:p w14:paraId="04B56524" w14:textId="772327ED" w:rsidR="00D26B14" w:rsidRPr="00105AFF" w:rsidRDefault="00105AFF" w:rsidP="00D26B14">
            <w:pPr>
              <w:jc w:val="center"/>
              <w:rPr>
                <w:rFonts w:ascii="Arial" w:hAnsi="Arial" w:cs="Arial"/>
                <w:b/>
                <w:bCs/>
                <w:color w:val="000000"/>
                <w:sz w:val="16"/>
                <w:szCs w:val="22"/>
              </w:rPr>
            </w:pPr>
            <w:r w:rsidRPr="00105AFF">
              <w:rPr>
                <w:rFonts w:ascii="Arial" w:hAnsi="Arial" w:cs="Arial"/>
                <w:b/>
                <w:bCs/>
                <w:color w:val="000000"/>
                <w:sz w:val="16"/>
                <w:szCs w:val="22"/>
              </w:rPr>
              <w:t>9.00</w:t>
            </w:r>
          </w:p>
        </w:tc>
        <w:tc>
          <w:tcPr>
            <w:tcW w:w="992" w:type="dxa"/>
            <w:vAlign w:val="center"/>
          </w:tcPr>
          <w:p w14:paraId="1925AAF7" w14:textId="6C00FEE0" w:rsidR="00D26B14" w:rsidRPr="00191031" w:rsidRDefault="007C4982" w:rsidP="00D26B14">
            <w:pPr>
              <w:jc w:val="center"/>
              <w:rPr>
                <w:rFonts w:ascii="Arial" w:hAnsi="Arial" w:cs="Arial"/>
                <w:b/>
                <w:bCs/>
                <w:color w:val="000000"/>
                <w:sz w:val="16"/>
                <w:szCs w:val="22"/>
              </w:rPr>
            </w:pPr>
            <w:r>
              <w:rPr>
                <w:rFonts w:ascii="Arial" w:hAnsi="Arial" w:cs="Arial"/>
                <w:b/>
                <w:bCs/>
                <w:color w:val="000000"/>
                <w:sz w:val="16"/>
                <w:szCs w:val="22"/>
              </w:rPr>
              <w:t>8.14</w:t>
            </w:r>
          </w:p>
        </w:tc>
      </w:tr>
    </w:tbl>
    <w:p w14:paraId="1B98035C" w14:textId="77777777" w:rsidR="002E6404" w:rsidRPr="00191031" w:rsidRDefault="002E6404" w:rsidP="002E6404">
      <w:pPr>
        <w:spacing w:before="120" w:after="0" w:line="300" w:lineRule="atLeast"/>
        <w:jc w:val="both"/>
        <w:rPr>
          <w:rFonts w:ascii="Arial" w:hAnsi="Arial" w:cs="Arial"/>
          <w:b/>
          <w:sz w:val="16"/>
          <w:szCs w:val="18"/>
        </w:rPr>
      </w:pPr>
      <w:r w:rsidRPr="00191031">
        <w:rPr>
          <w:rFonts w:ascii="Arial" w:hAnsi="Arial" w:cs="Arial"/>
          <w:b/>
          <w:sz w:val="16"/>
          <w:szCs w:val="18"/>
        </w:rPr>
        <w:t>Footnotes</w:t>
      </w:r>
    </w:p>
    <w:p w14:paraId="157C4411" w14:textId="69E91639" w:rsidR="00837413" w:rsidRPr="00191031" w:rsidRDefault="00837413" w:rsidP="00837413">
      <w:pPr>
        <w:spacing w:after="0" w:line="300" w:lineRule="atLeast"/>
        <w:ind w:left="720" w:hanging="720"/>
        <w:jc w:val="both"/>
        <w:rPr>
          <w:rFonts w:ascii="Arial" w:hAnsi="Arial" w:cs="Arial"/>
          <w:sz w:val="16"/>
          <w:szCs w:val="16"/>
        </w:rPr>
      </w:pPr>
      <w:r w:rsidRPr="00191031">
        <w:rPr>
          <w:rFonts w:ascii="Arial" w:hAnsi="Arial" w:cs="Arial"/>
          <w:sz w:val="16"/>
          <w:szCs w:val="18"/>
        </w:rPr>
        <w:t>1</w:t>
      </w:r>
      <w:r w:rsidRPr="00191031">
        <w:rPr>
          <w:rFonts w:ascii="Arial" w:hAnsi="Arial" w:cs="Arial"/>
          <w:sz w:val="16"/>
          <w:szCs w:val="18"/>
        </w:rPr>
        <w:tab/>
      </w:r>
      <w:r w:rsidRPr="00191031">
        <w:rPr>
          <w:rFonts w:ascii="Arial" w:hAnsi="Arial" w:cs="Arial"/>
          <w:sz w:val="16"/>
          <w:szCs w:val="16"/>
        </w:rPr>
        <w:t xml:space="preserve">The estimates for releases in products have not been shown in the table because there are only </w:t>
      </w:r>
      <w:r w:rsidR="00933CE1">
        <w:rPr>
          <w:rFonts w:ascii="Arial" w:hAnsi="Arial" w:cs="Arial"/>
          <w:sz w:val="16"/>
          <w:szCs w:val="16"/>
        </w:rPr>
        <w:t xml:space="preserve">three </w:t>
      </w:r>
      <w:r w:rsidRPr="00191031">
        <w:rPr>
          <w:rFonts w:ascii="Arial" w:hAnsi="Arial" w:cs="Arial"/>
          <w:sz w:val="16"/>
          <w:szCs w:val="16"/>
        </w:rPr>
        <w:t>sources: brick production</w:t>
      </w:r>
      <w:r w:rsidR="00933CE1">
        <w:rPr>
          <w:rFonts w:ascii="Arial" w:hAnsi="Arial" w:cs="Arial"/>
          <w:sz w:val="16"/>
          <w:szCs w:val="16"/>
        </w:rPr>
        <w:t xml:space="preserve">, bleached kraft pulp production </w:t>
      </w:r>
      <w:r w:rsidRPr="00191031">
        <w:rPr>
          <w:rFonts w:ascii="Arial" w:hAnsi="Arial" w:cs="Arial"/>
          <w:sz w:val="16"/>
          <w:szCs w:val="16"/>
        </w:rPr>
        <w:t>and the use of the herbicide 2,4-D, with a total annual release of 0.</w:t>
      </w:r>
      <w:r w:rsidR="00933CE1">
        <w:rPr>
          <w:rFonts w:ascii="Arial" w:hAnsi="Arial" w:cs="Arial"/>
          <w:sz w:val="16"/>
          <w:szCs w:val="16"/>
        </w:rPr>
        <w:t>121</w:t>
      </w:r>
      <w:r w:rsidRPr="00191031">
        <w:rPr>
          <w:rFonts w:ascii="Arial" w:hAnsi="Arial" w:cs="Arial"/>
          <w:sz w:val="16"/>
          <w:szCs w:val="16"/>
        </w:rPr>
        <w:t xml:space="preserve">g TEQ for </w:t>
      </w:r>
      <w:r w:rsidR="00F20547">
        <w:rPr>
          <w:rFonts w:ascii="Arial" w:hAnsi="Arial" w:cs="Arial"/>
          <w:sz w:val="16"/>
          <w:szCs w:val="16"/>
        </w:rPr>
        <w:t>2020</w:t>
      </w:r>
    </w:p>
    <w:p w14:paraId="03633097" w14:textId="4CAD8A0A" w:rsidR="00837413" w:rsidRPr="00191031" w:rsidRDefault="00837413" w:rsidP="00837413">
      <w:pPr>
        <w:spacing w:after="0" w:line="300" w:lineRule="atLeast"/>
        <w:jc w:val="both"/>
        <w:rPr>
          <w:rFonts w:ascii="Arial" w:hAnsi="Arial" w:cs="Arial"/>
          <w:sz w:val="16"/>
          <w:szCs w:val="18"/>
        </w:rPr>
      </w:pPr>
      <w:r w:rsidRPr="00191031">
        <w:rPr>
          <w:rFonts w:ascii="Arial" w:hAnsi="Arial" w:cs="Arial"/>
          <w:sz w:val="16"/>
          <w:szCs w:val="18"/>
        </w:rPr>
        <w:t xml:space="preserve">2 </w:t>
      </w:r>
      <w:r w:rsidRPr="00191031">
        <w:rPr>
          <w:rFonts w:ascii="Arial" w:hAnsi="Arial" w:cs="Arial"/>
          <w:sz w:val="16"/>
          <w:szCs w:val="18"/>
        </w:rPr>
        <w:tab/>
        <w:t xml:space="preserve">This category covers school incinerators. </w:t>
      </w:r>
    </w:p>
    <w:p w14:paraId="5C1EFC0D" w14:textId="5983BC7D" w:rsidR="000D1AF6" w:rsidRPr="00191031" w:rsidRDefault="000D1AF6" w:rsidP="00837413">
      <w:pPr>
        <w:spacing w:after="0" w:line="300" w:lineRule="atLeast"/>
        <w:jc w:val="both"/>
        <w:rPr>
          <w:rFonts w:ascii="Arial" w:hAnsi="Arial" w:cs="Arial"/>
          <w:sz w:val="16"/>
          <w:szCs w:val="18"/>
        </w:rPr>
      </w:pPr>
      <w:r w:rsidRPr="00191031">
        <w:rPr>
          <w:rFonts w:ascii="Arial" w:hAnsi="Arial" w:cs="Arial"/>
          <w:sz w:val="16"/>
          <w:szCs w:val="18"/>
        </w:rPr>
        <w:t>3</w:t>
      </w:r>
      <w:r w:rsidRPr="00191031">
        <w:rPr>
          <w:rFonts w:ascii="Arial" w:hAnsi="Arial" w:cs="Arial"/>
          <w:sz w:val="16"/>
          <w:szCs w:val="18"/>
        </w:rPr>
        <w:tab/>
        <w:t>The sums of the figures in some columns may not agree exactly with the totals shown due to rounding effects.</w:t>
      </w:r>
    </w:p>
    <w:p w14:paraId="7FC32F8F" w14:textId="77777777" w:rsidR="009C4E50" w:rsidRPr="00AF1200" w:rsidRDefault="009C4E50" w:rsidP="009C4E50">
      <w:pPr>
        <w:rPr>
          <w:highlight w:val="yellow"/>
        </w:rPr>
      </w:pPr>
    </w:p>
    <w:p w14:paraId="7004FDD6" w14:textId="77777777" w:rsidR="009C4E50" w:rsidRPr="00AF1200" w:rsidRDefault="009C4E50" w:rsidP="009C4E50">
      <w:pPr>
        <w:rPr>
          <w:highlight w:val="yellow"/>
        </w:rPr>
        <w:sectPr w:rsidR="009C4E50" w:rsidRPr="00AF1200" w:rsidSect="00F22D0B">
          <w:headerReference w:type="even" r:id="rId41"/>
          <w:headerReference w:type="default" r:id="rId42"/>
          <w:footerReference w:type="default" r:id="rId43"/>
          <w:headerReference w:type="first" r:id="rId44"/>
          <w:endnotePr>
            <w:numFmt w:val="decimal"/>
          </w:endnotePr>
          <w:pgSz w:w="16840" w:h="11907" w:orient="landscape" w:code="9"/>
          <w:pgMar w:top="1418" w:right="1418" w:bottom="1418" w:left="1440" w:header="720" w:footer="720" w:gutter="0"/>
          <w:cols w:space="720"/>
          <w:docGrid w:linePitch="272"/>
        </w:sectPr>
      </w:pPr>
    </w:p>
    <w:p w14:paraId="42E16CA4" w14:textId="074B6B1F" w:rsidR="004A23C7" w:rsidRPr="00AF1200" w:rsidRDefault="004A23C7" w:rsidP="004A23C7">
      <w:pPr>
        <w:pStyle w:val="Heading1"/>
        <w:numPr>
          <w:ilvl w:val="0"/>
          <w:numId w:val="0"/>
        </w:numPr>
        <w:spacing w:after="360"/>
        <w:ind w:left="431" w:hanging="431"/>
        <w:rPr>
          <w:szCs w:val="18"/>
          <w:highlight w:val="yellow"/>
        </w:rPr>
      </w:pPr>
      <w:bookmarkStart w:id="537" w:name="_Toc112768182"/>
      <w:r w:rsidRPr="00191031">
        <w:lastRenderedPageBreak/>
        <w:t>Appendix 2: Total dioxin releases</w:t>
      </w:r>
      <w:bookmarkEnd w:id="537"/>
    </w:p>
    <w:tbl>
      <w:tblPr>
        <w:tblStyle w:val="TableGrid"/>
        <w:tblW w:w="0" w:type="auto"/>
        <w:tblLook w:val="04A0" w:firstRow="1" w:lastRow="0" w:firstColumn="1" w:lastColumn="0" w:noHBand="0" w:noVBand="1"/>
      </w:tblPr>
      <w:tblGrid>
        <w:gridCol w:w="2293"/>
        <w:gridCol w:w="2256"/>
        <w:gridCol w:w="2256"/>
        <w:gridCol w:w="2256"/>
      </w:tblGrid>
      <w:tr w:rsidR="004A23C7" w:rsidRPr="00AF1200" w14:paraId="6C67682D" w14:textId="77777777" w:rsidTr="0C34660A">
        <w:tc>
          <w:tcPr>
            <w:tcW w:w="2293" w:type="dxa"/>
          </w:tcPr>
          <w:p w14:paraId="26F5225F" w14:textId="636F3CAA" w:rsidR="004A23C7" w:rsidRPr="00AF1200" w:rsidRDefault="004A23C7" w:rsidP="009C4E50">
            <w:pPr>
              <w:rPr>
                <w:rFonts w:ascii="Arial" w:hAnsi="Arial" w:cs="Arial"/>
                <w:sz w:val="16"/>
                <w:szCs w:val="16"/>
                <w:highlight w:val="yellow"/>
              </w:rPr>
            </w:pPr>
            <w:r w:rsidRPr="00191031">
              <w:rPr>
                <w:rFonts w:ascii="Arial" w:hAnsi="Arial" w:cs="Arial"/>
                <w:sz w:val="16"/>
                <w:szCs w:val="16"/>
              </w:rPr>
              <w:t>Category</w:t>
            </w:r>
          </w:p>
        </w:tc>
        <w:tc>
          <w:tcPr>
            <w:tcW w:w="2256" w:type="dxa"/>
            <w:shd w:val="clear" w:color="auto" w:fill="auto"/>
          </w:tcPr>
          <w:p w14:paraId="3B8EF5CF" w14:textId="2DAA5A06" w:rsidR="002539C5" w:rsidRPr="00191031" w:rsidRDefault="002539C5" w:rsidP="002539C5">
            <w:pPr>
              <w:jc w:val="center"/>
              <w:rPr>
                <w:rFonts w:ascii="Arial" w:hAnsi="Arial" w:cs="Arial"/>
                <w:sz w:val="16"/>
                <w:szCs w:val="16"/>
              </w:rPr>
            </w:pPr>
            <w:r w:rsidRPr="00191031">
              <w:rPr>
                <w:rFonts w:ascii="Arial" w:hAnsi="Arial" w:cs="Arial"/>
                <w:sz w:val="16"/>
                <w:szCs w:val="16"/>
              </w:rPr>
              <w:t xml:space="preserve">Total Dioxin for </w:t>
            </w:r>
            <w:r w:rsidR="0074532F" w:rsidRPr="00191031">
              <w:rPr>
                <w:rFonts w:ascii="Arial" w:hAnsi="Arial" w:cs="Arial"/>
                <w:sz w:val="16"/>
                <w:szCs w:val="16"/>
              </w:rPr>
              <w:t>2012</w:t>
            </w:r>
          </w:p>
          <w:p w14:paraId="25344AF7" w14:textId="1D4424D0" w:rsidR="004A23C7" w:rsidRPr="00191031" w:rsidRDefault="002539C5" w:rsidP="002539C5">
            <w:pPr>
              <w:jc w:val="center"/>
              <w:rPr>
                <w:rFonts w:ascii="Arial" w:hAnsi="Arial" w:cs="Arial"/>
                <w:sz w:val="16"/>
                <w:szCs w:val="16"/>
              </w:rPr>
            </w:pPr>
            <w:r w:rsidRPr="00191031">
              <w:rPr>
                <w:rFonts w:ascii="Arial" w:hAnsi="Arial" w:cs="Arial"/>
                <w:sz w:val="16"/>
                <w:szCs w:val="16"/>
              </w:rPr>
              <w:t>(g TEQ / annum)</w:t>
            </w:r>
          </w:p>
        </w:tc>
        <w:tc>
          <w:tcPr>
            <w:tcW w:w="2256" w:type="dxa"/>
            <w:shd w:val="clear" w:color="auto" w:fill="auto"/>
          </w:tcPr>
          <w:p w14:paraId="0E003E37" w14:textId="7B4C5970" w:rsidR="002539C5" w:rsidRPr="00191031" w:rsidRDefault="002539C5" w:rsidP="002539C5">
            <w:pPr>
              <w:jc w:val="center"/>
              <w:rPr>
                <w:rFonts w:ascii="Arial" w:hAnsi="Arial" w:cs="Arial"/>
                <w:sz w:val="16"/>
                <w:szCs w:val="16"/>
              </w:rPr>
            </w:pPr>
            <w:r w:rsidRPr="00191031">
              <w:rPr>
                <w:rFonts w:ascii="Arial" w:hAnsi="Arial" w:cs="Arial"/>
                <w:sz w:val="16"/>
                <w:szCs w:val="16"/>
              </w:rPr>
              <w:t xml:space="preserve">Total Dioxin for </w:t>
            </w:r>
            <w:r w:rsidR="0074532F" w:rsidRPr="00191031">
              <w:rPr>
                <w:rFonts w:ascii="Arial" w:hAnsi="Arial" w:cs="Arial"/>
                <w:sz w:val="16"/>
                <w:szCs w:val="16"/>
              </w:rPr>
              <w:t>2016</w:t>
            </w:r>
          </w:p>
          <w:p w14:paraId="622C9EE6" w14:textId="3A5F7AE7" w:rsidR="004A23C7" w:rsidRPr="00191031" w:rsidRDefault="002539C5" w:rsidP="002539C5">
            <w:pPr>
              <w:jc w:val="center"/>
              <w:rPr>
                <w:rFonts w:ascii="Arial" w:hAnsi="Arial" w:cs="Arial"/>
                <w:sz w:val="16"/>
                <w:szCs w:val="16"/>
              </w:rPr>
            </w:pPr>
            <w:r w:rsidRPr="00191031">
              <w:rPr>
                <w:rFonts w:ascii="Arial" w:hAnsi="Arial" w:cs="Arial"/>
                <w:sz w:val="16"/>
                <w:szCs w:val="16"/>
              </w:rPr>
              <w:t>(g TEQ / annum)</w:t>
            </w:r>
          </w:p>
        </w:tc>
        <w:tc>
          <w:tcPr>
            <w:tcW w:w="2256" w:type="dxa"/>
            <w:shd w:val="clear" w:color="auto" w:fill="auto"/>
          </w:tcPr>
          <w:p w14:paraId="5AA3E7E8" w14:textId="3B1025E8" w:rsidR="002539C5" w:rsidRPr="00191031" w:rsidRDefault="002539C5" w:rsidP="002539C5">
            <w:pPr>
              <w:jc w:val="center"/>
              <w:rPr>
                <w:rFonts w:ascii="Arial" w:hAnsi="Arial" w:cs="Arial"/>
                <w:sz w:val="16"/>
                <w:szCs w:val="16"/>
              </w:rPr>
            </w:pPr>
            <w:r w:rsidRPr="00191031">
              <w:rPr>
                <w:rFonts w:ascii="Arial" w:hAnsi="Arial" w:cs="Arial"/>
                <w:sz w:val="16"/>
                <w:szCs w:val="16"/>
              </w:rPr>
              <w:t xml:space="preserve">Total Dioxin for </w:t>
            </w:r>
            <w:r w:rsidR="008175F1" w:rsidRPr="00191031">
              <w:rPr>
                <w:rFonts w:ascii="Arial" w:hAnsi="Arial" w:cs="Arial"/>
                <w:sz w:val="16"/>
                <w:szCs w:val="16"/>
              </w:rPr>
              <w:t>2020</w:t>
            </w:r>
          </w:p>
          <w:p w14:paraId="64D8CE18" w14:textId="5D0499FA" w:rsidR="004A23C7" w:rsidRPr="00191031" w:rsidRDefault="002539C5" w:rsidP="002539C5">
            <w:pPr>
              <w:jc w:val="center"/>
              <w:rPr>
                <w:rFonts w:ascii="Arial" w:hAnsi="Arial" w:cs="Arial"/>
                <w:sz w:val="16"/>
                <w:szCs w:val="16"/>
              </w:rPr>
            </w:pPr>
            <w:r w:rsidRPr="00191031">
              <w:rPr>
                <w:rFonts w:ascii="Arial" w:hAnsi="Arial" w:cs="Arial"/>
                <w:sz w:val="16"/>
                <w:szCs w:val="16"/>
              </w:rPr>
              <w:t>(g TEQ / annum)</w:t>
            </w:r>
          </w:p>
        </w:tc>
      </w:tr>
      <w:tr w:rsidR="00321762" w:rsidRPr="00AF1200" w14:paraId="303E5C7F" w14:textId="77777777" w:rsidTr="00075468">
        <w:tc>
          <w:tcPr>
            <w:tcW w:w="2293" w:type="dxa"/>
            <w:vAlign w:val="bottom"/>
          </w:tcPr>
          <w:p w14:paraId="1076E3C1" w14:textId="5E419EB4" w:rsidR="00321762" w:rsidRPr="00191031" w:rsidRDefault="00321762" w:rsidP="00321762">
            <w:pPr>
              <w:rPr>
                <w:rFonts w:ascii="Arial" w:hAnsi="Arial" w:cs="Arial"/>
                <w:sz w:val="16"/>
                <w:szCs w:val="16"/>
              </w:rPr>
            </w:pPr>
            <w:r w:rsidRPr="00191031">
              <w:rPr>
                <w:rFonts w:ascii="Arial" w:hAnsi="Arial" w:cs="Arial"/>
                <w:color w:val="000000"/>
                <w:sz w:val="16"/>
                <w:szCs w:val="16"/>
              </w:rPr>
              <w:t>Hazardous waste incineration</w:t>
            </w:r>
          </w:p>
        </w:tc>
        <w:tc>
          <w:tcPr>
            <w:tcW w:w="2256" w:type="dxa"/>
            <w:vAlign w:val="center"/>
          </w:tcPr>
          <w:p w14:paraId="3C0C255A" w14:textId="758B17C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0.000101</w:t>
            </w:r>
          </w:p>
        </w:tc>
        <w:tc>
          <w:tcPr>
            <w:tcW w:w="2256" w:type="dxa"/>
            <w:vAlign w:val="center"/>
          </w:tcPr>
          <w:p w14:paraId="3901B70D" w14:textId="741D5AEE"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0.000347</w:t>
            </w:r>
          </w:p>
        </w:tc>
        <w:tc>
          <w:tcPr>
            <w:tcW w:w="2256" w:type="dxa"/>
            <w:vAlign w:val="center"/>
          </w:tcPr>
          <w:p w14:paraId="11D840E5" w14:textId="25364AAF" w:rsidR="00321762" w:rsidRPr="00191031" w:rsidRDefault="00321762" w:rsidP="00075468">
            <w:pPr>
              <w:jc w:val="center"/>
              <w:rPr>
                <w:rFonts w:ascii="Arial" w:hAnsi="Arial" w:cs="Arial"/>
                <w:sz w:val="16"/>
                <w:szCs w:val="16"/>
              </w:rPr>
            </w:pPr>
            <w:r>
              <w:rPr>
                <w:rFonts w:ascii="Arial" w:hAnsi="Arial" w:cs="Arial"/>
                <w:color w:val="000000"/>
                <w:sz w:val="16"/>
                <w:szCs w:val="16"/>
              </w:rPr>
              <w:t>0.000006</w:t>
            </w:r>
          </w:p>
        </w:tc>
      </w:tr>
      <w:tr w:rsidR="00321762" w:rsidRPr="00AF1200" w14:paraId="0B076FEA" w14:textId="77777777" w:rsidTr="00075468">
        <w:tc>
          <w:tcPr>
            <w:tcW w:w="2293" w:type="dxa"/>
            <w:vAlign w:val="bottom"/>
          </w:tcPr>
          <w:p w14:paraId="5614710B" w14:textId="16724B37" w:rsidR="00321762" w:rsidRPr="00191031" w:rsidRDefault="00321762" w:rsidP="00321762">
            <w:pPr>
              <w:rPr>
                <w:rFonts w:ascii="Arial" w:hAnsi="Arial" w:cs="Arial"/>
                <w:sz w:val="16"/>
                <w:szCs w:val="16"/>
              </w:rPr>
            </w:pPr>
            <w:r w:rsidRPr="00191031">
              <w:rPr>
                <w:rFonts w:ascii="Arial" w:hAnsi="Arial" w:cs="Arial"/>
                <w:color w:val="000000"/>
                <w:sz w:val="16"/>
                <w:szCs w:val="16"/>
              </w:rPr>
              <w:t>Medical waste incineration</w:t>
            </w:r>
          </w:p>
        </w:tc>
        <w:tc>
          <w:tcPr>
            <w:tcW w:w="2256" w:type="dxa"/>
            <w:vAlign w:val="center"/>
          </w:tcPr>
          <w:p w14:paraId="6941A602" w14:textId="2EDBD68B"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0.661</w:t>
            </w:r>
          </w:p>
        </w:tc>
        <w:tc>
          <w:tcPr>
            <w:tcW w:w="2256" w:type="dxa"/>
            <w:vAlign w:val="center"/>
          </w:tcPr>
          <w:p w14:paraId="168A93F7" w14:textId="42C26A7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0.23</w:t>
            </w:r>
            <w:r w:rsidR="00831D0D">
              <w:rPr>
                <w:rFonts w:ascii="Arial" w:hAnsi="Arial" w:cs="Arial"/>
                <w:color w:val="000000"/>
                <w:sz w:val="16"/>
                <w:szCs w:val="16"/>
              </w:rPr>
              <w:t>6</w:t>
            </w:r>
          </w:p>
        </w:tc>
        <w:tc>
          <w:tcPr>
            <w:tcW w:w="2256" w:type="dxa"/>
            <w:vAlign w:val="center"/>
          </w:tcPr>
          <w:p w14:paraId="5D5B1A29" w14:textId="377B1426" w:rsidR="00321762" w:rsidRPr="00191031" w:rsidRDefault="00321762" w:rsidP="00075468">
            <w:pPr>
              <w:jc w:val="center"/>
              <w:rPr>
                <w:rFonts w:ascii="Arial" w:hAnsi="Arial" w:cs="Arial"/>
                <w:sz w:val="16"/>
                <w:szCs w:val="16"/>
              </w:rPr>
            </w:pPr>
            <w:r>
              <w:rPr>
                <w:rFonts w:ascii="Arial" w:hAnsi="Arial" w:cs="Arial"/>
                <w:color w:val="000000"/>
                <w:sz w:val="16"/>
                <w:szCs w:val="16"/>
              </w:rPr>
              <w:t>0.</w:t>
            </w:r>
            <w:r w:rsidR="00831D0D">
              <w:rPr>
                <w:rFonts w:ascii="Arial" w:hAnsi="Arial" w:cs="Arial"/>
                <w:color w:val="000000"/>
                <w:sz w:val="16"/>
                <w:szCs w:val="16"/>
              </w:rPr>
              <w:t>236</w:t>
            </w:r>
          </w:p>
        </w:tc>
      </w:tr>
      <w:tr w:rsidR="00321762" w:rsidRPr="00AF1200" w14:paraId="496C8315" w14:textId="77777777" w:rsidTr="00075468">
        <w:tc>
          <w:tcPr>
            <w:tcW w:w="2293" w:type="dxa"/>
            <w:vAlign w:val="bottom"/>
          </w:tcPr>
          <w:p w14:paraId="375D0F64" w14:textId="39BC3F11" w:rsidR="00321762" w:rsidRPr="00191031" w:rsidRDefault="00321762" w:rsidP="00321762">
            <w:pPr>
              <w:rPr>
                <w:rFonts w:ascii="Arial" w:hAnsi="Arial" w:cs="Arial"/>
                <w:sz w:val="16"/>
                <w:szCs w:val="16"/>
              </w:rPr>
            </w:pPr>
            <w:r w:rsidRPr="00191031">
              <w:rPr>
                <w:rFonts w:ascii="Arial" w:hAnsi="Arial" w:cs="Arial"/>
                <w:color w:val="000000"/>
                <w:sz w:val="16"/>
                <w:szCs w:val="16"/>
              </w:rPr>
              <w:t>Sewage sludge incineration</w:t>
            </w:r>
          </w:p>
        </w:tc>
        <w:tc>
          <w:tcPr>
            <w:tcW w:w="2256" w:type="dxa"/>
            <w:vAlign w:val="center"/>
          </w:tcPr>
          <w:p w14:paraId="08244FB1" w14:textId="07C0C322"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0.000947</w:t>
            </w:r>
          </w:p>
        </w:tc>
        <w:tc>
          <w:tcPr>
            <w:tcW w:w="2256" w:type="dxa"/>
            <w:vAlign w:val="center"/>
          </w:tcPr>
          <w:p w14:paraId="7411DD0A" w14:textId="090AB437"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0.00094</w:t>
            </w:r>
            <w:r w:rsidR="00831D0D">
              <w:rPr>
                <w:rFonts w:ascii="Arial" w:hAnsi="Arial" w:cs="Arial"/>
                <w:color w:val="000000"/>
                <w:sz w:val="16"/>
                <w:szCs w:val="16"/>
              </w:rPr>
              <w:t>7</w:t>
            </w:r>
          </w:p>
        </w:tc>
        <w:tc>
          <w:tcPr>
            <w:tcW w:w="2256" w:type="dxa"/>
            <w:vAlign w:val="center"/>
          </w:tcPr>
          <w:p w14:paraId="6C59BB1F" w14:textId="7AB052AE" w:rsidR="00321762" w:rsidRPr="00191031" w:rsidRDefault="00831D0D" w:rsidP="00075468">
            <w:pPr>
              <w:jc w:val="center"/>
              <w:rPr>
                <w:rFonts w:ascii="Arial" w:hAnsi="Arial" w:cs="Arial"/>
                <w:sz w:val="16"/>
                <w:szCs w:val="16"/>
              </w:rPr>
            </w:pPr>
            <w:r>
              <w:rPr>
                <w:rFonts w:ascii="Arial" w:hAnsi="Arial" w:cs="Arial"/>
                <w:color w:val="000000"/>
                <w:sz w:val="16"/>
                <w:szCs w:val="16"/>
              </w:rPr>
              <w:t>0.00117</w:t>
            </w:r>
          </w:p>
        </w:tc>
      </w:tr>
      <w:tr w:rsidR="00321762" w:rsidRPr="00AF1200" w14:paraId="1DBF0040" w14:textId="77777777" w:rsidTr="00075468">
        <w:tc>
          <w:tcPr>
            <w:tcW w:w="2293" w:type="dxa"/>
            <w:vAlign w:val="bottom"/>
          </w:tcPr>
          <w:p w14:paraId="62ED88FB" w14:textId="05CC50F6" w:rsidR="00321762" w:rsidRPr="00191031" w:rsidRDefault="00321762" w:rsidP="00321762">
            <w:pPr>
              <w:rPr>
                <w:rFonts w:ascii="Arial" w:hAnsi="Arial" w:cs="Arial"/>
                <w:sz w:val="16"/>
                <w:szCs w:val="16"/>
              </w:rPr>
            </w:pPr>
            <w:r w:rsidRPr="00191031">
              <w:rPr>
                <w:rFonts w:ascii="Arial" w:hAnsi="Arial" w:cs="Arial"/>
                <w:color w:val="000000"/>
                <w:sz w:val="16"/>
                <w:szCs w:val="16"/>
              </w:rPr>
              <w:t>Wood and biomass incineration</w:t>
            </w:r>
          </w:p>
        </w:tc>
        <w:tc>
          <w:tcPr>
            <w:tcW w:w="2256" w:type="dxa"/>
            <w:vAlign w:val="center"/>
          </w:tcPr>
          <w:p w14:paraId="4DACE28B" w14:textId="5960DFF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0.063</w:t>
            </w:r>
          </w:p>
        </w:tc>
        <w:tc>
          <w:tcPr>
            <w:tcW w:w="2256" w:type="dxa"/>
            <w:vAlign w:val="center"/>
          </w:tcPr>
          <w:p w14:paraId="7C7BD4C5" w14:textId="747CB8DB"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0.045</w:t>
            </w:r>
          </w:p>
        </w:tc>
        <w:tc>
          <w:tcPr>
            <w:tcW w:w="2256" w:type="dxa"/>
            <w:vAlign w:val="center"/>
          </w:tcPr>
          <w:p w14:paraId="359E8772" w14:textId="6FCC9740" w:rsidR="00321762" w:rsidRPr="00191031" w:rsidRDefault="00831D0D" w:rsidP="00075468">
            <w:pPr>
              <w:jc w:val="center"/>
              <w:rPr>
                <w:rFonts w:ascii="Arial" w:hAnsi="Arial" w:cs="Arial"/>
                <w:sz w:val="16"/>
                <w:szCs w:val="16"/>
              </w:rPr>
            </w:pPr>
            <w:r>
              <w:rPr>
                <w:rFonts w:ascii="Arial" w:hAnsi="Arial" w:cs="Arial"/>
                <w:color w:val="000000"/>
                <w:sz w:val="16"/>
                <w:szCs w:val="16"/>
              </w:rPr>
              <w:t>0.012</w:t>
            </w:r>
          </w:p>
        </w:tc>
      </w:tr>
      <w:tr w:rsidR="00321762" w:rsidRPr="00AF1200" w14:paraId="601447C5" w14:textId="77777777" w:rsidTr="00075468">
        <w:tc>
          <w:tcPr>
            <w:tcW w:w="2293" w:type="dxa"/>
            <w:vAlign w:val="bottom"/>
          </w:tcPr>
          <w:p w14:paraId="437956F0" w14:textId="0A4AA26C" w:rsidR="00321762" w:rsidRPr="00191031" w:rsidRDefault="00321762" w:rsidP="00321762">
            <w:pPr>
              <w:rPr>
                <w:rFonts w:ascii="Arial" w:hAnsi="Arial" w:cs="Arial"/>
                <w:sz w:val="16"/>
                <w:szCs w:val="16"/>
              </w:rPr>
            </w:pPr>
            <w:r w:rsidRPr="00191031">
              <w:rPr>
                <w:rFonts w:ascii="Arial" w:hAnsi="Arial" w:cs="Arial"/>
                <w:color w:val="000000"/>
                <w:sz w:val="16"/>
                <w:szCs w:val="16"/>
              </w:rPr>
              <w:t>Destruction of animal carcasses</w:t>
            </w:r>
          </w:p>
        </w:tc>
        <w:tc>
          <w:tcPr>
            <w:tcW w:w="2256" w:type="dxa"/>
            <w:vAlign w:val="center"/>
          </w:tcPr>
          <w:p w14:paraId="21091E2A" w14:textId="16D36F75"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0.116</w:t>
            </w:r>
          </w:p>
        </w:tc>
        <w:tc>
          <w:tcPr>
            <w:tcW w:w="2256" w:type="dxa"/>
            <w:vAlign w:val="center"/>
          </w:tcPr>
          <w:p w14:paraId="75D6F717" w14:textId="4867A30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0.116</w:t>
            </w:r>
          </w:p>
        </w:tc>
        <w:tc>
          <w:tcPr>
            <w:tcW w:w="2256" w:type="dxa"/>
            <w:vAlign w:val="center"/>
          </w:tcPr>
          <w:p w14:paraId="52D21248" w14:textId="4AE76232" w:rsidR="00321762" w:rsidRPr="00191031" w:rsidRDefault="00831D0D" w:rsidP="00075468">
            <w:pPr>
              <w:jc w:val="center"/>
              <w:rPr>
                <w:rFonts w:ascii="Arial" w:hAnsi="Arial" w:cs="Arial"/>
                <w:sz w:val="16"/>
                <w:szCs w:val="16"/>
              </w:rPr>
            </w:pPr>
            <w:r>
              <w:rPr>
                <w:rFonts w:ascii="Arial" w:hAnsi="Arial" w:cs="Arial"/>
                <w:color w:val="000000"/>
                <w:sz w:val="16"/>
                <w:szCs w:val="16"/>
              </w:rPr>
              <w:t>0.255</w:t>
            </w:r>
          </w:p>
        </w:tc>
      </w:tr>
      <w:tr w:rsidR="00321762" w:rsidRPr="00AF1200" w14:paraId="6D8DB5E4" w14:textId="77777777" w:rsidTr="00075468">
        <w:tc>
          <w:tcPr>
            <w:tcW w:w="2293" w:type="dxa"/>
            <w:vAlign w:val="bottom"/>
          </w:tcPr>
          <w:p w14:paraId="051234D3" w14:textId="6C45AD6C" w:rsidR="00321762" w:rsidRPr="00191031" w:rsidRDefault="00321762" w:rsidP="00321762">
            <w:pPr>
              <w:rPr>
                <w:rFonts w:ascii="Arial" w:hAnsi="Arial" w:cs="Arial"/>
                <w:sz w:val="16"/>
                <w:szCs w:val="16"/>
              </w:rPr>
            </w:pPr>
            <w:r w:rsidRPr="00191031">
              <w:rPr>
                <w:rFonts w:ascii="Arial" w:hAnsi="Arial" w:cs="Arial"/>
                <w:color w:val="000000"/>
                <w:sz w:val="16"/>
                <w:szCs w:val="16"/>
              </w:rPr>
              <w:t>Primary iron &amp; steel production</w:t>
            </w:r>
          </w:p>
        </w:tc>
        <w:tc>
          <w:tcPr>
            <w:tcW w:w="2256" w:type="dxa"/>
            <w:vAlign w:val="center"/>
          </w:tcPr>
          <w:p w14:paraId="2681377B" w14:textId="29AEF9A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0.302</w:t>
            </w:r>
          </w:p>
        </w:tc>
        <w:tc>
          <w:tcPr>
            <w:tcW w:w="2256" w:type="dxa"/>
            <w:vAlign w:val="center"/>
          </w:tcPr>
          <w:p w14:paraId="463A1F55" w14:textId="38AC14D8"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0.36</w:t>
            </w:r>
            <w:r w:rsidR="00831D0D">
              <w:rPr>
                <w:rFonts w:ascii="Arial" w:hAnsi="Arial" w:cs="Arial"/>
                <w:color w:val="000000"/>
                <w:sz w:val="16"/>
                <w:szCs w:val="16"/>
              </w:rPr>
              <w:t>7</w:t>
            </w:r>
          </w:p>
        </w:tc>
        <w:tc>
          <w:tcPr>
            <w:tcW w:w="2256" w:type="dxa"/>
            <w:vAlign w:val="center"/>
          </w:tcPr>
          <w:p w14:paraId="3ED0DBD1" w14:textId="3CA87D82" w:rsidR="00321762" w:rsidRPr="00191031" w:rsidRDefault="00831D0D" w:rsidP="00075468">
            <w:pPr>
              <w:jc w:val="center"/>
              <w:rPr>
                <w:rFonts w:ascii="Arial" w:hAnsi="Arial" w:cs="Arial"/>
                <w:sz w:val="16"/>
                <w:szCs w:val="16"/>
              </w:rPr>
            </w:pPr>
            <w:r>
              <w:rPr>
                <w:rFonts w:ascii="Arial" w:hAnsi="Arial" w:cs="Arial"/>
                <w:color w:val="000000"/>
                <w:sz w:val="16"/>
                <w:szCs w:val="16"/>
              </w:rPr>
              <w:t>0.185</w:t>
            </w:r>
          </w:p>
        </w:tc>
      </w:tr>
      <w:tr w:rsidR="00321762" w:rsidRPr="00AF1200" w14:paraId="238D89A2" w14:textId="77777777" w:rsidTr="00075468">
        <w:tc>
          <w:tcPr>
            <w:tcW w:w="2293" w:type="dxa"/>
            <w:vAlign w:val="bottom"/>
          </w:tcPr>
          <w:p w14:paraId="7087EB47" w14:textId="481AFE2C" w:rsidR="00321762" w:rsidRPr="00191031" w:rsidRDefault="00321762" w:rsidP="00321762">
            <w:pPr>
              <w:rPr>
                <w:rFonts w:ascii="Arial" w:hAnsi="Arial" w:cs="Arial"/>
                <w:sz w:val="16"/>
                <w:szCs w:val="16"/>
              </w:rPr>
            </w:pPr>
            <w:r w:rsidRPr="00191031">
              <w:rPr>
                <w:rFonts w:ascii="Arial" w:hAnsi="Arial" w:cs="Arial"/>
                <w:color w:val="000000"/>
                <w:sz w:val="16"/>
                <w:szCs w:val="16"/>
              </w:rPr>
              <w:t>Secondary iron &amp; steel production</w:t>
            </w:r>
          </w:p>
        </w:tc>
        <w:tc>
          <w:tcPr>
            <w:tcW w:w="2256" w:type="dxa"/>
            <w:vAlign w:val="center"/>
          </w:tcPr>
          <w:p w14:paraId="295A01F3" w14:textId="1646E7F1"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2.836</w:t>
            </w:r>
          </w:p>
        </w:tc>
        <w:tc>
          <w:tcPr>
            <w:tcW w:w="2256" w:type="dxa"/>
            <w:vAlign w:val="center"/>
          </w:tcPr>
          <w:p w14:paraId="7D098431" w14:textId="393CB55C"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w:t>
            </w:r>
          </w:p>
        </w:tc>
        <w:tc>
          <w:tcPr>
            <w:tcW w:w="2256" w:type="dxa"/>
            <w:vAlign w:val="center"/>
          </w:tcPr>
          <w:p w14:paraId="71213F7D" w14:textId="690655B9" w:rsidR="00321762" w:rsidRPr="00191031" w:rsidRDefault="00321762" w:rsidP="00075468">
            <w:pPr>
              <w:jc w:val="center"/>
              <w:rPr>
                <w:rFonts w:ascii="Arial" w:hAnsi="Arial" w:cs="Arial"/>
                <w:sz w:val="16"/>
                <w:szCs w:val="16"/>
              </w:rPr>
            </w:pPr>
          </w:p>
        </w:tc>
      </w:tr>
      <w:tr w:rsidR="00321762" w:rsidRPr="00AF1200" w14:paraId="4A70C1EB" w14:textId="77777777" w:rsidTr="00075468">
        <w:tc>
          <w:tcPr>
            <w:tcW w:w="2293" w:type="dxa"/>
            <w:vAlign w:val="bottom"/>
          </w:tcPr>
          <w:p w14:paraId="07E5E2FF" w14:textId="4E95B414" w:rsidR="00321762" w:rsidRPr="00191031" w:rsidRDefault="00321762" w:rsidP="00321762">
            <w:pPr>
              <w:rPr>
                <w:rFonts w:ascii="Arial" w:hAnsi="Arial" w:cs="Arial"/>
                <w:sz w:val="16"/>
                <w:szCs w:val="16"/>
              </w:rPr>
            </w:pPr>
            <w:r w:rsidRPr="00191031">
              <w:rPr>
                <w:rFonts w:ascii="Arial" w:hAnsi="Arial" w:cs="Arial"/>
                <w:color w:val="000000"/>
                <w:sz w:val="16"/>
                <w:szCs w:val="16"/>
              </w:rPr>
              <w:t>Iron foundries</w:t>
            </w:r>
          </w:p>
        </w:tc>
        <w:tc>
          <w:tcPr>
            <w:tcW w:w="2256" w:type="dxa"/>
            <w:vAlign w:val="center"/>
          </w:tcPr>
          <w:p w14:paraId="19420DA2" w14:textId="3313891A"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0.214</w:t>
            </w:r>
          </w:p>
        </w:tc>
        <w:tc>
          <w:tcPr>
            <w:tcW w:w="2256" w:type="dxa"/>
            <w:vAlign w:val="center"/>
          </w:tcPr>
          <w:p w14:paraId="1611ADC9" w14:textId="0F7F7DB2"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0.142</w:t>
            </w:r>
          </w:p>
        </w:tc>
        <w:tc>
          <w:tcPr>
            <w:tcW w:w="2256" w:type="dxa"/>
            <w:vAlign w:val="center"/>
          </w:tcPr>
          <w:p w14:paraId="3F44B8C2" w14:textId="2905C193" w:rsidR="00321762" w:rsidRPr="00191031" w:rsidRDefault="00831D0D" w:rsidP="00075468">
            <w:pPr>
              <w:jc w:val="center"/>
              <w:rPr>
                <w:rFonts w:ascii="Arial" w:hAnsi="Arial" w:cs="Arial"/>
                <w:sz w:val="16"/>
                <w:szCs w:val="16"/>
              </w:rPr>
            </w:pPr>
            <w:r>
              <w:rPr>
                <w:rFonts w:ascii="Arial" w:hAnsi="Arial" w:cs="Arial"/>
                <w:color w:val="000000"/>
                <w:sz w:val="16"/>
                <w:szCs w:val="16"/>
              </w:rPr>
              <w:t>0.0214</w:t>
            </w:r>
          </w:p>
        </w:tc>
      </w:tr>
      <w:tr w:rsidR="00321762" w:rsidRPr="00AF1200" w14:paraId="0B32D2FE" w14:textId="77777777" w:rsidTr="00075468">
        <w:tc>
          <w:tcPr>
            <w:tcW w:w="2293" w:type="dxa"/>
            <w:vAlign w:val="bottom"/>
          </w:tcPr>
          <w:p w14:paraId="62CC2D3C" w14:textId="602A31CA" w:rsidR="00321762" w:rsidRPr="00191031" w:rsidRDefault="00321762" w:rsidP="00321762">
            <w:pPr>
              <w:rPr>
                <w:rFonts w:ascii="Arial" w:hAnsi="Arial" w:cs="Arial"/>
                <w:sz w:val="16"/>
                <w:szCs w:val="16"/>
              </w:rPr>
            </w:pPr>
            <w:r w:rsidRPr="00191031">
              <w:rPr>
                <w:rFonts w:ascii="Arial" w:hAnsi="Arial" w:cs="Arial"/>
                <w:color w:val="000000"/>
                <w:sz w:val="16"/>
                <w:szCs w:val="16"/>
              </w:rPr>
              <w:t>Galvanising</w:t>
            </w:r>
          </w:p>
        </w:tc>
        <w:tc>
          <w:tcPr>
            <w:tcW w:w="2256" w:type="dxa"/>
            <w:vAlign w:val="center"/>
          </w:tcPr>
          <w:p w14:paraId="4DF040F8" w14:textId="5CDFE8C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0.2506</w:t>
            </w:r>
          </w:p>
        </w:tc>
        <w:tc>
          <w:tcPr>
            <w:tcW w:w="2256" w:type="dxa"/>
            <w:vAlign w:val="center"/>
          </w:tcPr>
          <w:p w14:paraId="14F952B2" w14:textId="14F3472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0.2753</w:t>
            </w:r>
          </w:p>
        </w:tc>
        <w:tc>
          <w:tcPr>
            <w:tcW w:w="2256" w:type="dxa"/>
            <w:vAlign w:val="center"/>
          </w:tcPr>
          <w:p w14:paraId="3BE64005" w14:textId="53FEA4D3" w:rsidR="00321762" w:rsidRPr="00191031" w:rsidRDefault="00D61529" w:rsidP="00075468">
            <w:pPr>
              <w:jc w:val="center"/>
              <w:rPr>
                <w:rFonts w:ascii="Arial" w:hAnsi="Arial" w:cs="Arial"/>
                <w:sz w:val="16"/>
                <w:szCs w:val="16"/>
              </w:rPr>
            </w:pPr>
            <w:r>
              <w:rPr>
                <w:rFonts w:ascii="Arial" w:hAnsi="Arial" w:cs="Arial"/>
                <w:color w:val="000000"/>
                <w:sz w:val="16"/>
                <w:szCs w:val="16"/>
              </w:rPr>
              <w:t>0.267</w:t>
            </w:r>
          </w:p>
        </w:tc>
      </w:tr>
      <w:tr w:rsidR="00321762" w:rsidRPr="00AF1200" w14:paraId="7FE99E53" w14:textId="77777777" w:rsidTr="00075468">
        <w:tc>
          <w:tcPr>
            <w:tcW w:w="2293" w:type="dxa"/>
            <w:vAlign w:val="bottom"/>
          </w:tcPr>
          <w:p w14:paraId="37D4FF37" w14:textId="4DC4FA02" w:rsidR="00321762" w:rsidRPr="00191031" w:rsidRDefault="00321762" w:rsidP="00321762">
            <w:pPr>
              <w:rPr>
                <w:rFonts w:ascii="Arial" w:hAnsi="Arial" w:cs="Arial"/>
                <w:sz w:val="16"/>
                <w:szCs w:val="16"/>
              </w:rPr>
            </w:pPr>
            <w:r w:rsidRPr="00191031">
              <w:rPr>
                <w:rFonts w:ascii="Arial" w:hAnsi="Arial" w:cs="Arial"/>
                <w:color w:val="000000"/>
                <w:sz w:val="16"/>
                <w:szCs w:val="16"/>
              </w:rPr>
              <w:t>Secondary aluminium production</w:t>
            </w:r>
          </w:p>
        </w:tc>
        <w:tc>
          <w:tcPr>
            <w:tcW w:w="2256" w:type="dxa"/>
            <w:vAlign w:val="center"/>
          </w:tcPr>
          <w:p w14:paraId="014FA984" w14:textId="6B0608D1"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4.094</w:t>
            </w:r>
          </w:p>
        </w:tc>
        <w:tc>
          <w:tcPr>
            <w:tcW w:w="2256" w:type="dxa"/>
            <w:vAlign w:val="center"/>
          </w:tcPr>
          <w:p w14:paraId="6826D9D5" w14:textId="618D35C8"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3.669</w:t>
            </w:r>
          </w:p>
        </w:tc>
        <w:tc>
          <w:tcPr>
            <w:tcW w:w="2256" w:type="dxa"/>
            <w:vAlign w:val="center"/>
          </w:tcPr>
          <w:p w14:paraId="357FB904" w14:textId="01551D3D" w:rsidR="00321762" w:rsidRPr="00191031" w:rsidRDefault="00D61529" w:rsidP="00075468">
            <w:pPr>
              <w:jc w:val="center"/>
              <w:rPr>
                <w:rFonts w:ascii="Arial" w:hAnsi="Arial" w:cs="Arial"/>
                <w:sz w:val="16"/>
                <w:szCs w:val="16"/>
              </w:rPr>
            </w:pPr>
            <w:r>
              <w:rPr>
                <w:rFonts w:ascii="Arial" w:hAnsi="Arial" w:cs="Arial"/>
                <w:color w:val="000000"/>
                <w:sz w:val="16"/>
                <w:szCs w:val="16"/>
              </w:rPr>
              <w:t>2.195</w:t>
            </w:r>
          </w:p>
        </w:tc>
      </w:tr>
      <w:tr w:rsidR="00321762" w:rsidRPr="00AF1200" w14:paraId="34697B17" w14:textId="77777777" w:rsidTr="00075468">
        <w:tc>
          <w:tcPr>
            <w:tcW w:w="2293" w:type="dxa"/>
            <w:vAlign w:val="bottom"/>
          </w:tcPr>
          <w:p w14:paraId="406BC81E" w14:textId="18B80096" w:rsidR="00321762" w:rsidRPr="00191031" w:rsidRDefault="00321762" w:rsidP="00321762">
            <w:pPr>
              <w:rPr>
                <w:rFonts w:ascii="Arial" w:hAnsi="Arial" w:cs="Arial"/>
                <w:sz w:val="16"/>
                <w:szCs w:val="16"/>
              </w:rPr>
            </w:pPr>
            <w:r w:rsidRPr="00191031">
              <w:rPr>
                <w:rFonts w:ascii="Arial" w:hAnsi="Arial" w:cs="Arial"/>
                <w:color w:val="000000"/>
                <w:sz w:val="16"/>
                <w:szCs w:val="16"/>
              </w:rPr>
              <w:t>Lead production</w:t>
            </w:r>
          </w:p>
        </w:tc>
        <w:tc>
          <w:tcPr>
            <w:tcW w:w="2256" w:type="dxa"/>
            <w:vAlign w:val="center"/>
          </w:tcPr>
          <w:p w14:paraId="01E90B62" w14:textId="394F6FF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w:t>
            </w:r>
          </w:p>
        </w:tc>
        <w:tc>
          <w:tcPr>
            <w:tcW w:w="2256" w:type="dxa"/>
            <w:vAlign w:val="center"/>
          </w:tcPr>
          <w:p w14:paraId="646651F7" w14:textId="37886460"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w:t>
            </w:r>
          </w:p>
        </w:tc>
        <w:tc>
          <w:tcPr>
            <w:tcW w:w="2256" w:type="dxa"/>
            <w:vAlign w:val="center"/>
          </w:tcPr>
          <w:p w14:paraId="446366BF" w14:textId="067F9AE8" w:rsidR="00321762" w:rsidRPr="00191031" w:rsidRDefault="00321762" w:rsidP="00075468">
            <w:pPr>
              <w:jc w:val="center"/>
              <w:rPr>
                <w:rFonts w:ascii="Arial" w:hAnsi="Arial" w:cs="Arial"/>
                <w:sz w:val="16"/>
                <w:szCs w:val="16"/>
              </w:rPr>
            </w:pPr>
          </w:p>
        </w:tc>
      </w:tr>
      <w:tr w:rsidR="00321762" w:rsidRPr="00AF1200" w14:paraId="351266DC" w14:textId="77777777" w:rsidTr="00075468">
        <w:tc>
          <w:tcPr>
            <w:tcW w:w="2293" w:type="dxa"/>
            <w:vAlign w:val="bottom"/>
          </w:tcPr>
          <w:p w14:paraId="4DA3E2B1" w14:textId="65FB3682" w:rsidR="00321762" w:rsidRPr="00191031" w:rsidRDefault="00321762" w:rsidP="00321762">
            <w:pPr>
              <w:rPr>
                <w:rFonts w:ascii="Arial" w:hAnsi="Arial" w:cs="Arial"/>
                <w:sz w:val="16"/>
                <w:szCs w:val="16"/>
              </w:rPr>
            </w:pPr>
            <w:r w:rsidRPr="00191031">
              <w:rPr>
                <w:rFonts w:ascii="Arial" w:hAnsi="Arial" w:cs="Arial"/>
                <w:color w:val="000000"/>
                <w:sz w:val="16"/>
                <w:szCs w:val="16"/>
              </w:rPr>
              <w:t>Brass and bronze production</w:t>
            </w:r>
          </w:p>
        </w:tc>
        <w:tc>
          <w:tcPr>
            <w:tcW w:w="2256" w:type="dxa"/>
            <w:vAlign w:val="center"/>
          </w:tcPr>
          <w:p w14:paraId="233C8921" w14:textId="68667C90"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1.035</w:t>
            </w:r>
          </w:p>
        </w:tc>
        <w:tc>
          <w:tcPr>
            <w:tcW w:w="2256" w:type="dxa"/>
            <w:vAlign w:val="center"/>
          </w:tcPr>
          <w:p w14:paraId="64656EE2" w14:textId="3EC588B0"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0.337</w:t>
            </w:r>
          </w:p>
        </w:tc>
        <w:tc>
          <w:tcPr>
            <w:tcW w:w="2256" w:type="dxa"/>
            <w:vAlign w:val="center"/>
          </w:tcPr>
          <w:p w14:paraId="225BC146" w14:textId="3B19A2C0" w:rsidR="00321762" w:rsidRPr="00191031" w:rsidRDefault="00D61529" w:rsidP="00075468">
            <w:pPr>
              <w:jc w:val="center"/>
              <w:rPr>
                <w:rFonts w:ascii="Arial" w:hAnsi="Arial" w:cs="Arial"/>
                <w:sz w:val="16"/>
                <w:szCs w:val="16"/>
              </w:rPr>
            </w:pPr>
            <w:r>
              <w:rPr>
                <w:rFonts w:ascii="Arial" w:hAnsi="Arial" w:cs="Arial"/>
                <w:color w:val="000000"/>
                <w:sz w:val="16"/>
                <w:szCs w:val="16"/>
              </w:rPr>
              <w:t>0.185</w:t>
            </w:r>
          </w:p>
        </w:tc>
      </w:tr>
      <w:tr w:rsidR="00321762" w:rsidRPr="00AF1200" w14:paraId="79397CA1" w14:textId="77777777" w:rsidTr="00075468">
        <w:tc>
          <w:tcPr>
            <w:tcW w:w="2293" w:type="dxa"/>
            <w:vAlign w:val="bottom"/>
          </w:tcPr>
          <w:p w14:paraId="1E00C3E4" w14:textId="71670605" w:rsidR="00321762" w:rsidRPr="00191031" w:rsidRDefault="00321762" w:rsidP="00321762">
            <w:pPr>
              <w:rPr>
                <w:rFonts w:ascii="Arial" w:hAnsi="Arial" w:cs="Arial"/>
                <w:sz w:val="16"/>
                <w:szCs w:val="16"/>
              </w:rPr>
            </w:pPr>
            <w:r w:rsidRPr="00191031">
              <w:rPr>
                <w:rFonts w:ascii="Arial" w:hAnsi="Arial" w:cs="Arial"/>
                <w:color w:val="000000"/>
                <w:sz w:val="16"/>
                <w:szCs w:val="16"/>
              </w:rPr>
              <w:t>Metal shredding</w:t>
            </w:r>
          </w:p>
        </w:tc>
        <w:tc>
          <w:tcPr>
            <w:tcW w:w="2256" w:type="dxa"/>
            <w:vAlign w:val="center"/>
          </w:tcPr>
          <w:p w14:paraId="1E67BDA0" w14:textId="61857F48"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1.82</w:t>
            </w:r>
          </w:p>
        </w:tc>
        <w:tc>
          <w:tcPr>
            <w:tcW w:w="2256" w:type="dxa"/>
            <w:vAlign w:val="center"/>
          </w:tcPr>
          <w:p w14:paraId="0CE254A8" w14:textId="5970DDB3"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1.30</w:t>
            </w:r>
          </w:p>
        </w:tc>
        <w:tc>
          <w:tcPr>
            <w:tcW w:w="2256" w:type="dxa"/>
            <w:vAlign w:val="center"/>
          </w:tcPr>
          <w:p w14:paraId="61D666FA" w14:textId="347F080F" w:rsidR="00321762" w:rsidRPr="00191031" w:rsidRDefault="00D61529" w:rsidP="00075468">
            <w:pPr>
              <w:jc w:val="center"/>
              <w:rPr>
                <w:rFonts w:ascii="Arial" w:hAnsi="Arial" w:cs="Arial"/>
                <w:sz w:val="16"/>
                <w:szCs w:val="16"/>
              </w:rPr>
            </w:pPr>
            <w:r>
              <w:rPr>
                <w:rFonts w:ascii="Arial" w:hAnsi="Arial" w:cs="Arial"/>
                <w:color w:val="000000"/>
                <w:sz w:val="16"/>
                <w:szCs w:val="16"/>
              </w:rPr>
              <w:t>1.</w:t>
            </w:r>
            <w:r w:rsidR="00020C77">
              <w:rPr>
                <w:rFonts w:ascii="Arial" w:hAnsi="Arial" w:cs="Arial"/>
                <w:color w:val="000000"/>
                <w:sz w:val="16"/>
                <w:szCs w:val="16"/>
              </w:rPr>
              <w:t>82</w:t>
            </w:r>
          </w:p>
        </w:tc>
      </w:tr>
      <w:tr w:rsidR="00321762" w:rsidRPr="00AF1200" w14:paraId="18A33E0A" w14:textId="77777777" w:rsidTr="00075468">
        <w:tc>
          <w:tcPr>
            <w:tcW w:w="2293" w:type="dxa"/>
            <w:vAlign w:val="bottom"/>
          </w:tcPr>
          <w:p w14:paraId="2D6F1756" w14:textId="185EE422" w:rsidR="00321762" w:rsidRPr="00191031" w:rsidRDefault="00321762" w:rsidP="00321762">
            <w:pPr>
              <w:rPr>
                <w:rFonts w:ascii="Arial" w:hAnsi="Arial" w:cs="Arial"/>
                <w:sz w:val="16"/>
                <w:szCs w:val="16"/>
              </w:rPr>
            </w:pPr>
            <w:r w:rsidRPr="00191031">
              <w:rPr>
                <w:rFonts w:ascii="Arial" w:hAnsi="Arial" w:cs="Arial"/>
                <w:color w:val="000000"/>
                <w:sz w:val="16"/>
                <w:szCs w:val="16"/>
              </w:rPr>
              <w:t>Coal-fired electricity generation</w:t>
            </w:r>
          </w:p>
        </w:tc>
        <w:tc>
          <w:tcPr>
            <w:tcW w:w="2256" w:type="dxa"/>
            <w:vAlign w:val="center"/>
          </w:tcPr>
          <w:p w14:paraId="19DF18D5" w14:textId="4AE362F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0.698</w:t>
            </w:r>
          </w:p>
        </w:tc>
        <w:tc>
          <w:tcPr>
            <w:tcW w:w="2256" w:type="dxa"/>
            <w:vAlign w:val="center"/>
          </w:tcPr>
          <w:p w14:paraId="1EC86E03" w14:textId="1058440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0.116</w:t>
            </w:r>
          </w:p>
        </w:tc>
        <w:tc>
          <w:tcPr>
            <w:tcW w:w="2256" w:type="dxa"/>
            <w:vAlign w:val="center"/>
          </w:tcPr>
          <w:p w14:paraId="0A311946" w14:textId="253646B0" w:rsidR="00321762" w:rsidRPr="00191031" w:rsidRDefault="00D61529" w:rsidP="00075468">
            <w:pPr>
              <w:jc w:val="center"/>
              <w:rPr>
                <w:rFonts w:ascii="Arial" w:hAnsi="Arial" w:cs="Arial"/>
                <w:sz w:val="16"/>
                <w:szCs w:val="16"/>
              </w:rPr>
            </w:pPr>
            <w:r>
              <w:rPr>
                <w:rFonts w:ascii="Arial" w:hAnsi="Arial" w:cs="Arial"/>
                <w:color w:val="000000"/>
                <w:sz w:val="16"/>
                <w:szCs w:val="16"/>
              </w:rPr>
              <w:t>0.468</w:t>
            </w:r>
          </w:p>
        </w:tc>
      </w:tr>
      <w:tr w:rsidR="00321762" w:rsidRPr="00AF1200" w14:paraId="4D989B9C" w14:textId="77777777" w:rsidTr="00075468">
        <w:tc>
          <w:tcPr>
            <w:tcW w:w="2293" w:type="dxa"/>
            <w:vAlign w:val="bottom"/>
          </w:tcPr>
          <w:p w14:paraId="498FD488" w14:textId="0B6298A3" w:rsidR="00321762" w:rsidRPr="00191031" w:rsidRDefault="00321762" w:rsidP="00321762">
            <w:pPr>
              <w:rPr>
                <w:rFonts w:ascii="Arial" w:hAnsi="Arial" w:cs="Arial"/>
                <w:sz w:val="16"/>
                <w:szCs w:val="16"/>
              </w:rPr>
            </w:pPr>
            <w:r w:rsidRPr="00191031">
              <w:rPr>
                <w:rFonts w:ascii="Arial" w:hAnsi="Arial" w:cs="Arial"/>
                <w:color w:val="000000"/>
                <w:sz w:val="16"/>
                <w:szCs w:val="16"/>
              </w:rPr>
              <w:t>Industrial/commercial coal use</w:t>
            </w:r>
          </w:p>
        </w:tc>
        <w:tc>
          <w:tcPr>
            <w:tcW w:w="2256" w:type="dxa"/>
            <w:vAlign w:val="center"/>
          </w:tcPr>
          <w:p w14:paraId="2DD94983" w14:textId="2E42A3BB"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1.343</w:t>
            </w:r>
          </w:p>
        </w:tc>
        <w:tc>
          <w:tcPr>
            <w:tcW w:w="2256" w:type="dxa"/>
            <w:vAlign w:val="center"/>
          </w:tcPr>
          <w:p w14:paraId="03E5F3D8" w14:textId="4D9015F3"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1.559</w:t>
            </w:r>
          </w:p>
        </w:tc>
        <w:tc>
          <w:tcPr>
            <w:tcW w:w="2256" w:type="dxa"/>
            <w:vAlign w:val="center"/>
          </w:tcPr>
          <w:p w14:paraId="27C8635C" w14:textId="2BA6DD07" w:rsidR="00321762" w:rsidRPr="00191031" w:rsidRDefault="00D61529" w:rsidP="00075468">
            <w:pPr>
              <w:jc w:val="center"/>
              <w:rPr>
                <w:rFonts w:ascii="Arial" w:hAnsi="Arial" w:cs="Arial"/>
                <w:sz w:val="16"/>
                <w:szCs w:val="16"/>
              </w:rPr>
            </w:pPr>
            <w:r>
              <w:rPr>
                <w:rFonts w:ascii="Arial" w:hAnsi="Arial" w:cs="Arial"/>
                <w:color w:val="000000"/>
                <w:sz w:val="16"/>
                <w:szCs w:val="16"/>
              </w:rPr>
              <w:t>1.332</w:t>
            </w:r>
          </w:p>
        </w:tc>
      </w:tr>
      <w:tr w:rsidR="00321762" w:rsidRPr="00AF1200" w14:paraId="26ED173E" w14:textId="77777777" w:rsidTr="00075468">
        <w:tc>
          <w:tcPr>
            <w:tcW w:w="2293" w:type="dxa"/>
            <w:vAlign w:val="bottom"/>
          </w:tcPr>
          <w:p w14:paraId="72968BAE" w14:textId="6086661A" w:rsidR="00321762" w:rsidRPr="00191031" w:rsidRDefault="00321762" w:rsidP="00321762">
            <w:pPr>
              <w:rPr>
                <w:rFonts w:ascii="Arial" w:hAnsi="Arial" w:cs="Arial"/>
                <w:sz w:val="16"/>
                <w:szCs w:val="16"/>
              </w:rPr>
            </w:pPr>
            <w:r w:rsidRPr="00191031">
              <w:rPr>
                <w:rFonts w:ascii="Arial" w:hAnsi="Arial" w:cs="Arial"/>
                <w:color w:val="000000"/>
                <w:sz w:val="16"/>
                <w:szCs w:val="16"/>
              </w:rPr>
              <w:t>Heavy fuel oil-fired power plants</w:t>
            </w:r>
          </w:p>
        </w:tc>
        <w:tc>
          <w:tcPr>
            <w:tcW w:w="2256" w:type="dxa"/>
            <w:vAlign w:val="center"/>
          </w:tcPr>
          <w:p w14:paraId="14799484" w14:textId="3B7A0F8A"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0.0083</w:t>
            </w:r>
          </w:p>
        </w:tc>
        <w:tc>
          <w:tcPr>
            <w:tcW w:w="2256" w:type="dxa"/>
            <w:vAlign w:val="center"/>
          </w:tcPr>
          <w:p w14:paraId="17433AA3" w14:textId="54B2EB3C"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0.0026</w:t>
            </w:r>
          </w:p>
        </w:tc>
        <w:tc>
          <w:tcPr>
            <w:tcW w:w="2256" w:type="dxa"/>
            <w:vAlign w:val="center"/>
          </w:tcPr>
          <w:p w14:paraId="092D38EA" w14:textId="6EF74F49" w:rsidR="00321762" w:rsidRPr="00191031" w:rsidRDefault="00D61529" w:rsidP="00075468">
            <w:pPr>
              <w:jc w:val="center"/>
              <w:rPr>
                <w:rFonts w:ascii="Arial" w:hAnsi="Arial" w:cs="Arial"/>
                <w:sz w:val="16"/>
                <w:szCs w:val="16"/>
              </w:rPr>
            </w:pPr>
            <w:r>
              <w:rPr>
                <w:rFonts w:ascii="Arial" w:hAnsi="Arial" w:cs="Arial"/>
                <w:color w:val="000000"/>
                <w:sz w:val="16"/>
                <w:szCs w:val="16"/>
              </w:rPr>
              <w:t>0.0016</w:t>
            </w:r>
          </w:p>
        </w:tc>
      </w:tr>
      <w:tr w:rsidR="00321762" w:rsidRPr="00AF1200" w14:paraId="0265621E" w14:textId="77777777" w:rsidTr="00075468">
        <w:tc>
          <w:tcPr>
            <w:tcW w:w="2293" w:type="dxa"/>
            <w:vAlign w:val="bottom"/>
          </w:tcPr>
          <w:p w14:paraId="70A15BC5" w14:textId="1F07D8D3" w:rsidR="00321762" w:rsidRPr="00191031" w:rsidRDefault="00321762" w:rsidP="00321762">
            <w:pPr>
              <w:rPr>
                <w:rFonts w:ascii="Arial" w:hAnsi="Arial" w:cs="Arial"/>
                <w:sz w:val="16"/>
                <w:szCs w:val="16"/>
              </w:rPr>
            </w:pPr>
            <w:r w:rsidRPr="00191031">
              <w:rPr>
                <w:rFonts w:ascii="Arial" w:hAnsi="Arial" w:cs="Arial"/>
                <w:color w:val="000000"/>
                <w:sz w:val="16"/>
                <w:szCs w:val="16"/>
              </w:rPr>
              <w:t>Fuel oil/gas-fired electricity generation</w:t>
            </w:r>
          </w:p>
        </w:tc>
        <w:tc>
          <w:tcPr>
            <w:tcW w:w="2256" w:type="dxa"/>
            <w:vAlign w:val="center"/>
          </w:tcPr>
          <w:p w14:paraId="794A81E2" w14:textId="20A99257"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0.036</w:t>
            </w:r>
          </w:p>
        </w:tc>
        <w:tc>
          <w:tcPr>
            <w:tcW w:w="2256" w:type="dxa"/>
            <w:vAlign w:val="center"/>
          </w:tcPr>
          <w:p w14:paraId="3A65BBE7" w14:textId="245FDFF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0.028</w:t>
            </w:r>
          </w:p>
        </w:tc>
        <w:tc>
          <w:tcPr>
            <w:tcW w:w="2256" w:type="dxa"/>
            <w:vAlign w:val="center"/>
          </w:tcPr>
          <w:p w14:paraId="6BE6700C" w14:textId="0D1F975E" w:rsidR="00321762" w:rsidRPr="00191031" w:rsidRDefault="00D61529" w:rsidP="00075468">
            <w:pPr>
              <w:jc w:val="center"/>
              <w:rPr>
                <w:rFonts w:ascii="Arial" w:hAnsi="Arial" w:cs="Arial"/>
                <w:sz w:val="16"/>
                <w:szCs w:val="16"/>
              </w:rPr>
            </w:pPr>
            <w:r>
              <w:rPr>
                <w:rFonts w:ascii="Arial" w:hAnsi="Arial" w:cs="Arial"/>
                <w:color w:val="000000"/>
                <w:sz w:val="16"/>
                <w:szCs w:val="16"/>
              </w:rPr>
              <w:t>0.021</w:t>
            </w:r>
          </w:p>
        </w:tc>
      </w:tr>
      <w:tr w:rsidR="00321762" w:rsidRPr="00AF1200" w14:paraId="3933D02F" w14:textId="77777777" w:rsidTr="00075468">
        <w:tc>
          <w:tcPr>
            <w:tcW w:w="2293" w:type="dxa"/>
            <w:vAlign w:val="bottom"/>
          </w:tcPr>
          <w:p w14:paraId="0671BFA4" w14:textId="0B15E747" w:rsidR="00321762" w:rsidRPr="00191031" w:rsidRDefault="00321762" w:rsidP="00321762">
            <w:pPr>
              <w:rPr>
                <w:rFonts w:ascii="Arial" w:hAnsi="Arial" w:cs="Arial"/>
                <w:sz w:val="16"/>
                <w:szCs w:val="16"/>
              </w:rPr>
            </w:pPr>
            <w:r w:rsidRPr="00191031">
              <w:rPr>
                <w:rFonts w:ascii="Arial" w:hAnsi="Arial" w:cs="Arial"/>
                <w:color w:val="000000"/>
                <w:sz w:val="16"/>
                <w:szCs w:val="16"/>
              </w:rPr>
              <w:t>Fuel oil and gas-fired power plants</w:t>
            </w:r>
          </w:p>
        </w:tc>
        <w:tc>
          <w:tcPr>
            <w:tcW w:w="2256" w:type="dxa"/>
            <w:vAlign w:val="center"/>
          </w:tcPr>
          <w:p w14:paraId="54D1A689" w14:textId="0FFEB111"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0.027</w:t>
            </w:r>
          </w:p>
        </w:tc>
        <w:tc>
          <w:tcPr>
            <w:tcW w:w="2256" w:type="dxa"/>
            <w:vAlign w:val="center"/>
          </w:tcPr>
          <w:p w14:paraId="09EEA9D7" w14:textId="38DB8A5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0.041</w:t>
            </w:r>
          </w:p>
        </w:tc>
        <w:tc>
          <w:tcPr>
            <w:tcW w:w="2256" w:type="dxa"/>
            <w:vAlign w:val="center"/>
          </w:tcPr>
          <w:p w14:paraId="23F6414C" w14:textId="59569859" w:rsidR="00321762" w:rsidRPr="00191031" w:rsidRDefault="00D61529" w:rsidP="00075468">
            <w:pPr>
              <w:jc w:val="center"/>
              <w:rPr>
                <w:rFonts w:ascii="Arial" w:hAnsi="Arial" w:cs="Arial"/>
                <w:sz w:val="16"/>
                <w:szCs w:val="16"/>
              </w:rPr>
            </w:pPr>
            <w:r>
              <w:rPr>
                <w:rFonts w:ascii="Arial" w:hAnsi="Arial" w:cs="Arial"/>
                <w:color w:val="000000"/>
                <w:sz w:val="16"/>
                <w:szCs w:val="16"/>
              </w:rPr>
              <w:t>0.0</w:t>
            </w:r>
            <w:r w:rsidR="00422C31">
              <w:rPr>
                <w:rFonts w:ascii="Arial" w:hAnsi="Arial" w:cs="Arial"/>
                <w:color w:val="000000"/>
                <w:sz w:val="16"/>
                <w:szCs w:val="16"/>
              </w:rPr>
              <w:t>38</w:t>
            </w:r>
          </w:p>
        </w:tc>
      </w:tr>
      <w:tr w:rsidR="00321762" w:rsidRPr="00AF1200" w14:paraId="5539D749" w14:textId="77777777" w:rsidTr="00075468">
        <w:tc>
          <w:tcPr>
            <w:tcW w:w="2293" w:type="dxa"/>
            <w:vAlign w:val="bottom"/>
          </w:tcPr>
          <w:p w14:paraId="13C6712B" w14:textId="6256535A" w:rsidR="00321762" w:rsidRPr="00191031" w:rsidRDefault="00321762" w:rsidP="00321762">
            <w:pPr>
              <w:rPr>
                <w:rFonts w:ascii="Arial" w:hAnsi="Arial" w:cs="Arial"/>
                <w:sz w:val="16"/>
                <w:szCs w:val="16"/>
              </w:rPr>
            </w:pPr>
            <w:r w:rsidRPr="00191031">
              <w:rPr>
                <w:rFonts w:ascii="Arial" w:hAnsi="Arial" w:cs="Arial"/>
                <w:color w:val="000000"/>
                <w:sz w:val="16"/>
                <w:szCs w:val="16"/>
              </w:rPr>
              <w:t>Biomass power plants</w:t>
            </w:r>
          </w:p>
        </w:tc>
        <w:tc>
          <w:tcPr>
            <w:tcW w:w="2256" w:type="dxa"/>
            <w:vAlign w:val="center"/>
          </w:tcPr>
          <w:p w14:paraId="3EF04D25" w14:textId="6A1F7462"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1.300</w:t>
            </w:r>
          </w:p>
        </w:tc>
        <w:tc>
          <w:tcPr>
            <w:tcW w:w="2256" w:type="dxa"/>
            <w:vAlign w:val="center"/>
          </w:tcPr>
          <w:p w14:paraId="23CC6C12" w14:textId="53C0BC93"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1.300</w:t>
            </w:r>
          </w:p>
        </w:tc>
        <w:tc>
          <w:tcPr>
            <w:tcW w:w="2256" w:type="dxa"/>
            <w:vAlign w:val="center"/>
          </w:tcPr>
          <w:p w14:paraId="745AAA07" w14:textId="240F3F9A" w:rsidR="00321762" w:rsidRPr="00191031" w:rsidRDefault="00D61529" w:rsidP="00075468">
            <w:pPr>
              <w:jc w:val="center"/>
              <w:rPr>
                <w:rFonts w:ascii="Arial" w:hAnsi="Arial" w:cs="Arial"/>
                <w:sz w:val="16"/>
                <w:szCs w:val="16"/>
              </w:rPr>
            </w:pPr>
            <w:r>
              <w:rPr>
                <w:rFonts w:ascii="Arial" w:hAnsi="Arial" w:cs="Arial"/>
                <w:color w:val="000000"/>
                <w:sz w:val="16"/>
                <w:szCs w:val="16"/>
              </w:rPr>
              <w:t>2.059</w:t>
            </w:r>
          </w:p>
        </w:tc>
      </w:tr>
      <w:tr w:rsidR="00321762" w:rsidRPr="00AF1200" w14:paraId="00B14289" w14:textId="77777777" w:rsidTr="00075468">
        <w:tc>
          <w:tcPr>
            <w:tcW w:w="2293" w:type="dxa"/>
            <w:vAlign w:val="bottom"/>
          </w:tcPr>
          <w:p w14:paraId="2704F864" w14:textId="24C88541" w:rsidR="00321762" w:rsidRPr="00191031" w:rsidRDefault="00321762" w:rsidP="00321762">
            <w:pPr>
              <w:rPr>
                <w:rFonts w:ascii="Arial" w:hAnsi="Arial" w:cs="Arial"/>
                <w:sz w:val="16"/>
                <w:szCs w:val="16"/>
              </w:rPr>
            </w:pPr>
            <w:r w:rsidRPr="00191031">
              <w:rPr>
                <w:rFonts w:ascii="Arial" w:hAnsi="Arial" w:cs="Arial"/>
                <w:color w:val="000000"/>
                <w:sz w:val="16"/>
                <w:szCs w:val="16"/>
              </w:rPr>
              <w:t>Landfill gas/biogas combustion</w:t>
            </w:r>
          </w:p>
        </w:tc>
        <w:tc>
          <w:tcPr>
            <w:tcW w:w="2256" w:type="dxa"/>
            <w:vAlign w:val="center"/>
          </w:tcPr>
          <w:p w14:paraId="04B9EB40" w14:textId="7807B582"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0.025</w:t>
            </w:r>
          </w:p>
        </w:tc>
        <w:tc>
          <w:tcPr>
            <w:tcW w:w="2256" w:type="dxa"/>
            <w:vAlign w:val="center"/>
          </w:tcPr>
          <w:p w14:paraId="6B829E56" w14:textId="5ACB2FC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0.026</w:t>
            </w:r>
          </w:p>
        </w:tc>
        <w:tc>
          <w:tcPr>
            <w:tcW w:w="2256" w:type="dxa"/>
            <w:vAlign w:val="center"/>
          </w:tcPr>
          <w:p w14:paraId="0D0129E7" w14:textId="3FF44FA4" w:rsidR="00321762" w:rsidRPr="00191031" w:rsidRDefault="00D61529" w:rsidP="00075468">
            <w:pPr>
              <w:jc w:val="center"/>
              <w:rPr>
                <w:rFonts w:ascii="Arial" w:hAnsi="Arial" w:cs="Arial"/>
                <w:sz w:val="16"/>
                <w:szCs w:val="16"/>
              </w:rPr>
            </w:pPr>
            <w:r>
              <w:rPr>
                <w:rFonts w:ascii="Arial" w:hAnsi="Arial" w:cs="Arial"/>
                <w:color w:val="000000"/>
                <w:sz w:val="16"/>
                <w:szCs w:val="16"/>
              </w:rPr>
              <w:t>0.030</w:t>
            </w:r>
          </w:p>
        </w:tc>
      </w:tr>
      <w:tr w:rsidR="00321762" w:rsidRPr="00AF1200" w14:paraId="32F25188" w14:textId="77777777" w:rsidTr="00075468">
        <w:tc>
          <w:tcPr>
            <w:tcW w:w="2293" w:type="dxa"/>
            <w:vAlign w:val="bottom"/>
          </w:tcPr>
          <w:p w14:paraId="2B523D6A" w14:textId="468FB5E1" w:rsidR="00321762" w:rsidRPr="00191031" w:rsidRDefault="2F9D03B7" w:rsidP="00321762">
            <w:pPr>
              <w:rPr>
                <w:rFonts w:ascii="Arial" w:hAnsi="Arial" w:cs="Arial"/>
                <w:sz w:val="16"/>
                <w:szCs w:val="16"/>
              </w:rPr>
            </w:pPr>
            <w:r w:rsidRPr="0C34660A">
              <w:rPr>
                <w:rFonts w:ascii="Arial" w:hAnsi="Arial" w:cs="Arial"/>
                <w:color w:val="000000" w:themeColor="text1"/>
                <w:sz w:val="16"/>
                <w:szCs w:val="16"/>
              </w:rPr>
              <w:t>Household heating &amp; cooking with biomass</w:t>
            </w:r>
          </w:p>
        </w:tc>
        <w:tc>
          <w:tcPr>
            <w:tcW w:w="2256" w:type="dxa"/>
            <w:vAlign w:val="center"/>
          </w:tcPr>
          <w:p w14:paraId="0D0AD577" w14:textId="1AA00D77"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0.984</w:t>
            </w:r>
          </w:p>
        </w:tc>
        <w:tc>
          <w:tcPr>
            <w:tcW w:w="2256" w:type="dxa"/>
            <w:vAlign w:val="center"/>
          </w:tcPr>
          <w:p w14:paraId="73ABFFEB" w14:textId="09313B4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0.974</w:t>
            </w:r>
          </w:p>
        </w:tc>
        <w:tc>
          <w:tcPr>
            <w:tcW w:w="2256" w:type="dxa"/>
            <w:vAlign w:val="center"/>
          </w:tcPr>
          <w:p w14:paraId="2885E015" w14:textId="40BB598C" w:rsidR="00321762" w:rsidRPr="00191031" w:rsidRDefault="00D61529" w:rsidP="00075468">
            <w:pPr>
              <w:jc w:val="center"/>
              <w:rPr>
                <w:rFonts w:ascii="Arial" w:hAnsi="Arial" w:cs="Arial"/>
                <w:sz w:val="16"/>
                <w:szCs w:val="16"/>
              </w:rPr>
            </w:pPr>
            <w:r>
              <w:rPr>
                <w:rFonts w:ascii="Arial" w:hAnsi="Arial" w:cs="Arial"/>
                <w:color w:val="000000"/>
                <w:sz w:val="16"/>
                <w:szCs w:val="16"/>
              </w:rPr>
              <w:t>0.905</w:t>
            </w:r>
          </w:p>
        </w:tc>
      </w:tr>
      <w:tr w:rsidR="00321762" w:rsidRPr="00AF1200" w14:paraId="471DDA80" w14:textId="77777777" w:rsidTr="00075468">
        <w:tc>
          <w:tcPr>
            <w:tcW w:w="2293" w:type="dxa"/>
            <w:vAlign w:val="bottom"/>
          </w:tcPr>
          <w:p w14:paraId="152EA853" w14:textId="74BB9838" w:rsidR="00321762" w:rsidRPr="00191031" w:rsidRDefault="2F9D03B7" w:rsidP="00321762">
            <w:pPr>
              <w:rPr>
                <w:rFonts w:ascii="Arial" w:hAnsi="Arial" w:cs="Arial"/>
                <w:sz w:val="16"/>
                <w:szCs w:val="16"/>
              </w:rPr>
            </w:pPr>
            <w:r w:rsidRPr="0C34660A">
              <w:rPr>
                <w:rFonts w:ascii="Arial" w:hAnsi="Arial" w:cs="Arial"/>
                <w:color w:val="000000" w:themeColor="text1"/>
                <w:sz w:val="16"/>
                <w:szCs w:val="16"/>
              </w:rPr>
              <w:t>Household heating &amp; cooking with coal</w:t>
            </w:r>
          </w:p>
        </w:tc>
        <w:tc>
          <w:tcPr>
            <w:tcW w:w="2256" w:type="dxa"/>
            <w:vAlign w:val="center"/>
          </w:tcPr>
          <w:p w14:paraId="39FC2A6E" w14:textId="6E673263"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0.0442</w:t>
            </w:r>
          </w:p>
        </w:tc>
        <w:tc>
          <w:tcPr>
            <w:tcW w:w="2256" w:type="dxa"/>
            <w:vAlign w:val="center"/>
          </w:tcPr>
          <w:p w14:paraId="19F4933B" w14:textId="0804FAB3"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0.034</w:t>
            </w:r>
            <w:r w:rsidR="00422C31">
              <w:rPr>
                <w:rFonts w:ascii="Arial" w:hAnsi="Arial" w:cs="Arial"/>
                <w:color w:val="000000"/>
                <w:sz w:val="16"/>
                <w:szCs w:val="16"/>
              </w:rPr>
              <w:t>2</w:t>
            </w:r>
          </w:p>
        </w:tc>
        <w:tc>
          <w:tcPr>
            <w:tcW w:w="2256" w:type="dxa"/>
            <w:vAlign w:val="center"/>
          </w:tcPr>
          <w:p w14:paraId="56C10D08" w14:textId="42126CE2" w:rsidR="00321762" w:rsidRPr="00191031" w:rsidRDefault="00422C31" w:rsidP="00075468">
            <w:pPr>
              <w:jc w:val="center"/>
              <w:rPr>
                <w:rFonts w:ascii="Arial" w:hAnsi="Arial" w:cs="Arial"/>
                <w:sz w:val="16"/>
                <w:szCs w:val="16"/>
              </w:rPr>
            </w:pPr>
            <w:r>
              <w:rPr>
                <w:rFonts w:ascii="Arial" w:hAnsi="Arial" w:cs="Arial"/>
                <w:color w:val="000000"/>
                <w:sz w:val="16"/>
                <w:szCs w:val="16"/>
              </w:rPr>
              <w:t>0.0271</w:t>
            </w:r>
          </w:p>
        </w:tc>
      </w:tr>
      <w:tr w:rsidR="00321762" w:rsidRPr="00AF1200" w14:paraId="4E9CAFEA" w14:textId="77777777" w:rsidTr="00075468">
        <w:tc>
          <w:tcPr>
            <w:tcW w:w="2293" w:type="dxa"/>
            <w:vAlign w:val="bottom"/>
          </w:tcPr>
          <w:p w14:paraId="5F543E3C" w14:textId="1570BB29" w:rsidR="00321762" w:rsidRPr="00191031" w:rsidRDefault="2F9D03B7" w:rsidP="00321762">
            <w:pPr>
              <w:rPr>
                <w:rFonts w:ascii="Arial" w:hAnsi="Arial" w:cs="Arial"/>
                <w:sz w:val="16"/>
                <w:szCs w:val="16"/>
              </w:rPr>
            </w:pPr>
            <w:r w:rsidRPr="0C34660A">
              <w:rPr>
                <w:rFonts w:ascii="Arial" w:hAnsi="Arial" w:cs="Arial"/>
                <w:color w:val="000000" w:themeColor="text1"/>
                <w:sz w:val="16"/>
                <w:szCs w:val="16"/>
              </w:rPr>
              <w:t>Household heating &amp; cooking with oil</w:t>
            </w:r>
          </w:p>
        </w:tc>
        <w:tc>
          <w:tcPr>
            <w:tcW w:w="2256" w:type="dxa"/>
            <w:vAlign w:val="center"/>
          </w:tcPr>
          <w:p w14:paraId="3DE4668E" w14:textId="57E7FB5B"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0.0029</w:t>
            </w:r>
          </w:p>
        </w:tc>
        <w:tc>
          <w:tcPr>
            <w:tcW w:w="2256" w:type="dxa"/>
            <w:vAlign w:val="center"/>
          </w:tcPr>
          <w:p w14:paraId="7E3F187E" w14:textId="79A2C96B"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0.0012</w:t>
            </w:r>
          </w:p>
        </w:tc>
        <w:tc>
          <w:tcPr>
            <w:tcW w:w="2256" w:type="dxa"/>
            <w:vAlign w:val="center"/>
          </w:tcPr>
          <w:p w14:paraId="559BA1D8" w14:textId="7515F545" w:rsidR="00321762" w:rsidRPr="00191031" w:rsidRDefault="00422C31" w:rsidP="00075468">
            <w:pPr>
              <w:jc w:val="center"/>
              <w:rPr>
                <w:rFonts w:ascii="Arial" w:hAnsi="Arial" w:cs="Arial"/>
                <w:sz w:val="16"/>
                <w:szCs w:val="16"/>
              </w:rPr>
            </w:pPr>
            <w:r>
              <w:rPr>
                <w:rFonts w:ascii="Arial" w:hAnsi="Arial" w:cs="Arial"/>
                <w:color w:val="000000"/>
                <w:sz w:val="16"/>
                <w:szCs w:val="16"/>
              </w:rPr>
              <w:t>0.0010</w:t>
            </w:r>
          </w:p>
        </w:tc>
      </w:tr>
      <w:tr w:rsidR="00321762" w:rsidRPr="00AF1200" w14:paraId="15CB6BC5" w14:textId="77777777" w:rsidTr="00075468">
        <w:tc>
          <w:tcPr>
            <w:tcW w:w="2293" w:type="dxa"/>
            <w:vAlign w:val="bottom"/>
          </w:tcPr>
          <w:p w14:paraId="6C1572AE" w14:textId="6AF9FA42" w:rsidR="00321762" w:rsidRPr="00191031" w:rsidRDefault="2F9D03B7" w:rsidP="00321762">
            <w:pPr>
              <w:rPr>
                <w:rFonts w:ascii="Arial" w:hAnsi="Arial" w:cs="Arial"/>
                <w:sz w:val="16"/>
                <w:szCs w:val="16"/>
              </w:rPr>
            </w:pPr>
            <w:r w:rsidRPr="0C34660A">
              <w:rPr>
                <w:rFonts w:ascii="Arial" w:hAnsi="Arial" w:cs="Arial"/>
                <w:color w:val="000000" w:themeColor="text1"/>
                <w:sz w:val="16"/>
                <w:szCs w:val="16"/>
              </w:rPr>
              <w:t>Household heating &amp; cooking with gas</w:t>
            </w:r>
          </w:p>
        </w:tc>
        <w:tc>
          <w:tcPr>
            <w:tcW w:w="2256" w:type="dxa"/>
            <w:vAlign w:val="center"/>
          </w:tcPr>
          <w:p w14:paraId="0DDD72C7" w14:textId="666F4B61"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0.0135</w:t>
            </w:r>
          </w:p>
        </w:tc>
        <w:tc>
          <w:tcPr>
            <w:tcW w:w="2256" w:type="dxa"/>
            <w:vAlign w:val="center"/>
          </w:tcPr>
          <w:p w14:paraId="0388EF9F" w14:textId="56ABB70E"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0.0144</w:t>
            </w:r>
          </w:p>
        </w:tc>
        <w:tc>
          <w:tcPr>
            <w:tcW w:w="2256" w:type="dxa"/>
            <w:vAlign w:val="center"/>
          </w:tcPr>
          <w:p w14:paraId="375D6A7F" w14:textId="149A86BB" w:rsidR="00321762" w:rsidRPr="00191031" w:rsidRDefault="00422C31" w:rsidP="00075468">
            <w:pPr>
              <w:jc w:val="center"/>
              <w:rPr>
                <w:rFonts w:ascii="Arial" w:hAnsi="Arial" w:cs="Arial"/>
                <w:sz w:val="16"/>
                <w:szCs w:val="16"/>
              </w:rPr>
            </w:pPr>
            <w:r>
              <w:rPr>
                <w:rFonts w:ascii="Arial" w:hAnsi="Arial" w:cs="Arial"/>
                <w:color w:val="000000"/>
                <w:sz w:val="16"/>
                <w:szCs w:val="16"/>
              </w:rPr>
              <w:t>0.0160</w:t>
            </w:r>
          </w:p>
        </w:tc>
      </w:tr>
      <w:tr w:rsidR="00321762" w:rsidRPr="00AF1200" w14:paraId="3F8A49B8" w14:textId="77777777" w:rsidTr="00075468">
        <w:tc>
          <w:tcPr>
            <w:tcW w:w="2293" w:type="dxa"/>
            <w:vAlign w:val="bottom"/>
          </w:tcPr>
          <w:p w14:paraId="37F2320B" w14:textId="646E9412" w:rsidR="00321762" w:rsidRPr="00191031" w:rsidRDefault="00321762" w:rsidP="00321762">
            <w:pPr>
              <w:rPr>
                <w:rFonts w:ascii="Arial" w:hAnsi="Arial" w:cs="Arial"/>
                <w:sz w:val="16"/>
                <w:szCs w:val="16"/>
              </w:rPr>
            </w:pPr>
            <w:r w:rsidRPr="00191031">
              <w:rPr>
                <w:rFonts w:ascii="Arial" w:hAnsi="Arial" w:cs="Arial"/>
                <w:color w:val="000000"/>
                <w:sz w:val="16"/>
                <w:szCs w:val="16"/>
              </w:rPr>
              <w:t>Cement production</w:t>
            </w:r>
          </w:p>
        </w:tc>
        <w:tc>
          <w:tcPr>
            <w:tcW w:w="2256" w:type="dxa"/>
            <w:vAlign w:val="center"/>
          </w:tcPr>
          <w:p w14:paraId="6176A2CA" w14:textId="072F63F7"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0.177</w:t>
            </w:r>
          </w:p>
        </w:tc>
        <w:tc>
          <w:tcPr>
            <w:tcW w:w="2256" w:type="dxa"/>
            <w:vAlign w:val="center"/>
          </w:tcPr>
          <w:p w14:paraId="1F501493" w14:textId="401ABEC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0.044</w:t>
            </w:r>
          </w:p>
        </w:tc>
        <w:tc>
          <w:tcPr>
            <w:tcW w:w="2256" w:type="dxa"/>
            <w:vAlign w:val="center"/>
          </w:tcPr>
          <w:p w14:paraId="5E32022C" w14:textId="5D153C58" w:rsidR="00321762" w:rsidRPr="00191031" w:rsidRDefault="00422C31" w:rsidP="00075468">
            <w:pPr>
              <w:jc w:val="center"/>
              <w:rPr>
                <w:rFonts w:ascii="Arial" w:hAnsi="Arial" w:cs="Arial"/>
                <w:sz w:val="16"/>
                <w:szCs w:val="16"/>
              </w:rPr>
            </w:pPr>
            <w:r>
              <w:rPr>
                <w:rFonts w:ascii="Arial" w:hAnsi="Arial" w:cs="Arial"/>
                <w:color w:val="000000"/>
                <w:sz w:val="16"/>
                <w:szCs w:val="16"/>
              </w:rPr>
              <w:t>0.040</w:t>
            </w:r>
          </w:p>
        </w:tc>
      </w:tr>
      <w:tr w:rsidR="00321762" w:rsidRPr="00AF1200" w14:paraId="5C44A2E2" w14:textId="77777777" w:rsidTr="00075468">
        <w:tc>
          <w:tcPr>
            <w:tcW w:w="2293" w:type="dxa"/>
            <w:vAlign w:val="bottom"/>
          </w:tcPr>
          <w:p w14:paraId="373AFBB9" w14:textId="0133546E" w:rsidR="00321762" w:rsidRPr="00191031" w:rsidRDefault="00321762" w:rsidP="00321762">
            <w:pPr>
              <w:rPr>
                <w:rFonts w:ascii="Arial" w:hAnsi="Arial" w:cs="Arial"/>
                <w:sz w:val="16"/>
                <w:szCs w:val="16"/>
              </w:rPr>
            </w:pPr>
            <w:r w:rsidRPr="00191031">
              <w:rPr>
                <w:rFonts w:ascii="Arial" w:hAnsi="Arial" w:cs="Arial"/>
                <w:color w:val="000000"/>
                <w:sz w:val="16"/>
                <w:szCs w:val="16"/>
              </w:rPr>
              <w:t>Lime production</w:t>
            </w:r>
          </w:p>
        </w:tc>
        <w:tc>
          <w:tcPr>
            <w:tcW w:w="2256" w:type="dxa"/>
            <w:vAlign w:val="center"/>
          </w:tcPr>
          <w:p w14:paraId="6CD7C6EA" w14:textId="12B8DF5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0.0545</w:t>
            </w:r>
          </w:p>
        </w:tc>
        <w:tc>
          <w:tcPr>
            <w:tcW w:w="2256" w:type="dxa"/>
            <w:vAlign w:val="center"/>
          </w:tcPr>
          <w:p w14:paraId="2CF6EFA0" w14:textId="595C4772"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0.0749</w:t>
            </w:r>
          </w:p>
        </w:tc>
        <w:tc>
          <w:tcPr>
            <w:tcW w:w="2256" w:type="dxa"/>
            <w:vAlign w:val="center"/>
          </w:tcPr>
          <w:p w14:paraId="1853A744" w14:textId="442DC784" w:rsidR="00321762" w:rsidRPr="00191031" w:rsidRDefault="00422C31" w:rsidP="00075468">
            <w:pPr>
              <w:jc w:val="center"/>
              <w:rPr>
                <w:rFonts w:ascii="Arial" w:hAnsi="Arial" w:cs="Arial"/>
                <w:sz w:val="16"/>
                <w:szCs w:val="16"/>
              </w:rPr>
            </w:pPr>
            <w:r>
              <w:rPr>
                <w:rFonts w:ascii="Arial" w:hAnsi="Arial" w:cs="Arial"/>
                <w:color w:val="000000"/>
                <w:sz w:val="16"/>
                <w:szCs w:val="16"/>
              </w:rPr>
              <w:t>0.0460</w:t>
            </w:r>
          </w:p>
        </w:tc>
      </w:tr>
      <w:tr w:rsidR="00321762" w:rsidRPr="00AF1200" w14:paraId="024D06FD" w14:textId="77777777" w:rsidTr="00075468">
        <w:tc>
          <w:tcPr>
            <w:tcW w:w="2293" w:type="dxa"/>
            <w:vAlign w:val="bottom"/>
          </w:tcPr>
          <w:p w14:paraId="5029A75F" w14:textId="293AA3EE" w:rsidR="00321762" w:rsidRPr="00191031" w:rsidRDefault="00321762" w:rsidP="00321762">
            <w:pPr>
              <w:rPr>
                <w:rFonts w:ascii="Arial" w:hAnsi="Arial" w:cs="Arial"/>
                <w:sz w:val="16"/>
                <w:szCs w:val="16"/>
              </w:rPr>
            </w:pPr>
            <w:r w:rsidRPr="00191031">
              <w:rPr>
                <w:rFonts w:ascii="Arial" w:hAnsi="Arial" w:cs="Arial"/>
                <w:color w:val="000000"/>
                <w:sz w:val="16"/>
                <w:szCs w:val="16"/>
              </w:rPr>
              <w:t>Brick production</w:t>
            </w:r>
          </w:p>
        </w:tc>
        <w:tc>
          <w:tcPr>
            <w:tcW w:w="2256" w:type="dxa"/>
            <w:vAlign w:val="center"/>
          </w:tcPr>
          <w:p w14:paraId="6906B73C" w14:textId="2B4BEA65"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0.001</w:t>
            </w:r>
            <w:r w:rsidR="00422C31">
              <w:rPr>
                <w:rFonts w:ascii="Arial" w:hAnsi="Arial" w:cs="Arial"/>
                <w:color w:val="000000"/>
                <w:sz w:val="16"/>
                <w:szCs w:val="16"/>
              </w:rPr>
              <w:t>2</w:t>
            </w:r>
          </w:p>
        </w:tc>
        <w:tc>
          <w:tcPr>
            <w:tcW w:w="2256" w:type="dxa"/>
            <w:vAlign w:val="center"/>
          </w:tcPr>
          <w:p w14:paraId="41B05CD4" w14:textId="1A6BFD8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0.00026</w:t>
            </w:r>
          </w:p>
        </w:tc>
        <w:tc>
          <w:tcPr>
            <w:tcW w:w="2256" w:type="dxa"/>
            <w:vAlign w:val="center"/>
          </w:tcPr>
          <w:p w14:paraId="25E5F74D" w14:textId="3BEB1AC3" w:rsidR="00321762" w:rsidRPr="00191031" w:rsidRDefault="00422C31" w:rsidP="00075468">
            <w:pPr>
              <w:jc w:val="center"/>
              <w:rPr>
                <w:rFonts w:ascii="Arial" w:hAnsi="Arial" w:cs="Arial"/>
                <w:sz w:val="16"/>
                <w:szCs w:val="16"/>
              </w:rPr>
            </w:pPr>
            <w:r>
              <w:rPr>
                <w:rFonts w:ascii="Arial" w:hAnsi="Arial" w:cs="Arial"/>
                <w:color w:val="000000"/>
                <w:sz w:val="16"/>
                <w:szCs w:val="16"/>
              </w:rPr>
              <w:t>0.00029</w:t>
            </w:r>
          </w:p>
        </w:tc>
      </w:tr>
      <w:tr w:rsidR="00321762" w:rsidRPr="00AF1200" w14:paraId="322C1BC1" w14:textId="77777777" w:rsidTr="00075468">
        <w:tc>
          <w:tcPr>
            <w:tcW w:w="2293" w:type="dxa"/>
            <w:vAlign w:val="bottom"/>
          </w:tcPr>
          <w:p w14:paraId="6011CC5C" w14:textId="49AF9C21" w:rsidR="00321762" w:rsidRPr="00191031" w:rsidRDefault="00321762" w:rsidP="00321762">
            <w:pPr>
              <w:rPr>
                <w:rFonts w:ascii="Arial" w:hAnsi="Arial" w:cs="Arial"/>
                <w:sz w:val="16"/>
                <w:szCs w:val="16"/>
              </w:rPr>
            </w:pPr>
            <w:r w:rsidRPr="00191031">
              <w:rPr>
                <w:rFonts w:ascii="Arial" w:hAnsi="Arial" w:cs="Arial"/>
                <w:color w:val="000000"/>
                <w:sz w:val="16"/>
                <w:szCs w:val="16"/>
              </w:rPr>
              <w:t>Glass production</w:t>
            </w:r>
          </w:p>
        </w:tc>
        <w:tc>
          <w:tcPr>
            <w:tcW w:w="2256" w:type="dxa"/>
            <w:vAlign w:val="center"/>
          </w:tcPr>
          <w:p w14:paraId="25D9C4F6" w14:textId="456E6D1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0.0035</w:t>
            </w:r>
          </w:p>
        </w:tc>
        <w:tc>
          <w:tcPr>
            <w:tcW w:w="2256" w:type="dxa"/>
            <w:vAlign w:val="center"/>
          </w:tcPr>
          <w:p w14:paraId="2E65CC30" w14:textId="385B619F"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0.0031</w:t>
            </w:r>
          </w:p>
        </w:tc>
        <w:tc>
          <w:tcPr>
            <w:tcW w:w="2256" w:type="dxa"/>
            <w:vAlign w:val="center"/>
          </w:tcPr>
          <w:p w14:paraId="12571778" w14:textId="24BCE3EF" w:rsidR="00321762" w:rsidRPr="00191031" w:rsidRDefault="00422C31" w:rsidP="00075468">
            <w:pPr>
              <w:jc w:val="center"/>
              <w:rPr>
                <w:rFonts w:ascii="Arial" w:hAnsi="Arial" w:cs="Arial"/>
                <w:sz w:val="16"/>
                <w:szCs w:val="16"/>
              </w:rPr>
            </w:pPr>
            <w:r>
              <w:rPr>
                <w:rFonts w:ascii="Arial" w:hAnsi="Arial" w:cs="Arial"/>
                <w:color w:val="000000"/>
                <w:sz w:val="16"/>
                <w:szCs w:val="16"/>
              </w:rPr>
              <w:t>0.0031</w:t>
            </w:r>
          </w:p>
        </w:tc>
      </w:tr>
      <w:tr w:rsidR="00321762" w:rsidRPr="00AF1200" w14:paraId="50082D97" w14:textId="77777777" w:rsidTr="00075468">
        <w:tc>
          <w:tcPr>
            <w:tcW w:w="2293" w:type="dxa"/>
            <w:vAlign w:val="bottom"/>
          </w:tcPr>
          <w:p w14:paraId="613187B0" w14:textId="71058BF1" w:rsidR="00321762" w:rsidRPr="00191031" w:rsidRDefault="00321762" w:rsidP="00321762">
            <w:pPr>
              <w:rPr>
                <w:rFonts w:ascii="Arial" w:hAnsi="Arial" w:cs="Arial"/>
                <w:sz w:val="16"/>
                <w:szCs w:val="16"/>
              </w:rPr>
            </w:pPr>
            <w:r w:rsidRPr="00191031">
              <w:rPr>
                <w:rFonts w:ascii="Arial" w:hAnsi="Arial" w:cs="Arial"/>
                <w:color w:val="000000"/>
                <w:sz w:val="16"/>
                <w:szCs w:val="16"/>
              </w:rPr>
              <w:t>Pottery and ceramics</w:t>
            </w:r>
          </w:p>
        </w:tc>
        <w:tc>
          <w:tcPr>
            <w:tcW w:w="2256" w:type="dxa"/>
            <w:vAlign w:val="center"/>
          </w:tcPr>
          <w:p w14:paraId="442F5D34" w14:textId="7D811320"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0.00075</w:t>
            </w:r>
          </w:p>
        </w:tc>
        <w:tc>
          <w:tcPr>
            <w:tcW w:w="2256" w:type="dxa"/>
            <w:vAlign w:val="center"/>
          </w:tcPr>
          <w:p w14:paraId="68176DCD" w14:textId="5BC7A184"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0.00075</w:t>
            </w:r>
          </w:p>
        </w:tc>
        <w:tc>
          <w:tcPr>
            <w:tcW w:w="2256" w:type="dxa"/>
            <w:vAlign w:val="center"/>
          </w:tcPr>
          <w:p w14:paraId="65DC5079" w14:textId="148C3E91" w:rsidR="00321762" w:rsidRPr="00191031" w:rsidRDefault="00422C31" w:rsidP="00075468">
            <w:pPr>
              <w:jc w:val="center"/>
              <w:rPr>
                <w:rFonts w:ascii="Arial" w:hAnsi="Arial" w:cs="Arial"/>
                <w:sz w:val="16"/>
                <w:szCs w:val="16"/>
              </w:rPr>
            </w:pPr>
            <w:r>
              <w:rPr>
                <w:rFonts w:ascii="Arial" w:hAnsi="Arial" w:cs="Arial"/>
                <w:color w:val="000000"/>
                <w:sz w:val="16"/>
                <w:szCs w:val="16"/>
              </w:rPr>
              <w:t>0.00079</w:t>
            </w:r>
          </w:p>
        </w:tc>
      </w:tr>
      <w:tr w:rsidR="00321762" w:rsidRPr="00AF1200" w14:paraId="3A488FAB" w14:textId="77777777" w:rsidTr="00075468">
        <w:tc>
          <w:tcPr>
            <w:tcW w:w="2293" w:type="dxa"/>
            <w:vAlign w:val="bottom"/>
          </w:tcPr>
          <w:p w14:paraId="64C9C874" w14:textId="7CD69EFF" w:rsidR="00321762" w:rsidRPr="00191031" w:rsidRDefault="00321762" w:rsidP="00321762">
            <w:pPr>
              <w:rPr>
                <w:rFonts w:ascii="Arial" w:hAnsi="Arial" w:cs="Arial"/>
                <w:sz w:val="16"/>
                <w:szCs w:val="16"/>
              </w:rPr>
            </w:pPr>
            <w:r w:rsidRPr="00191031">
              <w:rPr>
                <w:rFonts w:ascii="Arial" w:hAnsi="Arial" w:cs="Arial"/>
                <w:color w:val="000000"/>
                <w:sz w:val="16"/>
                <w:szCs w:val="16"/>
              </w:rPr>
              <w:t>Asphalt production</w:t>
            </w:r>
          </w:p>
        </w:tc>
        <w:tc>
          <w:tcPr>
            <w:tcW w:w="2256" w:type="dxa"/>
            <w:vAlign w:val="center"/>
          </w:tcPr>
          <w:p w14:paraId="2C1BF8BC" w14:textId="6348EC95"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0.032</w:t>
            </w:r>
          </w:p>
        </w:tc>
        <w:tc>
          <w:tcPr>
            <w:tcW w:w="2256" w:type="dxa"/>
            <w:vAlign w:val="center"/>
          </w:tcPr>
          <w:p w14:paraId="48222208" w14:textId="7FA8FAE6" w:rsidR="00321762" w:rsidRPr="00191031" w:rsidRDefault="00321762" w:rsidP="00075468">
            <w:pPr>
              <w:jc w:val="center"/>
              <w:rPr>
                <w:rFonts w:ascii="Arial" w:hAnsi="Arial" w:cs="Arial"/>
                <w:sz w:val="16"/>
                <w:szCs w:val="16"/>
              </w:rPr>
            </w:pPr>
            <w:r w:rsidRPr="00211A50">
              <w:rPr>
                <w:rFonts w:ascii="Arial" w:hAnsi="Arial" w:cs="Arial"/>
                <w:color w:val="000000"/>
                <w:sz w:val="16"/>
                <w:szCs w:val="16"/>
              </w:rPr>
              <w:t>0.0518</w:t>
            </w:r>
          </w:p>
        </w:tc>
        <w:tc>
          <w:tcPr>
            <w:tcW w:w="2256" w:type="dxa"/>
            <w:vAlign w:val="center"/>
          </w:tcPr>
          <w:p w14:paraId="60806FA9" w14:textId="10AE438B" w:rsidR="00321762" w:rsidRPr="00191031" w:rsidRDefault="00422C31" w:rsidP="00075468">
            <w:pPr>
              <w:jc w:val="center"/>
              <w:rPr>
                <w:rFonts w:ascii="Arial" w:hAnsi="Arial" w:cs="Arial"/>
                <w:sz w:val="16"/>
                <w:szCs w:val="16"/>
              </w:rPr>
            </w:pPr>
            <w:r>
              <w:rPr>
                <w:rFonts w:ascii="Arial" w:hAnsi="Arial" w:cs="Arial"/>
                <w:color w:val="000000"/>
                <w:sz w:val="16"/>
                <w:szCs w:val="16"/>
              </w:rPr>
              <w:t>0.058</w:t>
            </w:r>
          </w:p>
        </w:tc>
      </w:tr>
      <w:tr w:rsidR="00330DB3" w:rsidRPr="00AF1200" w14:paraId="37B89347" w14:textId="77777777" w:rsidTr="00075468">
        <w:tc>
          <w:tcPr>
            <w:tcW w:w="2293" w:type="dxa"/>
            <w:vAlign w:val="bottom"/>
          </w:tcPr>
          <w:p w14:paraId="0CBC74D5" w14:textId="509EA5FB" w:rsidR="00330DB3" w:rsidRPr="00191031" w:rsidRDefault="00330DB3" w:rsidP="00330DB3">
            <w:pPr>
              <w:rPr>
                <w:rFonts w:ascii="Arial" w:hAnsi="Arial" w:cs="Arial"/>
                <w:sz w:val="16"/>
                <w:szCs w:val="16"/>
              </w:rPr>
            </w:pPr>
            <w:r w:rsidRPr="00191031">
              <w:rPr>
                <w:rFonts w:ascii="Arial" w:hAnsi="Arial" w:cs="Arial"/>
                <w:color w:val="000000"/>
                <w:sz w:val="16"/>
                <w:szCs w:val="16"/>
              </w:rPr>
              <w:lastRenderedPageBreak/>
              <w:t>4-stroke engines</w:t>
            </w:r>
          </w:p>
        </w:tc>
        <w:tc>
          <w:tcPr>
            <w:tcW w:w="2256" w:type="dxa"/>
            <w:vAlign w:val="center"/>
          </w:tcPr>
          <w:p w14:paraId="34DABD76" w14:textId="0861D3E3"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0.04</w:t>
            </w:r>
          </w:p>
        </w:tc>
        <w:tc>
          <w:tcPr>
            <w:tcW w:w="2256" w:type="dxa"/>
            <w:vAlign w:val="center"/>
          </w:tcPr>
          <w:p w14:paraId="46A3268B" w14:textId="2C0A5B45"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0.0142</w:t>
            </w:r>
          </w:p>
        </w:tc>
        <w:tc>
          <w:tcPr>
            <w:tcW w:w="2256" w:type="dxa"/>
            <w:vAlign w:val="center"/>
          </w:tcPr>
          <w:p w14:paraId="7C0A71B1" w14:textId="245C3B90" w:rsidR="00330DB3" w:rsidRPr="00191031" w:rsidRDefault="00330DB3" w:rsidP="00075468">
            <w:pPr>
              <w:jc w:val="center"/>
              <w:rPr>
                <w:rFonts w:ascii="Arial" w:hAnsi="Arial" w:cs="Arial"/>
                <w:sz w:val="16"/>
                <w:szCs w:val="16"/>
              </w:rPr>
            </w:pPr>
            <w:r>
              <w:rPr>
                <w:rFonts w:ascii="Arial" w:hAnsi="Arial" w:cs="Arial"/>
                <w:color w:val="000000"/>
                <w:sz w:val="16"/>
                <w:szCs w:val="16"/>
              </w:rPr>
              <w:t>0.012</w:t>
            </w:r>
          </w:p>
        </w:tc>
      </w:tr>
      <w:tr w:rsidR="00330DB3" w:rsidRPr="00AF1200" w14:paraId="290A76B6" w14:textId="77777777" w:rsidTr="00075468">
        <w:tc>
          <w:tcPr>
            <w:tcW w:w="2293" w:type="dxa"/>
            <w:vAlign w:val="bottom"/>
          </w:tcPr>
          <w:p w14:paraId="3EF6EDEC" w14:textId="71526612" w:rsidR="00330DB3" w:rsidRPr="00191031" w:rsidRDefault="00330DB3" w:rsidP="00330DB3">
            <w:pPr>
              <w:rPr>
                <w:rFonts w:ascii="Arial" w:hAnsi="Arial" w:cs="Arial"/>
                <w:sz w:val="16"/>
                <w:szCs w:val="16"/>
              </w:rPr>
            </w:pPr>
            <w:r w:rsidRPr="00191031">
              <w:rPr>
                <w:rFonts w:ascii="Arial" w:hAnsi="Arial" w:cs="Arial"/>
                <w:color w:val="000000"/>
                <w:sz w:val="16"/>
                <w:szCs w:val="16"/>
              </w:rPr>
              <w:t>2-stroke engines</w:t>
            </w:r>
          </w:p>
        </w:tc>
        <w:tc>
          <w:tcPr>
            <w:tcW w:w="2256" w:type="dxa"/>
            <w:vAlign w:val="center"/>
          </w:tcPr>
          <w:p w14:paraId="22125C7D" w14:textId="0165C075"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0.014</w:t>
            </w:r>
          </w:p>
        </w:tc>
        <w:tc>
          <w:tcPr>
            <w:tcW w:w="2256" w:type="dxa"/>
            <w:vAlign w:val="center"/>
          </w:tcPr>
          <w:p w14:paraId="3572F483" w14:textId="3795045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0.014</w:t>
            </w:r>
          </w:p>
        </w:tc>
        <w:tc>
          <w:tcPr>
            <w:tcW w:w="2256" w:type="dxa"/>
            <w:vAlign w:val="center"/>
          </w:tcPr>
          <w:p w14:paraId="161B1BE9" w14:textId="6AD58F5F" w:rsidR="00330DB3" w:rsidRPr="00191031" w:rsidRDefault="00330DB3" w:rsidP="00075468">
            <w:pPr>
              <w:jc w:val="center"/>
              <w:rPr>
                <w:rFonts w:ascii="Arial" w:hAnsi="Arial" w:cs="Arial"/>
                <w:sz w:val="16"/>
                <w:szCs w:val="16"/>
              </w:rPr>
            </w:pPr>
            <w:r>
              <w:rPr>
                <w:rFonts w:ascii="Arial" w:hAnsi="Arial" w:cs="Arial"/>
                <w:color w:val="000000"/>
                <w:sz w:val="16"/>
                <w:szCs w:val="16"/>
              </w:rPr>
              <w:t>0.188</w:t>
            </w:r>
          </w:p>
        </w:tc>
      </w:tr>
      <w:tr w:rsidR="00330DB3" w:rsidRPr="00AF1200" w14:paraId="415932BA" w14:textId="77777777" w:rsidTr="00075468">
        <w:tc>
          <w:tcPr>
            <w:tcW w:w="2293" w:type="dxa"/>
            <w:vAlign w:val="bottom"/>
          </w:tcPr>
          <w:p w14:paraId="1178FF62" w14:textId="0122C338" w:rsidR="00330DB3" w:rsidRPr="00191031" w:rsidRDefault="00330DB3" w:rsidP="00330DB3">
            <w:pPr>
              <w:rPr>
                <w:rFonts w:ascii="Arial" w:hAnsi="Arial" w:cs="Arial"/>
                <w:sz w:val="16"/>
                <w:szCs w:val="16"/>
              </w:rPr>
            </w:pPr>
            <w:r w:rsidRPr="00191031">
              <w:rPr>
                <w:rFonts w:ascii="Arial" w:hAnsi="Arial" w:cs="Arial"/>
                <w:color w:val="000000"/>
                <w:sz w:val="16"/>
                <w:szCs w:val="16"/>
              </w:rPr>
              <w:t>Diesel engines</w:t>
            </w:r>
          </w:p>
        </w:tc>
        <w:tc>
          <w:tcPr>
            <w:tcW w:w="2256" w:type="dxa"/>
            <w:vAlign w:val="center"/>
          </w:tcPr>
          <w:p w14:paraId="69EA0F37" w14:textId="1DEA132B"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0.238</w:t>
            </w:r>
          </w:p>
        </w:tc>
        <w:tc>
          <w:tcPr>
            <w:tcW w:w="2256" w:type="dxa"/>
            <w:vAlign w:val="center"/>
          </w:tcPr>
          <w:p w14:paraId="5356AF29" w14:textId="37EE2293"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0.266</w:t>
            </w:r>
          </w:p>
        </w:tc>
        <w:tc>
          <w:tcPr>
            <w:tcW w:w="2256" w:type="dxa"/>
            <w:vAlign w:val="center"/>
          </w:tcPr>
          <w:p w14:paraId="3F8A8D3D" w14:textId="45B145F5" w:rsidR="00330DB3" w:rsidRPr="00191031" w:rsidRDefault="00330DB3" w:rsidP="00075468">
            <w:pPr>
              <w:jc w:val="center"/>
              <w:rPr>
                <w:rFonts w:ascii="Arial" w:hAnsi="Arial" w:cs="Arial"/>
                <w:sz w:val="16"/>
                <w:szCs w:val="16"/>
              </w:rPr>
            </w:pPr>
            <w:r>
              <w:rPr>
                <w:rFonts w:ascii="Arial" w:hAnsi="Arial" w:cs="Arial"/>
                <w:color w:val="000000"/>
                <w:sz w:val="16"/>
                <w:szCs w:val="16"/>
              </w:rPr>
              <w:t>0.285</w:t>
            </w:r>
          </w:p>
        </w:tc>
      </w:tr>
      <w:tr w:rsidR="00330DB3" w:rsidRPr="00AF1200" w14:paraId="2495DA36" w14:textId="77777777" w:rsidTr="00075468">
        <w:tc>
          <w:tcPr>
            <w:tcW w:w="2293" w:type="dxa"/>
            <w:vAlign w:val="bottom"/>
          </w:tcPr>
          <w:p w14:paraId="15FBF40C" w14:textId="2DA7E66E" w:rsidR="00330DB3" w:rsidRPr="00191031" w:rsidRDefault="00330DB3" w:rsidP="00330DB3">
            <w:pPr>
              <w:rPr>
                <w:rFonts w:ascii="Arial" w:hAnsi="Arial" w:cs="Arial"/>
                <w:sz w:val="16"/>
                <w:szCs w:val="16"/>
              </w:rPr>
            </w:pPr>
            <w:r w:rsidRPr="00191031">
              <w:rPr>
                <w:rFonts w:ascii="Arial" w:hAnsi="Arial" w:cs="Arial"/>
                <w:color w:val="000000"/>
                <w:sz w:val="16"/>
                <w:szCs w:val="16"/>
              </w:rPr>
              <w:t>Heavy oil-fired engines</w:t>
            </w:r>
          </w:p>
        </w:tc>
        <w:tc>
          <w:tcPr>
            <w:tcW w:w="2256" w:type="dxa"/>
            <w:vAlign w:val="center"/>
          </w:tcPr>
          <w:p w14:paraId="7DCE281A" w14:textId="3CD598B4"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0.368</w:t>
            </w:r>
          </w:p>
        </w:tc>
        <w:tc>
          <w:tcPr>
            <w:tcW w:w="2256" w:type="dxa"/>
            <w:vAlign w:val="center"/>
          </w:tcPr>
          <w:p w14:paraId="68E5730A" w14:textId="694FFCEB"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0.377</w:t>
            </w:r>
          </w:p>
        </w:tc>
        <w:tc>
          <w:tcPr>
            <w:tcW w:w="2256" w:type="dxa"/>
            <w:vAlign w:val="center"/>
          </w:tcPr>
          <w:p w14:paraId="457B41BD" w14:textId="3CA6A0CF" w:rsidR="00330DB3" w:rsidRPr="00191031" w:rsidRDefault="00330DB3" w:rsidP="00075468">
            <w:pPr>
              <w:jc w:val="center"/>
              <w:rPr>
                <w:rFonts w:ascii="Arial" w:hAnsi="Arial" w:cs="Arial"/>
                <w:sz w:val="16"/>
                <w:szCs w:val="16"/>
              </w:rPr>
            </w:pPr>
            <w:r>
              <w:rPr>
                <w:rFonts w:ascii="Arial" w:hAnsi="Arial" w:cs="Arial"/>
                <w:color w:val="000000"/>
                <w:sz w:val="16"/>
                <w:szCs w:val="16"/>
              </w:rPr>
              <w:t>0.343</w:t>
            </w:r>
          </w:p>
        </w:tc>
      </w:tr>
      <w:tr w:rsidR="00330DB3" w:rsidRPr="00AF1200" w14:paraId="4215C8A4" w14:textId="77777777" w:rsidTr="00075468">
        <w:tc>
          <w:tcPr>
            <w:tcW w:w="2293" w:type="dxa"/>
            <w:vAlign w:val="bottom"/>
          </w:tcPr>
          <w:p w14:paraId="23E10856" w14:textId="1D3FCE73" w:rsidR="00330DB3" w:rsidRPr="00191031" w:rsidRDefault="00330DB3" w:rsidP="00330DB3">
            <w:pPr>
              <w:rPr>
                <w:rFonts w:ascii="Arial" w:hAnsi="Arial" w:cs="Arial"/>
                <w:sz w:val="16"/>
                <w:szCs w:val="16"/>
              </w:rPr>
            </w:pPr>
            <w:r w:rsidRPr="00191031">
              <w:rPr>
                <w:rFonts w:ascii="Arial" w:hAnsi="Arial" w:cs="Arial"/>
                <w:color w:val="000000"/>
                <w:sz w:val="16"/>
                <w:szCs w:val="16"/>
              </w:rPr>
              <w:t>Agricultural residue burning</w:t>
            </w:r>
          </w:p>
        </w:tc>
        <w:tc>
          <w:tcPr>
            <w:tcW w:w="2256" w:type="dxa"/>
            <w:vAlign w:val="center"/>
          </w:tcPr>
          <w:p w14:paraId="0B097FFF" w14:textId="5F73EC14"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0.158</w:t>
            </w:r>
          </w:p>
        </w:tc>
        <w:tc>
          <w:tcPr>
            <w:tcW w:w="2256" w:type="dxa"/>
            <w:vAlign w:val="center"/>
          </w:tcPr>
          <w:p w14:paraId="06800852" w14:textId="7D34B505"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0.1</w:t>
            </w:r>
            <w:r>
              <w:rPr>
                <w:rFonts w:ascii="Arial" w:hAnsi="Arial" w:cs="Arial"/>
                <w:color w:val="000000"/>
                <w:sz w:val="16"/>
                <w:szCs w:val="16"/>
              </w:rPr>
              <w:t>60</w:t>
            </w:r>
          </w:p>
        </w:tc>
        <w:tc>
          <w:tcPr>
            <w:tcW w:w="2256" w:type="dxa"/>
            <w:vAlign w:val="center"/>
          </w:tcPr>
          <w:p w14:paraId="78CBEB7B" w14:textId="6A118763" w:rsidR="00330DB3" w:rsidRPr="00191031" w:rsidRDefault="00330DB3" w:rsidP="00075468">
            <w:pPr>
              <w:jc w:val="center"/>
              <w:rPr>
                <w:rFonts w:ascii="Arial" w:hAnsi="Arial" w:cs="Arial"/>
                <w:sz w:val="16"/>
                <w:szCs w:val="16"/>
              </w:rPr>
            </w:pPr>
            <w:r>
              <w:rPr>
                <w:rFonts w:ascii="Arial" w:hAnsi="Arial" w:cs="Arial"/>
                <w:color w:val="000000"/>
                <w:sz w:val="16"/>
                <w:szCs w:val="16"/>
              </w:rPr>
              <w:t>0.144</w:t>
            </w:r>
          </w:p>
        </w:tc>
      </w:tr>
      <w:tr w:rsidR="00330DB3" w:rsidRPr="00AF1200" w14:paraId="5CB2D013" w14:textId="77777777" w:rsidTr="00075468">
        <w:tc>
          <w:tcPr>
            <w:tcW w:w="2293" w:type="dxa"/>
            <w:vAlign w:val="bottom"/>
          </w:tcPr>
          <w:p w14:paraId="58BF1843" w14:textId="33DFD181" w:rsidR="00330DB3" w:rsidRPr="00191031" w:rsidRDefault="00330DB3" w:rsidP="00330DB3">
            <w:pPr>
              <w:rPr>
                <w:rFonts w:ascii="Arial" w:hAnsi="Arial" w:cs="Arial"/>
                <w:sz w:val="16"/>
                <w:szCs w:val="16"/>
              </w:rPr>
            </w:pPr>
            <w:r w:rsidRPr="00191031">
              <w:rPr>
                <w:rFonts w:ascii="Arial" w:hAnsi="Arial" w:cs="Arial"/>
                <w:color w:val="000000"/>
                <w:sz w:val="16"/>
                <w:szCs w:val="16"/>
              </w:rPr>
              <w:t>Forest fires</w:t>
            </w:r>
          </w:p>
        </w:tc>
        <w:tc>
          <w:tcPr>
            <w:tcW w:w="2256" w:type="dxa"/>
            <w:vAlign w:val="center"/>
          </w:tcPr>
          <w:p w14:paraId="3612B6A1" w14:textId="3D83C37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0.174</w:t>
            </w:r>
          </w:p>
        </w:tc>
        <w:tc>
          <w:tcPr>
            <w:tcW w:w="2256" w:type="dxa"/>
            <w:vAlign w:val="center"/>
          </w:tcPr>
          <w:p w14:paraId="06F514BC" w14:textId="02EFB383"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0.2357</w:t>
            </w:r>
          </w:p>
        </w:tc>
        <w:tc>
          <w:tcPr>
            <w:tcW w:w="2256" w:type="dxa"/>
            <w:vAlign w:val="center"/>
          </w:tcPr>
          <w:p w14:paraId="03292666" w14:textId="40C649EF" w:rsidR="00330DB3" w:rsidRPr="00191031" w:rsidRDefault="00330DB3" w:rsidP="00075468">
            <w:pPr>
              <w:jc w:val="center"/>
              <w:rPr>
                <w:rFonts w:ascii="Arial" w:hAnsi="Arial" w:cs="Arial"/>
                <w:sz w:val="16"/>
                <w:szCs w:val="16"/>
              </w:rPr>
            </w:pPr>
            <w:r>
              <w:rPr>
                <w:rFonts w:ascii="Arial" w:hAnsi="Arial" w:cs="Arial"/>
                <w:color w:val="000000"/>
                <w:sz w:val="16"/>
                <w:szCs w:val="16"/>
              </w:rPr>
              <w:t>0.437</w:t>
            </w:r>
          </w:p>
        </w:tc>
      </w:tr>
      <w:tr w:rsidR="00330DB3" w:rsidRPr="00AF1200" w14:paraId="0E20DA3D" w14:textId="77777777" w:rsidTr="00075468">
        <w:tc>
          <w:tcPr>
            <w:tcW w:w="2293" w:type="dxa"/>
            <w:vAlign w:val="bottom"/>
          </w:tcPr>
          <w:p w14:paraId="52E54B82" w14:textId="2C751B24" w:rsidR="00330DB3" w:rsidRPr="00191031" w:rsidRDefault="00330DB3" w:rsidP="00330DB3">
            <w:pPr>
              <w:rPr>
                <w:rFonts w:ascii="Arial" w:hAnsi="Arial" w:cs="Arial"/>
                <w:sz w:val="16"/>
                <w:szCs w:val="16"/>
              </w:rPr>
            </w:pPr>
            <w:r w:rsidRPr="00191031">
              <w:rPr>
                <w:rFonts w:ascii="Arial" w:hAnsi="Arial" w:cs="Arial"/>
                <w:color w:val="000000"/>
                <w:sz w:val="16"/>
                <w:szCs w:val="16"/>
              </w:rPr>
              <w:t>Grassland and savannah fires</w:t>
            </w:r>
          </w:p>
        </w:tc>
        <w:tc>
          <w:tcPr>
            <w:tcW w:w="2256" w:type="dxa"/>
            <w:vAlign w:val="center"/>
          </w:tcPr>
          <w:p w14:paraId="418EAC91" w14:textId="120F2926"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0.246</w:t>
            </w:r>
          </w:p>
        </w:tc>
        <w:tc>
          <w:tcPr>
            <w:tcW w:w="2256" w:type="dxa"/>
            <w:vAlign w:val="center"/>
          </w:tcPr>
          <w:p w14:paraId="197F1790" w14:textId="6AAA60A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0.2133</w:t>
            </w:r>
          </w:p>
        </w:tc>
        <w:tc>
          <w:tcPr>
            <w:tcW w:w="2256" w:type="dxa"/>
            <w:vAlign w:val="center"/>
          </w:tcPr>
          <w:p w14:paraId="3BB79D78" w14:textId="254BF729" w:rsidR="00330DB3" w:rsidRPr="00191031" w:rsidRDefault="00330DB3" w:rsidP="00075468">
            <w:pPr>
              <w:jc w:val="center"/>
              <w:rPr>
                <w:rFonts w:ascii="Arial" w:hAnsi="Arial" w:cs="Arial"/>
                <w:sz w:val="16"/>
                <w:szCs w:val="16"/>
              </w:rPr>
            </w:pPr>
            <w:r>
              <w:rPr>
                <w:rFonts w:ascii="Arial" w:hAnsi="Arial" w:cs="Arial"/>
                <w:color w:val="000000"/>
                <w:sz w:val="16"/>
                <w:szCs w:val="16"/>
              </w:rPr>
              <w:t>0.222</w:t>
            </w:r>
          </w:p>
        </w:tc>
      </w:tr>
      <w:tr w:rsidR="00330DB3" w:rsidRPr="00AF1200" w14:paraId="1D36C302" w14:textId="77777777" w:rsidTr="00075468">
        <w:tc>
          <w:tcPr>
            <w:tcW w:w="2293" w:type="dxa"/>
            <w:vAlign w:val="bottom"/>
          </w:tcPr>
          <w:p w14:paraId="1D61213E" w14:textId="239F0B09" w:rsidR="00330DB3" w:rsidRPr="00191031" w:rsidRDefault="00330DB3" w:rsidP="00330DB3">
            <w:pPr>
              <w:rPr>
                <w:rFonts w:ascii="Arial" w:hAnsi="Arial" w:cs="Arial"/>
                <w:sz w:val="16"/>
                <w:szCs w:val="16"/>
              </w:rPr>
            </w:pPr>
            <w:r w:rsidRPr="00191031">
              <w:rPr>
                <w:rFonts w:ascii="Arial" w:hAnsi="Arial" w:cs="Arial"/>
                <w:color w:val="000000"/>
                <w:sz w:val="16"/>
                <w:szCs w:val="16"/>
              </w:rPr>
              <w:t>Fires at waste dumps</w:t>
            </w:r>
          </w:p>
        </w:tc>
        <w:tc>
          <w:tcPr>
            <w:tcW w:w="2256" w:type="dxa"/>
            <w:vAlign w:val="center"/>
          </w:tcPr>
          <w:p w14:paraId="3244FB26" w14:textId="6E55B4B6"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0.39</w:t>
            </w:r>
            <w:r>
              <w:rPr>
                <w:rFonts w:ascii="Arial" w:hAnsi="Arial" w:cs="Arial"/>
                <w:color w:val="000000"/>
                <w:sz w:val="16"/>
                <w:szCs w:val="16"/>
              </w:rPr>
              <w:t>1</w:t>
            </w:r>
          </w:p>
        </w:tc>
        <w:tc>
          <w:tcPr>
            <w:tcW w:w="2256" w:type="dxa"/>
            <w:vAlign w:val="center"/>
          </w:tcPr>
          <w:p w14:paraId="1B63C06A" w14:textId="69029BA2"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0.377</w:t>
            </w:r>
          </w:p>
        </w:tc>
        <w:tc>
          <w:tcPr>
            <w:tcW w:w="2256" w:type="dxa"/>
            <w:vAlign w:val="center"/>
          </w:tcPr>
          <w:p w14:paraId="5CD973A7" w14:textId="241976E3" w:rsidR="00330DB3" w:rsidRPr="00191031" w:rsidRDefault="00330DB3" w:rsidP="00075468">
            <w:pPr>
              <w:jc w:val="center"/>
              <w:rPr>
                <w:rFonts w:ascii="Arial" w:hAnsi="Arial" w:cs="Arial"/>
                <w:sz w:val="16"/>
                <w:szCs w:val="16"/>
              </w:rPr>
            </w:pPr>
            <w:r>
              <w:rPr>
                <w:rFonts w:ascii="Arial" w:hAnsi="Arial" w:cs="Arial"/>
                <w:color w:val="000000"/>
                <w:sz w:val="16"/>
                <w:szCs w:val="16"/>
              </w:rPr>
              <w:t>1.130</w:t>
            </w:r>
          </w:p>
        </w:tc>
      </w:tr>
      <w:tr w:rsidR="00330DB3" w:rsidRPr="00AF1200" w14:paraId="32EE6B05" w14:textId="77777777" w:rsidTr="00075468">
        <w:tc>
          <w:tcPr>
            <w:tcW w:w="2293" w:type="dxa"/>
            <w:vAlign w:val="bottom"/>
          </w:tcPr>
          <w:p w14:paraId="58E3E86F" w14:textId="27771706" w:rsidR="00330DB3" w:rsidRPr="00191031" w:rsidRDefault="00330DB3" w:rsidP="00330DB3">
            <w:pPr>
              <w:rPr>
                <w:rFonts w:ascii="Arial" w:hAnsi="Arial" w:cs="Arial"/>
                <w:sz w:val="16"/>
                <w:szCs w:val="16"/>
              </w:rPr>
            </w:pPr>
            <w:r w:rsidRPr="00191031">
              <w:rPr>
                <w:rFonts w:ascii="Arial" w:hAnsi="Arial" w:cs="Arial"/>
                <w:color w:val="000000"/>
                <w:sz w:val="16"/>
                <w:szCs w:val="16"/>
              </w:rPr>
              <w:t>Structure fires</w:t>
            </w:r>
          </w:p>
        </w:tc>
        <w:tc>
          <w:tcPr>
            <w:tcW w:w="2256" w:type="dxa"/>
            <w:vAlign w:val="center"/>
          </w:tcPr>
          <w:p w14:paraId="3A58D9D1" w14:textId="7FF29E8E"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1.250</w:t>
            </w:r>
          </w:p>
        </w:tc>
        <w:tc>
          <w:tcPr>
            <w:tcW w:w="2256" w:type="dxa"/>
            <w:vAlign w:val="center"/>
          </w:tcPr>
          <w:p w14:paraId="7DA90B8D" w14:textId="19B9A15A"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1.396</w:t>
            </w:r>
          </w:p>
        </w:tc>
        <w:tc>
          <w:tcPr>
            <w:tcW w:w="2256" w:type="dxa"/>
            <w:vAlign w:val="center"/>
          </w:tcPr>
          <w:p w14:paraId="592D1E40" w14:textId="016FC59A" w:rsidR="00330DB3" w:rsidRPr="00191031" w:rsidRDefault="0069063F" w:rsidP="00075468">
            <w:pPr>
              <w:jc w:val="center"/>
              <w:rPr>
                <w:rFonts w:ascii="Arial" w:hAnsi="Arial" w:cs="Arial"/>
                <w:sz w:val="16"/>
                <w:szCs w:val="16"/>
              </w:rPr>
            </w:pPr>
            <w:r>
              <w:rPr>
                <w:rFonts w:ascii="Arial" w:hAnsi="Arial" w:cs="Arial"/>
                <w:color w:val="000000"/>
                <w:sz w:val="16"/>
                <w:szCs w:val="16"/>
              </w:rPr>
              <w:t>0.524</w:t>
            </w:r>
          </w:p>
        </w:tc>
      </w:tr>
      <w:tr w:rsidR="00330DB3" w:rsidRPr="00AF1200" w14:paraId="3D21684D" w14:textId="77777777" w:rsidTr="00075468">
        <w:tc>
          <w:tcPr>
            <w:tcW w:w="2293" w:type="dxa"/>
            <w:vAlign w:val="bottom"/>
          </w:tcPr>
          <w:p w14:paraId="7F8C7CA0" w14:textId="1EBB0C99" w:rsidR="00330DB3" w:rsidRPr="00191031" w:rsidRDefault="00330DB3" w:rsidP="00330DB3">
            <w:pPr>
              <w:rPr>
                <w:rFonts w:ascii="Arial" w:hAnsi="Arial" w:cs="Arial"/>
                <w:sz w:val="16"/>
                <w:szCs w:val="16"/>
              </w:rPr>
            </w:pPr>
            <w:r w:rsidRPr="00191031">
              <w:rPr>
                <w:rFonts w:ascii="Arial" w:hAnsi="Arial" w:cs="Arial"/>
                <w:color w:val="000000"/>
                <w:sz w:val="16"/>
                <w:szCs w:val="16"/>
              </w:rPr>
              <w:t>Open burning of domestic wastes</w:t>
            </w:r>
          </w:p>
        </w:tc>
        <w:tc>
          <w:tcPr>
            <w:tcW w:w="2256" w:type="dxa"/>
            <w:vAlign w:val="center"/>
          </w:tcPr>
          <w:p w14:paraId="4B95EFD9" w14:textId="37FC587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0.800</w:t>
            </w:r>
          </w:p>
        </w:tc>
        <w:tc>
          <w:tcPr>
            <w:tcW w:w="2256" w:type="dxa"/>
            <w:vAlign w:val="center"/>
          </w:tcPr>
          <w:p w14:paraId="521F3D0F" w14:textId="66DBD8C7"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0.8272</w:t>
            </w:r>
          </w:p>
        </w:tc>
        <w:tc>
          <w:tcPr>
            <w:tcW w:w="2256" w:type="dxa"/>
            <w:vAlign w:val="center"/>
          </w:tcPr>
          <w:p w14:paraId="13765180" w14:textId="1B182B07" w:rsidR="00330DB3" w:rsidRPr="00191031" w:rsidRDefault="0069063F" w:rsidP="00075468">
            <w:pPr>
              <w:jc w:val="center"/>
              <w:rPr>
                <w:rFonts w:ascii="Arial" w:hAnsi="Arial" w:cs="Arial"/>
                <w:sz w:val="16"/>
                <w:szCs w:val="16"/>
              </w:rPr>
            </w:pPr>
            <w:r>
              <w:rPr>
                <w:rFonts w:ascii="Arial" w:hAnsi="Arial" w:cs="Arial"/>
                <w:color w:val="000000"/>
                <w:sz w:val="16"/>
                <w:szCs w:val="16"/>
              </w:rPr>
              <w:t>0.478</w:t>
            </w:r>
          </w:p>
        </w:tc>
      </w:tr>
      <w:tr w:rsidR="00330DB3" w:rsidRPr="00AF1200" w14:paraId="2A2200D4" w14:textId="77777777" w:rsidTr="00075468">
        <w:tc>
          <w:tcPr>
            <w:tcW w:w="2293" w:type="dxa"/>
            <w:vAlign w:val="bottom"/>
          </w:tcPr>
          <w:p w14:paraId="45AB32C8" w14:textId="08DF0963" w:rsidR="00330DB3" w:rsidRPr="00191031" w:rsidRDefault="00330DB3" w:rsidP="00330DB3">
            <w:pPr>
              <w:rPr>
                <w:rFonts w:ascii="Arial" w:hAnsi="Arial" w:cs="Arial"/>
                <w:sz w:val="16"/>
                <w:szCs w:val="16"/>
              </w:rPr>
            </w:pPr>
            <w:r w:rsidRPr="00191031">
              <w:rPr>
                <w:rFonts w:ascii="Arial" w:hAnsi="Arial" w:cs="Arial"/>
                <w:color w:val="000000"/>
                <w:sz w:val="16"/>
                <w:szCs w:val="16"/>
              </w:rPr>
              <w:t>Vehicle fires</w:t>
            </w:r>
          </w:p>
        </w:tc>
        <w:tc>
          <w:tcPr>
            <w:tcW w:w="2256" w:type="dxa"/>
            <w:vAlign w:val="center"/>
          </w:tcPr>
          <w:p w14:paraId="53C7F035" w14:textId="09377221"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0.202</w:t>
            </w:r>
          </w:p>
        </w:tc>
        <w:tc>
          <w:tcPr>
            <w:tcW w:w="2256" w:type="dxa"/>
            <w:vAlign w:val="center"/>
          </w:tcPr>
          <w:p w14:paraId="3856FB05" w14:textId="2F221383"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0.247</w:t>
            </w:r>
          </w:p>
        </w:tc>
        <w:tc>
          <w:tcPr>
            <w:tcW w:w="2256" w:type="dxa"/>
            <w:vAlign w:val="center"/>
          </w:tcPr>
          <w:p w14:paraId="7BE8B984" w14:textId="495352EB" w:rsidR="00330DB3" w:rsidRPr="00191031" w:rsidRDefault="0069063F" w:rsidP="00075468">
            <w:pPr>
              <w:jc w:val="center"/>
              <w:rPr>
                <w:rFonts w:ascii="Arial" w:hAnsi="Arial" w:cs="Arial"/>
                <w:sz w:val="16"/>
                <w:szCs w:val="16"/>
              </w:rPr>
            </w:pPr>
            <w:r>
              <w:rPr>
                <w:rFonts w:ascii="Arial" w:hAnsi="Arial" w:cs="Arial"/>
                <w:color w:val="000000"/>
                <w:sz w:val="16"/>
                <w:szCs w:val="16"/>
              </w:rPr>
              <w:t>0.292</w:t>
            </w:r>
          </w:p>
        </w:tc>
      </w:tr>
      <w:tr w:rsidR="00330DB3" w:rsidRPr="00AF1200" w14:paraId="697F8173" w14:textId="77777777" w:rsidTr="00075468">
        <w:tc>
          <w:tcPr>
            <w:tcW w:w="2293" w:type="dxa"/>
            <w:vAlign w:val="bottom"/>
          </w:tcPr>
          <w:p w14:paraId="758692DD" w14:textId="6F77D4D8" w:rsidR="00330DB3" w:rsidRPr="00191031" w:rsidRDefault="00330DB3" w:rsidP="00330DB3">
            <w:pPr>
              <w:rPr>
                <w:rFonts w:ascii="Arial" w:hAnsi="Arial" w:cs="Arial"/>
                <w:sz w:val="16"/>
                <w:szCs w:val="16"/>
              </w:rPr>
            </w:pPr>
            <w:r w:rsidRPr="00191031">
              <w:rPr>
                <w:rFonts w:ascii="Arial" w:hAnsi="Arial" w:cs="Arial"/>
                <w:color w:val="000000"/>
                <w:sz w:val="16"/>
                <w:szCs w:val="16"/>
              </w:rPr>
              <w:t>Black liquor combustion</w:t>
            </w:r>
          </w:p>
        </w:tc>
        <w:tc>
          <w:tcPr>
            <w:tcW w:w="2256" w:type="dxa"/>
            <w:vAlign w:val="center"/>
          </w:tcPr>
          <w:p w14:paraId="46BD1DEC" w14:textId="1CA0E268"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0.036</w:t>
            </w:r>
          </w:p>
        </w:tc>
        <w:tc>
          <w:tcPr>
            <w:tcW w:w="2256" w:type="dxa"/>
            <w:vAlign w:val="center"/>
          </w:tcPr>
          <w:p w14:paraId="6031C751" w14:textId="631A6BD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0.048</w:t>
            </w:r>
          </w:p>
        </w:tc>
        <w:tc>
          <w:tcPr>
            <w:tcW w:w="2256" w:type="dxa"/>
            <w:vAlign w:val="center"/>
          </w:tcPr>
          <w:p w14:paraId="70B84D6F" w14:textId="61DF0D5B" w:rsidR="00330DB3" w:rsidRPr="00191031" w:rsidRDefault="0069063F" w:rsidP="00075468">
            <w:pPr>
              <w:jc w:val="center"/>
              <w:rPr>
                <w:rFonts w:ascii="Arial" w:hAnsi="Arial" w:cs="Arial"/>
                <w:sz w:val="16"/>
                <w:szCs w:val="16"/>
              </w:rPr>
            </w:pPr>
            <w:r>
              <w:rPr>
                <w:rFonts w:ascii="Arial" w:hAnsi="Arial" w:cs="Arial"/>
                <w:color w:val="000000"/>
                <w:sz w:val="16"/>
                <w:szCs w:val="16"/>
              </w:rPr>
              <w:t>0.03</w:t>
            </w:r>
            <w:r w:rsidR="00075468">
              <w:rPr>
                <w:rFonts w:ascii="Arial" w:hAnsi="Arial" w:cs="Arial"/>
                <w:color w:val="000000"/>
                <w:sz w:val="16"/>
                <w:szCs w:val="16"/>
              </w:rPr>
              <w:t>0</w:t>
            </w:r>
          </w:p>
        </w:tc>
      </w:tr>
      <w:tr w:rsidR="00330DB3" w:rsidRPr="00AF1200" w14:paraId="5715F8E9" w14:textId="77777777" w:rsidTr="00075468">
        <w:tc>
          <w:tcPr>
            <w:tcW w:w="2293" w:type="dxa"/>
            <w:vAlign w:val="bottom"/>
          </w:tcPr>
          <w:p w14:paraId="5B9608CB" w14:textId="084E9692" w:rsidR="00330DB3" w:rsidRPr="00191031" w:rsidRDefault="00330DB3" w:rsidP="00330DB3">
            <w:pPr>
              <w:rPr>
                <w:rFonts w:ascii="Arial" w:hAnsi="Arial" w:cs="Arial"/>
                <w:sz w:val="16"/>
                <w:szCs w:val="16"/>
              </w:rPr>
            </w:pPr>
            <w:r w:rsidRPr="00191031">
              <w:rPr>
                <w:rFonts w:ascii="Arial" w:hAnsi="Arial" w:cs="Arial"/>
                <w:color w:val="000000"/>
                <w:sz w:val="16"/>
                <w:szCs w:val="16"/>
              </w:rPr>
              <w:t>Pulp &amp; paper</w:t>
            </w:r>
          </w:p>
        </w:tc>
        <w:tc>
          <w:tcPr>
            <w:tcW w:w="2256" w:type="dxa"/>
            <w:vAlign w:val="center"/>
          </w:tcPr>
          <w:p w14:paraId="25DC42CB" w14:textId="64C0D229" w:rsidR="00330DB3" w:rsidRPr="00191031" w:rsidRDefault="00933CE1" w:rsidP="00075468">
            <w:pPr>
              <w:jc w:val="center"/>
              <w:rPr>
                <w:rFonts w:ascii="Arial" w:hAnsi="Arial" w:cs="Arial"/>
                <w:sz w:val="16"/>
                <w:szCs w:val="16"/>
              </w:rPr>
            </w:pPr>
            <w:r>
              <w:rPr>
                <w:rFonts w:ascii="Arial" w:hAnsi="Arial" w:cs="Arial"/>
                <w:color w:val="000000"/>
                <w:sz w:val="16"/>
                <w:szCs w:val="16"/>
              </w:rPr>
              <w:t>0.325</w:t>
            </w:r>
          </w:p>
        </w:tc>
        <w:tc>
          <w:tcPr>
            <w:tcW w:w="2256" w:type="dxa"/>
            <w:vAlign w:val="center"/>
          </w:tcPr>
          <w:p w14:paraId="0DFB2091" w14:textId="2B0ACC76" w:rsidR="00330DB3" w:rsidRPr="00191031" w:rsidRDefault="00933CE1" w:rsidP="00075468">
            <w:pPr>
              <w:jc w:val="center"/>
              <w:rPr>
                <w:rFonts w:ascii="Arial" w:hAnsi="Arial" w:cs="Arial"/>
                <w:sz w:val="16"/>
                <w:szCs w:val="16"/>
              </w:rPr>
            </w:pPr>
            <w:r>
              <w:rPr>
                <w:rFonts w:ascii="Arial" w:hAnsi="Arial" w:cs="Arial"/>
                <w:color w:val="000000"/>
                <w:sz w:val="16"/>
                <w:szCs w:val="16"/>
              </w:rPr>
              <w:t>0.512</w:t>
            </w:r>
          </w:p>
        </w:tc>
        <w:tc>
          <w:tcPr>
            <w:tcW w:w="2256" w:type="dxa"/>
            <w:vAlign w:val="center"/>
          </w:tcPr>
          <w:p w14:paraId="761D24B4" w14:textId="35A53111" w:rsidR="00330DB3" w:rsidRPr="00191031" w:rsidRDefault="00933CE1" w:rsidP="00075468">
            <w:pPr>
              <w:jc w:val="center"/>
              <w:rPr>
                <w:rFonts w:ascii="Arial" w:hAnsi="Arial" w:cs="Arial"/>
                <w:sz w:val="16"/>
                <w:szCs w:val="16"/>
              </w:rPr>
            </w:pPr>
            <w:r>
              <w:rPr>
                <w:rFonts w:ascii="Arial" w:hAnsi="Arial" w:cs="Arial"/>
                <w:color w:val="000000"/>
                <w:sz w:val="16"/>
                <w:szCs w:val="16"/>
              </w:rPr>
              <w:t>0.169</w:t>
            </w:r>
          </w:p>
        </w:tc>
      </w:tr>
      <w:tr w:rsidR="00330DB3" w:rsidRPr="00AF1200" w14:paraId="7E2AAC33" w14:textId="77777777" w:rsidTr="00075468">
        <w:tc>
          <w:tcPr>
            <w:tcW w:w="2293" w:type="dxa"/>
            <w:vAlign w:val="bottom"/>
          </w:tcPr>
          <w:p w14:paraId="00FAF5AA" w14:textId="5E226E49" w:rsidR="00330DB3" w:rsidRPr="00191031" w:rsidRDefault="00330DB3" w:rsidP="00330DB3">
            <w:pPr>
              <w:rPr>
                <w:rFonts w:ascii="Arial" w:hAnsi="Arial" w:cs="Arial"/>
                <w:sz w:val="16"/>
                <w:szCs w:val="16"/>
              </w:rPr>
            </w:pPr>
            <w:r w:rsidRPr="00191031">
              <w:rPr>
                <w:rFonts w:ascii="Arial" w:hAnsi="Arial" w:cs="Arial"/>
                <w:color w:val="000000"/>
                <w:sz w:val="16"/>
                <w:szCs w:val="16"/>
              </w:rPr>
              <w:t>Use of 2,4-D</w:t>
            </w:r>
          </w:p>
        </w:tc>
        <w:tc>
          <w:tcPr>
            <w:tcW w:w="2256" w:type="dxa"/>
            <w:vAlign w:val="center"/>
          </w:tcPr>
          <w:p w14:paraId="36AF2744" w14:textId="3C7A765A"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0.000034</w:t>
            </w:r>
          </w:p>
        </w:tc>
        <w:tc>
          <w:tcPr>
            <w:tcW w:w="2256" w:type="dxa"/>
            <w:vAlign w:val="center"/>
          </w:tcPr>
          <w:p w14:paraId="7882317E" w14:textId="5F5C927B"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0.00005</w:t>
            </w:r>
          </w:p>
        </w:tc>
        <w:tc>
          <w:tcPr>
            <w:tcW w:w="2256" w:type="dxa"/>
            <w:vAlign w:val="center"/>
          </w:tcPr>
          <w:p w14:paraId="35B1B99E" w14:textId="7D6C6F97" w:rsidR="00330DB3" w:rsidRPr="00191031" w:rsidRDefault="0069063F" w:rsidP="00075468">
            <w:pPr>
              <w:jc w:val="center"/>
              <w:rPr>
                <w:rFonts w:ascii="Arial" w:hAnsi="Arial" w:cs="Arial"/>
                <w:sz w:val="16"/>
                <w:szCs w:val="16"/>
              </w:rPr>
            </w:pPr>
            <w:r>
              <w:rPr>
                <w:rFonts w:ascii="Arial" w:hAnsi="Arial" w:cs="Arial"/>
                <w:color w:val="000000"/>
                <w:sz w:val="16"/>
                <w:szCs w:val="16"/>
              </w:rPr>
              <w:t>0.00005</w:t>
            </w:r>
          </w:p>
        </w:tc>
      </w:tr>
      <w:tr w:rsidR="00330DB3" w:rsidRPr="00AF1200" w14:paraId="76231792" w14:textId="77777777" w:rsidTr="00075468">
        <w:tc>
          <w:tcPr>
            <w:tcW w:w="2293" w:type="dxa"/>
            <w:vAlign w:val="bottom"/>
          </w:tcPr>
          <w:p w14:paraId="461D1D82" w14:textId="69EDC514" w:rsidR="00330DB3" w:rsidRPr="00191031" w:rsidRDefault="00330DB3" w:rsidP="00330DB3">
            <w:pPr>
              <w:rPr>
                <w:rFonts w:ascii="Arial" w:hAnsi="Arial" w:cs="Arial"/>
                <w:sz w:val="16"/>
                <w:szCs w:val="16"/>
              </w:rPr>
            </w:pPr>
            <w:r w:rsidRPr="00191031">
              <w:rPr>
                <w:rFonts w:ascii="Arial" w:hAnsi="Arial" w:cs="Arial"/>
                <w:color w:val="000000"/>
                <w:sz w:val="16"/>
                <w:szCs w:val="16"/>
              </w:rPr>
              <w:t>Petroleum production</w:t>
            </w:r>
          </w:p>
        </w:tc>
        <w:tc>
          <w:tcPr>
            <w:tcW w:w="2256" w:type="dxa"/>
            <w:vAlign w:val="center"/>
          </w:tcPr>
          <w:p w14:paraId="6601DD2A" w14:textId="59E1EA13"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0.0258</w:t>
            </w:r>
          </w:p>
        </w:tc>
        <w:tc>
          <w:tcPr>
            <w:tcW w:w="2256" w:type="dxa"/>
            <w:vAlign w:val="center"/>
          </w:tcPr>
          <w:p w14:paraId="708E8566" w14:textId="787BA908"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0.0274</w:t>
            </w:r>
          </w:p>
        </w:tc>
        <w:tc>
          <w:tcPr>
            <w:tcW w:w="2256" w:type="dxa"/>
            <w:vAlign w:val="center"/>
          </w:tcPr>
          <w:p w14:paraId="26A07E89" w14:textId="5ECE5D0E" w:rsidR="00330DB3" w:rsidRPr="00191031" w:rsidRDefault="0069063F" w:rsidP="00075468">
            <w:pPr>
              <w:jc w:val="center"/>
              <w:rPr>
                <w:rFonts w:ascii="Arial" w:hAnsi="Arial" w:cs="Arial"/>
                <w:sz w:val="16"/>
                <w:szCs w:val="16"/>
              </w:rPr>
            </w:pPr>
            <w:r>
              <w:rPr>
                <w:rFonts w:ascii="Arial" w:hAnsi="Arial" w:cs="Arial"/>
                <w:color w:val="000000"/>
                <w:sz w:val="16"/>
                <w:szCs w:val="16"/>
              </w:rPr>
              <w:t>0.0160</w:t>
            </w:r>
          </w:p>
        </w:tc>
      </w:tr>
      <w:tr w:rsidR="00330DB3" w:rsidRPr="00AF1200" w14:paraId="0F8A4274" w14:textId="77777777" w:rsidTr="00075468">
        <w:tc>
          <w:tcPr>
            <w:tcW w:w="2293" w:type="dxa"/>
            <w:vAlign w:val="bottom"/>
          </w:tcPr>
          <w:p w14:paraId="3B4C3905" w14:textId="61AE72F2" w:rsidR="00330DB3" w:rsidRPr="00191031" w:rsidRDefault="00330DB3" w:rsidP="00330DB3">
            <w:pPr>
              <w:rPr>
                <w:rFonts w:ascii="Arial" w:hAnsi="Arial" w:cs="Arial"/>
                <w:sz w:val="16"/>
                <w:szCs w:val="16"/>
              </w:rPr>
            </w:pPr>
            <w:r w:rsidRPr="00191031">
              <w:rPr>
                <w:rFonts w:ascii="Arial" w:hAnsi="Arial" w:cs="Arial"/>
                <w:color w:val="000000"/>
                <w:sz w:val="16"/>
                <w:szCs w:val="16"/>
              </w:rPr>
              <w:t>Crematoria</w:t>
            </w:r>
          </w:p>
        </w:tc>
        <w:tc>
          <w:tcPr>
            <w:tcW w:w="2256" w:type="dxa"/>
            <w:vAlign w:val="center"/>
          </w:tcPr>
          <w:p w14:paraId="76344DC1" w14:textId="6D883F2E"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0.1905</w:t>
            </w:r>
          </w:p>
        </w:tc>
        <w:tc>
          <w:tcPr>
            <w:tcW w:w="2256" w:type="dxa"/>
            <w:vAlign w:val="center"/>
          </w:tcPr>
          <w:p w14:paraId="4F97D641" w14:textId="3508E01B"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0.201</w:t>
            </w:r>
          </w:p>
        </w:tc>
        <w:tc>
          <w:tcPr>
            <w:tcW w:w="2256" w:type="dxa"/>
            <w:vAlign w:val="center"/>
          </w:tcPr>
          <w:p w14:paraId="0F036018" w14:textId="6E878B3A" w:rsidR="00330DB3" w:rsidRPr="00191031" w:rsidRDefault="0069063F" w:rsidP="00075468">
            <w:pPr>
              <w:jc w:val="center"/>
              <w:rPr>
                <w:rFonts w:ascii="Arial" w:hAnsi="Arial" w:cs="Arial"/>
                <w:sz w:val="16"/>
                <w:szCs w:val="16"/>
              </w:rPr>
            </w:pPr>
            <w:r>
              <w:rPr>
                <w:rFonts w:ascii="Arial" w:hAnsi="Arial" w:cs="Arial"/>
                <w:color w:val="000000"/>
                <w:sz w:val="16"/>
                <w:szCs w:val="16"/>
              </w:rPr>
              <w:t>0.221</w:t>
            </w:r>
          </w:p>
        </w:tc>
      </w:tr>
      <w:tr w:rsidR="00330DB3" w:rsidRPr="00AF1200" w14:paraId="735E1660" w14:textId="77777777" w:rsidTr="00075468">
        <w:tc>
          <w:tcPr>
            <w:tcW w:w="2293" w:type="dxa"/>
            <w:vAlign w:val="bottom"/>
          </w:tcPr>
          <w:p w14:paraId="4624056D" w14:textId="7C7C9037" w:rsidR="00330DB3" w:rsidRPr="00191031" w:rsidRDefault="00330DB3" w:rsidP="00330DB3">
            <w:pPr>
              <w:rPr>
                <w:rFonts w:ascii="Arial" w:hAnsi="Arial" w:cs="Arial"/>
                <w:sz w:val="16"/>
                <w:szCs w:val="16"/>
              </w:rPr>
            </w:pPr>
            <w:r w:rsidRPr="00191031">
              <w:rPr>
                <w:rFonts w:ascii="Arial" w:hAnsi="Arial" w:cs="Arial"/>
                <w:color w:val="000000"/>
                <w:sz w:val="16"/>
                <w:szCs w:val="16"/>
              </w:rPr>
              <w:t>Tobacco smoking</w:t>
            </w:r>
          </w:p>
        </w:tc>
        <w:tc>
          <w:tcPr>
            <w:tcW w:w="2256" w:type="dxa"/>
            <w:vAlign w:val="center"/>
          </w:tcPr>
          <w:p w14:paraId="6EF103A8" w14:textId="24AF838A"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0.00028</w:t>
            </w:r>
          </w:p>
        </w:tc>
        <w:tc>
          <w:tcPr>
            <w:tcW w:w="2256" w:type="dxa"/>
            <w:vAlign w:val="center"/>
          </w:tcPr>
          <w:p w14:paraId="2F2634CD" w14:textId="6A9BCB8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0.00021</w:t>
            </w:r>
          </w:p>
        </w:tc>
        <w:tc>
          <w:tcPr>
            <w:tcW w:w="2256" w:type="dxa"/>
            <w:vAlign w:val="center"/>
          </w:tcPr>
          <w:p w14:paraId="67C45E2F" w14:textId="5C8CBEFB" w:rsidR="00330DB3" w:rsidRPr="00191031" w:rsidRDefault="0069063F" w:rsidP="00075468">
            <w:pPr>
              <w:jc w:val="center"/>
              <w:rPr>
                <w:rFonts w:ascii="Arial" w:hAnsi="Arial" w:cs="Arial"/>
                <w:sz w:val="16"/>
                <w:szCs w:val="16"/>
              </w:rPr>
            </w:pPr>
            <w:r>
              <w:rPr>
                <w:rFonts w:ascii="Arial" w:hAnsi="Arial" w:cs="Arial"/>
                <w:color w:val="000000"/>
                <w:sz w:val="16"/>
                <w:szCs w:val="16"/>
              </w:rPr>
              <w:t>0.000098</w:t>
            </w:r>
          </w:p>
        </w:tc>
      </w:tr>
      <w:tr w:rsidR="00330DB3" w:rsidRPr="00AF1200" w14:paraId="472F7E5D" w14:textId="77777777" w:rsidTr="00075468">
        <w:tc>
          <w:tcPr>
            <w:tcW w:w="2293" w:type="dxa"/>
            <w:vAlign w:val="bottom"/>
          </w:tcPr>
          <w:p w14:paraId="7B8D50E4" w14:textId="51B59A2C" w:rsidR="00330DB3" w:rsidRPr="00191031" w:rsidRDefault="00330DB3" w:rsidP="00330DB3">
            <w:pPr>
              <w:rPr>
                <w:rFonts w:ascii="Arial" w:hAnsi="Arial" w:cs="Arial"/>
                <w:sz w:val="16"/>
                <w:szCs w:val="16"/>
              </w:rPr>
            </w:pPr>
            <w:r w:rsidRPr="00191031">
              <w:rPr>
                <w:rFonts w:ascii="Arial" w:hAnsi="Arial" w:cs="Arial"/>
                <w:color w:val="000000"/>
                <w:sz w:val="16"/>
                <w:szCs w:val="16"/>
              </w:rPr>
              <w:t>Landfills, waste dumps and landfill mining</w:t>
            </w:r>
          </w:p>
        </w:tc>
        <w:tc>
          <w:tcPr>
            <w:tcW w:w="2256" w:type="dxa"/>
            <w:vAlign w:val="center"/>
          </w:tcPr>
          <w:p w14:paraId="776529F2" w14:textId="5526D8E5"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13.827</w:t>
            </w:r>
          </w:p>
        </w:tc>
        <w:tc>
          <w:tcPr>
            <w:tcW w:w="2256" w:type="dxa"/>
            <w:vAlign w:val="center"/>
          </w:tcPr>
          <w:p w14:paraId="7F071123" w14:textId="763EB04F" w:rsidR="00330DB3" w:rsidRPr="00191031" w:rsidRDefault="00330DB3" w:rsidP="00075468">
            <w:pPr>
              <w:jc w:val="center"/>
              <w:rPr>
                <w:rFonts w:ascii="Arial" w:hAnsi="Arial" w:cs="Arial"/>
                <w:sz w:val="16"/>
                <w:szCs w:val="16"/>
              </w:rPr>
            </w:pPr>
            <w:r w:rsidRPr="00211A50">
              <w:rPr>
                <w:rFonts w:ascii="Arial" w:hAnsi="Arial" w:cs="Arial"/>
                <w:color w:val="000000"/>
                <w:sz w:val="16"/>
                <w:szCs w:val="16"/>
              </w:rPr>
              <w:t>18.733</w:t>
            </w:r>
          </w:p>
        </w:tc>
        <w:tc>
          <w:tcPr>
            <w:tcW w:w="2256" w:type="dxa"/>
            <w:vAlign w:val="center"/>
          </w:tcPr>
          <w:p w14:paraId="4D295F07" w14:textId="0A4C9BB2" w:rsidR="00330DB3" w:rsidRPr="00191031" w:rsidRDefault="0069063F" w:rsidP="00075468">
            <w:pPr>
              <w:jc w:val="center"/>
              <w:rPr>
                <w:rFonts w:ascii="Arial" w:hAnsi="Arial" w:cs="Arial"/>
                <w:sz w:val="16"/>
                <w:szCs w:val="16"/>
              </w:rPr>
            </w:pPr>
            <w:r>
              <w:rPr>
                <w:rFonts w:ascii="Arial" w:hAnsi="Arial" w:cs="Arial"/>
                <w:color w:val="000000"/>
                <w:sz w:val="16"/>
                <w:szCs w:val="16"/>
              </w:rPr>
              <w:t>18.970</w:t>
            </w:r>
          </w:p>
        </w:tc>
      </w:tr>
      <w:tr w:rsidR="00330DB3" w14:paraId="4819AA89" w14:textId="77777777" w:rsidTr="00075468">
        <w:tc>
          <w:tcPr>
            <w:tcW w:w="2293" w:type="dxa"/>
            <w:vAlign w:val="bottom"/>
          </w:tcPr>
          <w:p w14:paraId="040F8211" w14:textId="3EE85E21" w:rsidR="00330DB3" w:rsidRPr="00191031" w:rsidRDefault="00330DB3" w:rsidP="00330DB3">
            <w:pPr>
              <w:rPr>
                <w:rFonts w:ascii="Arial" w:hAnsi="Arial" w:cs="Arial"/>
                <w:sz w:val="16"/>
                <w:szCs w:val="16"/>
              </w:rPr>
            </w:pPr>
            <w:r w:rsidRPr="00191031">
              <w:rPr>
                <w:rFonts w:ascii="Arial" w:hAnsi="Arial" w:cs="Arial"/>
                <w:color w:val="000000"/>
                <w:sz w:val="16"/>
                <w:szCs w:val="16"/>
              </w:rPr>
              <w:t>Sewage/sewage treatment</w:t>
            </w:r>
          </w:p>
        </w:tc>
        <w:tc>
          <w:tcPr>
            <w:tcW w:w="2256" w:type="dxa"/>
            <w:vAlign w:val="center"/>
          </w:tcPr>
          <w:p w14:paraId="61FD7634" w14:textId="2C493093" w:rsidR="00330DB3" w:rsidRPr="00191031" w:rsidRDefault="00995F09" w:rsidP="00075468">
            <w:pPr>
              <w:jc w:val="center"/>
              <w:rPr>
                <w:rFonts w:ascii="Arial" w:hAnsi="Arial" w:cs="Arial"/>
                <w:sz w:val="16"/>
                <w:szCs w:val="16"/>
              </w:rPr>
            </w:pPr>
            <w:r>
              <w:rPr>
                <w:rFonts w:ascii="Arial" w:hAnsi="Arial" w:cs="Arial"/>
                <w:color w:val="000000"/>
                <w:sz w:val="16"/>
                <w:szCs w:val="16"/>
              </w:rPr>
              <w:t>2.432</w:t>
            </w:r>
          </w:p>
        </w:tc>
        <w:tc>
          <w:tcPr>
            <w:tcW w:w="2256" w:type="dxa"/>
            <w:vAlign w:val="center"/>
          </w:tcPr>
          <w:p w14:paraId="53AC934A" w14:textId="1815539A" w:rsidR="00330DB3" w:rsidRPr="00191031" w:rsidRDefault="00995F09" w:rsidP="00075468">
            <w:pPr>
              <w:jc w:val="center"/>
              <w:rPr>
                <w:rFonts w:ascii="Arial" w:hAnsi="Arial" w:cs="Arial"/>
                <w:sz w:val="16"/>
                <w:szCs w:val="16"/>
              </w:rPr>
            </w:pPr>
            <w:r>
              <w:rPr>
                <w:rFonts w:ascii="Arial" w:hAnsi="Arial" w:cs="Arial"/>
                <w:color w:val="000000"/>
                <w:sz w:val="16"/>
                <w:szCs w:val="16"/>
              </w:rPr>
              <w:t>2.601</w:t>
            </w:r>
          </w:p>
        </w:tc>
        <w:tc>
          <w:tcPr>
            <w:tcW w:w="2256" w:type="dxa"/>
            <w:vAlign w:val="center"/>
          </w:tcPr>
          <w:p w14:paraId="1E9B5507" w14:textId="678A2A33" w:rsidR="00330DB3" w:rsidRPr="00321762" w:rsidRDefault="00C50BDE" w:rsidP="00075468">
            <w:pPr>
              <w:jc w:val="center"/>
              <w:rPr>
                <w:rFonts w:ascii="Arial" w:hAnsi="Arial" w:cs="Arial"/>
                <w:sz w:val="16"/>
                <w:szCs w:val="16"/>
              </w:rPr>
            </w:pPr>
            <w:r>
              <w:rPr>
                <w:rFonts w:ascii="Arial" w:hAnsi="Arial" w:cs="Arial"/>
                <w:color w:val="000000"/>
                <w:sz w:val="16"/>
                <w:szCs w:val="16"/>
              </w:rPr>
              <w:t>2.809</w:t>
            </w:r>
          </w:p>
        </w:tc>
      </w:tr>
    </w:tbl>
    <w:p w14:paraId="7E046AE5" w14:textId="44C90D03" w:rsidR="009C4E50" w:rsidRDefault="009C4E50" w:rsidP="009C4E50"/>
    <w:p w14:paraId="0A85CD41" w14:textId="77777777" w:rsidR="009C4E50" w:rsidRPr="009C4E50" w:rsidRDefault="009C4E50" w:rsidP="009C4E50"/>
    <w:sectPr w:rsidR="009C4E50" w:rsidRPr="009C4E50" w:rsidSect="009C4E50">
      <w:endnotePr>
        <w:numFmt w:val="decimal"/>
      </w:endnotePr>
      <w:pgSz w:w="11907" w:h="16840" w:code="9"/>
      <w:pgMar w:top="1440"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FB95" w14:textId="77777777" w:rsidR="00970FC3" w:rsidRDefault="00970FC3"/>
  </w:endnote>
  <w:endnote w:type="continuationSeparator" w:id="0">
    <w:p w14:paraId="7DEC6EE4" w14:textId="77777777" w:rsidR="00970FC3" w:rsidRDefault="00970FC3"/>
  </w:endnote>
  <w:endnote w:type="continuationNotice" w:id="1">
    <w:p w14:paraId="7B8BB92E" w14:textId="77777777" w:rsidR="00970FC3" w:rsidRDefault="00970F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1940" w14:textId="77777777" w:rsidR="000915E8" w:rsidRDefault="0009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038C" w14:textId="2B1E1E6F" w:rsidR="008B2505" w:rsidRPr="003F4BD9" w:rsidRDefault="008B2505" w:rsidP="00394F37">
    <w:pPr>
      <w:pStyle w:val="Footer"/>
      <w:tabs>
        <w:tab w:val="clear" w:pos="4320"/>
        <w:tab w:val="clear" w:pos="8640"/>
        <w:tab w:val="center" w:pos="3686"/>
        <w:tab w:val="right" w:pos="9072"/>
      </w:tabs>
      <w:ind w:right="360"/>
      <w:jc w:val="center"/>
      <w:rPr>
        <w:rFonts w:ascii="Verdana" w:hAnsi="Verdana"/>
        <w:b/>
        <w:sz w:val="16"/>
        <w:szCs w:val="16"/>
      </w:rPr>
    </w:pPr>
    <w:r w:rsidRPr="003F4BD9">
      <w:rPr>
        <w:rStyle w:val="PageNumber"/>
        <w:rFonts w:ascii="Verdana" w:hAnsi="Verdana"/>
        <w:b/>
        <w:sz w:val="16"/>
        <w:szCs w:val="16"/>
      </w:rPr>
      <w:tab/>
    </w:r>
    <w:r w:rsidRPr="003F4BD9">
      <w:rPr>
        <w:rStyle w:val="PageNumber"/>
        <w:rFonts w:ascii="Verdana" w:hAnsi="Verdana"/>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14AA" w14:textId="77777777" w:rsidR="000915E8" w:rsidRDefault="00091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76FA" w14:textId="6AF6F1F5" w:rsidR="008B2505" w:rsidRPr="005F707F" w:rsidRDefault="008B2505" w:rsidP="00FC1FE0">
    <w:pPr>
      <w:pStyle w:val="Footer"/>
      <w:tabs>
        <w:tab w:val="clear" w:pos="4320"/>
        <w:tab w:val="clear" w:pos="8640"/>
        <w:tab w:val="center" w:pos="4536"/>
        <w:tab w:val="right" w:pos="9072"/>
      </w:tabs>
      <w:ind w:right="360"/>
      <w:jc w:val="center"/>
      <w:rPr>
        <w:rFonts w:ascii="Verdana" w:hAnsi="Verdana"/>
        <w:b/>
        <w:color w:val="A6A6A6"/>
        <w:sz w:val="16"/>
        <w:szCs w:val="16"/>
      </w:rPr>
    </w:pPr>
    <w:r w:rsidRPr="005F707F">
      <w:rPr>
        <w:rStyle w:val="PageNumber"/>
        <w:rFonts w:ascii="Verdana" w:hAnsi="Verdana"/>
        <w:b/>
        <w:color w:val="A6A6A6"/>
        <w:sz w:val="16"/>
        <w:szCs w:val="16"/>
      </w:rPr>
      <w:tab/>
    </w:r>
    <w:r w:rsidRPr="005F707F">
      <w:rPr>
        <w:rStyle w:val="PageNumber"/>
        <w:rFonts w:ascii="Verdana" w:hAnsi="Verdana"/>
        <w:b/>
        <w:color w:val="A6A6A6"/>
        <w:sz w:val="16"/>
        <w:szCs w:val="16"/>
      </w:rPr>
      <w:fldChar w:fldCharType="begin"/>
    </w:r>
    <w:r w:rsidRPr="005F707F">
      <w:rPr>
        <w:rStyle w:val="PageNumber"/>
        <w:rFonts w:ascii="Verdana" w:hAnsi="Verdana"/>
        <w:b/>
        <w:color w:val="A6A6A6"/>
        <w:sz w:val="16"/>
        <w:szCs w:val="16"/>
      </w:rPr>
      <w:instrText xml:space="preserve"> PAGE </w:instrText>
    </w:r>
    <w:r w:rsidRPr="005F707F">
      <w:rPr>
        <w:rStyle w:val="PageNumber"/>
        <w:rFonts w:ascii="Verdana" w:hAnsi="Verdana"/>
        <w:b/>
        <w:color w:val="A6A6A6"/>
        <w:sz w:val="16"/>
        <w:szCs w:val="16"/>
      </w:rPr>
      <w:fldChar w:fldCharType="separate"/>
    </w:r>
    <w:r w:rsidR="00041829">
      <w:rPr>
        <w:rStyle w:val="PageNumber"/>
        <w:rFonts w:ascii="Verdana" w:hAnsi="Verdana"/>
        <w:b/>
        <w:noProof/>
        <w:color w:val="A6A6A6"/>
        <w:sz w:val="16"/>
        <w:szCs w:val="16"/>
      </w:rPr>
      <w:t>xiii</w:t>
    </w:r>
    <w:r w:rsidRPr="005F707F">
      <w:rPr>
        <w:rStyle w:val="PageNumber"/>
        <w:rFonts w:ascii="Verdana" w:hAnsi="Verdana"/>
        <w:b/>
        <w:color w:val="A6A6A6"/>
        <w:sz w:val="16"/>
        <w:szCs w:val="16"/>
      </w:rPr>
      <w:fldChar w:fldCharType="end"/>
    </w:r>
    <w:r w:rsidRPr="005F707F">
      <w:rPr>
        <w:rStyle w:val="PageNumber"/>
        <w:rFonts w:ascii="Verdana" w:hAnsi="Verdana"/>
        <w:b/>
        <w:color w:val="A6A6A6"/>
        <w:sz w:val="16"/>
        <w:szCs w:val="16"/>
      </w:rPr>
      <w:tab/>
    </w:r>
    <w:r w:rsidR="00BF43EB">
      <w:rPr>
        <w:rStyle w:val="PageNumber"/>
        <w:rFonts w:ascii="Verdana" w:hAnsi="Verdana"/>
        <w:b/>
        <w:color w:val="A6A6A6"/>
        <w:sz w:val="16"/>
        <w:szCs w:val="16"/>
      </w:rPr>
      <w:t>August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9606" w14:textId="4F7DCFE9" w:rsidR="008B2505" w:rsidRPr="00A90C81" w:rsidRDefault="008B2505" w:rsidP="00FC1FE0">
    <w:pPr>
      <w:pStyle w:val="Footer"/>
      <w:tabs>
        <w:tab w:val="clear" w:pos="4320"/>
        <w:tab w:val="clear" w:pos="8640"/>
        <w:tab w:val="center" w:pos="4536"/>
        <w:tab w:val="right" w:pos="9072"/>
      </w:tabs>
      <w:jc w:val="center"/>
      <w:rPr>
        <w:rFonts w:ascii="Verdana" w:hAnsi="Verdana"/>
        <w:b/>
        <w:color w:val="A6A6A6"/>
        <w:sz w:val="16"/>
        <w:szCs w:val="16"/>
      </w:rP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9C5FFB">
      <w:rPr>
        <w:rStyle w:val="PageNumber"/>
        <w:rFonts w:ascii="Verdana" w:hAnsi="Verdana"/>
        <w:b/>
        <w:noProof/>
        <w:color w:val="A6A6A6"/>
        <w:sz w:val="16"/>
        <w:szCs w:val="16"/>
      </w:rPr>
      <w:t>65</w:t>
    </w:r>
    <w:r w:rsidRPr="00A90C81">
      <w:rPr>
        <w:rStyle w:val="PageNumber"/>
        <w:rFonts w:ascii="Verdana" w:hAnsi="Verdana"/>
        <w:b/>
        <w:color w:val="A6A6A6"/>
        <w:sz w:val="16"/>
        <w:szCs w:val="16"/>
      </w:rPr>
      <w:fldChar w:fldCharType="end"/>
    </w:r>
    <w:r w:rsidRPr="00A90C81">
      <w:rPr>
        <w:rStyle w:val="PageNumber"/>
        <w:rFonts w:ascii="Verdana" w:hAnsi="Verdana"/>
        <w:b/>
        <w:color w:val="A6A6A6"/>
        <w:sz w:val="16"/>
        <w:szCs w:val="16"/>
      </w:rPr>
      <w:tab/>
    </w:r>
    <w:r w:rsidR="006832E6">
      <w:rPr>
        <w:rStyle w:val="PageNumber"/>
        <w:rFonts w:ascii="Verdana" w:hAnsi="Verdana"/>
        <w:b/>
        <w:color w:val="A6A6A6"/>
        <w:sz w:val="16"/>
        <w:szCs w:val="16"/>
      </w:rPr>
      <w:t>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DE90" w14:textId="0D8CE617" w:rsidR="008B2505" w:rsidRPr="004723B2" w:rsidRDefault="008B2505" w:rsidP="004723B2">
    <w:pPr>
      <w:pStyle w:val="Footer"/>
      <w:tabs>
        <w:tab w:val="clear" w:pos="4320"/>
        <w:tab w:val="clear" w:pos="8640"/>
        <w:tab w:val="center" w:pos="4536"/>
        <w:tab w:val="right" w:pos="9072"/>
      </w:tabs>
      <w:jc w:val="cente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041829">
      <w:rPr>
        <w:rStyle w:val="PageNumber"/>
        <w:rFonts w:ascii="Verdana" w:hAnsi="Verdana"/>
        <w:b/>
        <w:noProof/>
        <w:color w:val="A6A6A6"/>
        <w:sz w:val="16"/>
        <w:szCs w:val="16"/>
      </w:rPr>
      <w:t>1</w:t>
    </w:r>
    <w:r w:rsidRPr="00A90C81">
      <w:rPr>
        <w:rStyle w:val="PageNumber"/>
        <w:rFonts w:ascii="Verdana" w:hAnsi="Verdana"/>
        <w:b/>
        <w:color w:val="A6A6A6"/>
        <w:sz w:val="16"/>
        <w:szCs w:val="16"/>
      </w:rPr>
      <w:fldChar w:fldCharType="end"/>
    </w:r>
    <w:r>
      <w:rPr>
        <w:rStyle w:val="PageNumber"/>
        <w:rFonts w:ascii="Verdana" w:hAnsi="Verdana"/>
        <w:b/>
        <w:color w:val="A6A6A6"/>
        <w:sz w:val="16"/>
        <w:szCs w:val="16"/>
      </w:rPr>
      <w:tab/>
    </w:r>
    <w:r w:rsidR="00BF43EB">
      <w:rPr>
        <w:rStyle w:val="PageNumber"/>
        <w:rFonts w:ascii="Verdana" w:hAnsi="Verdana"/>
        <w:b/>
        <w:color w:val="A6A6A6"/>
        <w:sz w:val="16"/>
        <w:szCs w:val="16"/>
      </w:rPr>
      <w:t>August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910C" w14:textId="67A18DBD" w:rsidR="008B2505" w:rsidRPr="005F707F" w:rsidRDefault="008B2505" w:rsidP="008C0E3C">
    <w:pPr>
      <w:pStyle w:val="Footer"/>
      <w:tabs>
        <w:tab w:val="clear" w:pos="4320"/>
        <w:tab w:val="clear" w:pos="8640"/>
        <w:tab w:val="center" w:pos="4536"/>
        <w:tab w:val="right" w:pos="9072"/>
      </w:tabs>
      <w:ind w:right="360"/>
      <w:jc w:val="center"/>
      <w:rPr>
        <w:rFonts w:ascii="Verdana" w:hAnsi="Verdana"/>
        <w:b/>
        <w:color w:val="A6A6A6"/>
        <w:sz w:val="16"/>
        <w:szCs w:val="16"/>
      </w:rPr>
    </w:pPr>
    <w:r>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041829">
      <w:rPr>
        <w:rStyle w:val="PageNumber"/>
        <w:rFonts w:ascii="Verdana" w:hAnsi="Verdana"/>
        <w:b/>
        <w:noProof/>
        <w:color w:val="A6A6A6"/>
        <w:sz w:val="16"/>
        <w:szCs w:val="16"/>
      </w:rPr>
      <w:t>84</w:t>
    </w:r>
    <w:r w:rsidRPr="00A90C81">
      <w:rPr>
        <w:rStyle w:val="PageNumber"/>
        <w:rFonts w:ascii="Verdana" w:hAnsi="Verdana"/>
        <w:b/>
        <w:color w:val="A6A6A6"/>
        <w:sz w:val="16"/>
        <w:szCs w:val="16"/>
      </w:rPr>
      <w:fldChar w:fldCharType="end"/>
    </w:r>
    <w:r w:rsidRPr="00A90C81">
      <w:rPr>
        <w:rStyle w:val="PageNumber"/>
        <w:rFonts w:ascii="Verdana" w:hAnsi="Verdana"/>
        <w:b/>
        <w:color w:val="A6A6A6"/>
        <w:sz w:val="16"/>
        <w:szCs w:val="16"/>
      </w:rPr>
      <w:tab/>
    </w:r>
    <w:r w:rsidR="000669B9">
      <w:rPr>
        <w:rStyle w:val="PageNumber"/>
        <w:rFonts w:ascii="Verdana" w:hAnsi="Verdana"/>
        <w:b/>
        <w:color w:val="A6A6A6"/>
        <w:sz w:val="16"/>
        <w:szCs w:val="16"/>
      </w:rPr>
      <w:t>August 2022</w:t>
    </w:r>
  </w:p>
  <w:p w14:paraId="4E63F69C" w14:textId="0FADBD80" w:rsidR="008B2505" w:rsidRPr="00A90C81" w:rsidRDefault="008B2505" w:rsidP="00EF4931">
    <w:pPr>
      <w:pStyle w:val="Footer"/>
      <w:tabs>
        <w:tab w:val="clear" w:pos="4320"/>
        <w:tab w:val="clear" w:pos="8640"/>
        <w:tab w:val="center" w:pos="4395"/>
        <w:tab w:val="right" w:pos="8931"/>
      </w:tabs>
      <w:jc w:val="center"/>
      <w:rPr>
        <w:rFonts w:ascii="Verdana" w:hAnsi="Verdana"/>
        <w:b/>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6FA5" w14:textId="77777777" w:rsidR="00970FC3" w:rsidRDefault="00970FC3" w:rsidP="000B6652">
      <w:r>
        <w:separator/>
      </w:r>
    </w:p>
  </w:footnote>
  <w:footnote w:type="continuationSeparator" w:id="0">
    <w:p w14:paraId="3C3BBBE1" w14:textId="77777777" w:rsidR="00970FC3" w:rsidRDefault="00970FC3" w:rsidP="000B6652">
      <w:r>
        <w:continuationSeparator/>
      </w:r>
    </w:p>
  </w:footnote>
  <w:footnote w:type="continuationNotice" w:id="1">
    <w:p w14:paraId="49D3EA1D" w14:textId="77777777" w:rsidR="00970FC3" w:rsidRDefault="00970FC3">
      <w:pPr>
        <w:spacing w:after="0"/>
      </w:pPr>
    </w:p>
  </w:footnote>
  <w:footnote w:id="2">
    <w:p w14:paraId="35E7FB9C" w14:textId="16E5D7D4" w:rsidR="008B2505" w:rsidRDefault="008B2505">
      <w:pPr>
        <w:pStyle w:val="FootnoteText"/>
      </w:pPr>
      <w:r>
        <w:rPr>
          <w:rStyle w:val="FootnoteReference"/>
        </w:rPr>
        <w:footnoteRef/>
      </w:r>
      <w:r>
        <w:t xml:space="preserve"> TEQ is an abbreviation for 2,3,7,8-tetrachlorodibenzo-p-dioxin (TCDD) toxic equivalents. This is a means of expressing the total content of dioxin-like compounds present, in terms of the most toxic dioxin species – TCDD (see page 4).</w:t>
      </w:r>
    </w:p>
  </w:footnote>
  <w:footnote w:id="3">
    <w:p w14:paraId="03BD60AC" w14:textId="38D7F666" w:rsidR="008B2505" w:rsidRPr="00460141" w:rsidRDefault="008B2505" w:rsidP="00FB1C68">
      <w:pPr>
        <w:pStyle w:val="FootnoteText"/>
        <w:ind w:left="720" w:hanging="720"/>
        <w:rPr>
          <w:sz w:val="18"/>
        </w:rPr>
      </w:pPr>
      <w:r w:rsidRPr="00460141">
        <w:rPr>
          <w:rStyle w:val="FootnoteReference"/>
          <w:sz w:val="18"/>
        </w:rPr>
        <w:footnoteRef/>
      </w:r>
      <w:r w:rsidRPr="00460141">
        <w:rPr>
          <w:sz w:val="18"/>
        </w:rPr>
        <w:t xml:space="preserve"> </w:t>
      </w:r>
      <w:r w:rsidRPr="00460141">
        <w:rPr>
          <w:sz w:val="18"/>
        </w:rPr>
        <w:tab/>
      </w:r>
      <w:r>
        <w:rPr>
          <w:sz w:val="18"/>
        </w:rPr>
        <w:t xml:space="preserve">Coal use in steel production is also not included here, but this is counted in an </w:t>
      </w:r>
      <w:r>
        <w:rPr>
          <w:sz w:val="18"/>
          <w:szCs w:val="18"/>
          <w:lang w:val="en-US"/>
        </w:rPr>
        <w:t>Energy T</w:t>
      </w:r>
      <w:r w:rsidRPr="00460141">
        <w:rPr>
          <w:sz w:val="18"/>
          <w:szCs w:val="18"/>
          <w:lang w:val="en-US"/>
        </w:rPr>
        <w:t xml:space="preserve">ransformation </w:t>
      </w:r>
      <w:r>
        <w:rPr>
          <w:sz w:val="18"/>
          <w:szCs w:val="18"/>
          <w:lang w:val="en-US"/>
        </w:rPr>
        <w:t xml:space="preserve">heading in the MBIE energy data summaries, rather than as </w:t>
      </w:r>
      <w:r w:rsidRPr="00460141">
        <w:rPr>
          <w:sz w:val="18"/>
          <w:szCs w:val="18"/>
          <w:lang w:val="en-US"/>
        </w:rPr>
        <w:t>Consumer Energy</w:t>
      </w:r>
      <w:r>
        <w:rPr>
          <w:sz w:val="18"/>
          <w:szCs w:val="18"/>
          <w:lang w:val="en-US"/>
        </w:rPr>
        <w:t>.</w:t>
      </w:r>
    </w:p>
  </w:footnote>
  <w:footnote w:id="4">
    <w:p w14:paraId="13326979" w14:textId="49D84B99" w:rsidR="008B2505" w:rsidRPr="00DE701C" w:rsidRDefault="008B2505">
      <w:pPr>
        <w:pStyle w:val="FootnoteText"/>
        <w:rPr>
          <w:sz w:val="18"/>
        </w:rPr>
      </w:pPr>
      <w:r w:rsidRPr="00DE701C">
        <w:rPr>
          <w:rStyle w:val="FootnoteReference"/>
          <w:sz w:val="18"/>
        </w:rPr>
        <w:footnoteRef/>
      </w:r>
      <w:r w:rsidRPr="00DE701C">
        <w:rPr>
          <w:sz w:val="18"/>
        </w:rPr>
        <w:t xml:space="preserve"> </w:t>
      </w:r>
      <w:r w:rsidRPr="00DE701C">
        <w:rPr>
          <w:sz w:val="18"/>
        </w:rPr>
        <w:tab/>
        <w:t>In the UNEP Toolkit, stationary combustion engines are considered under the Transport category</w:t>
      </w:r>
      <w:r>
        <w:rPr>
          <w:sz w:val="18"/>
        </w:rPr>
        <w:t xml:space="preserve"> (see section 7)</w:t>
      </w:r>
      <w:r w:rsidRPr="00DE701C">
        <w:rPr>
          <w:sz w:val="18"/>
        </w:rPr>
        <w:t>.</w:t>
      </w:r>
    </w:p>
  </w:footnote>
  <w:footnote w:id="5">
    <w:p w14:paraId="70EE2369" w14:textId="22733855" w:rsidR="008B2505" w:rsidRDefault="008B2505" w:rsidP="006761D2">
      <w:pPr>
        <w:pStyle w:val="FootnoteText"/>
        <w:ind w:left="720" w:hanging="720"/>
      </w:pPr>
      <w:r>
        <w:rPr>
          <w:rStyle w:val="FootnoteReference"/>
        </w:rPr>
        <w:footnoteRef/>
      </w:r>
      <w:r>
        <w:t xml:space="preserve"> </w:t>
      </w:r>
      <w:r>
        <w:tab/>
      </w:r>
      <w:r w:rsidR="00000773">
        <w:t>FENZ</w:t>
      </w:r>
      <w:r>
        <w:t xml:space="preserve"> attends about 4000 to 5000 fires per year that are specifically identified as involving some form of ‘rubbish’.</w:t>
      </w:r>
    </w:p>
  </w:footnote>
  <w:footnote w:id="6">
    <w:p w14:paraId="7F279E75" w14:textId="77777777" w:rsidR="008B2505" w:rsidRDefault="008B2505" w:rsidP="002016F6">
      <w:pPr>
        <w:pStyle w:val="FootnoteText"/>
        <w:ind w:left="720" w:hanging="720"/>
      </w:pPr>
      <w:r>
        <w:rPr>
          <w:rStyle w:val="FootnoteReference"/>
        </w:rPr>
        <w:footnoteRef/>
      </w:r>
      <w:r>
        <w:t xml:space="preserve"> </w:t>
      </w:r>
      <w:r>
        <w:tab/>
        <w:t>The cremation/burial split is a little uncertain because the records note the place of disposal rather than the method of disposal.</w:t>
      </w:r>
    </w:p>
  </w:footnote>
  <w:footnote w:id="7">
    <w:p w14:paraId="171F53F9" w14:textId="77777777" w:rsidR="008B2505" w:rsidRPr="00A03EF4" w:rsidRDefault="008B2505" w:rsidP="006761D2">
      <w:pPr>
        <w:pStyle w:val="FootnoteText"/>
        <w:rPr>
          <w:sz w:val="18"/>
        </w:rPr>
      </w:pPr>
      <w:r w:rsidRPr="00A03EF4">
        <w:rPr>
          <w:rStyle w:val="FootnoteReference"/>
          <w:sz w:val="18"/>
        </w:rPr>
        <w:footnoteRef/>
      </w:r>
      <w:r w:rsidRPr="00A03EF4">
        <w:rPr>
          <w:sz w:val="18"/>
        </w:rPr>
        <w:t xml:space="preserve"> </w:t>
      </w:r>
      <w:r w:rsidRPr="00A03EF4">
        <w:rPr>
          <w:sz w:val="18"/>
        </w:rPr>
        <w:tab/>
        <w:t>Statistics New Zealand stopped publishing these on the basis that the data was commercially sensitive.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5827" w14:textId="77777777" w:rsidR="000915E8" w:rsidRDefault="000915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2698" w14:textId="7A2E3A7E" w:rsidR="008B2505" w:rsidRDefault="008B25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C9AC" w14:textId="34FB5F6F" w:rsidR="008B2505" w:rsidRPr="005F707F" w:rsidRDefault="008B2505" w:rsidP="00EF4931">
    <w:pPr>
      <w:pStyle w:val="Header"/>
      <w:tabs>
        <w:tab w:val="clear" w:pos="4320"/>
        <w:tab w:val="clear" w:pos="8640"/>
        <w:tab w:val="center" w:pos="4253"/>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Dioxin Inventory Update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F64C" w14:textId="309FB6A2" w:rsidR="008B2505" w:rsidRDefault="008B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9077" w14:textId="2CF0AA08" w:rsidR="008B2505" w:rsidRPr="005F707F" w:rsidRDefault="008B250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Dioxin Inventory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0B6" w14:textId="77777777" w:rsidR="000915E8" w:rsidRDefault="000915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DF90" w14:textId="791C4DC1" w:rsidR="008B2505" w:rsidRDefault="008B25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BF2A" w14:textId="605505E5" w:rsidR="008B2505" w:rsidRDefault="008B2505" w:rsidP="00AB3FBD">
    <w:pPr>
      <w:pStyle w:val="Header"/>
      <w:jc w:val="right"/>
    </w:pPr>
    <w:r>
      <w:rPr>
        <w:rFonts w:ascii="Verdana" w:hAnsi="Verdana"/>
        <w:b/>
        <w:color w:val="A6A6A6"/>
        <w:sz w:val="16"/>
      </w:rPr>
      <w:t>Dioxin Inventory Update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A659" w14:textId="1CDD83F7" w:rsidR="008B2505" w:rsidRDefault="008B25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CB32" w14:textId="2EB9496C" w:rsidR="008B2505" w:rsidRDefault="008B25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44A3" w14:textId="6FCFA150" w:rsidR="008B2505" w:rsidRPr="005F707F" w:rsidRDefault="008B250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Dioxin Inventory Update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1463" w14:textId="2D221AD7" w:rsidR="008B2505" w:rsidRPr="005E4663" w:rsidRDefault="008B2505" w:rsidP="008A0C04">
    <w:pPr>
      <w:pStyle w:val="Header"/>
      <w:jc w:val="right"/>
    </w:pPr>
    <w:r>
      <w:rPr>
        <w:rFonts w:ascii="Verdana" w:hAnsi="Verdana"/>
        <w:b/>
        <w:color w:val="A6A6A6"/>
        <w:sz w:val="16"/>
      </w:rPr>
      <w:t>Dioxin Inventory Update</w:t>
    </w:r>
  </w:p>
</w:hdr>
</file>

<file path=word/intelligence2.xml><?xml version="1.0" encoding="utf-8"?>
<int2:intelligence xmlns:int2="http://schemas.microsoft.com/office/intelligence/2020/intelligence" xmlns:oel="http://schemas.microsoft.com/office/2019/extlst">
  <int2:observations>
    <int2:bookmark int2:bookmarkName="_Int_mTG26WSM" int2:invalidationBookmarkName="" int2:hashCode="yx3fNTVQ40fGFL" int2:id="00lE9xiJ">
      <int2:state int2:value="Rejected" int2:type="AugLoop_Text_Critique"/>
    </int2:bookmark>
    <int2:bookmark int2:bookmarkName="_Int_Kq3PCTEm" int2:invalidationBookmarkName="" int2:hashCode="TCjK5JxtCdYGzQ" int2:id="0BJZpm0w">
      <int2:state int2:value="Rejected" int2:type="LegacyProofing"/>
    </int2:bookmark>
    <int2:bookmark int2:bookmarkName="_Int_yGk2whsg" int2:invalidationBookmarkName="" int2:hashCode="Z/9R+xndN5cXDX" int2:id="0DzX0HXv">
      <int2:state int2:value="Rejected" int2:type="AugLoop_Text_Critique"/>
    </int2:bookmark>
    <int2:bookmark int2:bookmarkName="_Int_gsjT0QH4" int2:invalidationBookmarkName="" int2:hashCode="AYZtNZbAtELyRh" int2:id="0K4pzH6S">
      <int2:state int2:value="Rejected" int2:type="LegacyProofing"/>
    </int2:bookmark>
    <int2:bookmark int2:bookmarkName="_Int_RSwv4h2N" int2:invalidationBookmarkName="" int2:hashCode="N8M4RL2qOWFH8H" int2:id="0P2LfCWl">
      <int2:state int2:value="Rejected" int2:type="LegacyProofing"/>
    </int2:bookmark>
    <int2:bookmark int2:bookmarkName="_Int_bLphZWcn" int2:invalidationBookmarkName="" int2:hashCode="9p8cIKvEKUZF7/" int2:id="0Ro37yYA">
      <int2:state int2:value="Rejected" int2:type="AugLoop_Text_Critique"/>
    </int2:bookmark>
    <int2:bookmark int2:bookmarkName="_Int_0zSRMK4J" int2:invalidationBookmarkName="" int2:hashCode="X55YArurxx+Sdf" int2:id="0iu7y6t3">
      <int2:state int2:value="Rejected" int2:type="LegacyProofing"/>
    </int2:bookmark>
    <int2:bookmark int2:bookmarkName="_Int_IUixukdb" int2:invalidationBookmarkName="" int2:hashCode="RoHRJMxsS3O6q/" int2:id="10mqlB5j"/>
    <int2:bookmark int2:bookmarkName="_Int_L8dFCbpf" int2:invalidationBookmarkName="" int2:hashCode="RoHRJMxsS3O6q/" int2:id="1Zm50Qmr"/>
    <int2:bookmark int2:bookmarkName="_Int_geMg3MDW" int2:invalidationBookmarkName="" int2:hashCode="Kt/5U2/GtWN+Yz" int2:id="1qfvnfFX">
      <int2:state int2:value="Rejected" int2:type="AugLoop_Text_Critique"/>
    </int2:bookmark>
    <int2:bookmark int2:bookmarkName="_Int_A6uCMVyb" int2:invalidationBookmarkName="" int2:hashCode="RoHRJMxsS3O6q/" int2:id="25sDSdFI"/>
    <int2:bookmark int2:bookmarkName="_Int_sgn1ZLe1" int2:invalidationBookmarkName="" int2:hashCode="VRd/LyDcPFdCnc" int2:id="2CI3Y9GN">
      <int2:state int2:value="Rejected" int2:type="AugLoop_Text_Critique"/>
    </int2:bookmark>
    <int2:bookmark int2:bookmarkName="_Int_znQ1gfJD" int2:invalidationBookmarkName="" int2:hashCode="TCjK5JxtCdYGzQ" int2:id="2JDGWYBx">
      <int2:state int2:value="Rejected" int2:type="LegacyProofing"/>
    </int2:bookmark>
    <int2:bookmark int2:bookmarkName="_Int_LCef1Sf4" int2:invalidationBookmarkName="" int2:hashCode="TCjK5JxtCdYGzQ" int2:id="2Tj3u8vg">
      <int2:state int2:value="Rejected" int2:type="LegacyProofing"/>
    </int2:bookmark>
    <int2:bookmark int2:bookmarkName="_Int_XTomOlqH" int2:invalidationBookmarkName="" int2:hashCode="IK9BhldpiGPbjZ" int2:id="2WXxIFxq"/>
    <int2:bookmark int2:bookmarkName="_Int_RG9u2jtL" int2:invalidationBookmarkName="" int2:hashCode="DyvzR+G3SWp2+y" int2:id="2hEFmLcw"/>
    <int2:bookmark int2:bookmarkName="_Int_L9ncHUjj" int2:invalidationBookmarkName="" int2:hashCode="wjE3wGzFBlA8+3" int2:id="2uMzuSjH">
      <int2:state int2:value="Rejected" int2:type="AugLoop_Text_Critique"/>
    </int2:bookmark>
    <int2:bookmark int2:bookmarkName="_Int_RhJl9kOq" int2:invalidationBookmarkName="" int2:hashCode="x7FqIgjjzMajXr" int2:id="2x9JBSNE"/>
    <int2:bookmark int2:bookmarkName="_Int_6HbdOTgU" int2:invalidationBookmarkName="" int2:hashCode="YBzDsAWhmsraPx" int2:id="32EIn1Gu"/>
    <int2:bookmark int2:bookmarkName="_Int_mq6wEUb2" int2:invalidationBookmarkName="" int2:hashCode="FH8JjE4t0e8k+2" int2:id="38LnmPyx">
      <int2:state int2:value="Rejected" int2:type="AugLoop_Text_Critique"/>
    </int2:bookmark>
    <int2:bookmark int2:bookmarkName="_Int_eJ1Ngjo3" int2:invalidationBookmarkName="" int2:hashCode="f1OmjTJDRvyEV6" int2:id="3Hnk2CSe">
      <int2:state int2:value="Rejected" int2:type="LegacyProofing"/>
    </int2:bookmark>
    <int2:bookmark int2:bookmarkName="_Int_3zib4BWb" int2:invalidationBookmarkName="" int2:hashCode="iGrdI+yykONqr3" int2:id="3PN2bj7W"/>
    <int2:bookmark int2:bookmarkName="_Int_L3mEDYy5" int2:invalidationBookmarkName="" int2:hashCode="em+oK/w/JABKwA" int2:id="40OaJhzS"/>
    <int2:bookmark int2:bookmarkName="_Int_CppJNToD" int2:invalidationBookmarkName="" int2:hashCode="euyXRLoVVOTTj+" int2:id="4L2NYQQj"/>
    <int2:bookmark int2:bookmarkName="_Int_x2HeZMht" int2:invalidationBookmarkName="" int2:hashCode="RoHRJMxsS3O6q/" int2:id="4LoaaUj1"/>
    <int2:bookmark int2:bookmarkName="_Int_931WuISm" int2:invalidationBookmarkName="" int2:hashCode="Y0g1CovUp+Hd2y" int2:id="4R9iYxsz">
      <int2:state int2:value="Rejected" int2:type="LegacyProofing"/>
    </int2:bookmark>
    <int2:bookmark int2:bookmarkName="_Int_ITHg3rKp" int2:invalidationBookmarkName="" int2:hashCode="RoHRJMxsS3O6q/" int2:id="4WY54hWX"/>
    <int2:bookmark int2:bookmarkName="_Int_oLskebFN" int2:invalidationBookmarkName="" int2:hashCode="5pTAVjewiWSspq" int2:id="4ZBWbgBW">
      <int2:state int2:value="Rejected" int2:type="AugLoop_Text_Critique"/>
    </int2:bookmark>
    <int2:bookmark int2:bookmarkName="_Int_yOW0f6qU" int2:invalidationBookmarkName="" int2:hashCode="hBEXUT9SB6hQES" int2:id="4nUcFFVs"/>
    <int2:bookmark int2:bookmarkName="_Int_kjgxgN3E" int2:invalidationBookmarkName="" int2:hashCode="f1OmjTJDRvyEV6" int2:id="4uof7Ea0">
      <int2:state int2:value="Rejected" int2:type="LegacyProofing"/>
    </int2:bookmark>
    <int2:bookmark int2:bookmarkName="_Int_MP0AQqlo" int2:invalidationBookmarkName="" int2:hashCode="5pTAVjewiWSspq" int2:id="50ss5vYn">
      <int2:state int2:value="Rejected" int2:type="AugLoop_Text_Critique"/>
    </int2:bookmark>
    <int2:bookmark int2:bookmarkName="_Int_EFiNxaIz" int2:invalidationBookmarkName="" int2:hashCode="0uDuP0fXCIqBRT" int2:id="59XfDtGM"/>
    <int2:bookmark int2:bookmarkName="_Int_RsQuSePj" int2:invalidationBookmarkName="" int2:hashCode="v/BHRMdbGqeti9" int2:id="5VHWmMp6">
      <int2:state int2:value="Rejected" int2:type="AugLoop_Text_Critique"/>
    </int2:bookmark>
    <int2:bookmark int2:bookmarkName="_Int_CPFFmqe4" int2:invalidationBookmarkName="" int2:hashCode="qINH1DFRqcOY7W" int2:id="5VUIEoik">
      <int2:state int2:value="Rejected" int2:type="AugLoop_Text_Critique"/>
    </int2:bookmark>
    <int2:bookmark int2:bookmarkName="_Int_2TsPd0dc" int2:invalidationBookmarkName="" int2:hashCode="TRdk8xIhrM0WlL" int2:id="5tly8BNd">
      <int2:state int2:value="Rejected" int2:type="AugLoop_Text_Critique"/>
    </int2:bookmark>
    <int2:bookmark int2:bookmarkName="_Int_RELRM5m9" int2:invalidationBookmarkName="" int2:hashCode="94jHGt9FAk1y6D" int2:id="6QNyfZMN">
      <int2:state int2:value="Rejected" int2:type="AugLoop_Text_Critique"/>
    </int2:bookmark>
    <int2:bookmark int2:bookmarkName="_Int_3uVUbaIs" int2:invalidationBookmarkName="" int2:hashCode="gMSPmMaHuEdi3l" int2:id="6pcMsvuO"/>
    <int2:bookmark int2:bookmarkName="_Int_KbDJRdhS" int2:invalidationBookmarkName="" int2:hashCode="RoHRJMxsS3O6q/" int2:id="72VYC2N6"/>
    <int2:bookmark int2:bookmarkName="_Int_2PXBjBjF" int2:invalidationBookmarkName="" int2:hashCode="FXw7azZMk9VrjP" int2:id="7DyO87WM"/>
    <int2:bookmark int2:bookmarkName="_Int_TGi1mC72" int2:invalidationBookmarkName="" int2:hashCode="0lXQ0GySJQ8tJA" int2:id="7M7Sc21c">
      <int2:state int2:value="Rejected" int2:type="AugLoop_Text_Critique"/>
    </int2:bookmark>
    <int2:bookmark int2:bookmarkName="_Int_3aLoDTNd" int2:invalidationBookmarkName="" int2:hashCode="+2pzEKI+CDJmm2" int2:id="7i4bhj6h">
      <int2:state int2:value="Rejected" int2:type="AugLoop_Text_Critique"/>
    </int2:bookmark>
    <int2:bookmark int2:bookmarkName="_Int_b35Uo6y8" int2:invalidationBookmarkName="" int2:hashCode="wfXOpO//c69pw6" int2:id="7n0NrNzM">
      <int2:state int2:value="Rejected" int2:type="AugLoop_Text_Critique"/>
    </int2:bookmark>
    <int2:bookmark int2:bookmarkName="_Int_U0zpYzSW" int2:invalidationBookmarkName="" int2:hashCode="RoHRJMxsS3O6q/" int2:id="7x53UnVs"/>
    <int2:bookmark int2:bookmarkName="_Int_XI4jsX5u" int2:invalidationBookmarkName="" int2:hashCode="+2pzEKI+CDJmm2" int2:id="81c68c3E">
      <int2:state int2:value="Rejected" int2:type="AugLoop_Text_Critique"/>
    </int2:bookmark>
    <int2:bookmark int2:bookmarkName="_Int_MgEMDOQB" int2:invalidationBookmarkName="" int2:hashCode="QhNbFxSkPCsiGV" int2:id="82u8J9Ti">
      <int2:state int2:value="Rejected" int2:type="AugLoop_Text_Critique"/>
    </int2:bookmark>
    <int2:bookmark int2:bookmarkName="_Int_FO9OePM4" int2:invalidationBookmarkName="" int2:hashCode="tyMu8yQ8s7Yrgd" int2:id="8bcpqpkT">
      <int2:state int2:value="Rejected" int2:type="AugLoop_Text_Critique"/>
    </int2:bookmark>
    <int2:bookmark int2:bookmarkName="_Int_cKRpotkg" int2:invalidationBookmarkName="" int2:hashCode="ujH90+cI49KJ1T" int2:id="8hePGsic">
      <int2:state int2:value="Rejected" int2:type="LegacyProofing"/>
    </int2:bookmark>
    <int2:bookmark int2:bookmarkName="_Int_N3Mz41Sr" int2:invalidationBookmarkName="" int2:hashCode="pDkjGMYRddeDLt" int2:id="8vvtcq2Q">
      <int2:state int2:value="Rejected" int2:type="AugLoop_Text_Critique"/>
    </int2:bookmark>
    <int2:bookmark int2:bookmarkName="_Int_q8aL7PUR" int2:invalidationBookmarkName="" int2:hashCode="RoHRJMxsS3O6q/" int2:id="8yIaUD77"/>
    <int2:bookmark int2:bookmarkName="_Int_Lcp59ZZi" int2:invalidationBookmarkName="" int2:hashCode="3KKjJeR/dxf+gy" int2:id="9Q2Ob57f">
      <int2:state int2:value="Rejected" int2:type="AugLoop_Text_Critique"/>
    </int2:bookmark>
    <int2:bookmark int2:bookmarkName="_Int_27sKyPiT" int2:invalidationBookmarkName="" int2:hashCode="0GYf/LRGEYcRtn" int2:id="9YpewZWf">
      <int2:state int2:value="Rejected" int2:type="AugLoop_Text_Critique"/>
    </int2:bookmark>
    <int2:bookmark int2:bookmarkName="_Int_tGzKXjB4" int2:invalidationBookmarkName="" int2:hashCode="hbMTvcIlQ+Evsb" int2:id="9gwZX506">
      <int2:state int2:value="Rejected" int2:type="AugLoop_Text_Critique"/>
    </int2:bookmark>
    <int2:bookmark int2:bookmarkName="_Int_DMZPZPkJ" int2:invalidationBookmarkName="" int2:hashCode="RoHRJMxsS3O6q/" int2:id="9pN4CHsU"/>
    <int2:bookmark int2:bookmarkName="_Int_y9Bpjkq6" int2:invalidationBookmarkName="" int2:hashCode="MyUqCVqC6YHqfq" int2:id="A1EpomWg">
      <int2:state int2:value="Rejected" int2:type="LegacyProofing"/>
    </int2:bookmark>
    <int2:bookmark int2:bookmarkName="_Int_wXLkCbMy" int2:invalidationBookmarkName="" int2:hashCode="DLQG4rOE3H2Ymb" int2:id="AD8YVkA7"/>
    <int2:bookmark int2:bookmarkName="_Int_xSAyqcVO" int2:invalidationBookmarkName="" int2:hashCode="QhNbFxSkPCsiGV" int2:id="AjV6QjiN">
      <int2:state int2:value="Rejected" int2:type="AugLoop_Text_Critique"/>
    </int2:bookmark>
    <int2:bookmark int2:bookmarkName="_Int_OBcDErZy" int2:invalidationBookmarkName="" int2:hashCode="RoHRJMxsS3O6q/" int2:id="AylkzRG7"/>
    <int2:bookmark int2:bookmarkName="_Int_RYxN93Dc" int2:invalidationBookmarkName="" int2:hashCode="VRd/LyDcPFdCnc" int2:id="B3WK7qDK">
      <int2:state int2:value="Rejected" int2:type="AugLoop_Text_Critique"/>
    </int2:bookmark>
    <int2:bookmark int2:bookmarkName="_Int_UgirGh2m" int2:invalidationBookmarkName="" int2:hashCode="+hy8M85sF9u9T4" int2:id="BHBboHmS">
      <int2:state int2:value="Rejected" int2:type="AugLoop_Text_Critique"/>
    </int2:bookmark>
    <int2:bookmark int2:bookmarkName="_Int_DHIT4qrb" int2:invalidationBookmarkName="" int2:hashCode="O0UkMgqSynY1F2" int2:id="BVbRLty9">
      <int2:state int2:value="Rejected" int2:type="LegacyProofing"/>
    </int2:bookmark>
    <int2:bookmark int2:bookmarkName="_Int_jnCSMeTe" int2:invalidationBookmarkName="" int2:hashCode="P13kQnt41n4oAg" int2:id="Bh7budwH"/>
    <int2:bookmark int2:bookmarkName="_Int_T3JXoR8C" int2:invalidationBookmarkName="" int2:hashCode="f1OmjTJDRvyEV6" int2:id="BrFwu6pp">
      <int2:state int2:value="Rejected" int2:type="LegacyProofing"/>
    </int2:bookmark>
    <int2:bookmark int2:bookmarkName="_Int_p8UnhSM6" int2:invalidationBookmarkName="" int2:hashCode="TCjK5JxtCdYGzQ" int2:id="Bv6iM67N">
      <int2:state int2:value="Rejected" int2:type="LegacyProofing"/>
    </int2:bookmark>
    <int2:bookmark int2:bookmarkName="_Int_jsMn22gs" int2:invalidationBookmarkName="" int2:hashCode="FhxCN58vOqq4SL" int2:id="C2eM7Vi0">
      <int2:state int2:value="Rejected" int2:type="AugLoop_Text_Critique"/>
    </int2:bookmark>
    <int2:bookmark int2:bookmarkName="_Int_XWaUFG3N" int2:invalidationBookmarkName="" int2:hashCode="RoHRJMxsS3O6q/" int2:id="CJsid5Bk"/>
    <int2:bookmark int2:bookmarkName="_Int_lKiLc3eP" int2:invalidationBookmarkName="" int2:hashCode="LDoO9u9DFubl0c" int2:id="CNHpHPx6">
      <int2:state int2:value="Rejected" int2:type="LegacyProofing"/>
    </int2:bookmark>
    <int2:bookmark int2:bookmarkName="_Int_1O4nd8s3" int2:invalidationBookmarkName="" int2:hashCode="eDkj5Xul6PEERj" int2:id="CktVTNGv">
      <int2:state int2:value="Rejected" int2:type="LegacyProofing"/>
    </int2:bookmark>
    <int2:bookmark int2:bookmarkName="_Int_nvWrlhbS" int2:invalidationBookmarkName="" int2:hashCode="uZE9JmVHJZnoMh" int2:id="D0LZKlwY"/>
    <int2:bookmark int2:bookmarkName="_Int_Huyp6uPx" int2:invalidationBookmarkName="" int2:hashCode="34QTodek9IQ2AW" int2:id="D0m9DKzY">
      <int2:state int2:value="Rejected" int2:type="AugLoop_Acronyms_AcronymsCritique"/>
    </int2:bookmark>
    <int2:bookmark int2:bookmarkName="_Int_lUTSqUNz" int2:invalidationBookmarkName="" int2:hashCode="OlG1FYp2M3IyPB" int2:id="D48KbvmL"/>
    <int2:bookmark int2:bookmarkName="_Int_HkArwcJ4" int2:invalidationBookmarkName="" int2:hashCode="W5Z4vmu9anL2GF" int2:id="E2M4tYRm">
      <int2:state int2:value="Rejected" int2:type="AugLoop_Text_Critique"/>
    </int2:bookmark>
    <int2:bookmark int2:bookmarkName="_Int_jxHwqsuM" int2:invalidationBookmarkName="" int2:hashCode="RoHRJMxsS3O6q/" int2:id="E5uqPAFN"/>
    <int2:bookmark int2:bookmarkName="_Int_kEmdPSWd" int2:invalidationBookmarkName="" int2:hashCode="yx3fNTVQ40fGFL" int2:id="EYBEtlJD">
      <int2:state int2:value="Rejected" int2:type="AugLoop_Text_Critique"/>
    </int2:bookmark>
    <int2:bookmark int2:bookmarkName="_Int_mc3vXapE" int2:invalidationBookmarkName="" int2:hashCode="rpg3GZghUjSIOP" int2:id="Eg9Flzkd">
      <int2:state int2:value="Rejected" int2:type="LegacyProofing"/>
    </int2:bookmark>
    <int2:bookmark int2:bookmarkName="_Int_wbJqaLNn" int2:invalidationBookmarkName="" int2:hashCode="FhxCN58vOqq4SL" int2:id="EpeDHb8s">
      <int2:state int2:value="Rejected" int2:type="AugLoop_Text_Critique"/>
    </int2:bookmark>
    <int2:bookmark int2:bookmarkName="_Int_aLmbItrM" int2:invalidationBookmarkName="" int2:hashCode="f1OmjTJDRvyEV6" int2:id="EuSMe43T">
      <int2:state int2:value="Rejected" int2:type="LegacyProofing"/>
    </int2:bookmark>
    <int2:bookmark int2:bookmarkName="_Int_q194SGor" int2:invalidationBookmarkName="" int2:hashCode="2K8H2vbQD64BZB" int2:id="F1gfGiAZ">
      <int2:state int2:value="Rejected" int2:type="AugLoop_Text_Critique"/>
    </int2:bookmark>
    <int2:bookmark int2:bookmarkName="_Int_5fXvCWbC" int2:invalidationBookmarkName="" int2:hashCode="TCjK5JxtCdYGzQ" int2:id="F43HDs9Y">
      <int2:state int2:value="Rejected" int2:type="LegacyProofing"/>
    </int2:bookmark>
    <int2:bookmark int2:bookmarkName="_Int_KRVjwfcv" int2:invalidationBookmarkName="" int2:hashCode="0mFFb7r9/fng+3" int2:id="FZ2lG9Ji">
      <int2:state int2:value="Rejected" int2:type="LegacyProofing"/>
    </int2:bookmark>
    <int2:bookmark int2:bookmarkName="_Int_jd1ucwm3" int2:invalidationBookmarkName="" int2:hashCode="euyXRLoVVOTTj+" int2:id="Fo3fb1bx"/>
    <int2:bookmark int2:bookmarkName="_Int_5ltvwzDT" int2:invalidationBookmarkName="" int2:hashCode="ko6kC6/V/Rtrca" int2:id="FzwlPNcY"/>
    <int2:bookmark int2:bookmarkName="_Int_UdxiZ4rW" int2:invalidationBookmarkName="" int2:hashCode="7Ssd5paamylDix" int2:id="GKFhN3GH">
      <int2:state int2:value="Rejected" int2:type="AugLoop_Text_Critique"/>
    </int2:bookmark>
    <int2:bookmark int2:bookmarkName="_Int_otl3CcPS" int2:invalidationBookmarkName="" int2:hashCode="RoHRJMxsS3O6q/" int2:id="GWPgLQkC"/>
    <int2:bookmark int2:bookmarkName="_Int_Jd4r6kT2" int2:invalidationBookmarkName="" int2:hashCode="mVx2e5CPvmDrPK" int2:id="Gd7uss1i"/>
    <int2:bookmark int2:bookmarkName="_Int_XS1ppFdt" int2:invalidationBookmarkName="" int2:hashCode="RoHRJMxsS3O6q/" int2:id="GtdIppY5"/>
    <int2:bookmark int2:bookmarkName="_Int_1daSNNvS" int2:invalidationBookmarkName="" int2:hashCode="P13kQnt41n4oAg" int2:id="H2WeMZCv"/>
    <int2:bookmark int2:bookmarkName="_Int_ypvf38x8" int2:invalidationBookmarkName="" int2:hashCode="CPeedpCBrzYDbQ" int2:id="H3WfcFbE">
      <int2:state int2:value="Rejected" int2:type="AugLoop_Text_Critique"/>
    </int2:bookmark>
    <int2:bookmark int2:bookmarkName="_Int_8roYS7an" int2:invalidationBookmarkName="" int2:hashCode="NkPdJ9i9g1wpGP" int2:id="HY4FAp31">
      <int2:state int2:value="Rejected" int2:type="AugLoop_Text_Critique"/>
    </int2:bookmark>
    <int2:bookmark int2:bookmarkName="_Int_RJJwEn05" int2:invalidationBookmarkName="" int2:hashCode="K4eIot5atwyBYk" int2:id="Hq56g3Zp">
      <int2:state int2:value="Rejected" int2:type="LegacyProofing"/>
    </int2:bookmark>
    <int2:bookmark int2:bookmarkName="_Int_OdQxbp5I" int2:invalidationBookmarkName="" int2:hashCode="6FAgWIKc+6Uak8" int2:id="IR6ar0te">
      <int2:state int2:value="Rejected" int2:type="LegacyProofing"/>
    </int2:bookmark>
    <int2:bookmark int2:bookmarkName="_Int_H7Mw98Qz" int2:invalidationBookmarkName="" int2:hashCode="tHxj2WdS/pjKeK" int2:id="IYELQkSM">
      <int2:state int2:value="Rejected" int2:type="AugLoop_Text_Critique"/>
    </int2:bookmark>
    <int2:bookmark int2:bookmarkName="_Int_spBbVlFk" int2:invalidationBookmarkName="" int2:hashCode="64dYEoWNJ7Issr" int2:id="IeH32YP8">
      <int2:state int2:value="Rejected" int2:type="LegacyProofing"/>
    </int2:bookmark>
    <int2:bookmark int2:bookmarkName="_Int_P55cS06V" int2:invalidationBookmarkName="" int2:hashCode="E1+Tt6RJBbZOzq" int2:id="JYyQjmGA">
      <int2:state int2:value="Rejected" int2:type="AugLoop_Text_Critique"/>
    </int2:bookmark>
    <int2:bookmark int2:bookmarkName="_Int_9e69V6vj" int2:invalidationBookmarkName="" int2:hashCode="RoHRJMxsS3O6q/" int2:id="JsysTmUc"/>
    <int2:bookmark int2:bookmarkName="_Int_Pw7yJUE3" int2:invalidationBookmarkName="" int2:hashCode="HS9dvzWzmXukiw" int2:id="KBBtEcly">
      <int2:state int2:value="Rejected" int2:type="AugLoop_Text_Critique"/>
    </int2:bookmark>
    <int2:bookmark int2:bookmarkName="_Int_es3GppJE" int2:invalidationBookmarkName="" int2:hashCode="oRHnglb1ZxYWfQ" int2:id="KCJgzOpe">
      <int2:state int2:value="Rejected" int2:type="AugLoop_Text_Critique"/>
    </int2:bookmark>
    <int2:bookmark int2:bookmarkName="_Int_YJYzAqn7" int2:invalidationBookmarkName="" int2:hashCode="DOOzCdF/er9lQg" int2:id="Kby7b6rX">
      <int2:state int2:value="Rejected" int2:type="LegacyProofing"/>
    </int2:bookmark>
    <int2:bookmark int2:bookmarkName="_Int_eQFkGQs4" int2:invalidationBookmarkName="" int2:hashCode="RoHRJMxsS3O6q/" int2:id="KknyW2m0"/>
    <int2:bookmark int2:bookmarkName="_Int_2FboTwD7" int2:invalidationBookmarkName="" int2:hashCode="qzzMjboqDPehzk" int2:id="KqD57kgy"/>
    <int2:bookmark int2:bookmarkName="_Int_HstpcVaY" int2:invalidationBookmarkName="" int2:hashCode="7Ssd5paamylDix" int2:id="LPKp87KV">
      <int2:state int2:value="Rejected" int2:type="AugLoop_Text_Critique"/>
    </int2:bookmark>
    <int2:bookmark int2:bookmarkName="_Int_w5YZHlvr" int2:invalidationBookmarkName="" int2:hashCode="zDMqQC6ANDa9r4" int2:id="Lg0icYLn">
      <int2:state int2:value="Rejected" int2:type="LegacyProofing"/>
    </int2:bookmark>
    <int2:bookmark int2:bookmarkName="_Int_D1D7pKTG" int2:invalidationBookmarkName="" int2:hashCode="tj0mq8NzJ9EIap" int2:id="LlejPm5V">
      <int2:state int2:value="Rejected" int2:type="AugLoop_Acronyms_AcronymsCritique"/>
    </int2:bookmark>
    <int2:bookmark int2:bookmarkName="_Int_2pt41Dp0" int2:invalidationBookmarkName="" int2:hashCode="tH7ek/OrXZizpX" int2:id="MAZMXM4E">
      <int2:state int2:value="Rejected" int2:type="LegacyProofing"/>
    </int2:bookmark>
    <int2:bookmark int2:bookmarkName="_Int_xD9Oe1Ut" int2:invalidationBookmarkName="" int2:hashCode="NkPdJ9i9g1wpGP" int2:id="MHLJbrIX">
      <int2:state int2:value="Rejected" int2:type="AugLoop_Text_Critique"/>
    </int2:bookmark>
    <int2:bookmark int2:bookmarkName="_Int_XDCi1q3o" int2:invalidationBookmarkName="" int2:hashCode="rBJChel5pBNzLz" int2:id="MMzCFrUD"/>
    <int2:bookmark int2:bookmarkName="_Int_eW0TOEeX" int2:invalidationBookmarkName="" int2:hashCode="NatQsz8dmo+rZP" int2:id="McnZfAv3"/>
    <int2:bookmark int2:bookmarkName="_Int_cCX1lJ2t" int2:invalidationBookmarkName="" int2:hashCode="VRd/LyDcPFdCnc" int2:id="Mxcvve3z">
      <int2:state int2:value="Rejected" int2:type="AugLoop_Text_Critique"/>
    </int2:bookmark>
    <int2:bookmark int2:bookmarkName="_Int_3FjPUsRF" int2:invalidationBookmarkName="" int2:hashCode="/RKGNTVwxXA3mb" int2:id="NG7uil6k">
      <int2:state int2:value="Rejected" int2:type="LegacyProofing"/>
    </int2:bookmark>
    <int2:bookmark int2:bookmarkName="_Int_rsB6bmz5" int2:invalidationBookmarkName="" int2:hashCode="aANeOQgnv+9ban" int2:id="NLj7SdeJ">
      <int2:state int2:value="Rejected" int2:type="AugLoop_Text_Critique"/>
    </int2:bookmark>
    <int2:bookmark int2:bookmarkName="_Int_gY4WXVk8" int2:invalidationBookmarkName="" int2:hashCode="bedMLerWvxqWIB" int2:id="NRiSlFH5">
      <int2:state int2:value="Rejected" int2:type="LegacyProofing"/>
    </int2:bookmark>
    <int2:bookmark int2:bookmarkName="_Int_SSptaaQ8" int2:invalidationBookmarkName="" int2:hashCode="6l644n9ufdf4r2" int2:id="Njf4nRBc"/>
    <int2:bookmark int2:bookmarkName="_Int_FogXEQrC" int2:invalidationBookmarkName="" int2:hashCode="RoHRJMxsS3O6q/" int2:id="NktCcYDr"/>
    <int2:bookmark int2:bookmarkName="_Int_od8TTzqi" int2:invalidationBookmarkName="" int2:hashCode="2d8sUVdvtdNP1v" int2:id="NmmvWisv"/>
    <int2:bookmark int2:bookmarkName="_Int_rwYYKtLP" int2:invalidationBookmarkName="" int2:hashCode="RoHRJMxsS3O6q/" int2:id="NtNjDdZd"/>
    <int2:bookmark int2:bookmarkName="_Int_yTXdvjWD" int2:invalidationBookmarkName="" int2:hashCode="CPfuRzCpIHCa6Q" int2:id="OEVTPmYI">
      <int2:state int2:value="Rejected" int2:type="AugLoop_Text_Critique"/>
    </int2:bookmark>
    <int2:bookmark int2:bookmarkName="_Int_0jLVvRPa" int2:invalidationBookmarkName="" int2:hashCode="W5Z4vmu9anL2GF" int2:id="OUyoQgdD">
      <int2:state int2:value="Rejected" int2:type="AugLoop_Text_Critique"/>
    </int2:bookmark>
    <int2:bookmark int2:bookmarkName="_Int_Uy7HYFaU" int2:invalidationBookmarkName="" int2:hashCode="VRd/LyDcPFdCnc" int2:id="OeNHFVqO">
      <int2:state int2:value="Rejected" int2:type="AugLoop_Text_Critique"/>
    </int2:bookmark>
    <int2:bookmark int2:bookmarkName="_Int_FICjcr8V" int2:invalidationBookmarkName="" int2:hashCode="FZLQBKUjcoLFgZ" int2:id="OgEnKQ2n">
      <int2:state int2:value="Rejected" int2:type="AugLoop_Text_Critique"/>
    </int2:bookmark>
    <int2:bookmark int2:bookmarkName="_Int_OTpTd8Ku" int2:invalidationBookmarkName="" int2:hashCode="U2FFFUT92uauFw" int2:id="OljzyMRk">
      <int2:state int2:value="Rejected" int2:type="AugLoop_Text_Critique"/>
    </int2:bookmark>
    <int2:bookmark int2:bookmarkName="_Int_m0OG7COD" int2:invalidationBookmarkName="" int2:hashCode="TCjK5JxtCdYGzQ" int2:id="P8101gMC">
      <int2:state int2:value="Rejected" int2:type="LegacyProofing"/>
    </int2:bookmark>
    <int2:bookmark int2:bookmarkName="_Int_Ij7qNjSW" int2:invalidationBookmarkName="" int2:hashCode="0BWPNS1zv0EDtG" int2:id="POMhLrSY">
      <int2:state int2:value="Rejected" int2:type="LegacyProofing"/>
    </int2:bookmark>
    <int2:bookmark int2:bookmarkName="_Int_fJbWxxAm" int2:invalidationBookmarkName="" int2:hashCode="LDoO9u9DFubl0c" int2:id="PrjA3iLp">
      <int2:state int2:value="Rejected" int2:type="LegacyProofing"/>
    </int2:bookmark>
    <int2:bookmark int2:bookmarkName="_Int_O1iUBmhB" int2:invalidationBookmarkName="" int2:hashCode="CPfuRzCpIHCa6Q" int2:id="Ps4D3zrs">
      <int2:state int2:value="Rejected" int2:type="AugLoop_Text_Critique"/>
    </int2:bookmark>
    <int2:bookmark int2:bookmarkName="_Int_pYKv3WCH" int2:invalidationBookmarkName="" int2:hashCode="RoHRJMxsS3O6q/" int2:id="QQP6KzF7"/>
    <int2:bookmark int2:bookmarkName="_Int_2w0eweK8" int2:invalidationBookmarkName="" int2:hashCode="r2YepXHaRiM7bY" int2:id="Qnvqk15I">
      <int2:state int2:value="Rejected" int2:type="AugLoop_Acronyms_AcronymsCritique"/>
    </int2:bookmark>
    <int2:bookmark int2:bookmarkName="_Int_ELUr4NvC" int2:invalidationBookmarkName="" int2:hashCode="oDKeFME1Nby2NZ" int2:id="Qp6puu9l">
      <int2:state int2:value="Rejected" int2:type="AugLoop_Text_Critique"/>
    </int2:bookmark>
    <int2:bookmark int2:bookmarkName="_Int_J6GCP09X" int2:invalidationBookmarkName="" int2:hashCode="tr8pF12GWHQNP3" int2:id="QywS7CAr">
      <int2:state int2:value="Rejected" int2:type="AugLoop_Text_Critique"/>
    </int2:bookmark>
    <int2:bookmark int2:bookmarkName="_Int_TYCcMxP1" int2:invalidationBookmarkName="" int2:hashCode="zdA7r75BDQ5hvf" int2:id="RGDET1vm">
      <int2:state int2:value="Rejected" int2:type="AugLoop_Text_Critique"/>
    </int2:bookmark>
    <int2:bookmark int2:bookmarkName="_Int_7B8WblYU" int2:invalidationBookmarkName="" int2:hashCode="RoHRJMxsS3O6q/" int2:id="RGQYjWYE"/>
    <int2:bookmark int2:bookmarkName="_Int_0I5x6bFi" int2:invalidationBookmarkName="" int2:hashCode="XSQy1GNtJX6SwJ" int2:id="Rg0qig5c">
      <int2:state int2:value="Rejected" int2:type="LegacyProofing"/>
    </int2:bookmark>
    <int2:bookmark int2:bookmarkName="_Int_IEKTwL9Q" int2:invalidationBookmarkName="" int2:hashCode="waH4Rjwlr2owYL" int2:id="S94eUPgh">
      <int2:state int2:value="Rejected" int2:type="AugLoop_Text_Critique"/>
    </int2:bookmark>
    <int2:bookmark int2:bookmarkName="_Int_ZirPJjab" int2:invalidationBookmarkName="" int2:hashCode="VRd/LyDcPFdCnc" int2:id="SESLvc9W">
      <int2:state int2:value="Rejected" int2:type="AugLoop_Text_Critique"/>
    </int2:bookmark>
    <int2:bookmark int2:bookmarkName="_Int_JMGbvDpP" int2:invalidationBookmarkName="" int2:hashCode="ReeOGWSqv81O+m" int2:id="SQlxLKYX"/>
    <int2:bookmark int2:bookmarkName="_Int_LsjufkP5" int2:invalidationBookmarkName="" int2:hashCode="n982x5g1GJqaBL" int2:id="SYvLPLTM"/>
    <int2:bookmark int2:bookmarkName="_Int_tvQcTkuf" int2:invalidationBookmarkName="" int2:hashCode="EUpJDBFTKrnPRK" int2:id="SaarDP8f">
      <int2:state int2:value="Rejected" int2:type="AugLoop_Text_Critique"/>
    </int2:bookmark>
    <int2:bookmark int2:bookmarkName="_Int_xmGwQj6f" int2:invalidationBookmarkName="" int2:hashCode="iEsmgFlrzmd8+M" int2:id="ShHs4JHy">
      <int2:state int2:value="Rejected" int2:type="AugLoop_Text_Critique"/>
    </int2:bookmark>
    <int2:bookmark int2:bookmarkName="_Int_ymNH6Tat" int2:invalidationBookmarkName="" int2:hashCode="JdntYXJm8iTwQE" int2:id="SsF4A5xU">
      <int2:state int2:value="Rejected" int2:type="LegacyProofing"/>
    </int2:bookmark>
    <int2:bookmark int2:bookmarkName="_Int_dRp4qhbf" int2:invalidationBookmarkName="" int2:hashCode="0lXQ0GySJQ8tJA" int2:id="SueLZnXl">
      <int2:state int2:value="Rejected" int2:type="AugLoop_Text_Critique"/>
    </int2:bookmark>
    <int2:bookmark int2:bookmarkName="_Int_5UXEkq5i" int2:invalidationBookmarkName="" int2:hashCode="//q76/GHuqD3rG" int2:id="SyPzcP3c">
      <int2:state int2:value="Rejected" int2:type="AugLoop_Text_Critique"/>
    </int2:bookmark>
    <int2:bookmark int2:bookmarkName="_Int_CfO5sWKK" int2:invalidationBookmarkName="" int2:hashCode="waH4Rjwlr2owYL" int2:id="T5uUOv9e">
      <int2:state int2:value="Rejected" int2:type="AugLoop_Text_Critique"/>
    </int2:bookmark>
    <int2:bookmark int2:bookmarkName="_Int_MyHjqNMd" int2:invalidationBookmarkName="" int2:hashCode="RoHRJMxsS3O6q/" int2:id="T6oIfYnc"/>
    <int2:bookmark int2:bookmarkName="_Int_SnZ161GA" int2:invalidationBookmarkName="" int2:hashCode="5pTAVjewiWSspq" int2:id="TW0wuXUL">
      <int2:state int2:value="Rejected" int2:type="AugLoop_Text_Critique"/>
    </int2:bookmark>
    <int2:bookmark int2:bookmarkName="_Int_5dy6Fq5C" int2:invalidationBookmarkName="" int2:hashCode="Li04IVUQgrD+3R" int2:id="TcfTu9x5">
      <int2:state int2:value="Rejected" int2:type="AugLoop_Text_Critique"/>
    </int2:bookmark>
    <int2:bookmark int2:bookmarkName="_Int_bCQ34p6o" int2:invalidationBookmarkName="" int2:hashCode="vBldhToyleWAch" int2:id="U2RtNzZ5">
      <int2:state int2:value="Rejected" int2:type="AugLoop_Text_Critique"/>
    </int2:bookmark>
    <int2:bookmark int2:bookmarkName="_Int_spVYZDO9" int2:invalidationBookmarkName="" int2:hashCode="ZR46a6nTGIm117" int2:id="UCpy4McX">
      <int2:state int2:value="Rejected" int2:type="AugLoop_Text_Critique"/>
    </int2:bookmark>
    <int2:bookmark int2:bookmarkName="_Int_57WqkBH0" int2:invalidationBookmarkName="" int2:hashCode="ZD4DPyxyvbq3AT" int2:id="UErBP0x4">
      <int2:state int2:value="Rejected" int2:type="AugLoop_Text_Critique"/>
    </int2:bookmark>
    <int2:bookmark int2:bookmarkName="_Int_Yh00zQUX" int2:invalidationBookmarkName="" int2:hashCode="0lXQ0GySJQ8tJA" int2:id="ULdIQrWs">
      <int2:state int2:value="Rejected" int2:type="AugLoop_Text_Critique"/>
    </int2:bookmark>
    <int2:bookmark int2:bookmarkName="_Int_9fZMNcaT" int2:invalidationBookmarkName="" int2:hashCode="//q76/GHuqD3rG" int2:id="UTRBFYAy">
      <int2:state int2:value="Rejected" int2:type="AugLoop_Text_Critique"/>
    </int2:bookmark>
    <int2:bookmark int2:bookmarkName="_Int_9ccXebNi" int2:invalidationBookmarkName="" int2:hashCode="7+2TW6W864t0q2" int2:id="UXQPFi4T">
      <int2:state int2:value="Rejected" int2:type="AugLoop_Text_Critique"/>
    </int2:bookmark>
    <int2:bookmark int2:bookmarkName="_Int_viuFhMpQ" int2:invalidationBookmarkName="" int2:hashCode="aa8s8hAC0iWCPm" int2:id="UZGa3QPg">
      <int2:state int2:value="Rejected" int2:type="LegacyProofing"/>
    </int2:bookmark>
    <int2:bookmark int2:bookmarkName="_Int_opjttq8I" int2:invalidationBookmarkName="" int2:hashCode="W5Z4vmu9anL2GF" int2:id="Ujb6FYdH">
      <int2:state int2:value="Rejected" int2:type="AugLoop_Text_Critique"/>
    </int2:bookmark>
    <int2:bookmark int2:bookmarkName="_Int_eDkY4ryQ" int2:invalidationBookmarkName="" int2:hashCode="0lXQ0GySJQ8tJA" int2:id="UrHUUnFL">
      <int2:state int2:value="Rejected" int2:type="AugLoop_Text_Critique"/>
    </int2:bookmark>
    <int2:bookmark int2:bookmarkName="_Int_I4TQBUOC" int2:invalidationBookmarkName="" int2:hashCode="RoHRJMxsS3O6q/" int2:id="UtQEMLDY"/>
    <int2:bookmark int2:bookmarkName="_Int_WspKkkXh" int2:invalidationBookmarkName="" int2:hashCode="f1OmjTJDRvyEV6" int2:id="V1CJeKNn">
      <int2:state int2:value="Rejected" int2:type="LegacyProofing"/>
    </int2:bookmark>
    <int2:bookmark int2:bookmarkName="_Int_Liw3c0um" int2:invalidationBookmarkName="" int2:hashCode="UV+Lt1ij8e/Zlu" int2:id="VJx6sp4B">
      <int2:state int2:value="Rejected" int2:type="AugLoop_Text_Critique"/>
    </int2:bookmark>
    <int2:bookmark int2:bookmarkName="_Int_UpSpLJsA" int2:invalidationBookmarkName="" int2:hashCode="QwlRpKBoMojToh" int2:id="VKyvpZAy">
      <int2:state int2:value="Rejected" int2:type="LegacyProofing"/>
    </int2:bookmark>
    <int2:bookmark int2:bookmarkName="_Int_YzZMwCoc" int2:invalidationBookmarkName="" int2:hashCode="tTZqLSrJja6XhC" int2:id="VdftjvDb"/>
    <int2:bookmark int2:bookmarkName="_Int_q94AamIn" int2:invalidationBookmarkName="" int2:hashCode="0lXQ0GySJQ8tJA" int2:id="WXfjIXek">
      <int2:state int2:value="Rejected" int2:type="AugLoop_Text_Critique"/>
    </int2:bookmark>
    <int2:bookmark int2:bookmarkName="_Int_c64PNtHT" int2:invalidationBookmarkName="" int2:hashCode="RoHRJMxsS3O6q/" int2:id="WkgdSPHR"/>
    <int2:bookmark int2:bookmarkName="_Int_2rwxX1UY" int2:invalidationBookmarkName="" int2:hashCode="PP+Hh7LqQ7YUGl" int2:id="Wnj1Eiix">
      <int2:state int2:value="Rejected" int2:type="AugLoop_Text_Critique"/>
    </int2:bookmark>
    <int2:bookmark int2:bookmarkName="_Int_r9wFvgOT" int2:invalidationBookmarkName="" int2:hashCode="YjgPy+rCIu69tL" int2:id="XAwzZBJd"/>
    <int2:bookmark int2:bookmarkName="_Int_aw4oVry8" int2:invalidationBookmarkName="" int2:hashCode="O30PzcGzgilo0B" int2:id="XJtVWlO6">
      <int2:state int2:value="Rejected" int2:type="AugLoop_Text_Critique"/>
    </int2:bookmark>
    <int2:bookmark int2:bookmarkName="_Int_Gt7IannC" int2:invalidationBookmarkName="" int2:hashCode="cXipBTUY/xxeQB" int2:id="Xc2WIu5k">
      <int2:state int2:value="Rejected" int2:type="AugLoop_Text_Critique"/>
    </int2:bookmark>
    <int2:bookmark int2:bookmarkName="_Int_Q8rmjeES" int2:invalidationBookmarkName="" int2:hashCode="seqfZIC+3QYI6/" int2:id="Xdq7ayf6">
      <int2:state int2:value="Rejected" int2:type="AugLoop_Text_Critique"/>
    </int2:bookmark>
    <int2:bookmark int2:bookmarkName="_Int_nvDs43Eb" int2:invalidationBookmarkName="" int2:hashCode="qySu1afErUVhXN" int2:id="Y0YR1fef"/>
    <int2:bookmark int2:bookmarkName="_Int_xvtyzR79" int2:invalidationBookmarkName="" int2:hashCode="P13kQnt41n4oAg" int2:id="Y0pnqkEg"/>
    <int2:bookmark int2:bookmarkName="_Int_kFqoOeT9" int2:invalidationBookmarkName="" int2:hashCode="t8X6eU/2nkPSys" int2:id="YAzeLVXA">
      <int2:state int2:value="Rejected" int2:type="AugLoop_Text_Critique"/>
    </int2:bookmark>
    <int2:bookmark int2:bookmarkName="_Int_2Z0LDQpY" int2:invalidationBookmarkName="" int2:hashCode="RoHRJMxsS3O6q/" int2:id="YCcK47Je"/>
    <int2:bookmark int2:bookmarkName="_Int_34jxuXAM" int2:invalidationBookmarkName="" int2:hashCode="eG6Xs+6fxLKS1Y" int2:id="YbDJTKZI">
      <int2:state int2:value="Rejected" int2:type="LegacyProofing"/>
    </int2:bookmark>
    <int2:bookmark int2:bookmarkName="_Int_bj8Kyiji" int2:invalidationBookmarkName="" int2:hashCode="0nNBQ2i2hbD4C/" int2:id="Ys3GgDGJ">
      <int2:state int2:value="Rejected" int2:type="AugLoop_Text_Critique"/>
    </int2:bookmark>
    <int2:bookmark int2:bookmarkName="_Int_LMBZVDsp" int2:invalidationBookmarkName="" int2:hashCode="uxE4rzzIlfjKOf" int2:id="YuIU2zXt">
      <int2:state int2:value="Rejected" int2:type="AugLoop_Text_Critique"/>
    </int2:bookmark>
    <int2:bookmark int2:bookmarkName="_Int_iILqzUpR" int2:invalidationBookmarkName="" int2:hashCode="TCjK5JxtCdYGzQ" int2:id="Z0mUtFgQ">
      <int2:state int2:value="Rejected" int2:type="LegacyProofing"/>
    </int2:bookmark>
    <int2:bookmark int2:bookmarkName="_Int_3MO4eckq" int2:invalidationBookmarkName="" int2:hashCode="E1+Tt6RJBbZOzq" int2:id="ZKk8OZKA">
      <int2:state int2:value="Rejected" int2:type="AugLoop_Text_Critique"/>
    </int2:bookmark>
    <int2:bookmark int2:bookmarkName="_Int_sm56Ugqn" int2:invalidationBookmarkName="" int2:hashCode="W5Z4vmu9anL2GF" int2:id="ZTZ0nYuK">
      <int2:state int2:value="Rejected" int2:type="AugLoop_Text_Critique"/>
    </int2:bookmark>
    <int2:bookmark int2:bookmarkName="_Int_iXz0dO4B" int2:invalidationBookmarkName="" int2:hashCode="ZpBpH6NRRTbXOL" int2:id="ZcqOSena">
      <int2:state int2:value="Rejected" int2:type="AugLoop_Text_Critique"/>
    </int2:bookmark>
    <int2:bookmark int2:bookmarkName="_Int_Pm32ObWa" int2:invalidationBookmarkName="" int2:hashCode="ts2DraSDsKZN2W" int2:id="a4kwkGNT">
      <int2:state int2:value="Rejected" int2:type="AugLoop_Text_Critique"/>
    </int2:bookmark>
    <int2:bookmark int2:bookmarkName="_Int_VmJm9RZh" int2:invalidationBookmarkName="" int2:hashCode="IHMpwVRY5NbZKv" int2:id="a6jFj4pO"/>
    <int2:bookmark int2:bookmarkName="_Int_p7KUClhW" int2:invalidationBookmarkName="" int2:hashCode="wl5hFM6x+qV4V4" int2:id="a8s1s09G"/>
    <int2:bookmark int2:bookmarkName="_Int_KNL7MjLS" int2:invalidationBookmarkName="" int2:hashCode="RoHRJMxsS3O6q/" int2:id="aCMVn9IK"/>
    <int2:bookmark int2:bookmarkName="_Int_WDwV3GDH" int2:invalidationBookmarkName="" int2:hashCode="NDoVO5HUQTUhaL" int2:id="aIfvJSZx">
      <int2:state int2:value="Rejected" int2:type="AugLoop_Text_Critique"/>
    </int2:bookmark>
    <int2:bookmark int2:bookmarkName="_Int_RYiOdzVQ" int2:invalidationBookmarkName="" int2:hashCode="TCjK5JxtCdYGzQ" int2:id="aUPHFkbX">
      <int2:state int2:value="Rejected" int2:type="LegacyProofing"/>
    </int2:bookmark>
    <int2:bookmark int2:bookmarkName="_Int_wfw1vnjB" int2:invalidationBookmarkName="" int2:hashCode="VRd/LyDcPFdCnc" int2:id="aVoGTuZf">
      <int2:state int2:value="Rejected" int2:type="AugLoop_Text_Critique"/>
    </int2:bookmark>
    <int2:bookmark int2:bookmarkName="_Int_6ZW9ofs2" int2:invalidationBookmarkName="" int2:hashCode="SDJ02Mo8P9YynK" int2:id="ai9RgqRN">
      <int2:state int2:value="Rejected" int2:type="AugLoop_Text_Critique"/>
    </int2:bookmark>
    <int2:bookmark int2:bookmarkName="_Int_zqqmZupq" int2:invalidationBookmarkName="" int2:hashCode="0JQeaNqPOBUf+G" int2:id="azjBPXbZ">
      <int2:state int2:value="Rejected" int2:type="LegacyProofing"/>
    </int2:bookmark>
    <int2:bookmark int2:bookmarkName="_Int_uLa3eRZ9" int2:invalidationBookmarkName="" int2:hashCode="lshC6dqP0uPXaJ" int2:id="b1P8LJ4u"/>
    <int2:bookmark int2:bookmarkName="_Int_qUtb8Tja" int2:invalidationBookmarkName="" int2:hashCode="CwWRBhw5pFVAx+" int2:id="bJQuwHGl">
      <int2:state int2:value="Rejected" int2:type="LegacyProofing"/>
    </int2:bookmark>
    <int2:bookmark int2:bookmarkName="_Int_RZZmEuDP" int2:invalidationBookmarkName="" int2:hashCode="TCjK5JxtCdYGzQ" int2:id="bJW5LwNl">
      <int2:state int2:value="Rejected" int2:type="LegacyProofing"/>
    </int2:bookmark>
    <int2:bookmark int2:bookmarkName="_Int_xH2j8W82" int2:invalidationBookmarkName="" int2:hashCode="oDNXQHsuJs93Sm" int2:id="bSln3sp9">
      <int2:state int2:value="Rejected" int2:type="AugLoop_Text_Critique"/>
    </int2:bookmark>
    <int2:bookmark int2:bookmarkName="_Int_aLDYRZIX" int2:invalidationBookmarkName="" int2:hashCode="RyEgunAaVtTbIz" int2:id="bblQTRDT">
      <int2:state int2:value="Rejected" int2:type="AugLoop_Text_Critique"/>
    </int2:bookmark>
    <int2:bookmark int2:bookmarkName="_Int_J4pq7wKc" int2:invalidationBookmarkName="" int2:hashCode="TCjK5JxtCdYGzQ" int2:id="bepjw5W1">
      <int2:state int2:value="Rejected" int2:type="LegacyProofing"/>
    </int2:bookmark>
    <int2:bookmark int2:bookmarkName="_Int_TcldgTZZ" int2:invalidationBookmarkName="" int2:hashCode="aiCJTnE1e830TV" int2:id="cNT6o6td">
      <int2:state int2:value="Rejected" int2:type="AugLoop_Text_Critique"/>
    </int2:bookmark>
    <int2:bookmark int2:bookmarkName="_Int_PbLQgr9z" int2:invalidationBookmarkName="" int2:hashCode="+hy8M85sF9u9T4" int2:id="dH9JcbO9">
      <int2:state int2:value="Rejected" int2:type="AugLoop_Text_Critique"/>
    </int2:bookmark>
    <int2:bookmark int2:bookmarkName="_Int_GHM5NDab" int2:invalidationBookmarkName="" int2:hashCode="waH4Rjwlr2owYL" int2:id="dN56Oolx">
      <int2:state int2:value="Rejected" int2:type="AugLoop_Text_Critique"/>
    </int2:bookmark>
    <int2:bookmark int2:bookmarkName="_Int_Ij5sIcvq" int2:invalidationBookmarkName="" int2:hashCode="cN+mRLGX/3JObk" int2:id="dyfEnuid"/>
    <int2:bookmark int2:bookmarkName="_Int_eIbcGqRY" int2:invalidationBookmarkName="" int2:hashCode="7AQLsnzog+8R+K" int2:id="e4ytmTX0">
      <int2:state int2:value="Rejected" int2:type="AugLoop_Text_Critique"/>
    </int2:bookmark>
    <int2:bookmark int2:bookmarkName="_Int_ZsDkLDxW" int2:invalidationBookmarkName="" int2:hashCode="E1+Tt6RJBbZOzq" int2:id="eHC17oNv">
      <int2:state int2:value="Rejected" int2:type="AugLoop_Text_Critique"/>
    </int2:bookmark>
    <int2:bookmark int2:bookmarkName="_Int_NdlNIs6R" int2:invalidationBookmarkName="" int2:hashCode="aITs6HfsxGlyo9" int2:id="eKXPAfJ7"/>
    <int2:bookmark int2:bookmarkName="_Int_OkauSudh" int2:invalidationBookmarkName="" int2:hashCode="TCjK5JxtCdYGzQ" int2:id="eYokvBbb">
      <int2:state int2:value="Rejected" int2:type="LegacyProofing"/>
    </int2:bookmark>
    <int2:bookmark int2:bookmarkName="_Int_iTmvjyWm" int2:invalidationBookmarkName="" int2:hashCode="f1OmjTJDRvyEV6" int2:id="eb06GI1C">
      <int2:state int2:value="Rejected" int2:type="LegacyProofing"/>
    </int2:bookmark>
    <int2:bookmark int2:bookmarkName="_Int_32AdPeEx" int2:invalidationBookmarkName="" int2:hashCode="CPfuRzCpIHCa6Q" int2:id="ebskVjoW">
      <int2:state int2:value="Rejected" int2:type="AugLoop_Text_Critique"/>
    </int2:bookmark>
    <int2:bookmark int2:bookmarkName="_Int_4hDBkd2G" int2:invalidationBookmarkName="" int2:hashCode="A4H+N182MRKEwP" int2:id="eseoil8U"/>
    <int2:bookmark int2:bookmarkName="_Int_rmsolqCO" int2:invalidationBookmarkName="" int2:hashCode="wlI+7/FIocObXO" int2:id="fQFJk2aN">
      <int2:state int2:value="Rejected" int2:type="AugLoop_Text_Critique"/>
    </int2:bookmark>
    <int2:bookmark int2:bookmarkName="_Int_T5eGtNx8" int2:invalidationBookmarkName="" int2:hashCode="EzI3d0MU8pAcal" int2:id="fc3r54JT">
      <int2:state int2:value="Rejected" int2:type="AugLoop_Text_Critique"/>
    </int2:bookmark>
    <int2:bookmark int2:bookmarkName="_Int_f3AkXGGV" int2:invalidationBookmarkName="" int2:hashCode="FhxCN58vOqq4SL" int2:id="fh8wGNuq">
      <int2:state int2:value="Rejected" int2:type="AugLoop_Text_Critique"/>
    </int2:bookmark>
    <int2:bookmark int2:bookmarkName="_Int_oYUAv0LM" int2:invalidationBookmarkName="" int2:hashCode="Z00ledyjlpU86p" int2:id="g027jRxI">
      <int2:state int2:value="Rejected" int2:type="AugLoop_Text_Critique"/>
    </int2:bookmark>
    <int2:bookmark int2:bookmarkName="_Int_RKgcz2UE" int2:invalidationBookmarkName="" int2:hashCode="XVS23yzZKxQywT" int2:id="g5aYg22o">
      <int2:state int2:value="Rejected" int2:type="AugLoop_Text_Critique"/>
    </int2:bookmark>
    <int2:bookmark int2:bookmarkName="_Int_mAFCrzEZ" int2:invalidationBookmarkName="" int2:hashCode="MDXu/GQCp4EEjx" int2:id="gE3tEmSl">
      <int2:state int2:value="Rejected" int2:type="AugLoop_Text_Critique"/>
    </int2:bookmark>
    <int2:bookmark int2:bookmarkName="_Int_tGv4J8aA" int2:invalidationBookmarkName="" int2:hashCode="/A3b5J0OyuIOxZ" int2:id="gU47Lpxi"/>
    <int2:bookmark int2:bookmarkName="_Int_R1qCKRsP" int2:invalidationBookmarkName="" int2:hashCode="ZmYGfWHwx59OcR" int2:id="gXxr1oTF">
      <int2:state int2:value="Rejected" int2:type="AugLoop_Text_Critique"/>
    </int2:bookmark>
    <int2:bookmark int2:bookmarkName="_Int_5emENfTt" int2:invalidationBookmarkName="" int2:hashCode="yx3fNTVQ40fGFL" int2:id="gpmGdkEa">
      <int2:state int2:value="Rejected" int2:type="AugLoop_Text_Critique"/>
    </int2:bookmark>
    <int2:bookmark int2:bookmarkName="_Int_ncDi5y9K" int2:invalidationBookmarkName="" int2:hashCode="cXipBTUY/xxeQB" int2:id="gpqx5C7S">
      <int2:state int2:value="Rejected" int2:type="AugLoop_Text_Critique"/>
    </int2:bookmark>
    <int2:bookmark int2:bookmarkName="_Int_1rfPuTpO" int2:invalidationBookmarkName="" int2:hashCode="Ra75bsk4bBwM6c" int2:id="gqnplXIe">
      <int2:state int2:value="Rejected" int2:type="AugLoop_Text_Critique"/>
    </int2:bookmark>
    <int2:bookmark int2:bookmarkName="_Int_4lKmhTAU" int2:invalidationBookmarkName="" int2:hashCode="7AQLsnzog+8R+K" int2:id="gtrB6mrI">
      <int2:state int2:value="Rejected" int2:type="AugLoop_Text_Critique"/>
    </int2:bookmark>
    <int2:bookmark int2:bookmarkName="_Int_nIHdpvFj" int2:invalidationBookmarkName="" int2:hashCode="RoHRJMxsS3O6q/" int2:id="gxPyFPRY"/>
    <int2:bookmark int2:bookmarkName="_Int_CDrpJQye" int2:invalidationBookmarkName="" int2:hashCode="0lXQ0GySJQ8tJA" int2:id="gyreMfNo">
      <int2:state int2:value="Rejected" int2:type="AugLoop_Text_Critique"/>
    </int2:bookmark>
    <int2:bookmark int2:bookmarkName="_Int_P3OWHX3R" int2:invalidationBookmarkName="" int2:hashCode="edQaR+j+xVhWpq" int2:id="hBNUEJVA"/>
    <int2:bookmark int2:bookmarkName="_Int_iUcyYaCu" int2:invalidationBookmarkName="" int2:hashCode="RoHRJMxsS3O6q/" int2:id="hWrxvak9"/>
    <int2:bookmark int2:bookmarkName="_Int_JV6UZk2t" int2:invalidationBookmarkName="" int2:hashCode="JK1bPbIQScGXHU" int2:id="hb71QICu">
      <int2:state int2:value="Rejected" int2:type="AugLoop_Text_Critique"/>
    </int2:bookmark>
    <int2:bookmark int2:bookmarkName="_Int_ei7VTDf6" int2:invalidationBookmarkName="" int2:hashCode="p5w8faV3Iks6Ee" int2:id="hc0pploO"/>
    <int2:bookmark int2:bookmarkName="_Int_XUOoBml4" int2:invalidationBookmarkName="" int2:hashCode="waH4Rjwlr2owYL" int2:id="hdHtX60k">
      <int2:state int2:value="Rejected" int2:type="AugLoop_Text_Critique"/>
    </int2:bookmark>
    <int2:bookmark int2:bookmarkName="_Int_DuQ8ZWSX" int2:invalidationBookmarkName="" int2:hashCode="7AQLsnzog+8R+K" int2:id="htfxGvWS">
      <int2:state int2:value="Rejected" int2:type="AugLoop_Text_Critique"/>
    </int2:bookmark>
    <int2:bookmark int2:bookmarkName="_Int_DyCcHUJ6" int2:invalidationBookmarkName="" int2:hashCode="oB9tMy1678QTtl" int2:id="hyApLbeF">
      <int2:state int2:value="Rejected" int2:type="AugLoop_Acronyms_AcronymsCritique"/>
    </int2:bookmark>
    <int2:bookmark int2:bookmarkName="_Int_X1Iaj6QA" int2:invalidationBookmarkName="" int2:hashCode="LDoO9u9DFubl0c" int2:id="i2aoRaAm">
      <int2:state int2:value="Rejected" int2:type="LegacyProofing"/>
    </int2:bookmark>
    <int2:bookmark int2:bookmarkName="_Int_L14aQ5Wa" int2:invalidationBookmarkName="" int2:hashCode="7AQLsnzog+8R+K" int2:id="iAz5oRFL">
      <int2:state int2:value="Rejected" int2:type="AugLoop_Text_Critique"/>
    </int2:bookmark>
    <int2:bookmark int2:bookmarkName="_Int_OUAM5kZa" int2:invalidationBookmarkName="" int2:hashCode="1GN/G6HnvorI08" int2:id="iD9NYMvm">
      <int2:state int2:value="Rejected" int2:type="LegacyProofing"/>
    </int2:bookmark>
    <int2:bookmark int2:bookmarkName="_Int_mwtb7GB8" int2:invalidationBookmarkName="" int2:hashCode="UV+Lt1ij8e/Zlu" int2:id="iJwu09Fy">
      <int2:state int2:value="Rejected" int2:type="AugLoop_Text_Critique"/>
    </int2:bookmark>
    <int2:bookmark int2:bookmarkName="_Int_BC4RYQvG" int2:invalidationBookmarkName="" int2:hashCode="+hy8M85sF9u9T4" int2:id="iUb9TIbN">
      <int2:state int2:value="Rejected" int2:type="AugLoop_Text_Critique"/>
    </int2:bookmark>
    <int2:bookmark int2:bookmarkName="_Int_SKJDO71l" int2:invalidationBookmarkName="" int2:hashCode="y+5LXKytsmHKlz" int2:id="iV89lo2b">
      <int2:state int2:value="Rejected" int2:type="AugLoop_Text_Critique"/>
    </int2:bookmark>
    <int2:bookmark int2:bookmarkName="_Int_FbyRlLZR" int2:invalidationBookmarkName="" int2:hashCode="juAR9ZhnUKSWrs" int2:id="ixv5yURm">
      <int2:state int2:value="Rejected" int2:type="AugLoop_Text_Critique"/>
    </int2:bookmark>
    <int2:bookmark int2:bookmarkName="_Int_uTQYFalC" int2:invalidationBookmarkName="" int2:hashCode="7AQLsnzog+8R+K" int2:id="iyDS1ELs">
      <int2:state int2:value="Rejected" int2:type="AugLoop_Text_Critique"/>
    </int2:bookmark>
    <int2:bookmark int2:bookmarkName="_Int_Nu925dFm" int2:invalidationBookmarkName="" int2:hashCode="VRd/LyDcPFdCnc" int2:id="j8bwXTU2">
      <int2:state int2:value="Rejected" int2:type="AugLoop_Text_Critique"/>
    </int2:bookmark>
    <int2:bookmark int2:bookmarkName="_Int_563fDgNv" int2:invalidationBookmarkName="" int2:hashCode="XVS23yzZKxQywT" int2:id="jOHOLpeN">
      <int2:state int2:value="Rejected" int2:type="AugLoop_Text_Critique"/>
    </int2:bookmark>
    <int2:bookmark int2:bookmarkName="_Int_CYVO5iUO" int2:invalidationBookmarkName="" int2:hashCode="PTtgssOB+Ic/KU" int2:id="jPD08nrQ"/>
    <int2:bookmark int2:bookmarkName="_Int_1AASwoRq" int2:invalidationBookmarkName="" int2:hashCode="/91ppcWatN+Isd" int2:id="jdilR0cI">
      <int2:state int2:value="Rejected" int2:type="AugLoop_Text_Critique"/>
    </int2:bookmark>
    <int2:bookmark int2:bookmarkName="_Int_nqWm0yhS" int2:invalidationBookmarkName="" int2:hashCode="oB9tMy1678QTtl" int2:id="jwjKyTbm"/>
    <int2:bookmark int2:bookmarkName="_Int_GGTbsdfm" int2:invalidationBookmarkName="" int2:hashCode="Ydtpo0oqzhTYxw" int2:id="k5fBcoJm"/>
    <int2:bookmark int2:bookmarkName="_Int_szki8i5s" int2:invalidationBookmarkName="" int2:hashCode="RoHRJMxsS3O6q/" int2:id="kEhuehI6"/>
    <int2:bookmark int2:bookmarkName="_Int_HQ20ZFjU" int2:invalidationBookmarkName="" int2:hashCode="TCjK5JxtCdYGzQ" int2:id="kUXbDBzG">
      <int2:state int2:value="Rejected" int2:type="LegacyProofing"/>
    </int2:bookmark>
    <int2:bookmark int2:bookmarkName="_Int_9MyecL4Q" int2:invalidationBookmarkName="" int2:hashCode="VRd/LyDcPFdCnc" int2:id="kvkMbaft">
      <int2:state int2:value="Rejected" int2:type="AugLoop_Text_Critique"/>
    </int2:bookmark>
    <int2:bookmark int2:bookmarkName="_Int_lnHPMFfa" int2:invalidationBookmarkName="" int2:hashCode="xBxJSCLM5i5rVt" int2:id="l874cnbn">
      <int2:state int2:value="Rejected" int2:type="AugLoop_Text_Critique"/>
    </int2:bookmark>
    <int2:bookmark int2:bookmarkName="_Int_IFjCm7YY" int2:invalidationBookmarkName="" int2:hashCode="NatQsz8dmo+rZP" int2:id="lExMbST3"/>
    <int2:bookmark int2:bookmarkName="_Int_EFni5JTg" int2:invalidationBookmarkName="" int2:hashCode="TCjK5JxtCdYGzQ" int2:id="lNzhNmxF">
      <int2:state int2:value="Rejected" int2:type="LegacyProofing"/>
    </int2:bookmark>
    <int2:bookmark int2:bookmarkName="_Int_BO4frT6Z" int2:invalidationBookmarkName="" int2:hashCode="FXPzwboTMomH7N" int2:id="lQqVW8gF"/>
    <int2:bookmark int2:bookmarkName="_Int_GWUnBXzY" int2:invalidationBookmarkName="" int2:hashCode="f1cvK1pd7UBj7x" int2:id="ldigrZm3"/>
    <int2:bookmark int2:bookmarkName="_Int_3ITjxrGi" int2:invalidationBookmarkName="" int2:hashCode="oDKeFME1Nby2NZ" int2:id="lh3EzZ6D">
      <int2:state int2:value="Rejected" int2:type="AugLoop_Text_Critique"/>
    </int2:bookmark>
    <int2:bookmark int2:bookmarkName="_Int_KFOv3g7x" int2:invalidationBookmarkName="" int2:hashCode="ZR46a6nTGIm117" int2:id="mbeDaBma">
      <int2:state int2:value="Rejected" int2:type="AugLoop_Text_Critique"/>
    </int2:bookmark>
    <int2:bookmark int2:bookmarkName="_Int_q9dGcnrC" int2:invalidationBookmarkName="" int2:hashCode="2pVxhdVJC+zk7U" int2:id="mjtb0jY0"/>
    <int2:bookmark int2:bookmarkName="_Int_jxfaEE4l" int2:invalidationBookmarkName="" int2:hashCode="uxE4rzzIlfjKOf" int2:id="nHE62nXl">
      <int2:state int2:value="Rejected" int2:type="AugLoop_Text_Critique"/>
    </int2:bookmark>
    <int2:bookmark int2:bookmarkName="_Int_ZrvPNLE3" int2:invalidationBookmarkName="" int2:hashCode="IWj/hzRHv/m7xp" int2:id="ncQcLhXI">
      <int2:state int2:value="Rejected" int2:type="LegacyProofing"/>
    </int2:bookmark>
    <int2:bookmark int2:bookmarkName="_Int_tq7bH8WX" int2:invalidationBookmarkName="" int2:hashCode="RoHRJMxsS3O6q/" int2:id="nesGDzp9"/>
    <int2:bookmark int2:bookmarkName="_Int_mkNbiYnm" int2:invalidationBookmarkName="" int2:hashCode="W5Z4vmu9anL2GF" int2:id="njTfMR6n">
      <int2:state int2:value="Rejected" int2:type="AugLoop_Text_Critique"/>
    </int2:bookmark>
    <int2:bookmark int2:bookmarkName="_Int_AWJ0UHkJ" int2:invalidationBookmarkName="" int2:hashCode="Py/jUCa4PLhHpu" int2:id="nvGSnymI">
      <int2:state int2:value="Rejected" int2:type="AugLoop_Acronyms_AcronymsCritique"/>
    </int2:bookmark>
    <int2:bookmark int2:bookmarkName="_Int_2cMTfxar" int2:invalidationBookmarkName="" int2:hashCode="XxA+iOCvkHl0Dq" int2:id="oBPb3CE5">
      <int2:state int2:value="Rejected" int2:type="AugLoop_Text_Critique"/>
    </int2:bookmark>
    <int2:bookmark int2:bookmarkName="_Int_t6bb4MZF" int2:invalidationBookmarkName="" int2:hashCode="XfnPlw4VbdG38c" int2:id="oMLCfHF7">
      <int2:state int2:value="Rejected" int2:type="AugLoop_Text_Critique"/>
    </int2:bookmark>
    <int2:bookmark int2:bookmarkName="_Int_aba4UTFN" int2:invalidationBookmarkName="" int2:hashCode="FhxCN58vOqq4SL" int2:id="oPfMvO6k">
      <int2:state int2:value="Rejected" int2:type="AugLoop_Text_Critique"/>
    </int2:bookmark>
    <int2:bookmark int2:bookmarkName="_Int_sTSf4PGx" int2:invalidationBookmarkName="" int2:hashCode="W5Z4vmu9anL2GF" int2:id="oagfUbEp">
      <int2:state int2:value="Rejected" int2:type="AugLoop_Text_Critique"/>
    </int2:bookmark>
    <int2:bookmark int2:bookmarkName="_Int_3crTAFHN" int2:invalidationBookmarkName="" int2:hashCode="+9xPI/kxJbvuro" int2:id="ozQcIoVA"/>
    <int2:bookmark int2:bookmarkName="_Int_O8rQo2g3" int2:invalidationBookmarkName="" int2:hashCode="x7FqIgjjzMajXr" int2:id="p9W1euPt"/>
    <int2:bookmark int2:bookmarkName="_Int_LDgvU2rY" int2:invalidationBookmarkName="" int2:hashCode="+koJVgHDbr9Y8o" int2:id="pQprQG3A"/>
    <int2:bookmark int2:bookmarkName="_Int_wq79pG3L" int2:invalidationBookmarkName="" int2:hashCode="jSMajJWYcg89i1" int2:id="pSsd9hP8"/>
    <int2:bookmark int2:bookmarkName="_Int_c3huTX79" int2:invalidationBookmarkName="" int2:hashCode="Kt/5U2/GtWN+Yz" int2:id="pWTuaj0M">
      <int2:state int2:value="Rejected" int2:type="AugLoop_Text_Critique"/>
    </int2:bookmark>
    <int2:bookmark int2:bookmarkName="_Int_ISIz5fia" int2:invalidationBookmarkName="" int2:hashCode="qjSzvK8jSexv86" int2:id="q5p6aBlr">
      <int2:state int2:value="Rejected" int2:type="LegacyProofing"/>
    </int2:bookmark>
    <int2:bookmark int2:bookmarkName="_Int_MiHnwZNn" int2:invalidationBookmarkName="" int2:hashCode="A5971rxsbmU1WH" int2:id="qUnkjvnv"/>
    <int2:bookmark int2:bookmarkName="_Int_wkXz1XC2" int2:invalidationBookmarkName="" int2:hashCode="TY0S4VM2Pp2mCL" int2:id="qWDjBhvK">
      <int2:state int2:value="Rejected" int2:type="AugLoop_Text_Critique"/>
    </int2:bookmark>
    <int2:bookmark int2:bookmarkName="_Int_qyyOYSz2" int2:invalidationBookmarkName="" int2:hashCode="HmCI6UEydONstL" int2:id="qyjeTDqs">
      <int2:state int2:value="Rejected" int2:type="LegacyProofing"/>
    </int2:bookmark>
    <int2:bookmark int2:bookmarkName="_Int_Jt9uaDXo" int2:invalidationBookmarkName="" int2:hashCode="5pTAVjewiWSspq" int2:id="ryYCDeu6">
      <int2:state int2:value="Rejected" int2:type="AugLoop_Text_Critique"/>
    </int2:bookmark>
    <int2:bookmark int2:bookmarkName="_Int_Ey3gzQDd" int2:invalidationBookmarkName="" int2:hashCode="TCjK5JxtCdYGzQ" int2:id="s6Pbv37u">
      <int2:state int2:value="Rejected" int2:type="LegacyProofing"/>
    </int2:bookmark>
    <int2:bookmark int2:bookmarkName="_Int_byxv9p1Q" int2:invalidationBookmarkName="" int2:hashCode="11e/JFaewEFuld" int2:id="s9tyNF81">
      <int2:state int2:value="Rejected" int2:type="AugLoop_Text_Critique"/>
    </int2:bookmark>
    <int2:bookmark int2:bookmarkName="_Int_9FNlbJcr" int2:invalidationBookmarkName="" int2:hashCode="x+FoFb3WEnGAFS" int2:id="sHqgodwc">
      <int2:state int2:value="Rejected" int2:type="LegacyProofing"/>
    </int2:bookmark>
    <int2:bookmark int2:bookmarkName="_Int_p0XnzH42" int2:invalidationBookmarkName="" int2:hashCode="FH8JjE4t0e8k+2" int2:id="sWA8cowm">
      <int2:state int2:value="Rejected" int2:type="AugLoop_Text_Critique"/>
    </int2:bookmark>
    <int2:bookmark int2:bookmarkName="_Int_59sBebDN" int2:invalidationBookmarkName="" int2:hashCode="0lXQ0GySJQ8tJA" int2:id="sdyMx6QU">
      <int2:state int2:value="Rejected" int2:type="AugLoop_Text_Critique"/>
    </int2:bookmark>
    <int2:bookmark int2:bookmarkName="_Int_w7mjxRzK" int2:invalidationBookmarkName="" int2:hashCode="RoHRJMxsS3O6q/" int2:id="se04zMfE"/>
    <int2:bookmark int2:bookmarkName="_Int_oSCyklNm" int2:invalidationBookmarkName="" int2:hashCode="2K8H2vbQD64BZB" int2:id="se3d8ggb">
      <int2:state int2:value="Rejected" int2:type="AugLoop_Text_Critique"/>
    </int2:bookmark>
    <int2:bookmark int2:bookmarkName="_Int_ARaJiWoj" int2:invalidationBookmarkName="" int2:hashCode="oDKeFME1Nby2NZ" int2:id="skflaehk">
      <int2:state int2:value="Rejected" int2:type="AugLoop_Text_Critique"/>
    </int2:bookmark>
    <int2:bookmark int2:bookmarkName="_Int_11y6jj6z" int2:invalidationBookmarkName="" int2:hashCode="FH8JjE4t0e8k+2" int2:id="ssEzrFWL">
      <int2:state int2:value="Rejected" int2:type="AugLoop_Text_Critique"/>
    </int2:bookmark>
    <int2:bookmark int2:bookmarkName="_Int_CY6sIABv" int2:invalidationBookmarkName="" int2:hashCode="/yLf7MouSydGEJ" int2:id="szu017QG">
      <int2:state int2:value="Rejected" int2:type="AugLoop_Text_Critique"/>
    </int2:bookmark>
    <int2:bookmark int2:bookmarkName="_Int_ZEvyndFO" int2:invalidationBookmarkName="" int2:hashCode="TCjK5JxtCdYGzQ" int2:id="t5hkcJpy">
      <int2:state int2:value="Rejected" int2:type="LegacyProofing"/>
    </int2:bookmark>
    <int2:bookmark int2:bookmarkName="_Int_KTG992Cb" int2:invalidationBookmarkName="" int2:hashCode="XVS23yzZKxQywT" int2:id="tRinGCBh">
      <int2:state int2:value="Rejected" int2:type="AugLoop_Text_Critique"/>
    </int2:bookmark>
    <int2:bookmark int2:bookmarkName="_Int_Jp8AFPPo" int2:invalidationBookmarkName="" int2:hashCode="4z3Tm0Q/pAaWpw" int2:id="tW6m3ubb">
      <int2:state int2:value="Rejected" int2:type="AugLoop_Text_Critique"/>
    </int2:bookmark>
    <int2:bookmark int2:bookmarkName="_Int_V5JpDxmn" int2:invalidationBookmarkName="" int2:hashCode="A4H+N182MRKEwP" int2:id="tdBJIDTU"/>
    <int2:bookmark int2:bookmarkName="_Int_Gp3lXxnz" int2:invalidationBookmarkName="" int2:hashCode="+CSOEnJ3EMlG9z" int2:id="th7x8lQf"/>
    <int2:bookmark int2:bookmarkName="_Int_uKUKd444" int2:invalidationBookmarkName="" int2:hashCode="nDMRPFS7Vpg8wW" int2:id="thw3lMOJ">
      <int2:state int2:value="Rejected" int2:type="AugLoop_Text_Critique"/>
    </int2:bookmark>
    <int2:bookmark int2:bookmarkName="_Int_3U1VHm1S" int2:invalidationBookmarkName="" int2:hashCode="cXipBTUY/xxeQB" int2:id="tvPCnShn">
      <int2:state int2:value="Rejected" int2:type="AugLoop_Text_Critique"/>
    </int2:bookmark>
    <int2:bookmark int2:bookmarkName="_Int_edmeOY7c" int2:invalidationBookmarkName="" int2:hashCode="C/QXBETNRzzUBm" int2:id="uGj68vT2"/>
    <int2:bookmark int2:bookmarkName="_Int_3iIuAU7V" int2:invalidationBookmarkName="" int2:hashCode="RoHRJMxsS3O6q/" int2:id="uNN2mLRc"/>
    <int2:bookmark int2:bookmarkName="_Int_cpR5dgIw" int2:invalidationBookmarkName="" int2:hashCode="tiDD+Nmg4dbYca" int2:id="ujBT9vKT">
      <int2:state int2:value="Rejected" int2:type="AugLoop_Text_Critique"/>
    </int2:bookmark>
    <int2:bookmark int2:bookmarkName="_Int_aEJvA1rF" int2:invalidationBookmarkName="" int2:hashCode="RoHRJMxsS3O6q/" int2:id="vmNreIb4"/>
    <int2:bookmark int2:bookmarkName="_Int_z4dBKo3k" int2:invalidationBookmarkName="" int2:hashCode="oxXe4L0i9FJl9n" int2:id="vunprG43">
      <int2:state int2:value="Rejected" int2:type="LegacyProofing"/>
    </int2:bookmark>
    <int2:bookmark int2:bookmarkName="_Int_MKoWSX6W" int2:invalidationBookmarkName="" int2:hashCode="0JQeaNqPOBUf+G" int2:id="wYjqcsHe">
      <int2:state int2:value="Rejected" int2:type="LegacyProofing"/>
    </int2:bookmark>
    <int2:bookmark int2:bookmarkName="_Int_O7uGqgWe" int2:invalidationBookmarkName="" int2:hashCode="RyEgunAaVtTbIz" int2:id="wcEOyQus">
      <int2:state int2:value="Rejected" int2:type="AugLoop_Text_Critique"/>
    </int2:bookmark>
    <int2:bookmark int2:bookmarkName="_Int_2inozwzR" int2:invalidationBookmarkName="" int2:hashCode="VRd/LyDcPFdCnc" int2:id="wkmupSqi">
      <int2:state int2:value="Rejected" int2:type="AugLoop_Text_Critique"/>
    </int2:bookmark>
    <int2:bookmark int2:bookmarkName="_Int_8VDPtfvB" int2:invalidationBookmarkName="" int2:hashCode="FH8JjE4t0e8k+2" int2:id="xBlnzNpp">
      <int2:state int2:value="Rejected" int2:type="AugLoop_Text_Critique"/>
    </int2:bookmark>
    <int2:bookmark int2:bookmarkName="_Int_sM15J3bS" int2:invalidationBookmarkName="" int2:hashCode="FhxCN58vOqq4SL" int2:id="xS8Jz4Rb">
      <int2:state int2:value="Rejected" int2:type="AugLoop_Text_Critique"/>
    </int2:bookmark>
    <int2:bookmark int2:bookmarkName="_Int_6TOaNFhH" int2:invalidationBookmarkName="" int2:hashCode="Azho2vyhTdB1yv" int2:id="xiCz62Tq">
      <int2:state int2:value="Rejected" int2:type="AugLoop_Text_Critique"/>
    </int2:bookmark>
    <int2:bookmark int2:bookmarkName="_Int_Vxb0aEjx" int2:invalidationBookmarkName="" int2:hashCode="q9G26g5n+cvG/w" int2:id="xkjKCdKg">
      <int2:state int2:value="Rejected" int2:type="AugLoop_Text_Critique"/>
    </int2:bookmark>
    <int2:bookmark int2:bookmarkName="_Int_6gyM1PYg" int2:invalidationBookmarkName="" int2:hashCode="MA0p/V8yfox6D0" int2:id="xlTf8d2y"/>
    <int2:bookmark int2:bookmarkName="_Int_lNc62zCO" int2:invalidationBookmarkName="" int2:hashCode="X55YArurxx+Sdf" int2:id="xn3mp7ml">
      <int2:state int2:value="Rejected" int2:type="LegacyProofing"/>
    </int2:bookmark>
    <int2:bookmark int2:bookmarkName="_Int_NvPRUrmB" int2:invalidationBookmarkName="" int2:hashCode="PYnffsKRasW23P" int2:id="xva84ViH">
      <int2:state int2:value="Rejected" int2:type="AugLoop_Text_Critique"/>
    </int2:bookmark>
    <int2:bookmark int2:bookmarkName="_Int_29uafd2v" int2:invalidationBookmarkName="" int2:hashCode="0lXQ0GySJQ8tJA" int2:id="y8FnZm3c">
      <int2:state int2:value="Rejected" int2:type="AugLoop_Text_Critique"/>
    </int2:bookmark>
    <int2:bookmark int2:bookmarkName="_Int_ZXJLFKMm" int2:invalidationBookmarkName="" int2:hashCode="DESHlOuggd8466" int2:id="yCLwt8Ur"/>
    <int2:bookmark int2:bookmarkName="_Int_wbZxKqly" int2:invalidationBookmarkName="" int2:hashCode="RoHRJMxsS3O6q/" int2:id="zC4uVTjc"/>
    <int2:bookmark int2:bookmarkName="_Int_lTLQS0q2" int2:invalidationBookmarkName="" int2:hashCode="e+4TkP98baWXbe" int2:id="zTXvP1AC">
      <int2:state int2:value="Rejected" int2:type="AugLoop_Text_Critique"/>
    </int2:bookmark>
    <int2:bookmark int2:bookmarkName="_Int_H5yBtRv3" int2:invalidationBookmarkName="" int2:hashCode="TCjK5JxtCdYGzQ" int2:id="zgZCKM2C">
      <int2:state int2:value="Rejected" int2:type="LegacyProofing"/>
    </int2:bookmark>
    <int2:bookmark int2:bookmarkName="_Int_0sl0jWjk" int2:invalidationBookmarkName="" int2:hashCode="VRd/LyDcPFdCnc" int2:id="zi9zER4c">
      <int2:state int2:value="Rejected" int2:type="AugLoop_Text_Critique"/>
    </int2:bookmark>
    <int2:bookmark int2:bookmarkName="_Int_zaq91M00" int2:invalidationBookmarkName="" int2:hashCode="LDoO9u9DFubl0c" int2:id="zt5TwBJ3">
      <int2:state int2:value="Rejected" int2:type="LegacyProofing"/>
    </int2:bookmark>
  </int2:observations>
  <int2:intelligenceSettings/>
  <int2:onDemandWorkflows>
    <int2:onDemandWorkflow int2:type="SimilarityCheck" int2:paragraphVersions="634D227F-58000235 21315D8C-608DECB1 5B83852E-77777777 5F991265-77777777 0E63A0FC-64B21115 1F23936E-77777777 32DB990F-77777777 2D8BB3D6-37625108 637ED4FC-77777777 26F3CC20-0659530C 516A4D8D-77777777 7A0DAAC6-77777777 795D5F85-77777777 0E26593F-77777777 703A76F6-77777777 0DF2BA99-77777777 33ED4365-77777777 303F3BEE-77777777 04EAE2D2-77777777 420C3F19-77777777 762E0A8A-77777777 5F5734AF-77777777 2F8D14A3-77777777 525D7CBE-77777777 67876275-77777777 4FD90FC0-77777777 553E0C25-77777777 4864C7A6-77777777 5D4C0DD5-77777777 6ADD6D62-77777777 4BBA377F-77777777 41EFD662-77777777 29003FE0-77777777 099F38CA-77777777 3C524AA4-77777777 3C064454-77777777 577820AF-77777777 368AAF11-77777777 016B02AF-77777777 49BB9F1C-77777777 3DD3E33E-77777777 04C194D9-77777777 1177FBB6-77777777 43003568-77777777 2BD3B6CC-741875DD 71EAA849-77777777 2666B929-6458FA47 5246EF5B-77777777 13BDA2E3-77777777 62B29077-62233151 6F96038C-2B1E1E6F 6D1EA20C-77777777 348798C6-1D7B78A0 06290EF8-36DDACB7 31EE17E1-30D1A5FA 7F2A1518-77777777 659DADB9-40E7CCAC 44123D2D-1FDAF74C 0C0E8032-2F9FF40A 1A87E45E-1780A346 0C202B50-7D23E8D8 2BC4F207-5129B8E4 31D5612E-2716647F 69CD747F-31957C0D 6E2833E6-25ACC5FA 42233166-547A9B3B 183F4181-7C62D873 0AFAB282-77777777 3EC12501-2E4DD1C9 68F39CFE-109FE4FD 34F3162E-77777777 645B9F7B-218D68F4 194CD809-4A19DC56 757A44E5-6E371612 5DDB209A-183037D3 6D60382C-77777777 3A7E8EC2-1F57EF84 5DFDA731-7E883BB6 6703E255-7E9A8A16 21054D55-48FF2FE7 63747A36-5741AD22 2BCB85B9-55E01934 39D5E000-4CA77384 374B5744-27924F45 605F94C2-4440B426 455555BF-77777777 463B2033-08C9EB52 654F24E2-18ED91FC 426EC72B-08B1B2AF 2EDB8514-57B5D355 5E8CD6E3-1D699210 5C1CACDD-4E5F2C8D 1EAC45F4-3BE8650C 520475EF-3E43D306 31EDB38A-77777777 070D8E00-009C56F0 513B42CC-6B8778B1 697E7BD3-3AAEEA01 12F4C7BE-12A3AB6B 539F8C8E-1E1D4B73 3DABE6FC-77777777 60248D70-15896264 784DBA3A-590D02D1 78E5E577-5DD60861 6C31B47F-3D14B98E 0CC7BE6E-01916F12 435EC3A8-40E90F3B 2AB87223-05078699 37D1334C-34088725 463560EC-77777777 79B973A7-24F4619F 657060AD-77777777 43C33890-77777777 2339AB42-335DB837 223F9865-79628F32 7CC61967-551C709E 0C22773D-3196B8CD 214518DB-48F4C14D 4B43DAC7-70A871AC 052CF19E-091DD75D 32D6396A-77777777 6AEF9B24-58DBB245 051F96FD-05781464 34320AEF-77777777 3FFE8628-6AB2F9B9 226D81BA-49DEE437 66BA75EF-77777777 20DA8B3F-597BAEA4 7B1CA6E1-06E60021 163CEAD5-4C183389 3A09ADD1-1C052840 1BC5F68A-77777777 532016E8-0CE5E756 111BAAF6-2661ECD7 075BEA92-53EBC2F0 6C42886D-06CE1722 64026B11-081DDC5E 4BD2660F-09F40AE1 24291ACD-149E6F44 57F5DE19-55712605 5E4F4DDB-77777777 46DD2FA3-20679838 2E794CB8-5CE68960 1E960B73-20F61B65 7D4209C0-647E3D69 79EF68DB-16C3965A 70968527-55B0E586 18F3541C-2D955E1D 49EE7B8E-129A709D 5FEFF3DD-77777777 37D4CF84-47FA1895 07AEC72F-0B9EB8E2 27B0DEFD-6A5A8473 7C5EF32D-35356599 349EC26B-560566BD 266A380E-7CFC7CCE 2169EAF9-72025971 66E61248-1D55153D 147D70EB-2BF74B89 49198961-6B76FF01 4F21C212-0BCFA2DB 7BC4EF85-63FB91FB 451C32DC-3D51D327 6891CB69-409FA5EA 7BFFBA2E-6689AC3B 0C9F9EA8-18A18649 2B7460E6-727073FA 5F1E3661-61B69E4A 58AAF929-18D1C87C 2593C484-77777777 2B0B6420-44E43DD8 32FA6161-77777777 29DF5E8D-05CC995B 247060E6-50A4D49D 302128D6-4CC5CDA7 7F8FACF4-7A4E55FC 0CD0BC8D-4122F804 0EC820EF-468F285D 572A1903-6B38FB77 24A99193-77777777 18426E8D-32E6663E 4797C8E6-341FABC2 250309CE-5148D9BB 009BED0C-77777777 5DE11CF1-7E9A9EFA 20203719-77777777 632C9939-55EF7B6E 40FF14F8-37063B24 14D45233-41D415E7 30623BC8-34175C80 439C258C-0BEA2295 5859470C-6E874F72 7407735E-09050E41 5CE1DF73-7FFBC085 604613D2-695DF507 7B733F58-6AB76426 0F520DEE-68FDCFF3 59ED19C8-17939FE8 780301F1-47FC635E 266E7729-4BB1F855 76DE1611-4792D35B 41017087-2FB4757F 6F46C986-4B768743 09AE1BC2-57C6037E 776BA18A-7BFF419B 77211095-16D60CD2 4A862215-42E944D3 16D66682-5C5AADF7 3A274BC3-1CC4A742 10925D12-07DCBF99 5A093E39-309A7ABA 2FA503E0-506809A8 689262D1-55A178A3 52E5DFD7-386A7930 57C914DE-75033203 583279B7-1B23727D 23743EFE-0F9ACFCE 3DA16420-6EC1C412 738AEEE5-04DF8599 33FBCE23-567BD2D8 5E1FF3CC-426A04CD 0AD8C635-4C150D16 3938A4B7-74A39F16 4D13C291-043403E0 0A1C1676-5FDB0A63 729661EA-47F91B5D 0E373EEE-68667B87 7875D9BE-2C242553 5C2F5172-6A01B941 1E54732F-50FF881D 28D393B7-6622ADE7 57D68B73-0E04146F 5CB0AEEA-0DDB04F4 013335AE-03938705 249F128E-1779BE9D 059789DD-7DDC56E7 21908BB6-254B5BE8 414C8B96-38C6073A 3093E01C-4898E2EC 34094F8A-07BE5CCC 643D31E7-500FCB1A 1AB063C8-4FCFD367 7BF0A29B-1E8180D4 599B01ED-01B766D3 2AA5D769-4FE5FAE3 3745A9B7-4CCAEE4C 068CB1C4-30D882FE 5E8C6F56-4C88ACB9 4C982CDA-33F7B827 04FD95A5-44CE87B1 0F628461-0544A55A 517D41DF-277A2963 4D54F089-6BE58C69 4E9CA085-0332058D 69C6E59B-34CB8511 0E635C9B-4159847B 14E44C00-0D374264 15445D7E-37645C0D 7AC354CE-2AAE5AF5 32995F38-391324A6 40E6AEE7-5959103E 6CD0994D-4C5C0281 19960075-40A6971E 2A9C481F-01864AFD 488788E8-1181B1D2 129BF63D-70DF57F9 0442405B-3E693E1F 7CAB8D64-21D4C2B0 5C5C2738-63728820 56596CC7-07A4414C 3FAEFB8A-712E7603 36F4B087-53879015 64250B40-408A0EB2 7C2D78C7-5756FEF7 777F6506-681F5A88 6D53853F-0BC41764 382BBBA5-451010C5 00CA893A-3CAD5225 74FF3934-756BC668 7E427680-09AC5873 56C90668-74E4411A 7907B1FF-68FDBC29 37448B42-0173C1BD 5B9F33F9-6A8370EE 0599BEDD-7D4B4EA1 763BCADF-5DFEE8F7 6EE2BBC1-6ACAD8BD 0B49C6CA-1DBF1532 285BE79C-706A92B9 68D1164C-23D17D85 38515E84-3CD1BFF5 24A3BFED-657011DD 3906B5FF-36F63BB1 5180DBBD-71906A87 577AD546-520FA91D 1E54C2B0-004DE0C4 34BD8EC3-40F9A655 671AAADA-73B21790 05194923-65AB0B52 36177252-217C10F2 3C898CE1-0EE08C89 03EE6C75-619B29EB 6CC37A60-0EE3DE21 223AA5B8-308AA97B 3EF44C73-4B22A1E3 3D25B1FE-1FAC9A21 6A2A2B6C-50ADAA59 6ED0B961-64862E89 5864B4B3-6B4462DE 2A75179D-227FA57C 69179AAE-1EF7C350 4995EB57-33848C46 17723230-49831C60 12FC1D27-406DDC19 6CF7201B-54F887DD 5F979BD3-0366A468 5641DCC5-40D99B9A 62FE135E-34106722 73228E9B-77777777 0FC5C81F-77777777 319B11D3-77777777 250786D9-77777777 2CCCF957-77777777 4E865586-77777777 16F006A6-77777777 113BCDEC-77777777 40975D31-77777777 09DF055C-77777777 02A39202-77777777 58250DCC-1843311B 3171E575-77777777 797C90A4-09AE34BA 562D510D-77777777 238B54C3-77777777 27EC3540-77777777 2BC39505-77777777 5C66DE5B-77777777 716D1F60-77777777 3FF550AD-77777777 4124C070-77777777 5F52ABD4-77777777 0196DD41-77777777 49FE9D03-77777777 47DA5957-77777777 4DC9FCB3-77777777 58F04F6B-77777777 70D99A44-77777777 670014F7-77777777 42A72D3D-77777777 227F4E4F-77777777 6022E08E-77777777 350D9715-77777777 24CD2EDC-77777777 6E8B7553-77777777 46705AE0-77777777 5F5B289A-77777777 51C7F770-77777777 7F6C647E-77777777 5D441EC6-77777777 195D8A0B-77777777 00D8B762-77777777 14FFD05E-77777777 7A450815-77777777 45541908-77777777 3417D093-77777777 10A95DEA-77777777 13C484C4-77777777 75260D7F-77777777 7877E59D-77777777 2AB0AF53-77777777 53D5BACD-4E91D1AD 496C3206-0334188A 7FA848D8-77777777 75FF75E2-77777777 27324E83-77777777 4FFABA80-77777777 65489FB2-77777777 2E2364B4-77777777 56E4A678-77777777 1CD32CBA-77777777 28D34200-1A4CE070 4B97B68B-4F773FB5 246A412B-77777777 1B52D86E-1EA44712 5DB09C78-77777777 5B6F7DFC-77777777 5F1A190E-77777777 07401172-77777777 0CB64713-77777777 47D154FB-77777777 14468889-77777777 70F0B201-77777777 3F942A0B-77777777 321DAC68-77777777 575BBF2A-70299BBE 6E77A659-1CDD83F7 1A34DF90-791C4DC1 19CE76FA-6AF6F1F5 1DE413B7-77777777 51D5271A-77777777 7949DF31-77777777 22045755-0FE9527F 1B972D86-77777777 11BA38C3-77777777 30204477-6ED945CC 60EF68D6-77777777 5B95D140-1512DFE0 1D897997-77777777 3E0A5A91-77777777 2E4135CF-66E06D85 16BA0478-07EDE9A9 42A4B207-60D9DCB6 1C8201B3-624329AF 5C62BA05-1E599B7E 5287364B-62496195 283ACB57-77777777 5DB6EE14-3BA65E57 4DD84AD5-06F92FCD 7DBBB7D9-267F6BB3 47CD5338-200757BD 2BDCDEF7-0C2BD106 53626140-34C3C86E 17FDB3FD-1B82155A 0039C4F2-77777777 43453295-7F9BBEC7 50B26096-4479803B 66303647-24953789 629F2F30-7B9A074B 0FE225C6-079EE64B 71CFCE88-6824D8B1 4C331AB0-7635B300 5F939F56-5B6F520E 3D54986F-51CEA700 7168AD44-3B2CEE34 57CC0CD4-33E0E1EB 4A14F60F-3FCCF322 21307D82-4E35E5B7 5C4BB8D2-72978C9B 5FFE2CE6-11F05403 350D60E0-40B3F868 5D4A4BBD-77777777 06486DC0-77777777 23A71B4B-66C56E11 13C195E2-33AF49EF 5CCEDD18-2E562D9A 5B8DCF44-7E2C9F75 6A5551B2-77777777 662C0C61-594029F4 42E3C299-77777777 36AD4DDC-58BB680E 3190C870-77777777 1A665086-77777777 622BE45E-77777777 48E4D31F-49EF7F0A 0D843876-69D921B8 2476C56F-77777777 7B81007F-77777777 1EFD0BCA-2C06217C 6CB9FD67-61B9C5BA 30476883-226BF946 73AE45F8-5E495DB2 3E8133FE-1FF28286 2F981DFC-2A92C22F 363B3B06-77777777 19543085-12888F76 4DD621E7-77777777 2ADF6E9D-77777777 58A352C0-77777777 0CAA882A-77777777 053662C4-77777777 1277B2D3-77777777 15141648-77777777 54D3D71F-6F404461 3B473BA0-77777777 36C74703-180BB2A7 15FC086C-77777777 00DBD1E8-0F8C373A 467E2B0A-3AB03724 0C106D61-5ABE24C1 6D40C946-6304D399 021E06E6-56B17A89 03086913-38DF9815 54FB4CAB-7732BFB8 47B90EEB-77777777 217E3333-77777777 017EFF9A-77777777 002062C8-37463E50 439A09E2-77777777 077A0BA1-77777777 701CE1DF-77777777 1F1225AB-77777777 11788AA6-720570AA 38A4FA42-3715FB60 2C218879-61595815 1D7D6346-3B94FF09 6E563BAF-5E08DB34 7D3C9ECF-14CE390D 6EAB4947-466F756C 3C271E48-3CF897F0 43C182CD-27E994A7 71C3D9B9-46F88290 01847397-46B5BB7C 77F9B87A-1ADB2AD9 6E715088-13A16599 0C2B555D-31C359A0 7576903F-2E522E10 6088BB51-21BDD49C 78870B22-0A923260 79301C17-25A34E37 45B2998A-04FC5672 6FB90E49-5F8D0B4F 2965E77A-40F7C2DF 456E0ECF-7BFBB16F 5FD093F0-60749453 5FC853C0-128A0997 2341C65E-5BA415EA 2D63C0EB-77777777 66ECB6C2-1CF59DD7 222C23F1-77777777 1DCEDC88-29011B7E 23EF0A06-77777777 24605FFF-73DCDACF 204F8EFB-77777777 272D08C1-5B27DF7C 39AFA4F9-77777777 2840AD5F-7BFC46E4 5447CC49-77777777 6174DDE4-77777777 4A92347C-77777777 65F4531C-125865CB 57FA6551-2A933D43 550B75C6-7964ACDA 4F4E9CE6-26481F28 1EB2C658-77777777 0C422DA8-30705C0E 61DE2CFE-77777777 2370F77F-77777777 3FD39A34-77777777 33CF9947-77777777 10B034EA-77777777 52EAB705-77777777 117C15A2-77777777 6056A105-77777777 2F14F585-77777777 521BB3BA-6328A841 0BCABA32-77777777 7B55B88C-77777777 2295CF64-29CB9E41 684204D2-77777777 125D4C68-77777777 2048DD3E-77777777 265C547D-77777777 3F220565-0382F8E3 041B031A-77777777 1B52B41F-5292C4B3 4ED4BB2A-77777777 521D130C-77777777 40709691-6390F59F 3A4CFF09-77777777 72D8CC86-77777777 022B158A-77777777 49E5EEFA-77777777 150DCE3B-4B2BB27F 07D9D66E-0A2D3519 4B03EEDC-07353E52 70EF50E6-32FBC1C1 27FF85BC-77777777 10BA52A5-1EDA0C14 57013325-77777777 2151C870-77777777 59833FE3-553A2DB8 1B36C115-77777777 1E99FF66-3DED7485 15E61479-03330DFC 36AC3588-77777777 078E7881-77777777 4D9DB65D-77777777 3669E920-26E989BB 18213437-77777777 4E0A05C8-6985B58D 46565F18-7020438B 718C9BB3-7AB4C19A 3A3E1E42-1DC53196 7CD37A14-7C94EA17 7C1BAA1B-3EAB9C4D 4C59CFBC-77777777 2C8337F0-78E27F1A 4105C775-2B361713 15C1A21B-551FFA8F 04F30A32-77777777 7ADADB81-77777777 3923DEAC-77777777 30223B3C-77777777 44E0D339-29E24B39 00141537-696C9203 1D7E9ADA-052A61CC 1D0755B2-45F68761 3D6F4D21-1DB47DE4 71EEBF0E-304E4BA7 0411F7B9-46B90582 40592E34-43151CC6 384E4AFF-1BFDBBE3 2E9FE4C4-701DB2C7 649BC1D2-1782E8AD 46677413-1424F85C 09DCCE21-6958AE25 76DC7791-0A1DC1A6 02E3DCA2-329AA89D 7A93D624-7243686C 3B9DEFD0-1F09EBD3 3505D900-5AA8C967 3C62B80E-184366C3 323BCFDF-6CCA015B 1B36B4FD-5C056582 1CCA0489-6CA37C4B 0D1CBF35-7DAAB9A7 22E01A04-77777777 0A52C30E-1F6DF0A3 24119B06-77777777 1D39825A-77777777 424A7735-5D5FB6CF 3DCC1527-77777777 59545E65-3F3AD390 36432786-7B7F06FB 4950079C-494B375E 1E40D3E6-77777777 6FF49616-77777777 1142BF91-7C9029C0 48BBE947-4304DF14 6BF12D32-4E84FF68 1E5FC04A-5A0845FE 5A60AABA-77777777 4982853A-77777777 2F3DCBE0-65014DED 70C326FD-7E177820 114823A1-77777777 178B8C9E-77777777 5F9E348E-77777777 53531D67-77777777 125CA579-37D95E34 0744BF9E-77777777 7377CDC3-77777777 561DA8FA-4AB42850 4AE85177-77777777 4D8A297B-5A79B162 6D48D20C-77777777 1DAEF658-31CCB051 5C2D5BAB-77777777 532296D2-0996EC8C 4BFE3C25-42A1063F 73562F7B-42A08F11 4C686BEE-65DBDF93 5D017907-3F1D019D 1C8CED24-249D60E2 6572519F-3F733DBA 701FB50C-77777777 0B7179C9-56D3BD80 1B59C134-77777777 5D55AFAC-449A928C 438FC3ED-1C0864A4 7D5C28E8-498220C1 539A3D7F-036CB3F4 5F361CA8-77777777 39F64BF9-089AC617 38CD5B5C-77777777 3110B2D3-77777777 68A917ED-2A0F7BF2 3A07BFAE-77777777 56515538-376FF304 14A7EB70-546153E6 08FFEC40-6FDE1797 5D170E71-77777777 3BE3F21E-77777777 7A4A1BC4-25C5E787 4C65C199-1BC72E3A 246B29ED-20693403 209D1253-654CC460 44D4C229-4BF78284 27A48B6C-56D88ED4 6E857749-77777777 113E2F8C-77777777 19B2C349-77777777 79FA8E8C-77777777 1C3B988F-77777777 367BFAD5-77777777 4D528529-77777777 724FBE81-6C321EFC 784C5DFD-77777777 24BE9EBC-18D03276 3FDC5475-770252C6 02A0F542-24430A6E 7C9CB035-68079A04 2220EA9A-77777777 63D4C779-77777777 74F54944-77777777 0108AD85-77777777 264BB620-580546D6 4196BAEC-5491CDA5 4E8DCCA5-530E8E99 30F0B8C6-16EB2437 1DED4DD0-2F908C91 523E378E-236D4D7E 37E62FC2-716D7480 14C2F1E8-5CEE9EC4 494D9AC5-77777777 22CB8A36-0461BFEA 758203F1-31B63D5B 17DE3BF3-5789F21D 43AE9572-77777777 1BA80AC9-2CF896E3 2DF87612-77777777 2FD650D4-77777777 4BE7A903-77777777 114BA352-77777777 1DC5425B-77777777 1BB28DB6-77777777 2BF3470D-23050D5A 2EF97F96-77777777 34A06A5F-77777777 091D7FEE-77777777 4BC17087-48C78F49 39C76342-77777777 3137A3E2-377DC5D1 3E96E4D3-77777777 3DD556AF-77777777 3C6B3DDC-77777777 7930E2EE-18434B2F 1170DDC0-77777777 31F7D8EE-60731345 0C49F58F-77777777 0C5E334A-77777777 14E2442D-77777777 475E1EDB-4AFB9F4F 28858EB6-77777777 26C0ADDE-63BEB4B2 48DAE325-77777777 1048DB32-77777777 560DD9BD-77777777 6C6719EC-437429AF 0AFB12BC-77777777 5D0A6533-6AD533C7 72D94A7D-6875E9F7 150B8C02-0E9D989A 7706E018-4EF406B0 5DD001D6-21BEDA4F 1FBA32E7-10305BF9 453F941F-537C2960 332238B0-6896439B 42E58018-5F633947 796FEF7C-1C3E0244 56434EEC-4ED8692B 2E370A73-6D47B742 1098BA3E-734E4181 4E2D958B-40341BA1 45CED81A-2A14C0DD 2B4538C9-79379BCC 19A03A9C-6F6EC5C5 7642F0F7-5FC8D783 01233C2E-3FAD0BD9 3FC85B58-67AC7DCE 04652660-7C9932C7 377DE2EE-11E9BBDB 737784D2-1C1D1A7D 4383B7F3-77777777 2F34CA35-77777777 173E206F-01FEE6A0 456EF93F-77777777 4D5CC532-77777777 7B05EACC-77777777 2D0D99EF-77777777 7DD7292E-77777777 4253D53A-77777777 2527F44E-77777777 08D40CD6-77777777 49FD1F92-77777777 0EB0F5DD-77777777 35D4E040-77777777 42ABBD3C-77777777 2408EB26-26AF5035 545F15E8-7F1AE513 2FD8E256-309FF485 299B52B1-31D600FE 4E0DC411-56683B97 0127B093-519EBBCB 1659CB78-77777777 4F15BFA4-3BCB293E 1065E39A-77777777 3DE313E5-180E9DAC 4B7F1999-1AE5A525 6605E184-30AF0E78 0AA9641E-794E2FAC 1F727A3D-356F550F 07638A19-77777777 0FCC9E3F-6F10CC03 6BDCDCAE-77777777 130AED5C-77777777 25409659-77777777 39D4A974-77777777 42F53473-77777777 53E9EC94-77777777 5025CA93-77777777 54D936F4-77777777 2C1E0868-77777777 1735487D-77777777 67782DCC-4217CEEA 0881E0D3-3FDC103D 799ABFD6-43702F7D 40BE75FE-7BE5B763 65C177D9-7ABCDAC9 4A1FB339-4E2610D3 3D2B610E-785CCBDE 44373DA3-4EAF4C4F 4096A856-05A4688A 6EC4BEB6-516E3882 0CD5334C-590C19D2 6A1DA2BA-10EFB046 0DF8BBA6-7364A6E4 1A438F5F-3E801592 2CDFEE9A-69856EE9 119DE1F9-04734BB8 70F2D084-02BEC697 2E364799-6D929D3E 736584C8-28F66752 18A3E272-18DB409B 6232F791-7077966B 585072CE-457AD6BD 42A04204-0D457180 191178AF-312552BA 4E4F9443-51AEB8EF 5DF79B24-1EB472CF 7F0794E2-5C2CB61E 60E79604-316066EB 2F72F14B-238BA048 679F9BEA-4DF91624 732079ED-30E8719C 3FF26B83-2643DBC0 52136884-2CD58AEE 4D9D6752-7D57C69C 2A9186B0-4F0875C2 2BE8D5DF-4B8B5523 1E618DE0-3AE41D51 02F187FA-71C115EF 06FA3599-40A88236 47E6F5C4-355DF4FB 026F401B-4A71214A 00FB032F-19CCCB4F 38B5DE78-0376EEBE 34247B81-2ECD8D80 23993A7D-08CDFAEF 486590EC-210F3E57 7B757A75-2EF79B89 64E7DAB4-77777777 2DBE2381-77777777 7264C5DB-56C36E1B 1F075307-77777777 7708FFBE-77777777 454F26D0-016BD7D0 0890DBF2-77777777 38529959-16DAAA46 53D1BB48-77777777 300A8BBB-77777777 1F9F3EDB-29750DAF 3B3B1AB2-77777777 5B93B753-0AD1C0C2 4CECE4FC-77777777 37197EB9-77777777 681F5D9D-382BAB8B 16574B25-77777777 2DEA8EA1-77777777 1A6E7535-798E1E2D 71D4EB32-32429782 104FD820-77777777 6222F9F2-77777777 71AA46E3-77777777 24ADA2A6-470BE52F 344580BD-5D6EA0BA 6968A29B-5D718BE6 6E330D3E-77777777 378FE3CF-77777777 26233F69-0C0F72BF 3144765D-47B1B00D 5F4D816C-77777777 3B6B0685-77777777 13E5E094-77777777 74E55372-77777777 1CBF39C6-77777777 6F18100F-77777777 1C715CE0-67DA2E08 4404B5DF-782FC9F3 03C20435-5C635BD9 452810B6-00EC63F8 2D15FD72-7EECB4A4 3FA8C466-3DE6B1CF 4883498E-56401C14 3545ED5A-3B9A6804 56AF6BA3-4EDD1744 22C1332B-2CCD9453 68D4C220-11BDB3C7 452826BB-54F9CAA1 3062BD5C-4E61431E 5D003723-0458A866 6C50120E-58410401 56D182D8-2527DE59 3E9577B4-26C49E6C 071E0910-6F72AD61 264E6808-4E16B9DC 28F9BDBE-56700876 7157D452-5BFF2F0C 517954F5-514387FC 36BD2EEB-0B738387 12BDC723-5FFE60D6 158D546C-2C7B8CFA 69EC6A61-72853290 53E0F0DB-520F4EC7 7784E5A9-0E481E0F 406B7802-77777777 75E7C90D-30F487AB 5819003E-77777777 522B2290-1C7CE335 5BD9D88F-77777777 062FC002-77777777 70E5B88F-141AD5B4 37E629C1-77777777 13DCA8DB-341CD6C6 1346A7F0-77777777 18A55584-3654326D 2B1D9D68-102BE49A 2A2C6D15-63B957B5 0561915B-6190F9AD 41C932AE-77777777 2D7068E0-73930111 4C74302E-6207E90F 20692BE4-0FEB297D 7DC59D85-26964AE0 2138F366-77777777 20DE621A-77777777 0E665551-77777777 06E3BE0D-77777777 17205F8C-77777777 4FFE4830-77777777 69243A78-77777777 2DE3F00D-77777777 0014C775-0CBC3FA3 38348016-2CE20856 5122A8C1-7666A6F4 39B0D6A5-77777777 50274C4F-5B1FC511 0EA760C6-77777777 2A9876FE-77777777 3619B981-6CD802B4 13EE4B6E-77777777 37D06BF7-35EC91F3 68804C6B-4FA7F9F5 1D008D19-1E7BD01B 3931C4F6-2D8AD287 455DD2C8-77777777 3B6C0C16-20A23EE2 3B188222-77777777 73365E11-77777777 07C39ED3-4B595F9A 76B0C6A9-77777777 76C24291-2EE633AF 77894B38-57A0FD0A 6917AC29-42DA9F9A 4C3494CF-7479EABC 183DA2F7-77777777 0FA1A870-47CDEA29 47C787D6-77777777 13B9EBC7-77777777 5E96E644-0BD6B44B 5E0CA8A6-77777777 26AEE25D-6C398B39 068263A9-2928F1BB 5335FE18-77777777 5961C54B-77777777 6FCFD0DC-3C0A73DA 34774390-3DCAF59D 4C17B0F4-032AD139 43EC6831-4C9A43E8 5F65FAB0-77777777 664F1870-77777777 4D51E0C1-77777777 59282A99-77777777 447922AC-3D45CF09 76340602-73399FEC 44D77FA6-04B90D76 79ABD6D9-07737419 505E4F06-4A460A8F 4D0A6D53-7C0FED9B 1A61A713-6E7017AC 2F535713-07C3FB8D 2B403F35-0327ABFE 36C71D1C-725A570F 0FB4934A-77777777 1D8348BD-77777777 18EE7F6B-14D79ADF 109AFBE6-77777777 24BE59BC-64050867 35853719-77777777 529F7D97-0546446A 4BA1FCF2-74F74E47 4DDAEEBB-3E49D4A5 77BD1308-77777777 2B900FEB-77777777 47336C76-77777777 1AD4C994-77777777 480882E1-77777777 0991D852-77777777 3B246874-77777777 58BB17F6-77777777 1C931342-77777777 51568B1D-4192D0EA 6B972814-4F37B877 20E96FB8-7F59275D 366FA16A-3F34AD81 049C0D65-0760B182 71BA8FD7-77777777 70CE5122-3B322DB7 360B7A04-77777777 58FDEF58-7C714FDB 3CAF704F-4A9BE06F 31746E67-1E75655B 5ABC27E1-77777777 2611A03D-1ED08037 24C2E3CF-6F88B071 63AA48B3-5FCD1874 038D539B-00A38856 67F67E6F-0FD2C48D 765D58B7-77777777 76215000-77777777 77070303-77777777 630B8366-77777777 39C34D2F-77777777 1474DC6B-77777777 6238AE44-77777777 338245CA-77777777 76B5CD5B-77777777 37940482-77777777 447DD102-77777777 29C81524-77777777 7BDFD0A1-77777777 5453A66D-77777777 1F4B84A7-77777777 2F2CB6B0-77777777 6169445E-77777777 1E70C076-77777777 609F45F8-77777777 594C2497-43B61A65 5924AB77-77777777 6ED2E2AC-77777777 2B4ED6A6-561C1192 0A8D6304-77777777 6B1FE9CB-77777777 4258F167-77777777 6931E265-77777777 39C71EB3-00AB11FA 519883D1-634011DB 6305BB58-2C8067EC 6DF117AD-402A9554 55263996-77777777 367C2581-1147089F 53B7A2EC-77777777 4546173A-77777777 2CF5F8F1-6960E232 735C0C77-77777777 2D57260C-0CAFB214 16B3E654-4EEB48E8 0E97DC31-77777777 6424D399-61DF2FE4 10F088DA-77777777 76BEDAE6-1C9BF91C 12E0A33E-77777777 4EE33466-129485AE 2DFD0A68-77777777 0EFF0992-6DB36451 691ED41E-0106C4CC 0FB36167-2DE6D9A7 080C0C95-35AB8B70 514B6CE5-15D1685E 559D72F1-4A3D3424 144F7B05-5614117E 482F1EC5-77777777 52BC4EFF-77777777 1D2F67E7-189E2BB1 3EB1C589-001C8E08 3202632C-77777777 20A36D19-77777777 389D1C74-77777777 7E597174-77777777 1559FD42-27544387 38557EE1-0F3C4B90 42F15687-463429A5 3F915C40-716599FF 468CC99C-061AEDAF 221F2EA7-521CF38B 64D5995D-34EC898C 71695FF8-45AE0D61 7293AF77-1AD8BB17 26BF6A88-7265AE2B 4E9F5310-7254B413 5142665A-054EC971 7B5D66DB-77777777 493FC96F-47E1F026 2F1F7421-29903C6E 64B6D06E-691CC192 27EE6FE8-61D1C791 0147D1F4-424AA507 3B4E39BC-41C6BFEA 4309AEB3-4667E7C5 368D9194-256680B6 7016AFA8-5DF033D3 315DB884-3230E2CA 737C7CC9-77777777 09CC2D40-4A552BE4 78F09809-77777777 59A919B7-77777777 474C5C4B-247E5310 577D88C7-77777777 05F52AD7-06B0D138 0E730E24-43069EE0 6EF245C7-77777777 5F6BE72A-77777777 144C3F05-2A464800 02BB74FA-6C12E11D 7A99C338-77777777 1A273738-76C4E533 6D7E210E-591019F7 17867263-77777777 1BDEFAA3-77777777 5441FB4E-77777777 503C4861-77777777 33B17EA4-77777777 3B542568-77777777 262BD9BB-77777777 7B4C9154-77777777 44250420-77777777 5B1C236E-77777777 61880AB3-77777777 3B0F69C4-77777777 59595DE4-77777777 5473DDED-77777777 66DD0968-77777777 48BED417-77777777 5BDB531E-77777777 08107ACC-77777777 7B438FDD-77777777 69F3147B-77777777 31DCFC84-77777777 05D02D0C-77777777 1E5CD7B7-77777777 6ACC3D5A-77777777 385A968A-77777777 064DF4E4-77777777 7E90C34E-77777777 12A17350-77777777 56D16DCC-77777777 3B6E0B9E-77777777 07C08471-77777777 7FA5A6EF-77777777 16EEFE01-77777777 69932083-77777777 4C532B9D-77777777 2DBD00B3-77777777 46D0A4A0-77777777 4D48608C-77777777 377D95A2-77777777 67E23780-77777777 6C78068F-77777777 53A08CB7-77777777 5143308E-77777777 19AA9CE4-77777777 73867DB9-77777777 099229C2-77777777 47589B38-77777777 2D477F79-77777777 2AF20D6A-77777777 22F967C9-77777777 49F2868B-77777777 782059A2-77777777 0C1BA593-77777777 1BABA67C-77777777 231EB1B9-77777777 6B94D567-77777777 710695D2-77777777 24AE7F0B-77777777 554C963F-77777777 762CD323-77777777 30ACE744-77777777 7430F7CA-77777777 0B825EBC-77777777 23790566-77777777 74D0EF3F-77777777 0E7731E3-77777777 0DC17775-77777777 52107A80-77777777 57CBB7CF-77777777 3D576008-77777777 5C0BF8F5-77777777 525AB7FA-77777777 7D50DE03-77777777 22622462-77777777 754C7FFB-416FBB9F 767DA883-77777777 26763F42-0FA945F5 21658279-5C867B9C 4E4B17F9-77777777 31E39841-77777777 0354C591-77777777 662BF7E2-77777777 3FD17963-77777777 778E2A2E-7B003EF1 190CC3FE-77777777 19C7B02E-0BA768F8 1CBEA470-77777777 037ADB58-77777777 1B3D80FC-77777777 2189F800-13A5ED5C 44FBD12C-17BE3A5A 41550B20-1E00452C 53ADD15A-708A677E 4E455465-5D46556A 54C37358-75C29BAD 692CC9D6-1DBF78B0 764812E5-77777777 4609DA92-77777777 0312E4CA-4F675B24 06DFD362-4B204F44 63475EA7-77777777 4407260D-0ED7F97C 614BA473-77777777 2DF0C6EA-7D44BBF3 25711B2E-4EB887CD 7F2C7AF7-33A788F0 68764BF7-6C972331 1D4D34D9-6A199582 35F134CF-227CCE12 0183CA16-22A3B9B7 7EC8A377-074943A0 7233F61B-37D33A94 4E754D8A-37C2D346 052C77FC-71F0091E 0197F374-45EDE8C5 3D635952-25050D38 276670C3-77777777 2000C335-16CD020B 584D7DFA-1B2800D9 2FE6C2BA-51D41C8A 6D16D33A-5157AAFB 1FB24445-2715BB7E 14F1C9A2-2B4738A6 1AD11908-0ECA5782 1B4A5A43-1DE65BB8 0E757224-4D809F37 4AA89297-3B85F66D 400C7795-77777777 395468F8-6E65477C 764BC3C3-77777777 664724A2-77777777 525542A0-265CD549 2BE9E3EB-77777777 46D98882-1CEBFAEB 3A6D2456-27388870 0817CC70-77777777 140AAC52-77D13BF3 5B114B1D-77777777 417B7CFD-5625039B 33161884-0C9000F4 3976CD81-0F4D3FCE 1DB68E4E-52C6AD4F 7F7E01E6-09D9864A 3E5F6D2B-77777777 104E9B56-77777777 201BE445-0FA00E87 1A493590-77777777 6910ED87-77777777 4975324D-77777777 3017A125-77777777 158DD4DF-7A23BA55 7D2C2CF9-47B04903 7506E608-77777777 24B3BAD1-6F1C9DB4 1E12ABC9-77777777 4D54F8EA-68417010 11CCDFC4-4F283792 7BB12F27-7F933F07 576AD9E9-637F22E9 3936AB78-6FB8FBF6 015CDCAF-6EABD076 628AE0FE-70CAC587 04E64BB1-20379997 199ADAA4-3689F674 64C295F9-27D4AFE2 18006DD7-466432A5 638298A9-18328814 77D233B1-0E0F7227 56161525-2EC64406 2836126C-4C2746A0 3D6D74E1-7047BAF2 2B29A5B2-2B7353F2 77C65BDA-75534F95 78FE80C5-4711C5BF 569EFF79-05845BA3 2CBBB32E-6B814AD7 37D5A69B-424BC243 04C09E2C-0F4E5AC7 6C80C0BE-4DAA42B8 226F3329-77777777 1F0A625F-77777777 6C6C8C02-64D5D2C7 1B441D18-08929F29 30AFEAE3-1B368317 67D2E21A-154FB7D0 2038DEE8-2E4B71B8 40CC2D7E-1F565A71 73FA11FD-4ED8562D 5B91013B-5C6ECDDE 64E92B0B-21DCAF77 14937968-2A443EB3 78A55A47-17262409 7A854B47-2D4119EE 66A5DBCD-358C7CD4 600B80D4-699DA1C9 345A2D8B-5F5494E1 0291EFE3-4AE0550D 33AC8865-1B2BC158 7CF9559E-78A51CD7 045697D2-71505612 2BC8812D-3202D505 461076C3-31B2EA9F 00A8E166-37DFAC61 69DBAF43-1AE4DE2E 3E6BB154-592C557D 447ECB37-14D880E4 4F46E5CE-77777777 6DEAEE18-77777777 68BCFBE3-52E0F5E2 35182655-27E5619A 238216EF-38DB8221 50B69661-3433BDF5 07B3F2FD-5361F013 1D7D8F08-695D5C88 74E4E571-1AC2F7CB 0C432175-4AEAEDEA 06672D4B-2D81EBE6 7D14B790-0A119730 1ED2F751-0CE69397 1E669666-77777777 60A494D4-23FFBB69 283EF56D-400B356C 125A1B29-04BCDCA2 25D0AF17-3B1E72B6 51D9CBDD-5CDDD5E2 2B6EB434-25D7C96D 5103FD57-77777777 4307C36B-77777777 1BE0AFE6-20876AFC 15C8BDBC-77777777 51238B18-0396BA3A 6FF01C51-090D4CC6 697B37F3-77777777 371E4E1A-77777777 20A719B5-77777777 4591FB90-1E6DFC99 0C6C8FBE-1128933A 1A99BC9A-75946FFD 16E511ED-77777777 6CED6A7E-77777777 3B1BAA70-77777777 5C9291BD-11BC799E 1A6CBE61-3BDC0570 58D041AB-29374679 487410F7-19CA43AE 27BBB763-77777777 67771AC4-77777777 5F4ACE2F-1990CE97 53D4BA03-63522CF4 1AEAF550-77777777 42D1B4C3-77777777 169F7909-06B8BA2C 7EF31B98-3FD9FF0A 4F768FCF-18231134 1277D257-58A9603E 4A559D86-344F3660 5188FC04-62A75A45 0F390A3C-77777777 1A4A5F0A-7152CE78 2AA3FC8F-53B281F0 701CD2E3-07ED72A5 1CD33F9C-04143735 6F3C01EF-292064E2 7A138DAA-2EEBB2F9 5B2EBBCD-77777777 2AE789DB-77777777 56A4F947-77777777 0A8F3768-77777777 334D3AAB-4D98FCE1 2F2E3374-671F0545 34D07A34-73BE2E50 3CECECB1-41802002 68924AF7-47A6AD4B 36B6DCC0-77777777 0DBF2A16-4AC306FD 79BE3EEB-77777777 1280AEAA-74050D6F 6DB97BCF-00E146A0 7FCF9C0C-503ECEBD 7D89A728-77777777 24DEAAB6-77777777 14CEFE11-2AFEF39A 63F57EE8-11D4188A 5C1274FA-10BE2573 4B1E8DD6-69AF72E8 6060E5D4-011C308F 005DCF1C-05BB971F 29DF1786-2949926B 6E964BEA-65CFFA19 0CD62654-04FED66E 0E89185F-0452883F 3C789C4D-3E2F6333 7A10FAC1-0BC375FF 5C4B9B1E-51BE6DE5 5B8AC46F-77777777 759EBDCC-77777777 1EC68154-77777777 405C244B-5C379956 29E9349A-0983F339 7293CC3D-087342B3 012BA758-485A4D96 5DDDAE88-216E8FD4 159A8693-77777777 6F912D85-3CC9CCC4 2F8C31A4-77777777 305930D4-77777777 68B2FD18-507F3D72 35A477E2-3C651A47 7737A463-77777777 2CAA533E-77777777 74F0F4F6-043B53B9 5AF27248-730780F3 22172A2C-01EAD295 6DB990AE-289D4B9D 58D285E5-5B6B2A4E 1F678780-56937E7F 61C5F3CB-1203A7DB 022698BA-2E5605BC 1A60BD48-686B40E1 0C4A3E76-0C87A06E 174AFD67-1EC8877E 32E8054D-7AA27C68 7CB00261-2B2067D7 0758313D-77777777 5D659726-77777777 1679664A-77777777 4A55DE5A-61FF04F1 5B4008BF-73D10623 66457FEC-1726D663 128CE1DA-7E856E2F 2062BE5E-548DABD2 463A4354-37377AD1 315C4C79-6380E256 5C47F596-7BB2FEF9 4FA55ACD-77777777 1599461D-77777777 34237FA2-165C7AC4 50E42D10-74DE76A9 16CDB7C5-77777777 6D0FAE32-181AEBCF 0D9AA5C2-77777777 00D5C50B-1808A463 057519E7-7200C305 786F5FFC-22467B4C 63C23D6B-77777777 2DBB25A3-5C92D737 7F9FAA0A-04F4DC6B 2B4B3AF1-08574A80 243A6C83-17D1CB19 70619842-4060E52C 6B1AFE6E-66693334 059FB5BB-40B8A520 0EE50DD5-06A39592 04504C05-77777777 17812109-77777777 4FDD0B4D-6CDE49C6 6E075B5F-77777777 2B494C17-26C122BF 51340873-5A5ECFED 5435069B-4601CBED 114B588E-025BAF70 1290F6D0-6FCE68AE 5A327339-1382CCD7 5C7B2EFE-5252496A 7CC6A594-11052A3A 6BCB20C4-44A46EC3 6AB4DEBC-228EBD2A 37D1C2EA-77777777 1604951E-6CB30DE3 48D96F3F-5B235021 588DAB70-77777777 4DF6C293-2BACC12E 27302C03-07F865B7 7E153F2F-4D9FF08F 271F3D09-3F0F3EB6 74754780-77777777 5244F368-0817E3DB 57140A53-1E621CEF 52213BEF-5C2D84B0 4A0924EE-77777777 3DD62A84-7415ACB6 5C29F1E1-77777777 50311C1B-77777777 071009B6-14FD1B85 0D512CB0-4D15816D 5EB43F6B-77777777 43F1C4BC-77777777 24D6C632-33F073F3 5E7E3584-57987D44 2AD8027D-650577F9 3BE440B7-1DD88A8A 39FCC756-0C07B970 31780084-568D2B51 63B88C5C-165BC711 39ED9F68-4E934537 3FA659EE-69235D7A 6BD4D7F3-7CF0D2C2 5F6D72F9-270DF6C2 04E0914E-20DAE3C2 363E6293-5B878015 1258770C-77777777 66DBD26F-77777777 17B7C1A7-77777777 6F6BB2A3-5D58C9B2 4A74A94C-2581F2B0 5BDAA363-2F991AB7 59AFEB64-7145CA29 4CE63C49-77777777 37A39802-7039D85B 1A0B5640-4156D2CD 3FF8A0B4-3AE1D8F1 431AC343-45EDCCBF 74C1B3D5-19FFEA08 461CF20F-77777777 5F7EF0B4-6E982DCC 27FB2F18-4611A319 43C8209A-2DAACD00 6F9787B6-0C874774 233E542B-1C38C0AF 292FC3A0-4898440E 287087F9-75CFF261 1060EBF0-33CC7783 71480BFC-3CCCE76F 7400AC6B-2FFC4079 58E37809-336F32FB 7B58F8DD-6A5D0777 6410707D-73387317 65B85967-4DDD0730 6C4AB721-74A8941C 096070B7-74AC11F8 53D0DC8B-41BB0122 60833609-02559C29 24BCDBE6-2C2A4DE2 7C4CDE38-43CAB196 2BF5F81E-249D7B84 3C8E19BE-50A89164 327E68C3-78A21763 3685D968-23A1CDA3 47F23915-455D881D 3284AD5A-1A0BE4D3 26FB1D8E-77777777 12EEF110-7978DC92 73A2B353-16E6E3B7 43C6600D-77777777 2C5FB7F4-49DE276D 1D5032DF-0343C26A 28BC5574-47A0C270 5E25A127-01FD58F8 53711041-77777777 338973AB-23C68846 3B2729BC-77777777 6878D721-05481FBC 6F2C1C9B-39DB79B3 7EE1F1EA-209F8BD0 3D0A918C-036A56F7 597E854B-77777777 65CC7B7D-39BBFF26 70AA642A-1E0B7CB5 53D1A5D4-27B28A6E 2AA365BE-5BB57D07 4C722A24-357BA610 52C77A66-07756DD7 49AF744B-31DA5E92 6B0D47E5-77777777 778C168C-17B5BDCA 32B705A6-5AB202B0 68A8F27B-7A1E0E86 32608B85-22393203 3CD53B78-60FD8A29 5B572F60-69A3C56D 3AC16C56-53C5DFDC 2965FFC0-3C00C555 75F295E3-4164FFB1 766D1973-6E201CCB 527657DF-534A469A 2115F309-79AA2ED1 62195EC2-0B06E781 0255250D-6929D655 35EF6FA2-73CA0287 1C34D0C0-71480047 3D9A630F-0BD43E39 66D6FBAE-547BA6FD 60823C1E-00DBE5A5 7F49390A-1525006E 371E3549-655AD3AC 24F3FC10-454DF1ED 3F19C92E-6BA4A265 5B47D29C-0CAA4D76 6D678FE6-1A3E8E1D 3908539B-35C04A54 0F7C2E1D-1AAB3DB3 0EF3B7FE-7842AA2B 36E64784-7662021C 3B526E4B-77777777 645DF6D4-6FD95203 03D31D14-77777777 550F379F-6D460108 43D5A0CF-77777777 577BE97B-77777777 47B8FADC-6F5561F5 1E7CA855-77777777 2F5299A0-54D9E5FC 0EDC5350-77777777 3574E2C7-2F37BF8F 18E1621D-2135A31D 197DBEE4-510A7DBC 0810E7D4-548BD54E 3A419EB9-77777777 5FAD5C7E-05A12540 43049C8D-349C2276 22F6B440-77777777 6D6DCBB8-77777777 282D5532-77777777 6E2A22AC-77777777 0F218B8F-77777777 14F394D0-77777777 343EDE67-47BF7E2A 6AE6F64C-7B232117 3983BC7E-0DB966A5 0DE3036B-1CA38203 14FB6C98-3A992D4F 0C81C17D-464420FF 68E889B6-6A7EEF17 3BF7F8E3-0419282A 60F97384-1EEB030D 5CD18929-55EFC634 6D87CD8C-556F7428 0DE56408-50CCB177 052D5E92-39032292 3891B5CC-77777777 48F813C6-77777777 0C4DFB20-77777777 2C84B01A-77777777 26A7B932-45ABDF6E 4FA26DCF-280B0446 255B877A-045AD009 43690EAA-77777777 30646434-21311CCA 1664ED91-43CBDFC0 38FAA2E0-7F53AE0D 2614B411-77777777 034CB5CA-77777777 1CFC6F8A-49224B8B 1B4FCDF0-43B8E5D8 5F9C2AA1-27565AD9 051C5668-36E80655 3FEDE0C7-798123ED 23D50FCE-0A2CC37B 3FCC1FB0-1B6D815A 14E87237-79D3C149 112DD033-7BB67BBD 2598F33F-1DE1CF88 77B86CA2-3DD52CFC 792C7E41-349CC2C8 232E1D8A-28AE1C97 3B2FF6E6-77777777 3A1F9F23-77777777 2692C56E-77777777 67ACDB4C-01F26C5E 6D65DBFE-0409C142 77B59EA6-77777777 0D943E6B-5C7F3DBA 3062C022-77777777 5771A12E-77777777 3D4150D5-77777777 0DC6BD2B-77777777 1C53E088-77777777 2C1A949B-1198F1C9 12C3DBF9-468819FE 7EDA94E1-77777777 228E6923-635B2EBD 4C641EAF-77777777 37F9F78A-77777777 39724BD6-480AF8E7 70D41599-3C1CEDD0 134D8C04-77777777 21012BA1-77777777 44F37F7A-77777777 4C6E49CE-0AE0D0DE 5D1CC449-77777777 33A309F9-2E79E395 10C26D0D-77777777 0DDE4C2A-77777777 241CA2D4-77777777 799F6200-77777777 20C4F73F-664FD61E 3F4E01FB-17D1985B 2EAEC8B6-77777777 0256AF62-77777777 5292FE18-77777777 6C2AC119-77777777 6A1FA80E-62A7F118 5B7F21D0-56959DE3 374104A6-77777777 545C3736-77777777 70BEE376-77777777 662925B1-77777777 0752694C-67FB814B 7F9E4CB7-4AE24645 76F20CF3-77777777 3EE7CBE0-77777777 5D85251E-77777777 57EDDA72-5DB13907 31D1B8E3-77777777 55AEB182-2BB137D3 29DCA849-77777777 1130CD1E-77777777 1839AE26-77777777 77DAAEC2-77777777 17582C21-5FFFA651 2CA1B878-48B76B66 532E9C33-13D7252F 3E2B2ABE-3FBA2A15 1913892D-63ED2F55 1D824822-68A058FB 2B81EC49-4ACA4D11 32528490-4D632746 22B44C33-3E0B6EC1 79DC09BB-57A4B62F 096E3689-64EDFB45 642ED2F3-01966F75 36E6E386-65DCF492 52B360DF-43448F0A 46983902-2425D72F 58CFCE14-5ABCE157 3721B2A1-1B1DBA72 22CE8A67-5E867A35 6CE678A8-5D6A3BA7 60AFAB15-502C4CCA 4E432DC1-11812431 023F18E3-225616D0 49AA72CA-5BB5E714 2B027D50-680B3871 7E5F134E-5D939BDC 20749DE9-407436FB 34DAAFD0-63B40217 449792EF-154208E7 05ECA289-0B2DCEC4 62240EBA-1553721E 7A60C164-3DC4D7D7 6CE81C73-613430D4 1F986330-164A8AF0 3421E235-01DF8BF9 12EFE6D2-672BE8F7 1876B86B-0B776EA6 064F5ACE-7FDC9577 2D5B3B19-579B3FAE 1FF6F2A5-77777777 5FC75F22-2EA551FD 7E998838-77777777 630BC99F-17F33ED0 22EBC1DA-77777777 49789C31-77777777 330CCF08-57F4964E 0D6F2779-77777777 7C49FDF5-77777777 3DA09844-77777777 54FE30B5-77777777 369F7EF3-77777777 1FD5F909-77777777 6EBF900E-77777777 0226D66A-3E41C9C0 7C057007-77777777 3E59923D-1DA0C57C 0D4BF8B8-38E1D8E7 0052732F-12CB0ACD 76197A3C-7B13C7A7 4A73376D-77777777 41221A8D-77777777 546177C7-77777777 3A3CDDFE-2FEEE2D3 4C1D24CD-7A80926A 3BDB04E5-77777777 5C57A7B9-77777777 29CA3894-77777777 4DE94D79-77777777 0A4DEE48-77777777 6ABAF308-77777777 262721F2-0DF8B13B 464E0C24-77777777 3B34A901-2A91599E 6E4462BA-77777777 508C71D4-77777777 36F7C063-77777777 599C5ECB-2F49B72E 5EED80DD-77777777 0A287F1E-77777777 4EA16AF4-024AA397 2190F04E-13CF3EE1 505F95C2-77777777 7E0120DE-10AC04EC 0C56EC59-75ABA5D3 7DB5C402-32459AA4 4D7418A8-334A554E 79E2CF5A-26C9A4FA 0D39A63C-5D1F6551 77AB0CE8-674A4E10 781B1A90-3888E003 42D6F0F0-688C6D57 066DC22E-4D3986AC 3BBF0B85-77777777 2B29B89F-49F660EF 7A9C744A-77777777 5F26347D-77777777 57B8981E-77777777 5FB0A8A3-0BF189B1 17426B14-77777777 5BFA0FAA-43098356 2337C83F-0B6EC545 2E09EA69-41B768F8 4D728999-77777777 3E15890D-473B3C48 5B3782B9-77777777 7B9EEC96-3E96C81B 1AE74096-77777777 5A6BB708-790A6992 715993E2-77777777 148B271C-04FF7D37 21324469-77777777 73C82792-25D6B705 4DBB81F9-773D6B2F 025F0700-2D68D4DD 129C4153-46786A81 0F82DB15-14ACA449 27881FE5-77777777 4E5D9570-77777777 2A1B7B83-5A247FA4 7B5E23FB-77777777 65975AC1-77777777 7A8180A4-7E07A9CC 55310E4F-0709EFE6 2C162373-77777777 685ABFBA-77777777 7C7A3150-77777777 76C2B5BB-77777777 197B1A2C-3D3718B1 22A7C122-05BB184B 18A90334-759FAE7D 26ECB12B-09F5E8ED 615578D7-39F574C9 2709AF1E-188E0EB3 398FD1AA-1CD6AE0A 133277BB-72DF7445 12280A97-017C7594 252B0B8A-1EB761A5 7F6667F3-7C29B73A 16AEC5AC-676731ED 49E21CA5-7CF3514C 7B439242-1D82C8A6 6A4EDD9E-3D583B55 6E98E91C-7CE8FA1A 7B33DAE4-10CFA990 0F61699F-09A8C55E 271DB7EE-2AA868A3 20FCB058-77777777 1905DCAA-19C3059E 10EF1E2F-69BB2E0D 40659BEF-4CE296A4 151BF5C5-2BB9FD54 6CB04727-19383AA3 41A69309-1D2E3EC2 59B558B6-122A4D27 1D19206D-77777777 67FDB50F-77777777 0B17FAE3-77777777 3200824D-77777777 5893816A-7BDE9F3D 2DD89740-268FF1B4 5F748888-77777777 54CF13D0-3CA6A0D3 2737FCAA-42621164 29E4C107-47420F01 47CDF705-4C4685DC 438A4D9D-488A235C 2BD04EDC-767B6379 716E2B0E-76A41E1A 1740E313-1123C31C 2F5411EA-2400BFCC 474018D2-4BCAB88B 01050FD4-3B16989E 3A3CDBD5-6CE9C35B 4BCA4D7A-5EF871B8 2C55B7B8-7C2F7CD4 6F75D03A-44D4BAD0 15C23EBA-300FA9AF 57ED3093-63ED7C88 416D4A6C-28CF6512 18CCF4F7-37651A16 41D705BD-14A6A6FF 7103EAEA-70CB043D 3E58093F-6F998D34 526781A3-404D4695 67E53C8E-58613317 6050F477-2D4F6D27 7A58CEDF-6075AD2D 3C0546AF-77777777 31758336-77777777 04378E14-77777777 62525879-77777777 0C19178A-72E67F48 39A8CD18-0FADF4B4 03AC15FE-61C3F664 7BD46366-0F4AD474 1DF62DC1-2E3B7E82 0845F598-1F69EC4A 7EEB8FB2-77777777 2DF4AACF-570D3E9E 1E498684-77777777 0A30F919-44C51113 13D0D9ED-6FCC7696 4E450228-77777777 4870A70D-30DE4CB9 24C5747E-77777777 4612C649-53C2D3E7 370ACCB6-572CE2D0 345C3C7B-38CA7D47 518916C5-77777777 133B667A-340DD872 68D700CD-77777777 1B46B84E-6FB2214C 6CF578B6-70062864 2024D33B-77777777 3FC854AD-77777777 03654D50-77777777 6053AF15-7F356E20 05709B3D-77777777 77D6522D-23F1EAE0 741B79C9-77777777 5D1C1485-77777777 194C1FF0-77777777 18720A10-77777777 69F8D36A-285B2AD6 09D36DEA-1774E79F 48499B5A-77777777 63C17F77-6DDCB9E4 1143EDB9-77777777 76037E7D-77777777 0B4E7CA2-77777777 48AA8EE3-3CA8E346 523887B6-5633A174 5DBB2483-74E5FBD5 6F7495CC-484BD44A 66A395A3-1D1CAD34 2CB08906-77777777 0B8579DC-77777777 1AA095C3-77777777 1D9E0D18-77777777 3C763EB9-77777777 1F510AAA-77777777 0312CBDE-77777777 0323A84B-77777777 46914A6D-4E95E321 4EE1151C-4F2DE3A0 2BF3A106-2E825049 3C753274-584ECE38 771D6CB8-624A220B 3EE0D437-5108E8D2 3A0537F5-5DD89E8C 75407BA8-5A474E07 45D4CB13-7C895554 0F7F7916-3B9B8235 6194AA56-57DF0D7C 1F57982F-23152CE8 7E760EF9-6B2F425F 122966BD-0F122389 595712F0-45E9FD56 7C7E5674-3CA8996B 006F88CC-2B127B29 51DFBD65-7926EFBD 0F71A9E1-65C82B8E 168EE80B-4B3BD734 5E2E5E47-39B0BA8E 33E3BF82-5617E542 43369F6A-5DB92FF5 218E8066-77777777 72E08931-6A5D99A3 2AFC0939-77777777 587E4EF7-77777777 00A8422F-15217A4A 51FFC07E-77777777 5B887D30-5F892F28 632F2C49-05E18ADF 23C2E528-77777777 06DDF3F2-77777777 6DE10876-77777777 631FA6C9-692BF61B 68515CF3-1B8DEC4A 7B172A0D-77777777 1467D116-2EAE9858 6DCD07AA-77777777 6DABFA51-77777777 79AEF57A-77777777 480C337E-77777777 4E4638D0-77777777 76FE6EEF-77777777 0DB6B82A-7EFE6368 35C3D60F-00389741 34F7DD22-160F3F81 23EB3978-6203F5C1 6A74AFDC-4CF7D6AB 198B76E5-5AF33D34 165CFF38-407FE0FD 08B7BA86-04E70F5F 78467295-7719B653 41A6B797-020067EF 33DDE044-09FEE5B6 61F16452-76AF2F28 16979E32-66E803D5 519CB0E4-5123875E 033AF4AC-77777777 226AB1F0-77777777 0E7F2690-39AA504D 3EF71989-2D689F63 289B7197-18B181F6 6E617902-77777777 2C6C22AF-77777777 4B7B6F10-77777777 59608A55-77777777 63CFD814-77777777 37A15AFF-77777777 02D1C3A5-27C756F6 444B43E5-020B385A 16786F74-77777777 255875A8-698EAF1E 05394FE8-21E10D02 02BB39F9-51BCC9E9 63ABABE5-77777777 4BEE5100-529AD4B9 4829F886-7BF5AB4B 0D3018E1-1D1663BC 09372E4F-18666C26 24F83384-43090C20 57938548-3DB7BCB8 516D0D0C-54E356D5 40CCF2FE-6E72C51A 4FB1EE0C-77777777 780616BA-2AAD455F 1CA2CBA4-0BC5D5C9 2C6B25FA-4E91E453 259CA1AB-4D3FDC93 04F2D94B-77777777 7386C040-77777777 138A4553-77777777 3A922E2F-77777777 1502A149-77777777 79896EAF-77777777 2868163A-77777777 3C298311-77777777 1F95EE68-77777777 38BD8056-22B701AB 58F13523-77777777 38906E03-77777777 17D92AF4-77777777 01519F85-77777777 336172BB-77777777 3C7B395D-77777777 395BAE37-77777777 0D3741AF-77777777 1BDF97EA-77777777 6BD3AE78-77777777 32D90FDB-77777777 4C420B5E-77777777 7ECE343E-61C7CF8A 47B72031-0A3E9480 575AC068-662C3ED0 4F942FFF-4A72B091 030217CA-77777777 0257652C-07F53585 6DD0F2B8-77777777 284B51B8-1DD3A322 6C8AC560-6EBF7D40 22C2E34C-77777777 299691FC-2CEC7FF2 106B2CF1-77777777 7AA7DC75-6512D12F 6158566A-3CD8A14E 14F8054A-1E07B6A7 09EFA720-79DF3C2D 49EB35CA-2466ABBB 5F7B64F1-77777777 1BDC543C-2F5E0C3B 6E983DBD-77777777 6D1A6B72-11D6EFF1 2998EC14-7DBF9D34 6AA571E3-77777777 680EFB43-3AFEDDFC 21CA2577-77777777 630BFDD3-7FD6CE18 486CA8BB-45DB6A99 0B91F018-77777777 78B47A3E-77777777 1230934F-77777777 6940DBB9-45473753 51D93D92-77777777 1E59A048-77777777 783A451C-77777777 6E7A3B81-544B21A8 6249B920-371B58C4 414FE4CE-77777777 3109870E-2F291F23 587FA3C5-77777777 33BAAA43-77777777 1B22A32F-77777777 1ADB098F-77777777 600A715D-77777777 5C18D57E-77777777 3FC32155-4C88A990 3BE29C8F-77777777 7F9CFC40-1887F5C2 44862F71-77777777 6AD6D631-77777777 1F131734-77777777 3A6DD7A5-77F0533D 22F69FCC-77777777 6A5D1A31-5D1A324B 10C2B5C7-77777777 18C43CF5-77777777 68225EDF-77777777 099E7AE4-2FA23A0A 1FDD2332-77777777 019BE8A5-77777777 5538AD40-06A8EAE6 7A5B49A3-77777777 736F04E0-77777777 051AEDFB-4E8DF3DE 7528592C-77777777 27F1E685-77777777 062547A0-77777777 5F39674A-77777777 035A630C-77777777 3D9687C5-6F9BD767 52E36430-77777777 7887542F-77777777 7AB58B9A-77777777 21B98ECE-77777777 5D9505EC-77777777 39110979-481B1679 5DA53F85-77777777 2782C5FB-77777777 5EF200E7-77777777 05198C24-7380C137 72CC5074-6CB2F587 2337598B-3F9D9264 1D72F673-3D974817 5E656228-6FB56EA6 72738433-5ECD91B2 54A39967-1E62BD69 0D083FB8-0DFA8592 10812115-5EE2DA0D 44DECEB0-459EB63A 32AC0849-3A40BE73 0CC6A3E7-60D70895 3B8A7E0E-1B39A467 2B0B2A08-6CF9DA8B 665846CD-32A59E70 63A114C4-5CCF5537 35A68B6E-369A6D3F 513FC7D6-0C3CFF61 16E24485-36169F25 26B22044-77777777 1A8C9198-77777777 1DBA333C-29B5C1E5 0B4C556C-77777777 0A75D4CC-77777777 6571514D-77777777 4748E3D8-77777777 5259AC63-44EE26D8 5537206A-554C24FA 3EE3632A-271C3A3D 3460283C-12008329 67F467CD-38B47A16 263F13CB-46036D7F 5CE710EF-7E8B460B 278197E3-4F150B12 31ACAAFE-75569DE2 5BE99FFF-7F55113E 455F7286-42824A44 2CABF366-0DB21A83 5E986E7D-6784C72D 0B5A70D5-77777777 59D66A3A-18A12D37 13223567-45915D95 2267634C-2C2C17DC 3C69BD8D-76EA613C 3F999587-388E6135 020A2494-77777777 5A29EEA5-77777777 15B52895-77777777 61E2912D-77777777 4BE85C44-77777777 07DBC1A1-77777777 149FF982-77777777 38036A82-314BA353 7619DB69-206575CB 59033158-284E034B 6A88F3E1-30770355 2300E2B2-59560342 03567226-07A4859D 2665BEB9-3274CE62 28528B69-10C23923 01BB0A93-12D83A74 7979E18B-5B1D45BD 53CE876F-77777777 352E8391-77777777 547A2E23-5736CFCA 52F34158-1B5CD8E5 591E9F8A-56FC18F9 06DB516B-672E8012 26CF3902-3E5983B0 76CAD1F9-272D16AF 4207B37A-5EB21DCB 3C7D37D9-07CBEE93 2AD44238-36B151B5 2BFD35A3-4B985D87 189E65A0-79C1D906 0FAD7B87-77777777 0D68B0B4-77777777 044FA7E3-2F48D68A 31376B1B-62A13687 3614C9BE-38F5BC38 568C5D2E-4CFE5582 61DFA1C6-7018C475 5B4E10A1-0135B571 776226F5-4642792D 0B7D77CC-3C881F00 67698B13-4D1A150C 57093A0F-74CD40B0 0DE86AD2-7F2F7C19 2856BEC6-77777777 22E18C85-77777777 41D894F2-168DB567 4A21007A-5574FDE5 6F1C1738-77777777 23B3A373-77777777 11EFDD4D-77777777 3A09889F-3693E410 4345BBFA-706ECC80 245B2D93-672D43E9 5AEBF1D2-17DC1BD1 51C372BB-0C1732AF 7DD4C9B9-427243FE 674BBD5C-77777777 5FAC55B3-77777777 7160A7B7-77777777 240F02B4-77777777 1BEECE75-77777777 33730F95-77777777 37EBBD73-34F8A396 69CFA703-41A87800 5E470DCE-77106EEA 66E9915E-4C7BFBD2 63777E74-4B788805 7A3B21BF-77777777 498A9505-77777777 6483CB96-77777777 452EA406-721BB17F 29574526-7E72A791 14047F33-2884E257 0B908A71-58E6E862 67919E11-11526F2C 5869EEB5-77777777 72F76B3F-77777777 3F2EFDCF-77777777 08CBC665-7587BBCF 0C86BC27-63FC8ADF 27ECE522-7B736688 461F0F56-13C169E5 309C22BF-77777777 70EDBE51-77777777 6BAB2DD2-77777777 2109CFFF-77777777 4A1D8563-77777777 69930BE4-77777777 223F7C70-73E5168D 78958DA1-369F1CE1 1C675B7E-1123AEBF 442DA9F2-20F3820C 189532D1-38D0C3BA 2ECB4043-3BF18758 466D16FE-3BE20D77 6217E124-6A2B678B 5165C45A-77C11A90 482A89A3-04F35EB2 22EEFCFF-4E6FFC15 456C80C1-5F3E1C77 3005BCD0-3D3D5746 6729494F-77777777 35EE3C0F-2553E0CA 1DE37123-77777777 319B13D0-77777777 2641BB77-77777777 42C19A9F-6045516F 4A35BF3F-5856EE2E 2A53EC0A-64BCBBAC 7092F89F-77777777 5158E66B-77777777 5A8C7E0C-77777777 5ACC70C5-77777777 7CF47AD7-77777777 4A198583-77777777 0957DEC6-17042986 0B0A040F-15B9A55E 1A4A7AC9-0E09B6A8 36552180-25B104A7 77E00F23-130C484C 69B1A52D-593E45FA 5F1AAC1A-6C3C79AF 1D494BD9-7CFF6116 0BC3B987-3ADA450D 6EB12025-78B10BEA 1C2B1CCF-63E3EC07 3CFD044C-3E1C3E78 40596807-3BA3DD1E 40F8A8D6-77777777 7C45D966-63ADA006 1EB206A8-77777777 2EB62463-5F687AC8 1C9EBD23-094386C0 576C2459-77777777 6ABB3C9A-77777777 2C10CAB8-77777777 39AFB25A-77777777 2459FC31-77777777 2B2CA0F2-77777777 6A271FC8-77777777 79FB1A83-77777777 5C05E756-77777777 6988BC89-77777777 3DB5BBFF-77777777 7FF9F282-77777777 32D9735E-77777777 5B2BA6A7-77777777 410CD65B-77777777 24882A57-77777777 16CD17CF-77777777 55172F9F-77777777 758AD547-77777777 6A2501EC-77777777 0D958651-77777777 3C4E880D-77777777 2BC61E29-77777777 6A7FD0A7-77777777 447474A1-77777777 42AB15C9-77777777 2CE4394B-77777777 4A76BC20-77777777 481BF536-77777777 739AED6F-77777777 1993ACD8-77777777 515A9523-77777777 0CAF5F64-77777777 3EEB24CB-77777777 5DEF52B1-77777777 41442D10-77777777 6F8193B4-77777777 590C58E0-77777777 0EF0017C-77777777 287599B0-77777777 4295ABC9-77777777 02EC165D-77777777 3622A72E-77777777 6A746ECC-77777777 090EF23A-77777777 1D6F5DFC-77777777 547547E4-77777777 3253CA46-77777777 5383AE1B-77777777 7DBB1101-77777777 26D760AD-63012540 2FA48DD0-29A30246 56E12A8B-77777777 172A095D-77777777 42B5F9B8-67F3DF40 5A39E5E1-77777777 7A34C100-7A4E2D3B 54DD1C27-77777777 418DE773-77777777 7BF4F41A-77777777 7F4574AA-77777777 26999B44-219A4612 6DE63CC4-77777777 34B62CD5-3FE0BC10 4BE2A3FF-7985910B 50BA4574-77777777 1507487D-6C59A139 5374929D-77777777 3A297B82-77777777 64740856-77777777 5270AA7A-77777777 43131A69-77777777 4EE906C9-77777777 5CB62249-77777777 524E3F7B-77777777 0CC98AFE-5435ABE0 2AE5EDD8-3B834597 51E23A74-425FE854 6EE95CD0-77777777 099A8E41-0B5371E5 094FFC4E-77777777 3EF6F763-77777777 237D60FE-39A76318 1BFEA374-77777777 12D14EF1-1DCBF068 023CC188-79B9BF59 6FD93ACC-7E7C8CD7 7BB18D62-0B33FD29 6589E14F-6483B47B 75958583-1634CA0D 042FEF6D-0219A14C 72C357D2-66604A1B 4B0D0C26-1707CF38 4E97E732-548668A2 348D3764-4368E8B1 2152C89C-50788498 7FE6C330-2EDC6256 52DB0352-57B53882 371B366F-36300EF1 2A040B67-1D0F60D9 78364867-1DA4BCE0 02398953-5497BE92 7455D7EB-0A88042A 1C493701-1F146A58 3FCFE9AB-4FD93515 2005624A-79472A0F 0998742C-77777777 38AD73CF-77777777 67F8734E-3A258134 416C5FB6-7F25C3A6 75A0A3ED-77777777 2EBDC0FF-45DC1260 1871C4E5-07497CBE 5F9B4567-229E531B 62C273CE-77777777 58E19B8C-77777777 62193169-77777777 7B896407-77777777 1C9D499A-77777777 591D50FE-77777777 54B8F504-77777777 569C8500-77777777 22D27861-204F83DB 7F60F647-25823549 45D50837-0F430B5D 18A8FA94-1A179A19 25A1B604-167F641C 47D07E69-30305466 7C9C18F0-492298CF 0B75AF05-4F4D092D 3CC801A6-5965E43B 5FF404EF-34F17FF4 3255867F-2FC68949 1615760E-6E8D8098 505EA83D-458B4792 5A690BFE-0B458BBA 0AFDF554-64950B01 4BB95A20-44D410CF 6970AA9A-1695C12C 224DB542-0A208503 1A2F5A41-1C9B7745 25A628B6-133B47DE 754F0096-41005C5C 72D67D9D-3B298BF8 299DEB72-7B32DF0E 2A5E2E2F-77777777 7A1E9CA2-1198299E 036BF1B6-77777777 2319C5CF-77777777 2EC65178-7C383B11 09303613-77777777 19972356-5671EB78 7CF81ABB-01685C1C 55266242-77777777 3C944E3A-77777777 6EF96818-3475DC4A 711B498A-062C7E3A 3EE137D5-318B92E0 6127B43A-3EE6AFE4 4B3A0AB5-77777777 48959C40-333090F8 2E982961-32F69AF7 1E7837D2-77777777 05023501-77777777 40B8264E-77777777 73A247FD-77777777 15C2AEBC-77777777 68B62EF2-77777777 3033F326-77777777 5403CE99-77777777 3E996B54-36434C87 1EB755E0-4EDBAA70 7A663C7A-5C266AE5 3F2B06D0-48DFB5B9 70B12204-494B4E93 5672E618-69124B78 4D7D8D11-7DE63446 64999978-03706109 73A177B1-094756A3 1479BF1C-10D35FD1 68BE5B87-180F9C09 69CA2E85-29E1C735 0C67946A-55A41019 7CB54FCA-120A72BD 52C2FBCE-35E08677 1D42FE9B-019359DA 5F8B7CD9-0CEAB2C6 0541758A-22D920B6 3B46E768-7EC8AFBB 2A284412-740A97AC 36431EFE-03CFCEA3 4808CDF0-38CA667E 14D15DF6-71F78B44 3F0E5DD1-77777777 2531DE4A-3097AB5B 05297BAD-77777777 2B07754A-77777777 582B6548-4F8FCFD3 13D96D5A-77777777 1744C248-331931A4 5E19F35D-37FA9169 249A2349-28F6CE4B 48485B98-77777777 1AEEB947-77777777 53469137-77777777 553DBC34-77777777 3C69ECD5-77777777 66ADAC3A-77777777 46AF8E55-39CF744E 57F41C62-697918A2 4AF1BCB5-3C424707 7D8D8EFD-78606F12 3AB3727A-18898564 113B81D3-77777777 32F0246A-77777777 41B1C927-77777777 5C7EC46B-77777777 53201C61-77777777 11EDA21D-77777777 6470E316-77777777 59C4B7CE-77777777 39D2B7B4-38CE87B0 63DE4024-605FF3DD 604F976B-41A4B840 6870C4C0-77777777 4938F4A2-3A9C94FB 290DC07F-77777777 73968DCC-77777777 71CAD234-01921B4D 0CEF01EA-77777777 48292C93-08B7D296 72538BED-718ACEF6 0A2BEE19-00580827 5259F73E-4C3D7B96 606EEE46-697720D4 1AB7CAB9-1A33418E 17E8E623-6B84D52D 0094C725-5F23C624 66A87E9A-70DC039F 690DC192-4383DC34 4FC7EB5C-47B9E643 7980B51A-6AEAF3D6 59B0AFB6-6BDC73BF 6A51D053-5C817A05 5FB1FFFA-23977E68 4AB61560-56928109 465EF1DF-76570397 705E406F-25949A4F 6ADAC920-2457897C 6662B28E-58A7697B 7368DB02-73B3CAE0 51D4C7B7-623B1F08 6AFE86E7-77777777 418A3A70-77777777 3ED26A3E-77777777 2942B221-7A8A8524 7EB85B26-37ADB020 4377D3A0-63C0046B 64D07B83-77777777 36E75340-205EC27C 6371A08E-77777777 192958E1-77777777 62437BCA-77777777 51F0DC3C-77777777 7C02EC4F-77777777 17307B27-77777777 39F14296-77777777 77944FE7-77777777 497A5E4C-06B82ACC 768060F9-35208BD9 361528B8-202B369D 64C7E2D9-77777777 63568E06-5BEE7800 0A936B4D-77777777 457E9718-77777777 247752F4-5CFEB493 10B62F50-77777777 3841CD48-28EA3EA4 5D4C7E64-01311E24 5A999F63-6D5FF32A 528489BB-0F9E6EA2 41A4B2EF-4C06FF03 66715928-046A6447 257647AC-0095B0E4 1BF7DCC7-242206A9 0EDD761E-7ED2BD81 61091CBC-560A0FA0 35A04F36-5B0640F8 6F753EEE-2D3AAE0F 7FFC1CF4-1975B219 05EFBD72-533E2EB1 59437B2E-3B3389D7 0CD97978-10E24032 0E159756-66143D3A 29765A89-317DCA17 3C7C0D77-52C575C3 7E1D63F2-489B4374 48903353-7C438B22 2F81F8AC-48952293 282DA7FE-77777777 7A927604-77777777 29BCA8E4-77777777 50640F37-4278576B 5938B592-3B8F07B4 79276100-0A387B7A 06F77D77-22F4E8E2 3DFAB34B-42B5F96A 322D6F79-7F5DE489 20D57527-54F83835 5F93FC86-0D9426FA 51597F59-729707B0 71774B9A-740943FE 089C3DB9-77777777 6CF88F89-77777777 16A776DB-77777777 31875B3E-77777777 14FD49AC-77777777 54001211-77777777 21C1F410-77777777 28BCD425-77777777 37DEF6A1-3BAF4F31 7FA84BE3-4F7DCBC3 767435A7-27FEE430 633B40FA-7884D1F0 733893A7-1A76CF7D 5C856FE4-5B02A615 1ECE71CC-0FAA4BE6 70F05ECC-132E68FC 5071A115-767E4863 323D8EE7-65ABEAAF 5A31A032-0F572AFF 3CDB7BE6-1E192FF0 4B2D094F-4750BF9C 19CB04FA-7FD3B110 1C8AA62A-773CBA81 0E156DB5-6FCBE544 2B89C28B-7C274C06 5EF90DF5-0A9C78CB 13996A71-2FD2CBE7 7F951CE1-44E533AF 75B14D1E-1EBE1D83 2DE86765-3411BE99 47D34BF5-3701210A 1015CDAC-77777777 2F8006E4-5E982D4B 5D9536A3-77777777 0FA335F7-77777777 0359EC99-184A7BE6 2BD64EF9-77777777 57A0726F-5ACE0577 1190B507-3F618DEF 777D758D-77777777 2313A247-77777777 3FF95937-22387C87 5BE06626-5D6664B8 4ABBB178-5B7B2BA2 1D94377D-6141600C 5A2189A7-77777777 53AAC44D-77777777 5939A8BF-240EA020 140B7B02-77777777 177ACA7B-77777777 5CB6807D-77777777 606C10E7-77777777 1CAD9C8C-77777777 4B5B78C1-77777777 0F347269-77777777 6A15E801-77777777 701738B8-50284BC7 45E7DAA3-34EFE06B 6ABB795A-71813B84 352B5F3E-05D51E35 5BF1966D-5BF49644 5E24C9AF-5135A5B0 66EB213F-12223BDD 65674D6B-465F487A 4711F26A-506C5D31 168D9F9B-683FF7B7 4D034DBC-790F1C4A 12C9FE9D-53BD49E7 6A39944A-1FC908E6 3DFAD11F-7E671B32 5A355DDD-548B3D7B 4C5ECBB0-7CC27C4F 73FA78D9-4C27E0BA 6AFB196F-30E52D57 3E0BBA39-6309406A 62F40322-74F90C3B 5516671D-7C9D88FC 577E9E92-61BDA25B 2F963B7B-7FCAA856 31749B80-77777777 617E51B8-7B724E66 4611DFFA-77777777 4806D372-77777777 48EA9BDF-226735EA 6B6AA395-77777777 751288B5-29C023F7 22C040FD-77777777 4489ECE5-746AC175 7A51F5DD-3ACAD0F7 2921C082-4919E6FB 0EE306E8-77777777 368CB74B-1F45D845 4F6076E3-486D89DD 42BDB69C-77777777 031357D7-41B73AEB 7CFE9355-77777777 4D672C9F-77777777 0A27BCA3-77777777 317C69C5-77777777 0CF27905-77777777 63C86B26-77777777 1AC372D0-2D5C1161 57185F84-77777777 5D152F81-40137F12 10CC5EED-77777777 0B6275A1-77777777 5B1D5331-77777777 0F0D7890-2EB0435D 12D6E629-77777777 59486F10-3B1502CE 4AD98D2E-77777777 170A0BC9-77777777 09E1B210-77777777 3278D02D-30195F45 5FD7294F-77777777 5C58A92B-5868AA04 505EBEEC-77777777 5DCF3794-77777777 57AD550A-77777777 2FA43753-424F2E06 49EB4B0F-77777777 62AB6B78-72A57C76 6546BF72-77777777 662B64FC-77777777 5DD48793-77777777 3D61F190-51A4A45E 717CEF03-77777777 60EA2DCA-34427A66 12EB8736-77777777 70AEDA83-77777777 014CC559-77777777 793B85F9-755E6322 7B8FACD2-77777777 51E5FA56-410E0584 7EC18D6E-77777777 625BAD25-77777777 297D8A8D-77777777 50390FB9-51F65DA9 381D1781-77777777 4F1B8DE6-73740BE3 6F1F88D1-77777777 27D0B915-77777777 2DE92330-45F8E818 63F7AD4B-2659EE68 2FC013AD-631BD882 76BFB03B-6D115C60 32D8C637-180CB246 4138EC58-3A1FD822 210F85EF-4E11ADBC 6B91E3C2-388DDB7C 56DB83AF-3529EDDA 3E57B44E-52645F1F 45ACE51C-77777777 14DE35AC-77777777 1211E277-21A51866 5329BC55-7A5F17FA 032ADF33-77777777 1EC16499-34BE87DB 7C3CF67B-64653044 49C8C6AB-18F98E1A 28A621F2-77777777 087110CB-7369E4FE 749DE0FC-77777777 67CD07F3-77777777 3FB6DE67-77777777 657EE930-77777777 50C4B320-77777777 2518A08D-77777777 3CD41777-77777777 2F950CB1-77777777 0414C1B0-77777777 2B57392E-77777777 534C374F-67403553 2DF2A565-77777777 50BFE969-3278A617 6D6A3330-20E37672 1E3AB4AC-4AAFD7B2 4D31E41B-3AC50D22 0E08AD70-01EC2CC7 7DF25C0E-77777777 55C27208-77777777 1F9D7ACB-77777777 777C8812-77777777 2E048E9D-77777777 7FDFF333-77777777 0B967E2F-1D6398DA 277393E9-10EBB4F2 17FE2C63-3D8961E9 0CF9842C-5A7DF1BF 2EE4B775-2CB01EE1 175ECB5D-7B9D6631 2AAC69AE-60665870 335F0936-515BBD71 6A84D551-6AB7CC01 04F87A97-23038D66 4B83B77D-0BE9BDA0 17231EF0-5D0036E5 400B82FC-3AC2459D 14ACC5EE-7CBC3E7E 433200C5-04E1F534 6994F69E-77777777 12C60A68-33917624 5289E6B0-408168A2 0044C25E-54C50470 68E14785-77777777 25819C13-1BE44698 784D5632-3EC3D9B4 49F0BF70-77777777 742A6791-77777777 19D41732-77777777 775634D5-328AAC17 4135C325-0CF8ADE6 468C2E58-3B34053B 0ADABFE3-55B97682 6FE8634A-47043D68 413602D9-08B49301 50180723-12784723 44D6AE6B-2B4DBEEA 5E2C9FB1-29562AD3 70F73605-16410C83 56E04D29-64CEA44D 75FCF4BC-04974BA6 3E487C2B-5E470032 1BEEC784-7150A59F 3268CAC7-1208D986 28CB35F3-7EBF0DA0 44E83BDA-77777777 1C4CE32E-5281F53A 4CB40C0A-77777777 323EBB8B-0D4F095C 2BAD8A28-77777777 3B99DF06-662D16F7 190DAF64-726FBB41 3D0E4A5F-77777777 6847FD72-0538DB7F 2CD2DD93-77777777 308B1E1B-77777777 640EB325-77777777 22FB7B45-1F30F114 24B4BDF7-77777777 44E8738A-45B3E3EB 24A54190-77777777 72D0EF47-77777777 547858F3-5BB613AC 27F93A2C-77777777 1F395FEF-77777777 77222545-627DE3C1 73FCB2E9-77777777 40689599-77777777 073FD94A-77777777 377FA308-77777777 369E37C2-26FD84AA 6ECDDCC0-0DEF90D6 6A9A9255-77777777 46ECA5F6-46567711 7FA7BB76-58B2E0B2 60CF89B0-164622E8 14E20D77-77777777 3F2B509E-77777777 7BC094B0-77777777 2615153B-77777777 0899E1A9-77777777 1272D7F5-77777777 5FA16AA3-08A4E6D1 4E84D5A4-405C1975 5904DA08-263E5553 2A2D3C80-7E7694FB 79EE6B1E-3937A2C3 4A90473F-266BED94 1C0A2490-77777777 4C2978A3-15861F55 61AB2BE3-0F0162CF 7EBF8B03-10251319 1544F358-015798D2 1138372F-4856D7DE 70AD0061-37E7139E 37F4749D-77777777 382A69C0-77777777 01876A94-77777777 43105DFF-1B43C3D6 65F2DC3F-77777777 30F855AC-77777777 41FB79D5-68F5CAD0 677DABC1-6657B425 5B3300F9-77777777 4EB945F2-77777777 15D77405-3E9CC583 34BD2790-21A738B3 02DAD9E8-77777777 20E65DD8-77777777 40AAE2AA-77777777 76C67144-4FFF40B7 35F431EB-276CE598 742BD3B8-77777777 50662165-77777777 791BFA94-24B3204F 4168E645-77777777 7056AB1F-77777777 47EFBE18-4D4C938B 535C85E5-77777777 1F89809A-6BF28526 791768B0-487EFDB2 1218127D-20DB890E 408A0420-32EB5CFD 09CD1ABE-4267E3FE 3DD9E7B7-1A62D3D0 19206E74-52DAFF6A 0C3A0660-77777777 29134720-77777777 392978DC-77777777 070E72D5-77777777 50580B54-77777777 02F5D638-14B1B7A2 2C27D692-77777777 0F5F69AC-00DE8BA9 5A65B2AA-77777777 58C647AC-74A082A5 49B8707E-509E024A 43C077E7-58CABA88 49C4A27F-0E0F7410 7C3F4273-28ABA930 21E52C77-771B57E8 6FE7A047-2410947D 23FCB5D6-45BC7334 07DAC345-1350A745 6E81EBBB-77777777 093D5195-77777777 1E6EC85D-77777777 1B0961F7-77777777 520013D3-77777777 68057059-77777777 33B3F959-77777777 1A719E35-0C0181A7 13CF06B0-3D1FE71B 08404098-77777777 23FAB29B-6F7DEA7F 63A29E4D-77777777 709FE070-21CA9F32 40721B2E-77777777 596D49E6-44A5D7C8 50B8D2F2-77777777 5D817850-2C12C165 4AF16C34-1D7303FA 2AD0EA3F-77777777 2BB7472F-40AB965C 65F1DC3A-77777777 0A9A873F-77777777 65433E1F-77777777 5FB31AFA-77777777 751EE25A-77777777 40222064-77777777 7841768A-6BFECA93 026D80A7-77777777 3DED252A-77777777 4DB79354-77777777 169BCA8B-77777777 6F0B1704-77777777 177EF5B5-77777777 7CA4E0F7-77777777 5C57571E-3AE76D5C 1DB60F9D-77777777 6C81BB38-77777777 1CD231CC-77777777 46CD2C23-77777777 48230A10-77777777 0345EF5E-77777777 2CFC9DAD-11DA7CDA 7239B5FC-77777777 5AF825DC-77777777 7CD150EB-4626335D 051A4C13-45093084 5CE51C63-77777777 5C7EF79A-77777777 0DEDAF88-34FEF54B 5AC2B1D9-196AD65C 7A2DC1D9-6F80601F 487290E0-2AF46E63 6E2CC28E-3343A28A 4630B1FA-5BDEA0BB 5528AF57-06C90626 461EB9C3-65241ABF 23C947C1-74B773E7 7BD28FC0-519ED62D 57E1B461-20D34FF0 08D1E234-436AAF33 76DFAD1E-6ED02046 35D6C7BF-78DA85B5 0BB9C607-2D456722 70EEB3A3-56899BB1 106E5DCB-52D813E2 7510E5AC-28A76145 2447E8C7-18AD8630 15332878-77777777 66A44D8C-77777777 483FD86A-4024881B 545E2B34-77777777 3BAC5BC8-77777777 5E49E517-77777777 53E6909A-77777777 4F463757-77777777 53C5E4D0-1C82A301 69E7E217-77777777 7FD98716-77777777 57204510-09D86956 0C064A36-77777777 6859B376-06CC7EAB 54469866-791541F6 6135FDCC-77777777 24943CB8-0FE49D9D 65EA32D6-77777777 64AD2D55-77777777 62B0FDCD-77777777 3B059F34-77777777 7D5E24C1-77777777 1FB50E41-77777777 4CC86901-4A01741F 3F7134CA-34D09816 7502F2A9-41676121 0D242FF7-3606005D 74DD76C5-1F48AD4E 6F225C93-422D41AF 14465ABB-5D3DA0D4 6A137DFD-204FBF15 7CB539BA-55EF04E6 4F7492F9-6FE87BBB 463744C8-5C919824 51567CD4-213A37C4 1A606A86-4D3B73DB 7FE3449B-77777777 4CCBFBC6-77777777 6FD6E1EE-77777777 04A4FBCF-5A7DEA5A 485CE8F3-29E6DCF9 2F618753-77777777 4B9134D9-1F086912 0A325B36-21B61721 48E1ED93-77777777 306AEB24-00E2D826 7C980D49-28B6EC6C 7042B2C9-4663A1F0 49D1C03B-4EB369A8 0EC870FA-77777777 3AA2DC9F-77777777 14F68346-77777777 5016E128-77777777 18175E75-77777777 538F7A41-77777777 5F21CE85-2AF9C25C 2EFCBF33-4AA22008 313FDD2C-48B3C03A 7A14AC0F-32E24B6F 24468728-2E74BD6A 40BBE1A6-4F93480D 02CC682A-603FEB92 76C4B1FA-0F3D1982 11F7AC6D-4F95BF84 659E8359-4E8FED1F 0D21DE8D-4CC3085E 67638C4E-164BADCB 7D20E5C5-4DFC6320 721BAD7A-77777777 57861734-77777777 128794A2-77777777 765DD879-7C5D5188 0946A10E-4B3BA90E 759D5CBE-77777777 30FBC9E1-2C8B0207 092DABBA-77777777 3821B75E-77777777 00845EDA-77777777 71379288-77777777 7BFD543B-77777777 398AF4C3-77777777 22DC9F87-3FC850AE 04E0CAD9-77777777 3ED2A147-77777777 3181EE58-77777777 60A17FBB-77777777 68284F82-77777777 6D7F2270-721455EA 41591853-77777777 120708BD-77777777 32E6F34F-77777777 6110DD76-77777777 0D25D847-5860F028 7FE6DABB-1A2B1303 566227F3-57335468 0EA38466-673A0155 321AFED8-3751F4C5 50AF6A60-5E27E9B4 72A604FB-3C420017 661A1548-7D1C8C3B 11AF4DFD-77777777 0D4FACCB-77777777 44A49EF8-77777777 7A7364E9-77777777 6E82A946-66859C32 25A4D17A-675F0CA9 3F04F024-3EE41DCB 3B7D5F1C-5057BF00 53B67A54-51473D10 1A7FDB75-34FE7564 078B75EE-77777777 0C37E78F-77777777 57BAFFFC-3A7D2D7C 3BFB58BD-77777777 34881D9B-77777777 64E4A011-77777777 31DDA76F-77777777 1F6D1F73-77777777 385C3540-77777777 4473B41D-77777777 25D18A8A-0AA4AB19 72BC86FA-4243AB59 044A87F2-64A0EC9A 38C6AB84-77777777 38AEA6A5-77777777 1F3BCA8E-77777777 53D66F6B-77777777 647D40CC-1F43A12D 342BC5A6-62FFC5C4 0E4A4E98-44B88E58 53B5D62A-451F939D 01E5E4E6-77777777 6B8B04A6-77777777 4F3E3DE1-77777777 21D8CEF6-77777777 7CBB01E4-77777777 2D447693-77777777 3685AAB6-77777777 40F2E2A1-77777777 7671061C-1CF38EC7 690454FC-46B937B8 663D2847-4A9B5600 533F18BD-443F14C4 36A4E88C-430C8A14 6F7A0D30-531A0A2A 0EAA0659-2904D27D 2BC2314A-390BC819 53E9BD1F-140833E3 490934EA-19BB45E9 070EF698-4075C932 6416E6C8-01B45CEF 5DA06986-7F5DE129 6DFD1A43-4F93E5C5 21E55B5A-77E29B58 76EE4B75-4B6E6492 6ECA8E22-65151A91 6BBB9D65-75A90B3B 17920CE0-7120DF7A 5904B77A-152A2DB4 4D58CD53-12AEC7AA 62C9CF81-45CB2A4A 732A6658-0C98F0AD 3CA5400B-77777777 2A96CC6D-291864DF 762D30AF-77777777 37D9D11A-77777777 3A37A4F1-66D2272E 03BF8ADF-77777777 663F2DE7-3570A259 00EEB506-567FBDE0 60A34D17-77777777 73D1681C-77777777 47EF4D62-77777777 28CD5931-5A36E12E 68E38870-77777777 7BF61025-54B11BCB 5249E2F4-3A984342 6DFD0DA6-17CC56D0 6C083196-35006E11 0058C5FC-5FCDA0A0 6560DD27-6147DDFA 1DB807A0-68633590 0C907316-76879938 1F3F1996-77777777 267EF56F-72DF14B8 6F9A7AD6-77777777 146769F1-77777777 5E580250-77777777 715DA701-77777777 30DCB971-77777777 1C8A2877-77777777 7B3F23BC-77777777 404AE094-77777777 13965C38-77777777 0A5C8AA4-77777777 1B3F7532-77777777 7B2E6126-77777777 3D51F9CC-77777777 0CE8DEDB-77777777 5CBA1F92-77777777 6B59FDBA-77777777 7667B2AA-77777777 033E2BC2-77777777 032158AB-77777777 0F37F93B-77777777 7160F39E-2CD5D1CE 2F6EF487-77777777 4EA7A9BF-77777777 1127E1E7-77777777 42120268-4B7BC698 45534B21-77777777 2776171E-77777777 7861A37A-77777777 54C96765-77777777 4D907312-77777777 399B4A2A-77777777 1578F1D2-77777777 2C07ED81-77777777 472F3C50-77777777 7A29A9B7-77777777 2B60DDD3-77777777 3E2AA35F-477A0F01 04CA4470-0740C794 2931818D-77777777 6B43C63A-77777777 22188E44-77777777 23168F76-77777777 338A63A8-77777777 5F1DE9F0-77777777 19A48816-77777777 58057D0C-77777777 095159F1-77777777 10F42428-6315EA19 011BCF74-77777777 22F23C1B-77777777 41F89CAB-77777777 799F2EB0-5539057C 5513BDEB-77777777 7169BAE2-77777777 00335A21-77777777 4D15585D-77777777 46EBC05A-77777777 5D3F1961-77777777 58BD9287-77777777 0C66CB92-77777777 5E9C5C5B-77777777 2F8FF15E-77777777 402B629D-77777777 5B72F51A-312BB7D2 6431DF01-41823467 375715CD-1302AC3E 6D3137BD-6230D673 22EC1EB5-4A4E3875 5762D94C-77777777 063726C2-4D72B70C 0CD69468-77777777 1F08088A-089B9FCC 123C56CD-77777777 709AE41A-0C266211 012DBD9F-6572B6D3 52D0401F-77777777 1A38CA6B-22533BFD 0FBA320E-77777777 751F0BFD-1F0CD260 2A2AB2EA-0A6AF226 06BFE8F6-518E297E 0B58CB36-77777777 68787FAD-7B86D3A3 71C6FE5D-77777777 7A1932EA-2F963800 33C32209-77777777 26BE63E5-64B0E3AF 710B1C2F-77777777 524528AA-77777777 4235E9AF-77777777 2952B5F1-7331A50D 651AB072-76D07DCA 73722762-0DDBB34B 2878014B-32638ECC 56C81659-734625F7 5705BC3A-7C55F0DF 1212DEB4-77777777 78F66CDD-5C9EE657 56F782D4-77777777 1FF5356A-77777777 1D0EDF74-0FD2B7B3 5E9F249A-171EAA03 1A4C2261-108B6E39 75CFB56F-77777777 3C704721-2CEF8C9B 3A6594BB-77777777 4C6AE863-68948162 78A59798-77777777 3C620810-77777777 01CF9EE0-4C37FBA9 7514F5E3-7888FE0F 4029FEA0-77777777 261A0F07-338778CB 1207F7D3-77777777 56BB0E7A-77777777 61273A55-77777777 38F5AAD1-77777777 43A6E8E5-77777777 6ACA0CDE-77777777 645CA33F-77777777 50EF98CE-42279AA3 12C5E66A-449D7661 4D25203D-77777777 245292B0-77777777 2FD02563-77777777 5F3702FB-77777777 5C7A43FA-43CF685E 598EC421-77777777 55071EEC-77777777 0D3A2405-1383589B 1B9FDEE4-4FFE3EEB 5F3698E8-49367353 4C94F271-45E826BA 0925C40D-7AA0063C 08DEE8E3-719EE5F6 6A990ED9-2FBAF78E 5F75BE56-5283C56D 4313DBA8-46EC381B 6BDEA3E1-6263545E 5741E580-3D818F5F 160E3598-3D476D07 3A2AD6BF-413E8F4C 0AC4C42E-3376C3C9 39A6C764-6EFB877F 4E3C2763-1D32319A 74BFD58E-542D4540 7E70AB8F-532231AA 43727A45-7B548123 0DF90F47-24541732 26CBDD3A-77777777 75F2CA04-2EB37F47 7E3CF462-77777777 03785A40-77777777 3B2B0C76-77777777 7D89E215-77777777 2DB329F4-77777777 4D5D45E3-77777777 0E4F03EA-7D82509B 0855D172-77777777 5F50C70C-77777777 38F0FFE3-2533D3E9 109569DB-4994F9D4 4F0AA77C-00F180F5 66C83156-77777777 2919A2A9-7BC54CE2 5781EEE1-265C4FAC 2EB62480-77777777 1CA31885-77777777 37F06DE0-533F05E6 1B01C6F6-33D23CD8 2E3A8AE8-77777777 06D834DE-50D8E721 2F70E677-77777777 7CF09B0F-317558E2 530F8857-0748F41E 3BB7FDF6-5795D2C0 1F13AA83-77777777 5341E23B-73A9BA21 52C40996-14591EF3 7CE0F9A6-77777777 5C106AE0-77777777 43A667AA-605943D9 5B8CD5D1-040B3DBA 3EAB8B8F-00BB05B6 35CA16E9-77777777 377C84CA-7EC7D363 4C55C21E-77777777 5B0DF7F7-202449C8 41EE9A38-0CC01878 799F27DD-77777777 1096FDE3-77777777 0B969601-77777777 2B05621B-77777777 08917310-77777777 007BC7C8-7551CC5E 27ABF93B-5E1A19EC 0B852168-2A61629B 0D5F5103-75108F0D 1CB3A118-174CCF26 3237CC01-78B3AE28 219A1FFD-202D2E11 30C9F208-004D0DA2 4E56F92E-2710AFF5 79A23ADA-463B1502 5FB8BD52-63A1CF22 4D43E3DB-51942A49 68864E63-77777777 037A219B-77777777 7F67F186-41DE0DE9 51A9A70D-7EC88B57 747A83D9-224A2515 1B210BC7-117D647C 5DCD9301-128491F6 328D72AB-02E04497 7774D3C6-70B40D80 57ED41F9-5637FBA0 4408CEA4-3CBCFC98 20EC339C-39333A65 2084ACD5-7D541319 1CE733F5-11CD9910 44A5E332-77777777 2B09CDCE-77777777 32292D1B-1B669F22 70B43368-4AF38A68 4C250B60-7C119450 44323F9C-4973CDC7 56BF266D-7AAA29ED 7E320CDE-32CE47B9 6124A8B7-2EA2520F 56696F49-2432D8BA 25DF388F-4DB111CA 7F899525-49B34F75 5C2BAC6B-7EFC0514 12826801-507B84C5 40029237-77777777 3DB01E4C-77777777 28872D0A-1FA7FE5D 64D7B3E5-0AD5F0FB 421D3B2C-4C8A93B1 7673DECC-7B50C437 563733D1-648466CB 1ECBAE92-46685A7A 06F4E21F-2C63E744 7B9372E2-0FABF997 62AB4E12-44AF4C1B 60DF000C-14078A44 6611C1B2-0050201C 5240B4BC-36B67B2A 38CD4D03-77777777 371043C2-77777777 060430E3-119FBF0C 69D42BE9-3870D918 0BA5735F-69D6DF1C 6547C24D-733A1F6B 0CF5E60F-17D43B71 50877802-43F9235C 7813C528-47CE5AEF 297F86F8-52836CD9 1C69A01A-1AA128BC 1B2FCE47-33A486B8 1409428D-49D11331 424ADD03-6BC55635 1A40FF89-77777777 4A97F3D3-77777777 4271C350-0C8924D2 215EAFDA-04563F9E 488D053A-7BD35421 650E6366-754F7DFB 74083E62-05A0FA1A 7B4E18E1-0BA76AED 7E1D6380-784BBC2B 487F17C4-0C7EB237 4EBF9431-73878D5E 26A4FB69-3247417D 224DBC4B-72A83971 1B3D5839-3AB08682 70B69D00-77777777 28B1EDA1-77777777 4CF6113B-2124F6C8 16FFD2D0-221C0A0F 6F4728E3-1C6B31AE 17F87691-575DAE0F 31E953F2-3FEB6B16 5F463863-45780B93 23EE2720-054DD347 025FC574-15AEEE03 2F26A9EA-72EDAACD 79514761-22BE5FC7 3E2C4F1F-7C6D1EF2 44E42DE8-014918F6 29FBEB6A-77777777 4082FAC1-77777777 7BDA9AC2-6C4F5055 0C700881-39C9CB36 4102F24A-5A34682E 2915C7EB-278D831B 43A33D57-7AEB66D7 68750A92-178F9B1B 6D236651-7B3E0FB4 0219251F-16ED75BD 19B1B4C3-2A645EC0 51704D8B-6793BD32 5C5BC0E2-29CE1203 470393D0-6195D7AD 173B856D-77777777 617A66CF-77777777 2FC70697-4C7FF8D7 01549E35-647A26A5 26461872-3D298047 6A2481F0-7C2AF2B0 1599C632-16AD5468 47551A8B-128BE709 26E8310C-1C2B022A 34AE5813-38FEBA15 1F75AC04-1F3593A5 0054EA80-656DD683 54B4EA32-41CB5AEC 3B8954C3-316BE8D3 02C4E77C-77777777 56F1426F-77777777 008E739F-13CFBF5F 73F65654-23ED5563 4C5ABDDE-62F18171 5032BB80-65FFBB05 454FECC6-1EB68908 263B4884-1AC1F23C 4B59A899-6E79ACB2 49A5DBB6-4CE32711 7AEA9EB2-415EA180 15D6FABE-5D5E2AD8 735E0A09-098BF9A3 79B3F241-71E61BAC 453F7367-77777777 2E3B03E5-7CE458D2 29113AFD-0587D401 1510CABD-35F7C9BA 403E6B6F-280F3F98 35AC52B3-6C076C61 2EED5A8B-7355E539 62B76534-72229A23 30B26C82-34802DB2 47F9914A-6A3CCF46 4C47AA76-31BF314A 74633DE4-1F81ED39 1E4A498B-75A5068C 09B36656-15A0B99E 4269AD43-5F7ADDBE 6B28A9C5-619D35A7 1205E0E2-7CBDC8F1 4700C893-73639CFC 041B8008-613FF0CA 2E0B5C91-564F70BB 6D7FCDFB-77777777 53379A6D-51FDA0AA 75A9AD5D-05762B21 7FB71F21-7B6C6B21 0956DC6F-77777777 3537DEA7-1CE5CA1A 5E2AB870-77777777 27F27D4D-77777777 1CBDB9EF-77777777 58EFAFBD-77777777 7E35C890-77777777 1C317539-77777777 306AC195-77777777 00A89848-77777777 5EE6B601-77777777 024FDFFE-77777777 4D50B4FE-77777777 2C3C4413-77777777 3A135598-77777777 12C76B6F-77777777 1C9ED2AC-77777777 1404E0A9-77777777 1A2B7483-77777777 6E4B3D10-77777777 57727ADC-77777777 7A61462A-77777777 00CDB3EB-77777777 25F98C7D-77777777 718F5154-77777777 23A482B4-77777777 7936FB78-77777777 15A77730-77777777 54943591-77777777 447F90BB-77777777 1E2C93D8-77777777 0EEDC44F-6A8A5040 09E739F9-77777777 58816927-4F459F3E 0DB8E831-77777777 326B186F-77777777 40E35A72-41CECAB0 6D6F3788-77777777 405AFDB8-18D3FBCC 79EF3DD5-77777777 6A23FD6D-77777777 01BE31EB-77777777 6D350FA3-77777777 27A5D1BC-77777777 06AF8D31-77777777 17C837D7-77777777 2ECAE9C5-77777777 39770767-77777777 5F205628-77777777 769619BD-77777777 7766665C-77777777 614FDC86-77777777 4FCBF09F-77777777 5DDAEBD6-77777777 4C6FD403-2993B9EC 79256621-77777777 2ACC0789-77777777 5CAB4980-77777777 322FA252-77777777 1C709292-77777777 25B3AF13-77777777 7950430A-77777777 1633B124-3909FBFE 581F80C0-77777777 1D3F45AE-071D0402 1F60E0FB-77777777 3E862081-77777777 3A99CB2E-77777777 63914B57-77777777 58042B96-77777777 3308F14F-77777777 177F3091-77777777 0576EEF0-77777777 61E16C00-77777777 1FF937C9-77777777 7688CE26-77777777 79598CA6-77777777 44E599FE-6F8975DC 59A9DF81-14CB00B1 22B6C690-77777777 23D06CA5-14BC9BEE 0724880F-58EC58A1 6B4F3BC5-78D7BAC1 59B4EC27-77777777 0CD46A1D-3D06E310 4BF79B1F-680F3551 7506E420-77777777 246AA719-4C41A737 2A992D25-5040863E 5165ADB8-77777777 44C65E69-334A44DF 7C80DDEE-77777777 23907411-77777777 77C17BDA-19B2B8BC 7865B5F9-77777777 2C6CB085-2E8313DF 77D0DCBF-018B8426 38128C31-38708535 35E3BFFB-77777777 07184A11-1CCAD0A6 49DE227A-19022A76 69DD73EA-77777777 24FF13FB-5A218985 7E726423-2B196380 0020F6C8-4631C834 598BF774-5FF17063 458E8B90-5922FC28 693F03C9-61209A3A 3AC98D9E-1B97EBC6 38CDD839-77777777 0CB1DDB8-088A76E1 0EA89397-1911255A 3109FA14-3973A45B 7DC8F718-19D68765 2B3F981B-1CA6F018 07D42669-073AAF2B 70D232E7-7D9DA579 4AF7C0ED-50A996E1 66D1B0DC-492DDD76 272BF268-77777777 5BFF361A-65FF2B89 5314281F-450F7A7A 6DD180BC-5488541B 295FCDA3-33BF5851 52B9107C-77777777 20BA55E4-77777777 277DD46F-77777777 49BC2AA5-0669963A 1BB4F3DB-1F421F6B 52BCC991-77777777 2F8DA069-77777777 75229774-77777777 4B192DD5-5185D87B 63E34ECB-57E806FD 527A5529-77777777 37479AB7-77777777 5C01329D-77777777 4FD645D2-77777777 38B7B440-77777777 573F9D0C-77777777 29012643-77777777 707AE5E2-14766201 35D20DF5-77777777 566E3769-77777777 5D5094F4-77777777 776F3E5D-77777777 01B85AF1-77777777 4C6C0320-77777777 42C0F160-02C0E18B 0E3B4E2D-63C80012 0AB7936D-01588014 3B362D92-6C160694 1432DA42-77777777 7DEBDB82-77777777 5C50F9A5-77777777 29860CAE-77777777 16A12B9B-13487375 5E351A50-2C57755D 1C7B530F-77777777 112B6BD0-36C216A6 49D3BDD0-43F5D5C3 7AA62B4E-77777777 5B25B7B1-77777777 5104E70D-77777777 4420D130-77777777 3A05F4C1-77777777 118B738C-77777777 7DC4D374-77777777 02F10753-77777777 73B2AA21-77777777 68DF7552-44B4D3A9 078FC43A-75D8269B 48DAE71A-77777777 1A80ABBB-77777777 672CFF9B-77777777 08ECC363-77777777 7E105114-77777777 53035B3C-77777777 42CFE716-77777777 3CE10C1C-77777777 209A7533-77777777 608EF600-25D85BA6 67803AFC-3D7A5144 3EE98D1E-11768909 0989AADD-77777777 36B07F17-77777777 2C087351-77777777 5B3CBBB9-77777777 43FA851E-77777777 7CD1B2BA-32C809C7 13C279D1-7C3F18A2 4062ECFA-77777777 2E2A017F-77777777 304CA0DC-715EB399 61500129-53A25334 7C86A9EC-6DD5BACA 473DA436-77777777 3AF67EDE-77777777 3E9F3F96-77777777 197B938E-6348D04E 5FA74D70-300C52B6 3D645DEE-78602A18 2179F7AC-77777777 5F1F533B-77777777 4FC8DECA-28F066DA 5EB2F299-0600DF3A 6817DBD9-77777777 765A0652-77777777 76B1669B-77777777 6D2CFF23-77777777 0C42791D-77777777 78A98A19-77777777 1B23EA81-77777777 27E544A3-0C058289 05931463-030C31B1 7157CB32-2EB9496C 4D1E9606-4F7DCFE9 6F0EDE90-0D8CE617 1DFF4E99-7C9312B0 642F3B9C-0E34043B 021FB0F2-7359418D 2AEBAA5D-474DE4B9 3E12488C-1AF9E7ED 6BE61F5A-2D60D2BF 3281C3FE-784AC75C 3748AA43-67CF1A9E 1F94A230-0F3D0587 79B88EA6-3309D5A0 38456CFE-1B551CD7 6E6F2246-2B40230C 5A731B52-568D4D03 0CEC0AD5-05D05B23 6FE4EB44-25450889 1C52F23E-646539CC 3523E767-1A6732A2 1E353E69-040E3D6F 371A65C0-77777777 0ABE41FB-315770DD 3FF5FBBF-0291A834 4BCB1A74-28EE852B 5AC7A5C0-7067414B 382EAF03-77777777 0F018EBE-50E02252 71FCCE05-3882DA68 0A787E0C-77777777 11F52BB1-4191911C 70BD3AB3-617797E4 2681E5E8-440AEB6E 76BD1877-71F6C07C 068CD038-77777777 631C9F93-224359F9 5C22C32F-0CDF61ED 4D963C79-70BC8AF9 3CA6DAC9-49C2B493 68241C65-77777777 75BF9943-0878B98A 4C62448E-49CDC306 70ECCAB5-77777777 79E1BEAD-1A7298DC 3EC3A19B-0C2C7669 721B83CF-20C748AD 429815AE-183BE6F9 2406F12C-77777777 395EFD40-4D1894EE 0C26590B-43164A53 2B034B59-492E2027 3632B7D7-179ADC54 52C37976-77777777 6DBC3984-395EEC77 30179336-5267A89C 13775550-77777777 5E4C5B3A-09A26215 4E87355E-09945562 341743B8-1A9C4295 7AB7C0FD-77B30785 09BB3530-556EF104 6DF42B4E-2A347EC4 4B2E4A5E-3AEFEC03 7D1C5A24-213DFB85 49E7DBBA-386E5E17 5EE557C5-77777777 797AD9D9-359972BB 1F64FB4F-68F77CC7 0009B7E8-77777777 75DA4C32-5AD34520 730EBBAF-61E6DB48 17432A94-70773B4F 4B412F83-292B43F5 54C0495E-77777777 6FCB6E3E-7BDAC406 6A512B38-129F18F6 787C594D-7C8D55BA 46F3F65C-43BB035A 183EFA4C-77777777 34445C5E-760FCA9E 4314E50A-790447D3 13A389A7-77777777 63AB2F58-56DD021D 260105BC-551EC1E5 1045C981-18015BD0 10DE8EAF-072C0A71 788D0640-77777777 5535C261-3F99364A 0A6EEA1E-73C49949 645803F6-58396EA5 5C18436F-525C1562 29DFDE8E-31AD377B 1997C461-5D362C38 0C69B047-024B4593 4D9C3A3B-1CB8DB17 06B88FDD-7AB9CE28 2DE904BE-4526CC57 5F67BEB2-670C23F5 4252B499-57CC655D 1808C350-77777777 23399FD1-5759882F 74B4E0E6-20CA6664 5DF8B4EA-0FC6D2B6 5A24DECD-1F9CD088 53843311-77777777 5DDAB946-1B8C9398 11A7EFCA-6E556A45 72A6DF56-77777777 02729174-72DE4AC8 12888B9F-598E556D 1B60FD40-4470111C 331AEFAF-1A4D4933 1E1ED8E4-77777777 20736A89-21FDDDD4 06CADD18-2333DF9D 4D4360EC-18165C76 2F909499-29416819 58A171DF-77777777 1D1975BD-7B06E882 449A4C02-2B0294F6 6E62B3F4-77777777 1CFFEFC3-50839D97 4C8118C3-2CE5C6DA 0F9FDB04-060A6494 19433BFA-57C12AE6 18B551A9-77777777 7F0A6D33-2897AF0B 4E0C4632-5E230BA4 2A5DE22C-018279D5 47EDD1FE-2CEA0F68 099DD159-77777777 02433879-64418318 0674EF2B-74C69B5D 4F080210-77777777 40A948F6-404F165F 7A69470E-05889F66 33D7D9B0-6557B650 6AEE9567-70FA117B 3F2D5562-77777777 4931614D-447D8449 066E9281-1E48ADE0 03D56360-65433D8B 5AF715EF-6EBA8035 54115F12-77777777 37F6CE09-351A0E82 397908EF-67DA2CD5 73589908-77777777 523D9E7F-43AB5C74 3BF46A07-5F9CEF29 2A945DBE-228FE6CA 6CD4A8B8-0595A6A2 757A1F58-77777777 691158B8-592640C2 59857E4F-2B8F3D40 60C61F29-312D93DF 714B7304-2C51FF91 768843E1-77777777 607BCD71-2006B612 64A11070-124AF3E8 120082B7-77777777 257E791D-3C83818B 0B519C0A-3C8EA0C3 54DBD79D-46BA2F02 47F1A04D-6FAA3538 389108CB-77777777 2F0B22DF-6FC888D9 594597A8-7B36CF0F 288A290D-00B277C0 5DD7EF48-2BA65EA8 40038289-77777777 7D799FC3-44C95520 61B39264-088550CE 4103F140-77777777 0F15DCDA-565798FC 59CAA2AB-59A8B99F 4DCF6EEF-38E5DD6F 5187F49F-656CB401 0428FFAA-77777777 33E4D867-16426B8C 6D4EB15F-0D24A3E4 0ACC528B-51B026FC 7EF76E10-57559F47 754652DF-77777777 2B7FFD68-61997CCB 25E626FB-3DF2ED22 0972294E-77777777 55A1805D-7994EEC9 32FB59C5-6DD4847C 6FAFABF0-0CEB7B51 59D05E0E-40E6860D 337D3CF6-77777777 66987A96-66B18054 02A3C8CD-42950E07 7285C1EF-6B47F184 605B210F-5B87599D 23102C52-77777777 11936778-5855679D 3E811789-42094007 7970C320-77EA15BF 65D8073A-6A512BFB 2C40EC3C-47113618 51B388EC-7A54FE7F 2302F3DA-29B44ECA 4C1AA87D-77777777 35BEA8CA-053F7095 6E5E1E01-6DCEA565 647F5238-2BAC0668 2BB1F74A-106DEF3B 65688D26-77777777 7B635CCE-1FD4F581 76FBDEA4-5EF5163F 379932BD-77777777 5180DABB-47DB1F25 59689356-017EA139 1BE92E80-71FBA839 2E8426B3-5E718C77 146BE12B-77777777 09A9E433-45269D0D 55A42722-7563E42B 3118C6DF-14354DC5 157E1C72-0382197F 2215F3C5-77777777 59F6D39C-3C469AA5 3F358271-2DEC3696 02D9F389-77777777 4E4EF535-7BA77B5D 2481476B-5BF533B0 0E9D88A0-68CCDED2 4BA1CBD0-168D101C 27848EE5-77777777 236ABBCA-3CAFB247 50B2EAA1-3B5718CC 6AB57B5B-175F1D22 7AE00FCE-1E923986 00CB5291-77777777 2346FB71-6F28FA8B 132B3A67-6D20ED92 7C6C3DF5-77777777 187493D8-721DC02D 50A522E3-36ED5EB8 6A384E7B-4B57899E 4C1B9C76-784744E4 4726C7C1-77777777 35CA0125-612ADE81 219AAD9A-44A6E87C 6DF86BE7-5231ACEB 4602B986-4F4A3C4E 71941594-77777777 3DFA4BAD-1220A74D 590CCF0B-7528EC33 5B6FB1A3-77777777 1D1062FC-2CDD7895 1CAFE68A-56C3A556 232BF382-2AAAB8A6 05ECAE0F-727A7B10 1AEB5CAD-77777777 524F1431-5FD00EF2 3EC6703F-4BDA36C0 1DC66380-0D733F9E 5DCCEF8F-6E506883 1A0F3684-77777777 200F536D-09BEF1BE 54AB1934-4635FBF2 42F2C305-77777777 034C58F5-7D4CC569 381CCD79-195C380A 44035EFE-01DE8E7C 5C0E86B1-520CDD06 0FEF7EDE-77777777 71E2B894-52880EF1 21CFECDE-48B20346 69159D50-70347875 40BED817-5EE3ED5B 7474C338-77777777 2CFC1DAE-46C66DC2 3E722584-07002E47 3C1621A1-77777777 6E53135F-053E409D 4FA139B6-27FE0D27 772FE67D-584B5354 4D42923D-5CC8A644 32C36CA7-2FEF68B7 0E2C1BD6-189F55FF 4D349A10-33B2E291 4146FFA3-70AAA0BA 76072FED-7D40FD6B 0CC68851-77777777 533E7F1B-456D8ED5 37685096-5F0B656A 37E85712-77777777 1EFCA340-2A818B36 6265255E-5CE4E76B 5D5782C7-548EEAC8 729BDBDE-09D1DE9D 35DA0935-1DCFC5A3 08A013FE-5355EC59 002BBF22-2258FED5 6A368300-4B34E574 2950363F-5BC9DD2A 053DDFE4-77777777 322A24D7-170D55AD 31C2D6E4-1F9F025B 1ABAB0FD-77777777 3AF2C013-759C8E95 307FB117-47537632 2DB97E39-67EA3AF2 4A111027-1FE44D80 75F0D67D-33A73B52 33618095-147DFD72 3E8EA1AE-4070BF01 3A3DDB00-405C52DE 00DD69FB-484C82AC 49376686-77777777 06D1C5D0-1216E7F0 6D650030-15D42666 56C5311D-77777777 028DECA0-13CC94C4 19E52263-30E3EFC2 0664EE02-3371A88A 6895EB98-2A5B7F6A 7A0CE02D-736F1B92 5B012165-1333D1B7 556B140E-4601028B 1DFAF80F-2FCB56A7 07ED3A4D-720752A8 32E24DF3-77777777 3336EA8B-3C7D9AAA 2ED54309-389E7D3A 46798F5A-77777777 4502F3CD-6E6C3882 3664BC57-26C81B70 519A3763-65D15833 642359B6-2B31856E 0620CFCC-77777777 33D06E52-25D88BD4 5E2515E1-7F7906B3 073283C9-6102F431 4FC54DA0-400B290C 5F3FDAC0-77777777 4D825F7B-39A3357D 2FB7D99C-495EDCAF 3B23F1B1-5744FA18 1C8CD583-0C3B405E 76543088-5D013410 16D6B8A9-77777777 0FF6A899-48C0C3FE 5B0B8EC4-77777777 6570E020-6066882E 36530D2F-58833695 021A8BBF-3CD1E538 2B2D8A95-37F66201 0D2A4D0D-77777777 196B05CC-79BE6EA2 2ADA93D0-5B536F2E 1E654CDC-2ADD2FBF 123D7078-027D8BC8 6B3DEC3F-6BE066FD 419D1171-77777777 3BB254F5-19A72CDF 08314D48-77777777 666E7A3A-25681F85 3753F051-268DFD13 0E462ECF-30327E85 2A3726D3-4F6FC786 20D92680-77777777 1D4956B2-50563D95 45A6B8AB-39CA3468 28074C7E-77777777 442FA3C7-55E3158F 7B592699-00C22534 262AC899-77777777 0AB612B9-3D712FC4 0B051DFF-77777777 5E5C8133-1C2C8C23 1DD558E5-7408C9B1 50C7393B-102E873C 1CC01B17-357E7E7C 10DC094A-77777777 1F0B8D3C-600C3B92 645D1DBE-218FA722 634AF543-77777777 1E48FE83-493E58E7 339D63A8-06008F51 3804EB4A-77777777 39FFD60D-3A425A5B 7157EF14-77777777 557BB6AB-6406CD0E 061BA740-73F57E21 3499A7C4-2BF4B558 6DEBEFA7-05EB72A4 0F55DCB9-77777777 44F90AA3-26FA5F30 6C014CD7-1935EE06 08EDD7AF-77777777 7204CD08-37544503 16373245-726B76A1 5E9047CC-77777777 347CC0F2-1E911AF8 2B3DBAEA-77777777 7A385E6C-65DDC676 5F8B5702-08138060 0F8E9C6D-6F309EBD 7F95D8A4-05C5C7CC 32A50184-77777777 77DB291A-4DB15443 7F37FB0B-2119DA5F 21A6C9E3-77777777 0C659CE4-5440D7BF 0004EEFC-3746BDE2 5850D9B1-2FEF5F71 5466F947-0D2D51D0 3EDF6AA8-77777777 1C0B807B-1EA85149 004CB32C-3A432441 2AE22B60-3CD29713 19825336-6D13C7BA 37BF0940-77777777 71DE5134-0F370B18 36D29ACC-2DC4CC4C 48895927-77777777 155CB49F-1163F3DD 1276DC5F-0C593684 74F0EF77-77777777 02EC8B61-3FC461A1 0BA19B18-77777777 51C7A443-75FA75FC 72F56F2F-248D4CB2 34EC7F55-5BC3FDC9 4CB75DE7-41A6BEA4 319A3C1D-77777777 7EFE2F31-39D3D8F5 0500EC2C-78DE30AC 0F70F9FA-77777777 67402740-38DC7BEC 4DD02C7B-22F84CE8 4647517C-77777777 20EB9D10-6BE2268A 64EFD72B-77777777 601E754B-08EBFFE9 0B86B4F0-60C532BB 2641EF81-08382CC5 49D803E0-6FDDACFA 7F19740D-77777777 639EEFF0-49D2DF78 0E860219-78655C9D 460B37CC-77777777 523A6115-07DFDB04 4BC8D0CF-058B4CD1 71FF69CA-77777777 20CBCD89-5DED8028 4F922961-77777777 354A48AD-6E1A2634 7DD2F7E6-7C389245 409459B9-21506B29 217D37B4-4A8DE4EE 5BCEC5B0-77777777 1EA13D74-1F959DC9 2682CDDA-6367C298 031FE0AB-77777777 5832F9A7-1BA137BA 24D4814C-6989301F 077102B3-77777777 0DF72A2F-7B5A5A51 1BC518D4-77777777 73564791-252BD4BE 50047B9D-1D8D567E 212B9641-523BCE9A 57070C20-1642F131 44691C83-77777777 06BDBA78-026609E1 0F77B538-5B71D7F0 7E6FE0D5-397604E7 41C63956-7FA6EF46 1DBEED45-00A5B084 40A13E84-77777777 268E3328-5447C2D2 5A50FCA6-77777777 6FF94E4F-42365D12 4A3E1D04-3A9D5322 6F075C92-408AFFCA 4BEC0715-203010F5 38D8884C-77777777 27809551-3849CDB9 65F19304-2F83CA51 7FA1DE43-6DF54869 48A84761-75E7CCD1 658191C1-6B953F41 36C1933F-77777777 06BBC5F4-6009D39F 562E3954-77777777 465A21C2-58A964B0 0ACDEBF1-75888A07 60997AC6-1224236F 18E13593-08773784 12D104A6-77777777 408A639B-369CCBF9 77AC0947-0F701A97 1DECD2BE-5AB8CE59 4679045A-7ED10EB6 2C78F45C-79C9D3B5 3743434A-77777777 2FDF7DBA-740852BA 0AAD0B47-77777777 2B965D2A-352E48EA 4280DAD7-4BB008F5 78C7BCE5-3B547193 645847FD-3195F4B0 29CEA59B-60D8C712 07F87611-7759F426 77B3E5F9-50F84440 4B8A8A47-5F5F1B32 0483060D-5EA34619 4AC0D338-77AE386D 6273E82E-77777777 5D9E6220-7E5A8CD9 5718BD67-77777777 6B26F5A0-38C50D5E 50A9F9D4-7A9E9248 1177EBDA-305ECAC5 23E219DA-3F95AFB9 34067FE3-6C8322F9 6C5F36CE-7DE19155 7864EA13-519152DA 5274C719-4F246177 5B2D87A6-41BBFE21 284BF4FE-2EB8C177 05026D39-77777777 1E3BB893-72DA5498 25A4F4A5-77777777 444A2127-6411010B 6AE6AC62-7B61E0A7 4E753C0A-74F468D1 2E7015ED-5F660765 1D05F559-68369610 27AF4648-1127E4FE 08A21F6B-42889D72 4E9BF54E-0E0CE899 7EB8A381-2043E251 271FC52B-1565BB1D 08DBD9EB-77777777 3D8D6C18-3CEC3D7C 40E7B33D-77777777 13D41317-674E01C2 49ED0A5C-36A6627E 7CCC3A26-281D4EA5 25B33D52-075EE5BD 68443AB8-5EA0364F 38D51408-43506CCF 1C8D8D12-7F6B218E 7D69B869-4BF3350E 2FC3AE07-4C47264A 6BD58B49-66DE2947 7A4D58F1-77777777 33B61FA3-4DFF9809 0C88FB51-77777777 7E1DFE55-6094B44E 5FB2EDA6-43D602DB 4215F651-04386254 6E53F35C-0220F108 25AC0C81-44CB8271 609DDB3D-51DBFD31 546882E9-4E580E48 4872FA83-2328B9D9 454C7C7A-7F8D1671 78A47946-4F8FAB48 58CD5F60-77777777 2E729EDD-62A2DE7E 38F2DA2B-77777777 57A884A7-6C6E7D91 76F5DD1F-65D4054E 4B503FFD-11DC7541 5130E206-518AF203 5B5BF272-5A734E28 02412076-7D395572 7170D953-148A320B 114E4429-14AE9DD9 7A2A0AF7-09EA5D1C 7A661506-12DF441F 39417C4B-77777777 4661017C-1B8FEDED 56A6DADF-77777777 5A277C65-7F02B563 37DC114C-25F59C57 67CBBD03-5A7B755E 10906BF3-4D528717 0F8A0CDE-7215656E 2E94BC9F-60ECB97B 3E1C4DFB-39E11244 5EE86BE6-0A86845C 52CA183A-74948F0E 2FC8E091-68DADFBD 485BE860-77777777 419D7510-0240F118 4379FA3A-77777777 39816155-6590861A 337FC0B0-747574A0 5A95DA87-59080E84 470FEC5D-2521C97A 48EB901D-1C3B19E6 0E9B9BEA-225D5876 10048AB2-72175A6A 19498032-04F49384 411A53DC-106DD381 6034C108-35CBDDEF 62DE2A7E-690DEF64 440B4152-56A5B9CD 2A5679BF-77777777 5289665C-2ED5CB95 7C28B3F4-5AEFF25D 4A9951AC-4231AE74 408CA45B-06FE7BB9 6E8A158A-6BDD2B0A 11894995-6057AEAA 42695135-1EC91FBD 5D5D44AE-24D347F0 41798601-1ED4A672 02AEB623-4EC36866 038E1849-77777777 68883AF4-5F023276 1197338A-77777777 70A0F4BF-587B9774 69DA2564-186E321B 681D0328-5684FE0A 70D95DA5-4712A35E 5DEA677E-31122FE8 43C19A83-7256CAE8 049143D7-21C49A32 53E43445-0E5C2B83 7681F9EE-06B311A8 348619C8-5776C488 1797EDDE-77777777 3F4578F5-1EB918C0 52243B4B-77777777 53039A51-00FDEEAD 4C43E8BF-28BA0B29 25EA8B33-044AF319 6444C0A0-4A5CC4D6 3C9EA0C7-63F81128 5283683E-3EB711BC 2C8AC64A-103029D9 62E5D01C-22C2276D 7D984700-0D6F3FEA 160505AD-7CA20CC3 59B785DA-77777777 55F9C06B-4F592D8B 68D12415-77777777 3A6221DB-7FF3BA23 61B99B6F-4438D184 1D7462EE-52CA9815 288CD91A-41394362 3E7183E0-4CDAD3B4 1EFCCE46-01F876B6 23DD0284-33EEE12F 70B64922-6E41A356 5E721F84-2D55D52E 788D7BF2-3CF8193C 66D8DB70-077845D3 6140BAD7-679BBC69 1C22BFDA-02B45B4B 7C26D500-6C91AFE1 78C653C9-2C154B18 5473C20C-47EE910A 6B8950B6-263F04C0 0DEA385A-5AA6049A 0E0AC70F-2E0B7365 6D808D44-0856AF4E 77B848DC-008FED00 59AAD76C-2C83CC2D 3B4943A8-14ED495F 04B56524-772327ED 1925AAF7-60F8FB5B 1B98035C-77777777 157C4411-11F81D19 03633097-4CAD8A0A 5C1EFC0D-5983BC7D 7FC32F8F-77777777 7004FDD6-77777777 5ADBC9AC-1DFE511D 39FFF64C-309FB6A2 07152698-7A2E3A7E 174B910C-67A18DBD 4E63F69C-0FADBD80 6F0EDE90-0D8CE617 42E16CA4-074B6B1F 26F5225F-636F3CAA 3B8EF5CF-2DAA5A06 25344AF7-1D4424D0 0E003E37-7B4C5970 622C9EE6-3A5F7AE7 5AA3E7E8-3B1025E8 64D8CE18-5D0499FA 1076E3C1-5E419EB4 3C0C255A-758B17CF 3901B70D-741D5AEE 11D840E5-25364AAF 5614710B-16724B37 6941A602-2EDBD68B 168A93F7-42C26A76 5D5B1A29-377B1426 375D0F64-39BC3F11 08244FB1-07C0C322 7411DD0A-090AB437 6C59BB1F-7AB052AE 62ED88FB-05CC50F6 4DACE28B-5960DFF6 7C7BD4C5-747CB8DB 359E8772-6FCC9740 437956F0-0A4AA26C 21091E2A-16D36F75 75D6F717-4867A30F 52D21248-4AE76232 051234D3-6C45AD6C 2681377B-29AEF9A6 463A1F55-38AC14D8 3ED0DBD1-3CA87D82 7087EB47-481AFE2C 295A01F3-1646E7F1 7D098431-393CB55C 71213F7D-690655B9 07E5E2FF-4E95B414 19420DA2-3313891A 1611ADC9-0F7F7DB2 3F44B8C2-2905C193 62CC2D3C-602A31CA 4DF040F8-5CDFE8CF 14F952B2-14F3472F 3BE64005-53FEA4D3 37D4FF37-4DC4FA02 014FA984-6B0608D1 6826D9D5-618D35C8 357FB904-01551D3D 406BC81E-18B80096 01E90B62-394F6FFF 646651F7-37886460 446366BF-067F9AE8 4DA3E2B1-65FB3682 233C8921-68667C90 64656EE2-3EC588B0 225BC146-3B19A2C0 1E00C3E4-71670605 1E67BDA0-61857F48 0CE254A8-5970DDB3 61D666FA-59F5EF1F 2D6F1756-185EE422 19DF18D5-4AE362F6 1EC86E03-10584406 0A311946-253646B0 498FD488-0B6298A3 2DD94983-2E42A3BB 03E5F3D8-4D9015F3 27C8635C-2BA6DD07 72968BAE-6086661A 14799484-3B7A0F8A 17433AA3-54B2EB3C 092D38EA-6EF74F49 70A15BC5-1F07D8D3 794A81E2-20A99257 3A65BBE7-245FDFF6 6BE6700C-0D1F975E 0671BFA4-0B15E747 54D1A689-0FFEB111 09EEA9D7-38DB8A54 23F6414C-59569859 13C6712B-6256535A 3EF04D25-6A1F7462 23CC6C12-53C0BC93 745AAA07-240F3F9A 2704F864-24C88541 04B9EB40-7807B582 6B829E56-5ACB2FC4 0D0129E7-3FF44FA4 2B523D6A-7897DBBE 0D0AD577-1AA00D77 73ABFFEB-09313B44 2885E015-40BB598C 152EA853-68FD5341 39FC2A6E-6E673263 19F4933B-0804FAB3 56C10D08-42126CE2 5F543E3C-2753748D 3DE4668E-57E7FB5B 7E3F187E-79A2C96B 559BA1D8-7515F545 6C1572AE-02F30CF5 0DDD72C7-666F4B61 0388EF9F-56ABB70E 375D6A7F-149A86BB 37F2320B-646E9412 6176A2CA-072F63F7 1F501493-401ABEC4 5E32022C-5D153C58 373AFBB9-0133546E 6CD7C6EA-12B8DF54 2CF6EFA0-595C4772 1853A744-442DC784 5029A75F-293AA3EE 6906B73C-2B4BEA65 41B05CD4-1A6BFD8F 25E5F74D-3BEB1AC3 6011CC5C-49AF9C21 25D9C4F6-456E6D14 2E65CC30-385B619F 12571778-24BCE3EF 613187B0-71058BF1 442F5D34-7D811320 68176DCD-5BC7A184 65DC5079-148C3E91 64C9C874-7CD69EFF 2C1BF8BC-6348EC95 48222208-7FA8FAE6 60806FA9-10AE438B 0CBC74D5-509EA5FB 34DABD76-0861D3E3 46A3268B-2C0A5B45 7C0A71B1-245C3B90 3EF6EDEC-71526612 22125C7D-0165C075 3572F483-3795045F 161B1BE9-6AD58F5F 1178FF62-0122C338 69EA0F37-1DEA132B 5356AF29-37EE2293 3F8A8D3D-45B145F5 15FBF40C-2DA7E66E 7DCE281A-3CD598B4 68E5730A-694FFCEB 457B41BD-3CA6A0CF 23E10856-1D3FCE73 0B097FFF-5F73EC14 06800852-7D34B505 78CBEB7B-6A118763 58BF1843-33DFD181 3612B6A1-3D83C37F 06F514BC-02EFB383 03292666-40C649EF 52E54B82-2C751B24 418EAC91-120F2926 197F1790-6AAA60AF 3BB79D78-254BF729 1D61213E-239F0B09 3244FB26-6E55B4B6 1B63C06A-69029BA2 5CD973A7-241976E3 58E3E86F-27771706 3A58D9D1-7FF29E8E 7DA90B8D-19B9A15A 592D1E40-016FC59A 7F8C7CA0-1EBB0C99 4B95EFD9-37FC587F 521F3D0F-66DBD8C7 13765180-1B182B07 45AB32C8-08DF0963 53C7F035-09377221 3856FB05-2F221383 7BE8B984-495352EB 758692DD-6F77D4D8 46BD1DEC-1CA0E268 6031C751-631A6BDF 70B84D6F-07A93DC8 5B9608CB-632D5BAA 25DC42CB-02B3C720 0DFB2091-45EAC335 761D24B4-5A4FA504 00FAF5AA-5E226E49 36AF2744-3C7A765A 7882317E-5F5C927B 35B1B99E-7D6C6F97 461D1D82-69EDC514 6601DD2A-59E1EA13 708E8566-787BA908 26A07E89-5ECE5D0E 3B4C3905-61AE72F2 76344DC1-6D883F2E 4F97D641-3508E01B 0F036018-6E878B3A 4624056D-7C7C9037 6EF103A8-24AF838A 2F2634CD-6A9BCB8F 67C45E2F-5C8CBEFB 7B8D50E4-51B59A2C 776529F2-5526D8E5 7F071123-763EB04F 4D295F07-0A4C9BB2 040F8211-3EE85E21 61FD7634-2C493093 53AC934A-1815539A 1E9B5507-678A2A33 7E046AE5-44C90D03 0A85CD41-77777777 5ADBC9AC-1DFE511D 39FFF64C-309FB6A2 07152698-7A2E3A7E 174B910C-67A18DBD 4E63F69C-0FADBD80 6F0EDE90-0D8CE61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29"/>
    <w:multiLevelType w:val="hybridMultilevel"/>
    <w:tmpl w:val="6DD60F3C"/>
    <w:lvl w:ilvl="0" w:tplc="1409000F">
      <w:start w:val="1"/>
      <w:numFmt w:val="decimal"/>
      <w:lvlText w:val="%1."/>
      <w:lvlJc w:val="left"/>
      <w:pPr>
        <w:tabs>
          <w:tab w:val="num" w:pos="2520"/>
        </w:tabs>
        <w:ind w:left="2520" w:hanging="360"/>
      </w:pPr>
      <w:rPr>
        <w:rFont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7156761"/>
    <w:multiLevelType w:val="singleLevel"/>
    <w:tmpl w:val="CD12D14E"/>
    <w:lvl w:ilvl="0">
      <w:start w:val="1"/>
      <w:numFmt w:val="bullet"/>
      <w:lvlText w:val=""/>
      <w:lvlJc w:val="left"/>
      <w:pPr>
        <w:tabs>
          <w:tab w:val="num" w:pos="1607"/>
        </w:tabs>
        <w:ind w:left="1588" w:hanging="341"/>
      </w:pPr>
      <w:rPr>
        <w:rFonts w:ascii="Symbol" w:hAnsi="Symbol" w:hint="default"/>
      </w:rPr>
    </w:lvl>
  </w:abstractNum>
  <w:abstractNum w:abstractNumId="2" w15:restartNumberingAfterBreak="0">
    <w:nsid w:val="0BDB7298"/>
    <w:multiLevelType w:val="hybridMultilevel"/>
    <w:tmpl w:val="AAFC2976"/>
    <w:lvl w:ilvl="0" w:tplc="A8124D2A">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DE427BE"/>
    <w:multiLevelType w:val="hybridMultilevel"/>
    <w:tmpl w:val="BFC46B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E838B4"/>
    <w:multiLevelType w:val="hybridMultilevel"/>
    <w:tmpl w:val="33D83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A14AB"/>
    <w:multiLevelType w:val="hybridMultilevel"/>
    <w:tmpl w:val="82B626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9F67BD"/>
    <w:multiLevelType w:val="multilevel"/>
    <w:tmpl w:val="2EEC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F7E5B"/>
    <w:multiLevelType w:val="hybridMultilevel"/>
    <w:tmpl w:val="7960E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91A53"/>
    <w:multiLevelType w:val="hybridMultilevel"/>
    <w:tmpl w:val="A566BF24"/>
    <w:lvl w:ilvl="0" w:tplc="6A70BEDC">
      <w:numFmt w:val="bullet"/>
      <w:lvlText w:val="-"/>
      <w:lvlJc w:val="left"/>
      <w:pPr>
        <w:ind w:left="405" w:hanging="360"/>
      </w:pPr>
      <w:rPr>
        <w:rFonts w:ascii="Times New Roman" w:eastAsia="Times New Roman"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9" w15:restartNumberingAfterBreak="0">
    <w:nsid w:val="205D5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72776"/>
    <w:multiLevelType w:val="hybridMultilevel"/>
    <w:tmpl w:val="481A9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DA415F"/>
    <w:multiLevelType w:val="hybridMultilevel"/>
    <w:tmpl w:val="31201C38"/>
    <w:lvl w:ilvl="0" w:tplc="34309B42">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298763A5"/>
    <w:multiLevelType w:val="hybridMultilevel"/>
    <w:tmpl w:val="FBFC96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C3D5415"/>
    <w:multiLevelType w:val="hybridMultilevel"/>
    <w:tmpl w:val="DC0A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A11539"/>
    <w:multiLevelType w:val="hybridMultilevel"/>
    <w:tmpl w:val="0DBC48D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37587890"/>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3C2B1055"/>
    <w:multiLevelType w:val="hybridMultilevel"/>
    <w:tmpl w:val="74AA3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076CB2"/>
    <w:multiLevelType w:val="hybridMultilevel"/>
    <w:tmpl w:val="7CD09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AA3B72"/>
    <w:multiLevelType w:val="hybridMultilevel"/>
    <w:tmpl w:val="B344A8EC"/>
    <w:lvl w:ilvl="0" w:tplc="9282F91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5CE303D"/>
    <w:multiLevelType w:val="multilevel"/>
    <w:tmpl w:val="EBD87A92"/>
    <w:lvl w:ilvl="0">
      <w:start w:val="1"/>
      <w:numFmt w:val="decimal"/>
      <w:pStyle w:val="Heading1"/>
      <w:lvlText w:val="%1"/>
      <w:lvlJc w:val="left"/>
      <w:pPr>
        <w:ind w:left="432" w:hanging="432"/>
      </w:pPr>
      <w:rPr>
        <w:rFonts w:hint="default"/>
        <w:b/>
        <w:i w:val="0"/>
        <w:sz w:val="28"/>
      </w:rPr>
    </w:lvl>
    <w:lvl w:ilvl="1">
      <w:start w:val="1"/>
      <w:numFmt w:val="decimal"/>
      <w:pStyle w:val="Heading2"/>
      <w:lvlText w:val="%1.%2"/>
      <w:lvlJc w:val="left"/>
      <w:pPr>
        <w:ind w:left="256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7204A5D"/>
    <w:multiLevelType w:val="hybridMultilevel"/>
    <w:tmpl w:val="1C60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E62B76"/>
    <w:multiLevelType w:val="hybridMultilevel"/>
    <w:tmpl w:val="851AC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E5886"/>
    <w:multiLevelType w:val="hybridMultilevel"/>
    <w:tmpl w:val="01E8735E"/>
    <w:lvl w:ilvl="0" w:tplc="14090001">
      <w:start w:val="1"/>
      <w:numFmt w:val="bullet"/>
      <w:lvlText w:val=""/>
      <w:lvlJc w:val="left"/>
      <w:pPr>
        <w:ind w:left="720" w:hanging="360"/>
      </w:pPr>
      <w:rPr>
        <w:rFonts w:ascii="Symbol" w:hAnsi="Symbol" w:hint="default"/>
      </w:rPr>
    </w:lvl>
    <w:lvl w:ilvl="1" w:tplc="788C37BA">
      <w:numFmt w:val="bullet"/>
      <w:lvlText w:val="•"/>
      <w:lvlJc w:val="left"/>
      <w:pPr>
        <w:ind w:left="1500" w:hanging="420"/>
      </w:pPr>
      <w:rPr>
        <w:rFonts w:ascii="Times New Roman" w:eastAsiaTheme="minorHAnsi"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1909E3"/>
    <w:multiLevelType w:val="hybridMultilevel"/>
    <w:tmpl w:val="5DBA1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7E1230"/>
    <w:multiLevelType w:val="hybridMultilevel"/>
    <w:tmpl w:val="C8BEA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EC3ACE"/>
    <w:multiLevelType w:val="hybridMultilevel"/>
    <w:tmpl w:val="4664FCFE"/>
    <w:lvl w:ilvl="0" w:tplc="FFFFFFFF">
      <w:start w:val="1"/>
      <w:numFmt w:val="bullet"/>
      <w:lvlText w:val=""/>
      <w:lvlJc w:val="left"/>
      <w:pPr>
        <w:tabs>
          <w:tab w:val="num" w:pos="0"/>
        </w:tabs>
        <w:ind w:left="149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264FD"/>
    <w:multiLevelType w:val="hybridMultilevel"/>
    <w:tmpl w:val="E75695E6"/>
    <w:lvl w:ilvl="0" w:tplc="447E19E6">
      <w:start w:val="1"/>
      <w:numFmt w:val="decimal"/>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6D4259E1"/>
    <w:multiLevelType w:val="hybridMultilevel"/>
    <w:tmpl w:val="B77A5ECC"/>
    <w:lvl w:ilvl="0" w:tplc="C5B8AADA">
      <w:start w:val="1"/>
      <w:numFmt w:val="bullet"/>
      <w:lvlText w:val=""/>
      <w:lvlJc w:val="left"/>
      <w:pPr>
        <w:ind w:left="2706" w:hanging="360"/>
      </w:pPr>
      <w:rPr>
        <w:rFonts w:ascii="Symbol" w:hAnsi="Symbol" w:hint="default"/>
        <w:sz w:val="18"/>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num w:numId="1" w16cid:durableId="1826507543">
    <w:abstractNumId w:val="15"/>
  </w:num>
  <w:num w:numId="2" w16cid:durableId="444085092">
    <w:abstractNumId w:val="17"/>
  </w:num>
  <w:num w:numId="3" w16cid:durableId="1812285956">
    <w:abstractNumId w:val="18"/>
  </w:num>
  <w:num w:numId="4" w16cid:durableId="736591444">
    <w:abstractNumId w:val="2"/>
  </w:num>
  <w:num w:numId="5" w16cid:durableId="1941571934">
    <w:abstractNumId w:val="14"/>
  </w:num>
  <w:num w:numId="6" w16cid:durableId="232475130">
    <w:abstractNumId w:val="19"/>
  </w:num>
  <w:num w:numId="7" w16cid:durableId="1031035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8595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385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56729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2814821">
    <w:abstractNumId w:val="12"/>
  </w:num>
  <w:num w:numId="12" w16cid:durableId="1000931888">
    <w:abstractNumId w:val="0"/>
  </w:num>
  <w:num w:numId="13" w16cid:durableId="1652950472">
    <w:abstractNumId w:val="1"/>
  </w:num>
  <w:num w:numId="14" w16cid:durableId="169609589">
    <w:abstractNumId w:val="25"/>
  </w:num>
  <w:num w:numId="15" w16cid:durableId="1435704606">
    <w:abstractNumId w:val="11"/>
  </w:num>
  <w:num w:numId="16" w16cid:durableId="1573587570">
    <w:abstractNumId w:val="26"/>
  </w:num>
  <w:num w:numId="17" w16cid:durableId="504830278">
    <w:abstractNumId w:val="20"/>
  </w:num>
  <w:num w:numId="18" w16cid:durableId="2083091890">
    <w:abstractNumId w:val="23"/>
  </w:num>
  <w:num w:numId="19" w16cid:durableId="1953244171">
    <w:abstractNumId w:val="22"/>
  </w:num>
  <w:num w:numId="20" w16cid:durableId="1368334315">
    <w:abstractNumId w:val="9"/>
  </w:num>
  <w:num w:numId="21" w16cid:durableId="258173173">
    <w:abstractNumId w:val="13"/>
  </w:num>
  <w:num w:numId="22" w16cid:durableId="367148967">
    <w:abstractNumId w:val="3"/>
  </w:num>
  <w:num w:numId="23" w16cid:durableId="1279020876">
    <w:abstractNumId w:val="27"/>
  </w:num>
  <w:num w:numId="24" w16cid:durableId="503055533">
    <w:abstractNumId w:val="5"/>
  </w:num>
  <w:num w:numId="25" w16cid:durableId="2071951669">
    <w:abstractNumId w:val="8"/>
  </w:num>
  <w:num w:numId="26" w16cid:durableId="1022321832">
    <w:abstractNumId w:val="24"/>
  </w:num>
  <w:num w:numId="27" w16cid:durableId="919945995">
    <w:abstractNumId w:val="10"/>
  </w:num>
  <w:num w:numId="28" w16cid:durableId="268707848">
    <w:abstractNumId w:val="21"/>
  </w:num>
  <w:num w:numId="29" w16cid:durableId="607398598">
    <w:abstractNumId w:val="7"/>
  </w:num>
  <w:num w:numId="30" w16cid:durableId="1367829886">
    <w:abstractNumId w:val="4"/>
  </w:num>
  <w:num w:numId="31" w16cid:durableId="662857021">
    <w:abstractNumId w:val="16"/>
  </w:num>
  <w:num w:numId="32" w16cid:durableId="10786760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6ACF4B-DAEF-49E8-935F-9ACF3D720E2E}"/>
    <w:docVar w:name="dgnword-eventsink" w:val="204526608"/>
  </w:docVars>
  <w:rsids>
    <w:rsidRoot w:val="000E4A6F"/>
    <w:rsid w:val="00000773"/>
    <w:rsid w:val="000008E0"/>
    <w:rsid w:val="0000096F"/>
    <w:rsid w:val="000015AF"/>
    <w:rsid w:val="00001BB4"/>
    <w:rsid w:val="00002163"/>
    <w:rsid w:val="0000245D"/>
    <w:rsid w:val="00002598"/>
    <w:rsid w:val="00002653"/>
    <w:rsid w:val="00002928"/>
    <w:rsid w:val="0000356C"/>
    <w:rsid w:val="000036A2"/>
    <w:rsid w:val="00003896"/>
    <w:rsid w:val="00003B36"/>
    <w:rsid w:val="00003E5D"/>
    <w:rsid w:val="00004096"/>
    <w:rsid w:val="000042B2"/>
    <w:rsid w:val="00004D3C"/>
    <w:rsid w:val="0000574C"/>
    <w:rsid w:val="0000586E"/>
    <w:rsid w:val="00005A83"/>
    <w:rsid w:val="00005AA1"/>
    <w:rsid w:val="00005B65"/>
    <w:rsid w:val="00005C7B"/>
    <w:rsid w:val="00006148"/>
    <w:rsid w:val="00006B87"/>
    <w:rsid w:val="00006C8F"/>
    <w:rsid w:val="00006EB2"/>
    <w:rsid w:val="0000788F"/>
    <w:rsid w:val="00007A8A"/>
    <w:rsid w:val="00010588"/>
    <w:rsid w:val="000105F6"/>
    <w:rsid w:val="00010849"/>
    <w:rsid w:val="00010BF6"/>
    <w:rsid w:val="00011636"/>
    <w:rsid w:val="0001179D"/>
    <w:rsid w:val="00012454"/>
    <w:rsid w:val="00012F69"/>
    <w:rsid w:val="00013E40"/>
    <w:rsid w:val="00014659"/>
    <w:rsid w:val="000149DB"/>
    <w:rsid w:val="00015476"/>
    <w:rsid w:val="000155A2"/>
    <w:rsid w:val="000155AC"/>
    <w:rsid w:val="00015784"/>
    <w:rsid w:val="00015CD2"/>
    <w:rsid w:val="0001607A"/>
    <w:rsid w:val="000160A6"/>
    <w:rsid w:val="00016348"/>
    <w:rsid w:val="000163C5"/>
    <w:rsid w:val="00016F01"/>
    <w:rsid w:val="00017240"/>
    <w:rsid w:val="000175F4"/>
    <w:rsid w:val="0001783A"/>
    <w:rsid w:val="00017BA5"/>
    <w:rsid w:val="00017F79"/>
    <w:rsid w:val="00020C77"/>
    <w:rsid w:val="00020D55"/>
    <w:rsid w:val="00020DB3"/>
    <w:rsid w:val="000213A6"/>
    <w:rsid w:val="000219F7"/>
    <w:rsid w:val="00021B0A"/>
    <w:rsid w:val="000238BA"/>
    <w:rsid w:val="0002399A"/>
    <w:rsid w:val="00023B38"/>
    <w:rsid w:val="00023F1F"/>
    <w:rsid w:val="00024031"/>
    <w:rsid w:val="0002415D"/>
    <w:rsid w:val="00025028"/>
    <w:rsid w:val="00025790"/>
    <w:rsid w:val="00025998"/>
    <w:rsid w:val="00025B99"/>
    <w:rsid w:val="00025E54"/>
    <w:rsid w:val="00025EFE"/>
    <w:rsid w:val="00026322"/>
    <w:rsid w:val="00026CFD"/>
    <w:rsid w:val="00027503"/>
    <w:rsid w:val="00027A89"/>
    <w:rsid w:val="0003038F"/>
    <w:rsid w:val="0003068A"/>
    <w:rsid w:val="00030C8F"/>
    <w:rsid w:val="0003101F"/>
    <w:rsid w:val="0003149A"/>
    <w:rsid w:val="000317A4"/>
    <w:rsid w:val="0003211C"/>
    <w:rsid w:val="0003246F"/>
    <w:rsid w:val="00033747"/>
    <w:rsid w:val="000337BE"/>
    <w:rsid w:val="00033AF7"/>
    <w:rsid w:val="00033B3F"/>
    <w:rsid w:val="00033EAB"/>
    <w:rsid w:val="00033F16"/>
    <w:rsid w:val="000345D7"/>
    <w:rsid w:val="0003469C"/>
    <w:rsid w:val="000348CA"/>
    <w:rsid w:val="00034C48"/>
    <w:rsid w:val="00034E2C"/>
    <w:rsid w:val="00034FCE"/>
    <w:rsid w:val="0003509D"/>
    <w:rsid w:val="0003524A"/>
    <w:rsid w:val="000353D6"/>
    <w:rsid w:val="00035841"/>
    <w:rsid w:val="00036954"/>
    <w:rsid w:val="00036CA8"/>
    <w:rsid w:val="000370DE"/>
    <w:rsid w:val="00037469"/>
    <w:rsid w:val="000375D8"/>
    <w:rsid w:val="000377F6"/>
    <w:rsid w:val="00037858"/>
    <w:rsid w:val="000401F0"/>
    <w:rsid w:val="0004023E"/>
    <w:rsid w:val="000408A3"/>
    <w:rsid w:val="000408D3"/>
    <w:rsid w:val="00041154"/>
    <w:rsid w:val="000412AA"/>
    <w:rsid w:val="00041829"/>
    <w:rsid w:val="00041D01"/>
    <w:rsid w:val="00041D58"/>
    <w:rsid w:val="00041F2D"/>
    <w:rsid w:val="00042098"/>
    <w:rsid w:val="000420C9"/>
    <w:rsid w:val="0004261D"/>
    <w:rsid w:val="000434A9"/>
    <w:rsid w:val="00043D47"/>
    <w:rsid w:val="000444D8"/>
    <w:rsid w:val="0004451A"/>
    <w:rsid w:val="00044643"/>
    <w:rsid w:val="000446ED"/>
    <w:rsid w:val="00044951"/>
    <w:rsid w:val="00044E38"/>
    <w:rsid w:val="0004550C"/>
    <w:rsid w:val="00045814"/>
    <w:rsid w:val="00045BD3"/>
    <w:rsid w:val="00045BE0"/>
    <w:rsid w:val="000460E8"/>
    <w:rsid w:val="00046F00"/>
    <w:rsid w:val="0004707F"/>
    <w:rsid w:val="000470FE"/>
    <w:rsid w:val="00047187"/>
    <w:rsid w:val="00047222"/>
    <w:rsid w:val="00047702"/>
    <w:rsid w:val="0004773B"/>
    <w:rsid w:val="00047B6D"/>
    <w:rsid w:val="00047DB8"/>
    <w:rsid w:val="00047E81"/>
    <w:rsid w:val="00050170"/>
    <w:rsid w:val="00050B74"/>
    <w:rsid w:val="00050D05"/>
    <w:rsid w:val="00051160"/>
    <w:rsid w:val="00051242"/>
    <w:rsid w:val="00051250"/>
    <w:rsid w:val="000514B5"/>
    <w:rsid w:val="00051562"/>
    <w:rsid w:val="000520FA"/>
    <w:rsid w:val="000521C8"/>
    <w:rsid w:val="0005256C"/>
    <w:rsid w:val="00052805"/>
    <w:rsid w:val="00054913"/>
    <w:rsid w:val="00054929"/>
    <w:rsid w:val="000549D5"/>
    <w:rsid w:val="00054ACC"/>
    <w:rsid w:val="00054F79"/>
    <w:rsid w:val="00054FAA"/>
    <w:rsid w:val="000550EE"/>
    <w:rsid w:val="000550F5"/>
    <w:rsid w:val="00055126"/>
    <w:rsid w:val="000555F0"/>
    <w:rsid w:val="00055698"/>
    <w:rsid w:val="000557E4"/>
    <w:rsid w:val="0005683A"/>
    <w:rsid w:val="00056A4B"/>
    <w:rsid w:val="00057355"/>
    <w:rsid w:val="000578F8"/>
    <w:rsid w:val="00057AE7"/>
    <w:rsid w:val="00060467"/>
    <w:rsid w:val="00060555"/>
    <w:rsid w:val="00060565"/>
    <w:rsid w:val="00060F76"/>
    <w:rsid w:val="00061852"/>
    <w:rsid w:val="00061F18"/>
    <w:rsid w:val="00062289"/>
    <w:rsid w:val="000623A9"/>
    <w:rsid w:val="00062975"/>
    <w:rsid w:val="00063276"/>
    <w:rsid w:val="00063C12"/>
    <w:rsid w:val="000641F1"/>
    <w:rsid w:val="00064B66"/>
    <w:rsid w:val="00064E5B"/>
    <w:rsid w:val="00065191"/>
    <w:rsid w:val="00065714"/>
    <w:rsid w:val="00065795"/>
    <w:rsid w:val="0006590F"/>
    <w:rsid w:val="00065C96"/>
    <w:rsid w:val="00065FD4"/>
    <w:rsid w:val="000664E9"/>
    <w:rsid w:val="000669B9"/>
    <w:rsid w:val="00067B0E"/>
    <w:rsid w:val="00067BEA"/>
    <w:rsid w:val="00067D25"/>
    <w:rsid w:val="00070281"/>
    <w:rsid w:val="000705AE"/>
    <w:rsid w:val="00071062"/>
    <w:rsid w:val="00071AD1"/>
    <w:rsid w:val="00071BB7"/>
    <w:rsid w:val="000720A0"/>
    <w:rsid w:val="000723A3"/>
    <w:rsid w:val="000723DE"/>
    <w:rsid w:val="00072803"/>
    <w:rsid w:val="00073128"/>
    <w:rsid w:val="00073384"/>
    <w:rsid w:val="0007342B"/>
    <w:rsid w:val="00073466"/>
    <w:rsid w:val="0007373D"/>
    <w:rsid w:val="000737E1"/>
    <w:rsid w:val="00073B64"/>
    <w:rsid w:val="00074007"/>
    <w:rsid w:val="000744B7"/>
    <w:rsid w:val="00074AAB"/>
    <w:rsid w:val="00074DC7"/>
    <w:rsid w:val="000751E1"/>
    <w:rsid w:val="00075200"/>
    <w:rsid w:val="00075468"/>
    <w:rsid w:val="00075750"/>
    <w:rsid w:val="000757E4"/>
    <w:rsid w:val="0007587D"/>
    <w:rsid w:val="000760F3"/>
    <w:rsid w:val="00076800"/>
    <w:rsid w:val="000769F1"/>
    <w:rsid w:val="00076B2C"/>
    <w:rsid w:val="00076C80"/>
    <w:rsid w:val="00077543"/>
    <w:rsid w:val="000775AF"/>
    <w:rsid w:val="0007764A"/>
    <w:rsid w:val="00077BB3"/>
    <w:rsid w:val="00077F2D"/>
    <w:rsid w:val="000800E6"/>
    <w:rsid w:val="000801D4"/>
    <w:rsid w:val="00080AA0"/>
    <w:rsid w:val="00080C09"/>
    <w:rsid w:val="00080DE4"/>
    <w:rsid w:val="00080DE9"/>
    <w:rsid w:val="000814CA"/>
    <w:rsid w:val="000815FD"/>
    <w:rsid w:val="00081906"/>
    <w:rsid w:val="000825A5"/>
    <w:rsid w:val="0008264E"/>
    <w:rsid w:val="0008269D"/>
    <w:rsid w:val="00082F16"/>
    <w:rsid w:val="0008307F"/>
    <w:rsid w:val="000833D7"/>
    <w:rsid w:val="000837AC"/>
    <w:rsid w:val="00085F68"/>
    <w:rsid w:val="00086A50"/>
    <w:rsid w:val="00086D05"/>
    <w:rsid w:val="0008785B"/>
    <w:rsid w:val="000905A6"/>
    <w:rsid w:val="00090E80"/>
    <w:rsid w:val="00091329"/>
    <w:rsid w:val="000915E8"/>
    <w:rsid w:val="00091691"/>
    <w:rsid w:val="00091EAE"/>
    <w:rsid w:val="00092440"/>
    <w:rsid w:val="000924CC"/>
    <w:rsid w:val="00092603"/>
    <w:rsid w:val="00092C65"/>
    <w:rsid w:val="00092E1E"/>
    <w:rsid w:val="000930EB"/>
    <w:rsid w:val="00093858"/>
    <w:rsid w:val="0009443C"/>
    <w:rsid w:val="00094C6A"/>
    <w:rsid w:val="00095164"/>
    <w:rsid w:val="00095452"/>
    <w:rsid w:val="0009546D"/>
    <w:rsid w:val="000954B2"/>
    <w:rsid w:val="0009594D"/>
    <w:rsid w:val="00096198"/>
    <w:rsid w:val="00096514"/>
    <w:rsid w:val="000965FA"/>
    <w:rsid w:val="00096891"/>
    <w:rsid w:val="00096B02"/>
    <w:rsid w:val="000975AC"/>
    <w:rsid w:val="000978BC"/>
    <w:rsid w:val="00097F7C"/>
    <w:rsid w:val="00097FC8"/>
    <w:rsid w:val="000A04B8"/>
    <w:rsid w:val="000A0541"/>
    <w:rsid w:val="000A08A0"/>
    <w:rsid w:val="000A139F"/>
    <w:rsid w:val="000A1669"/>
    <w:rsid w:val="000A1792"/>
    <w:rsid w:val="000A179C"/>
    <w:rsid w:val="000A2143"/>
    <w:rsid w:val="000A2980"/>
    <w:rsid w:val="000A2B60"/>
    <w:rsid w:val="000A2F8C"/>
    <w:rsid w:val="000A3377"/>
    <w:rsid w:val="000A3BA6"/>
    <w:rsid w:val="000A430B"/>
    <w:rsid w:val="000A4608"/>
    <w:rsid w:val="000A4ACF"/>
    <w:rsid w:val="000A4ADE"/>
    <w:rsid w:val="000A4BFD"/>
    <w:rsid w:val="000A51B5"/>
    <w:rsid w:val="000A52CF"/>
    <w:rsid w:val="000A570E"/>
    <w:rsid w:val="000A60C0"/>
    <w:rsid w:val="000A6252"/>
    <w:rsid w:val="000A678A"/>
    <w:rsid w:val="000A6AAD"/>
    <w:rsid w:val="000A6C8C"/>
    <w:rsid w:val="000A74F5"/>
    <w:rsid w:val="000A762C"/>
    <w:rsid w:val="000A780E"/>
    <w:rsid w:val="000B082F"/>
    <w:rsid w:val="000B0B95"/>
    <w:rsid w:val="000B0DE8"/>
    <w:rsid w:val="000B0E56"/>
    <w:rsid w:val="000B1034"/>
    <w:rsid w:val="000B105B"/>
    <w:rsid w:val="000B15FD"/>
    <w:rsid w:val="000B16FA"/>
    <w:rsid w:val="000B1AAD"/>
    <w:rsid w:val="000B1D64"/>
    <w:rsid w:val="000B1D8C"/>
    <w:rsid w:val="000B2562"/>
    <w:rsid w:val="000B28B6"/>
    <w:rsid w:val="000B2B0C"/>
    <w:rsid w:val="000B2D42"/>
    <w:rsid w:val="000B300C"/>
    <w:rsid w:val="000B32E6"/>
    <w:rsid w:val="000B3A04"/>
    <w:rsid w:val="000B3E32"/>
    <w:rsid w:val="000B3E3D"/>
    <w:rsid w:val="000B4A2C"/>
    <w:rsid w:val="000B4AA4"/>
    <w:rsid w:val="000B5092"/>
    <w:rsid w:val="000B55EB"/>
    <w:rsid w:val="000B5860"/>
    <w:rsid w:val="000B5B80"/>
    <w:rsid w:val="000B5FEE"/>
    <w:rsid w:val="000B6182"/>
    <w:rsid w:val="000B6652"/>
    <w:rsid w:val="000B6688"/>
    <w:rsid w:val="000B7789"/>
    <w:rsid w:val="000C087D"/>
    <w:rsid w:val="000C0F7F"/>
    <w:rsid w:val="000C0FC5"/>
    <w:rsid w:val="000C11B8"/>
    <w:rsid w:val="000C1B66"/>
    <w:rsid w:val="000C1D19"/>
    <w:rsid w:val="000C1F3E"/>
    <w:rsid w:val="000C221F"/>
    <w:rsid w:val="000C24FE"/>
    <w:rsid w:val="000C2BDC"/>
    <w:rsid w:val="000C37B4"/>
    <w:rsid w:val="000C39D4"/>
    <w:rsid w:val="000C463E"/>
    <w:rsid w:val="000C4BB1"/>
    <w:rsid w:val="000C5122"/>
    <w:rsid w:val="000C5418"/>
    <w:rsid w:val="000C5BA2"/>
    <w:rsid w:val="000C5CFC"/>
    <w:rsid w:val="000C6673"/>
    <w:rsid w:val="000C6686"/>
    <w:rsid w:val="000C6C96"/>
    <w:rsid w:val="000C759B"/>
    <w:rsid w:val="000C7DF5"/>
    <w:rsid w:val="000D049E"/>
    <w:rsid w:val="000D0610"/>
    <w:rsid w:val="000D153F"/>
    <w:rsid w:val="000D1935"/>
    <w:rsid w:val="000D19B2"/>
    <w:rsid w:val="000D1AC0"/>
    <w:rsid w:val="000D1AF6"/>
    <w:rsid w:val="000D1E1B"/>
    <w:rsid w:val="000D2166"/>
    <w:rsid w:val="000D258B"/>
    <w:rsid w:val="000D2912"/>
    <w:rsid w:val="000D2ACB"/>
    <w:rsid w:val="000D39F2"/>
    <w:rsid w:val="000D4149"/>
    <w:rsid w:val="000D4780"/>
    <w:rsid w:val="000D4850"/>
    <w:rsid w:val="000D4E55"/>
    <w:rsid w:val="000D57BE"/>
    <w:rsid w:val="000D583B"/>
    <w:rsid w:val="000D5A5E"/>
    <w:rsid w:val="000D5CA7"/>
    <w:rsid w:val="000D6552"/>
    <w:rsid w:val="000D6CDB"/>
    <w:rsid w:val="000D77FC"/>
    <w:rsid w:val="000D7885"/>
    <w:rsid w:val="000D7B11"/>
    <w:rsid w:val="000D9500"/>
    <w:rsid w:val="000E07F1"/>
    <w:rsid w:val="000E0B19"/>
    <w:rsid w:val="000E1000"/>
    <w:rsid w:val="000E14C5"/>
    <w:rsid w:val="000E19D8"/>
    <w:rsid w:val="000E1F28"/>
    <w:rsid w:val="000E21A8"/>
    <w:rsid w:val="000E2701"/>
    <w:rsid w:val="000E29D7"/>
    <w:rsid w:val="000E304F"/>
    <w:rsid w:val="000E37FD"/>
    <w:rsid w:val="000E396B"/>
    <w:rsid w:val="000E3DDC"/>
    <w:rsid w:val="000E404A"/>
    <w:rsid w:val="000E40FE"/>
    <w:rsid w:val="000E4141"/>
    <w:rsid w:val="000E4455"/>
    <w:rsid w:val="000E44BE"/>
    <w:rsid w:val="000E48CF"/>
    <w:rsid w:val="000E4A6F"/>
    <w:rsid w:val="000E5B3F"/>
    <w:rsid w:val="000E5B4C"/>
    <w:rsid w:val="000E6939"/>
    <w:rsid w:val="000E6D79"/>
    <w:rsid w:val="000E6D9D"/>
    <w:rsid w:val="000E7152"/>
    <w:rsid w:val="000E730C"/>
    <w:rsid w:val="000E7954"/>
    <w:rsid w:val="000E7FB5"/>
    <w:rsid w:val="000F0020"/>
    <w:rsid w:val="000F063C"/>
    <w:rsid w:val="000F06F4"/>
    <w:rsid w:val="000F0850"/>
    <w:rsid w:val="000F0F9F"/>
    <w:rsid w:val="000F129A"/>
    <w:rsid w:val="000F1363"/>
    <w:rsid w:val="000F13DE"/>
    <w:rsid w:val="000F145C"/>
    <w:rsid w:val="000F1490"/>
    <w:rsid w:val="000F18E6"/>
    <w:rsid w:val="000F1AEC"/>
    <w:rsid w:val="000F2C60"/>
    <w:rsid w:val="000F2F4A"/>
    <w:rsid w:val="000F3021"/>
    <w:rsid w:val="000F3273"/>
    <w:rsid w:val="000F32F9"/>
    <w:rsid w:val="000F3451"/>
    <w:rsid w:val="000F3508"/>
    <w:rsid w:val="000F351E"/>
    <w:rsid w:val="000F3668"/>
    <w:rsid w:val="000F3AB4"/>
    <w:rsid w:val="000F4D84"/>
    <w:rsid w:val="000F4F01"/>
    <w:rsid w:val="000F5244"/>
    <w:rsid w:val="000F5868"/>
    <w:rsid w:val="000F58BD"/>
    <w:rsid w:val="000F6164"/>
    <w:rsid w:val="000F6514"/>
    <w:rsid w:val="000F66B1"/>
    <w:rsid w:val="000F6892"/>
    <w:rsid w:val="000F6ABD"/>
    <w:rsid w:val="000F6D44"/>
    <w:rsid w:val="000F71FC"/>
    <w:rsid w:val="000F7864"/>
    <w:rsid w:val="000F7A3C"/>
    <w:rsid w:val="000F7CEC"/>
    <w:rsid w:val="0010074B"/>
    <w:rsid w:val="00100CE7"/>
    <w:rsid w:val="00100CF8"/>
    <w:rsid w:val="00100EDA"/>
    <w:rsid w:val="0010121F"/>
    <w:rsid w:val="00101263"/>
    <w:rsid w:val="0010127E"/>
    <w:rsid w:val="0010143C"/>
    <w:rsid w:val="0010144A"/>
    <w:rsid w:val="001014CB"/>
    <w:rsid w:val="00101AA8"/>
    <w:rsid w:val="00102198"/>
    <w:rsid w:val="00102279"/>
    <w:rsid w:val="001024F2"/>
    <w:rsid w:val="001035DD"/>
    <w:rsid w:val="00103A13"/>
    <w:rsid w:val="00103D12"/>
    <w:rsid w:val="001046D8"/>
    <w:rsid w:val="00104B33"/>
    <w:rsid w:val="00104BBD"/>
    <w:rsid w:val="00104F40"/>
    <w:rsid w:val="00105A2C"/>
    <w:rsid w:val="00105AFF"/>
    <w:rsid w:val="00105D99"/>
    <w:rsid w:val="00106099"/>
    <w:rsid w:val="001066B6"/>
    <w:rsid w:val="00106787"/>
    <w:rsid w:val="00106895"/>
    <w:rsid w:val="00106A6F"/>
    <w:rsid w:val="00106AE5"/>
    <w:rsid w:val="00106B60"/>
    <w:rsid w:val="00106EC9"/>
    <w:rsid w:val="00106F56"/>
    <w:rsid w:val="0010723E"/>
    <w:rsid w:val="0010783B"/>
    <w:rsid w:val="0010789E"/>
    <w:rsid w:val="0010793D"/>
    <w:rsid w:val="00107ED5"/>
    <w:rsid w:val="001106CC"/>
    <w:rsid w:val="00110CB7"/>
    <w:rsid w:val="00110D92"/>
    <w:rsid w:val="00110FC0"/>
    <w:rsid w:val="00111432"/>
    <w:rsid w:val="00111AEB"/>
    <w:rsid w:val="00112056"/>
    <w:rsid w:val="001121AD"/>
    <w:rsid w:val="00112701"/>
    <w:rsid w:val="00112A15"/>
    <w:rsid w:val="00112B2B"/>
    <w:rsid w:val="0011306E"/>
    <w:rsid w:val="0011320F"/>
    <w:rsid w:val="00113DC8"/>
    <w:rsid w:val="00114089"/>
    <w:rsid w:val="00114864"/>
    <w:rsid w:val="00114D66"/>
    <w:rsid w:val="001156F8"/>
    <w:rsid w:val="0011596D"/>
    <w:rsid w:val="0011605B"/>
    <w:rsid w:val="00116283"/>
    <w:rsid w:val="0011659E"/>
    <w:rsid w:val="001165B5"/>
    <w:rsid w:val="001168CA"/>
    <w:rsid w:val="00116B3C"/>
    <w:rsid w:val="00116CC8"/>
    <w:rsid w:val="00116E7D"/>
    <w:rsid w:val="00117378"/>
    <w:rsid w:val="001177D8"/>
    <w:rsid w:val="001179A0"/>
    <w:rsid w:val="0011DF77"/>
    <w:rsid w:val="00120276"/>
    <w:rsid w:val="00120AB6"/>
    <w:rsid w:val="00120ACA"/>
    <w:rsid w:val="00120B3D"/>
    <w:rsid w:val="00120CAB"/>
    <w:rsid w:val="00121B25"/>
    <w:rsid w:val="00121BAD"/>
    <w:rsid w:val="00121BFA"/>
    <w:rsid w:val="00121C9A"/>
    <w:rsid w:val="00122237"/>
    <w:rsid w:val="0012234E"/>
    <w:rsid w:val="00122495"/>
    <w:rsid w:val="001224BB"/>
    <w:rsid w:val="001237B8"/>
    <w:rsid w:val="00123807"/>
    <w:rsid w:val="0012486F"/>
    <w:rsid w:val="00124AB5"/>
    <w:rsid w:val="001250DC"/>
    <w:rsid w:val="001252FD"/>
    <w:rsid w:val="001254E6"/>
    <w:rsid w:val="00125A0F"/>
    <w:rsid w:val="00125A27"/>
    <w:rsid w:val="00125B19"/>
    <w:rsid w:val="00125E33"/>
    <w:rsid w:val="0012649F"/>
    <w:rsid w:val="00126A6B"/>
    <w:rsid w:val="00126AC0"/>
    <w:rsid w:val="00126AD8"/>
    <w:rsid w:val="00126D85"/>
    <w:rsid w:val="00127667"/>
    <w:rsid w:val="0012770F"/>
    <w:rsid w:val="001277A1"/>
    <w:rsid w:val="00127A64"/>
    <w:rsid w:val="00130228"/>
    <w:rsid w:val="001306F9"/>
    <w:rsid w:val="0013082F"/>
    <w:rsid w:val="00130FD5"/>
    <w:rsid w:val="001315CA"/>
    <w:rsid w:val="00131B63"/>
    <w:rsid w:val="00131E33"/>
    <w:rsid w:val="001326E5"/>
    <w:rsid w:val="00132870"/>
    <w:rsid w:val="001334EC"/>
    <w:rsid w:val="00133E2F"/>
    <w:rsid w:val="00133F7B"/>
    <w:rsid w:val="00134116"/>
    <w:rsid w:val="0013416B"/>
    <w:rsid w:val="00134522"/>
    <w:rsid w:val="00134727"/>
    <w:rsid w:val="00134FE9"/>
    <w:rsid w:val="001351A3"/>
    <w:rsid w:val="00135443"/>
    <w:rsid w:val="00135498"/>
    <w:rsid w:val="0013563C"/>
    <w:rsid w:val="00135B14"/>
    <w:rsid w:val="00135B26"/>
    <w:rsid w:val="001360FE"/>
    <w:rsid w:val="001362D4"/>
    <w:rsid w:val="001365BE"/>
    <w:rsid w:val="00136884"/>
    <w:rsid w:val="00136A63"/>
    <w:rsid w:val="00136E33"/>
    <w:rsid w:val="00136EED"/>
    <w:rsid w:val="0013753A"/>
    <w:rsid w:val="001401AD"/>
    <w:rsid w:val="00140746"/>
    <w:rsid w:val="00140F52"/>
    <w:rsid w:val="00140F7C"/>
    <w:rsid w:val="00141201"/>
    <w:rsid w:val="00141289"/>
    <w:rsid w:val="001415AC"/>
    <w:rsid w:val="00141962"/>
    <w:rsid w:val="001419F1"/>
    <w:rsid w:val="00141C83"/>
    <w:rsid w:val="00141D7F"/>
    <w:rsid w:val="00141DF6"/>
    <w:rsid w:val="00142368"/>
    <w:rsid w:val="001423D0"/>
    <w:rsid w:val="00142421"/>
    <w:rsid w:val="0014242B"/>
    <w:rsid w:val="0014260E"/>
    <w:rsid w:val="001427DD"/>
    <w:rsid w:val="00142A46"/>
    <w:rsid w:val="00142AA6"/>
    <w:rsid w:val="00142E85"/>
    <w:rsid w:val="00142FE7"/>
    <w:rsid w:val="00143108"/>
    <w:rsid w:val="00143445"/>
    <w:rsid w:val="00143750"/>
    <w:rsid w:val="0014404F"/>
    <w:rsid w:val="0014465E"/>
    <w:rsid w:val="00145E34"/>
    <w:rsid w:val="0014629A"/>
    <w:rsid w:val="001463C2"/>
    <w:rsid w:val="00146521"/>
    <w:rsid w:val="00146533"/>
    <w:rsid w:val="00146BA4"/>
    <w:rsid w:val="00146E19"/>
    <w:rsid w:val="00146F97"/>
    <w:rsid w:val="001471B3"/>
    <w:rsid w:val="00150BDA"/>
    <w:rsid w:val="00150D0E"/>
    <w:rsid w:val="0015149C"/>
    <w:rsid w:val="001514A2"/>
    <w:rsid w:val="00151546"/>
    <w:rsid w:val="00151733"/>
    <w:rsid w:val="00151768"/>
    <w:rsid w:val="00152303"/>
    <w:rsid w:val="001524B4"/>
    <w:rsid w:val="001525B1"/>
    <w:rsid w:val="001526BA"/>
    <w:rsid w:val="0015287D"/>
    <w:rsid w:val="0015300B"/>
    <w:rsid w:val="00153321"/>
    <w:rsid w:val="00153CE5"/>
    <w:rsid w:val="00153E34"/>
    <w:rsid w:val="00153E75"/>
    <w:rsid w:val="001540EC"/>
    <w:rsid w:val="00154EE3"/>
    <w:rsid w:val="00154F33"/>
    <w:rsid w:val="001555E4"/>
    <w:rsid w:val="001557B7"/>
    <w:rsid w:val="0015580E"/>
    <w:rsid w:val="0015655B"/>
    <w:rsid w:val="001579A3"/>
    <w:rsid w:val="00160014"/>
    <w:rsid w:val="0016055E"/>
    <w:rsid w:val="0016173F"/>
    <w:rsid w:val="001617F7"/>
    <w:rsid w:val="001619E8"/>
    <w:rsid w:val="001620A2"/>
    <w:rsid w:val="001620C6"/>
    <w:rsid w:val="00162327"/>
    <w:rsid w:val="00162401"/>
    <w:rsid w:val="0016345B"/>
    <w:rsid w:val="001634B6"/>
    <w:rsid w:val="001639C3"/>
    <w:rsid w:val="00164448"/>
    <w:rsid w:val="00164504"/>
    <w:rsid w:val="00164A79"/>
    <w:rsid w:val="00164BD3"/>
    <w:rsid w:val="00164FEC"/>
    <w:rsid w:val="0016522E"/>
    <w:rsid w:val="001652F2"/>
    <w:rsid w:val="00165A2A"/>
    <w:rsid w:val="00165D9B"/>
    <w:rsid w:val="001661AE"/>
    <w:rsid w:val="001671B4"/>
    <w:rsid w:val="00167367"/>
    <w:rsid w:val="00167393"/>
    <w:rsid w:val="00167731"/>
    <w:rsid w:val="00167C9A"/>
    <w:rsid w:val="00167EFD"/>
    <w:rsid w:val="00170005"/>
    <w:rsid w:val="001702AA"/>
    <w:rsid w:val="00170D00"/>
    <w:rsid w:val="0017165B"/>
    <w:rsid w:val="00171BBB"/>
    <w:rsid w:val="001726DB"/>
    <w:rsid w:val="001729C1"/>
    <w:rsid w:val="00172AAE"/>
    <w:rsid w:val="00172DC5"/>
    <w:rsid w:val="00172DC6"/>
    <w:rsid w:val="00172F1A"/>
    <w:rsid w:val="00173C7F"/>
    <w:rsid w:val="00173D1D"/>
    <w:rsid w:val="001743BF"/>
    <w:rsid w:val="001746C8"/>
    <w:rsid w:val="001746E2"/>
    <w:rsid w:val="00174842"/>
    <w:rsid w:val="001748A8"/>
    <w:rsid w:val="00174F24"/>
    <w:rsid w:val="001756AB"/>
    <w:rsid w:val="001758AF"/>
    <w:rsid w:val="00175A96"/>
    <w:rsid w:val="00175AD9"/>
    <w:rsid w:val="0017621D"/>
    <w:rsid w:val="00176391"/>
    <w:rsid w:val="001767E0"/>
    <w:rsid w:val="001772CF"/>
    <w:rsid w:val="00177AB0"/>
    <w:rsid w:val="0018054C"/>
    <w:rsid w:val="00180B00"/>
    <w:rsid w:val="00181320"/>
    <w:rsid w:val="00181A97"/>
    <w:rsid w:val="00181B47"/>
    <w:rsid w:val="00181DEB"/>
    <w:rsid w:val="00182330"/>
    <w:rsid w:val="001825E0"/>
    <w:rsid w:val="00182880"/>
    <w:rsid w:val="0018288D"/>
    <w:rsid w:val="001839E5"/>
    <w:rsid w:val="00183EE2"/>
    <w:rsid w:val="001842A7"/>
    <w:rsid w:val="00184A83"/>
    <w:rsid w:val="00184CA7"/>
    <w:rsid w:val="00184D32"/>
    <w:rsid w:val="00184D9F"/>
    <w:rsid w:val="00184F0F"/>
    <w:rsid w:val="00185747"/>
    <w:rsid w:val="00185861"/>
    <w:rsid w:val="00185A84"/>
    <w:rsid w:val="00185B8C"/>
    <w:rsid w:val="001862E3"/>
    <w:rsid w:val="00186702"/>
    <w:rsid w:val="00186929"/>
    <w:rsid w:val="0018701A"/>
    <w:rsid w:val="001871B2"/>
    <w:rsid w:val="00187240"/>
    <w:rsid w:val="00187E1C"/>
    <w:rsid w:val="00187F17"/>
    <w:rsid w:val="001900C2"/>
    <w:rsid w:val="0019033E"/>
    <w:rsid w:val="00190500"/>
    <w:rsid w:val="00190A9F"/>
    <w:rsid w:val="00191031"/>
    <w:rsid w:val="001912FC"/>
    <w:rsid w:val="00191B8A"/>
    <w:rsid w:val="00191BC9"/>
    <w:rsid w:val="0019221A"/>
    <w:rsid w:val="001926A3"/>
    <w:rsid w:val="001926BD"/>
    <w:rsid w:val="00192B20"/>
    <w:rsid w:val="00193516"/>
    <w:rsid w:val="00193FAF"/>
    <w:rsid w:val="00194426"/>
    <w:rsid w:val="00194533"/>
    <w:rsid w:val="00194689"/>
    <w:rsid w:val="00194E7D"/>
    <w:rsid w:val="00195BFA"/>
    <w:rsid w:val="001961C1"/>
    <w:rsid w:val="001963DC"/>
    <w:rsid w:val="00196405"/>
    <w:rsid w:val="00196E17"/>
    <w:rsid w:val="00197C2F"/>
    <w:rsid w:val="001A01B0"/>
    <w:rsid w:val="001A0620"/>
    <w:rsid w:val="001A063F"/>
    <w:rsid w:val="001A0A54"/>
    <w:rsid w:val="001A0CC6"/>
    <w:rsid w:val="001A0DF9"/>
    <w:rsid w:val="001A10FF"/>
    <w:rsid w:val="001A15A9"/>
    <w:rsid w:val="001A17A9"/>
    <w:rsid w:val="001A1F5E"/>
    <w:rsid w:val="001A21D0"/>
    <w:rsid w:val="001A281C"/>
    <w:rsid w:val="001A2B04"/>
    <w:rsid w:val="001A2F59"/>
    <w:rsid w:val="001A3033"/>
    <w:rsid w:val="001A32B0"/>
    <w:rsid w:val="001A3A2C"/>
    <w:rsid w:val="001A4481"/>
    <w:rsid w:val="001A453B"/>
    <w:rsid w:val="001A45CB"/>
    <w:rsid w:val="001A4A11"/>
    <w:rsid w:val="001A54CB"/>
    <w:rsid w:val="001A5D75"/>
    <w:rsid w:val="001A6547"/>
    <w:rsid w:val="001A6719"/>
    <w:rsid w:val="001A67C0"/>
    <w:rsid w:val="001A692D"/>
    <w:rsid w:val="001A7170"/>
    <w:rsid w:val="001A73E2"/>
    <w:rsid w:val="001A782D"/>
    <w:rsid w:val="001A7C95"/>
    <w:rsid w:val="001A7EA1"/>
    <w:rsid w:val="001B0413"/>
    <w:rsid w:val="001B047B"/>
    <w:rsid w:val="001B0AF6"/>
    <w:rsid w:val="001B1B45"/>
    <w:rsid w:val="001B2237"/>
    <w:rsid w:val="001B2346"/>
    <w:rsid w:val="001B2A99"/>
    <w:rsid w:val="001B2D8F"/>
    <w:rsid w:val="001B32EA"/>
    <w:rsid w:val="001B34F8"/>
    <w:rsid w:val="001B3623"/>
    <w:rsid w:val="001B37E4"/>
    <w:rsid w:val="001B381D"/>
    <w:rsid w:val="001B38FF"/>
    <w:rsid w:val="001B39AC"/>
    <w:rsid w:val="001B3E7A"/>
    <w:rsid w:val="001B40B9"/>
    <w:rsid w:val="001B479F"/>
    <w:rsid w:val="001B5268"/>
    <w:rsid w:val="001B52AF"/>
    <w:rsid w:val="001B5862"/>
    <w:rsid w:val="001B6106"/>
    <w:rsid w:val="001B614E"/>
    <w:rsid w:val="001B62EB"/>
    <w:rsid w:val="001B6498"/>
    <w:rsid w:val="001B65B6"/>
    <w:rsid w:val="001B692B"/>
    <w:rsid w:val="001B714C"/>
    <w:rsid w:val="001B73D3"/>
    <w:rsid w:val="001C0425"/>
    <w:rsid w:val="001C06A2"/>
    <w:rsid w:val="001C086D"/>
    <w:rsid w:val="001C0904"/>
    <w:rsid w:val="001C094A"/>
    <w:rsid w:val="001C0ED1"/>
    <w:rsid w:val="001C18AF"/>
    <w:rsid w:val="001C1AE5"/>
    <w:rsid w:val="001C2BBD"/>
    <w:rsid w:val="001C312F"/>
    <w:rsid w:val="001C3345"/>
    <w:rsid w:val="001C3771"/>
    <w:rsid w:val="001C393B"/>
    <w:rsid w:val="001C3CBF"/>
    <w:rsid w:val="001C3E83"/>
    <w:rsid w:val="001C4175"/>
    <w:rsid w:val="001C48C0"/>
    <w:rsid w:val="001C4BEB"/>
    <w:rsid w:val="001C5117"/>
    <w:rsid w:val="001C511B"/>
    <w:rsid w:val="001C51A5"/>
    <w:rsid w:val="001C5337"/>
    <w:rsid w:val="001C57AD"/>
    <w:rsid w:val="001C5C28"/>
    <w:rsid w:val="001C67C0"/>
    <w:rsid w:val="001C67DA"/>
    <w:rsid w:val="001C6912"/>
    <w:rsid w:val="001C6B14"/>
    <w:rsid w:val="001C6B2C"/>
    <w:rsid w:val="001C7A16"/>
    <w:rsid w:val="001C7BC5"/>
    <w:rsid w:val="001C7BEC"/>
    <w:rsid w:val="001D0310"/>
    <w:rsid w:val="001D06A7"/>
    <w:rsid w:val="001D08C9"/>
    <w:rsid w:val="001D0DF9"/>
    <w:rsid w:val="001D1C7A"/>
    <w:rsid w:val="001D1DB8"/>
    <w:rsid w:val="001D20A9"/>
    <w:rsid w:val="001D21F3"/>
    <w:rsid w:val="001D2307"/>
    <w:rsid w:val="001D332B"/>
    <w:rsid w:val="001D388E"/>
    <w:rsid w:val="001D38F6"/>
    <w:rsid w:val="001D4509"/>
    <w:rsid w:val="001D450A"/>
    <w:rsid w:val="001D4623"/>
    <w:rsid w:val="001D483F"/>
    <w:rsid w:val="001D4A4A"/>
    <w:rsid w:val="001D5DDB"/>
    <w:rsid w:val="001D5E23"/>
    <w:rsid w:val="001D62C1"/>
    <w:rsid w:val="001D6897"/>
    <w:rsid w:val="001D69FC"/>
    <w:rsid w:val="001D6FFF"/>
    <w:rsid w:val="001D71FD"/>
    <w:rsid w:val="001D72E9"/>
    <w:rsid w:val="001D7751"/>
    <w:rsid w:val="001D7FE6"/>
    <w:rsid w:val="001E0053"/>
    <w:rsid w:val="001E0379"/>
    <w:rsid w:val="001E0589"/>
    <w:rsid w:val="001E0819"/>
    <w:rsid w:val="001E1C85"/>
    <w:rsid w:val="001E1DCE"/>
    <w:rsid w:val="001E2594"/>
    <w:rsid w:val="001E2ADF"/>
    <w:rsid w:val="001E2D58"/>
    <w:rsid w:val="001E2F93"/>
    <w:rsid w:val="001E3994"/>
    <w:rsid w:val="001E4033"/>
    <w:rsid w:val="001E4236"/>
    <w:rsid w:val="001E42A6"/>
    <w:rsid w:val="001E453E"/>
    <w:rsid w:val="001E474E"/>
    <w:rsid w:val="001E4D21"/>
    <w:rsid w:val="001E5238"/>
    <w:rsid w:val="001E530B"/>
    <w:rsid w:val="001E58E1"/>
    <w:rsid w:val="001E5B45"/>
    <w:rsid w:val="001E5DEF"/>
    <w:rsid w:val="001E68C0"/>
    <w:rsid w:val="001E68DA"/>
    <w:rsid w:val="001E6E16"/>
    <w:rsid w:val="001E6F48"/>
    <w:rsid w:val="001E6F4D"/>
    <w:rsid w:val="001E7252"/>
    <w:rsid w:val="001E789A"/>
    <w:rsid w:val="001E7F88"/>
    <w:rsid w:val="001F000A"/>
    <w:rsid w:val="001F048E"/>
    <w:rsid w:val="001F05E1"/>
    <w:rsid w:val="001F0673"/>
    <w:rsid w:val="001F16B0"/>
    <w:rsid w:val="001F1CA8"/>
    <w:rsid w:val="001F2480"/>
    <w:rsid w:val="001F2B7B"/>
    <w:rsid w:val="001F3311"/>
    <w:rsid w:val="001F3524"/>
    <w:rsid w:val="001F35E1"/>
    <w:rsid w:val="001F3E07"/>
    <w:rsid w:val="001F4A07"/>
    <w:rsid w:val="001F506B"/>
    <w:rsid w:val="001F50D9"/>
    <w:rsid w:val="001F5B4B"/>
    <w:rsid w:val="001F5D3E"/>
    <w:rsid w:val="001F60CB"/>
    <w:rsid w:val="001F6122"/>
    <w:rsid w:val="002000A0"/>
    <w:rsid w:val="002003B7"/>
    <w:rsid w:val="0020060F"/>
    <w:rsid w:val="00200D36"/>
    <w:rsid w:val="0020167E"/>
    <w:rsid w:val="002016F6"/>
    <w:rsid w:val="002018E6"/>
    <w:rsid w:val="00201A6A"/>
    <w:rsid w:val="002026F9"/>
    <w:rsid w:val="002027C3"/>
    <w:rsid w:val="002029CF"/>
    <w:rsid w:val="00202D79"/>
    <w:rsid w:val="00203CEB"/>
    <w:rsid w:val="00203E8C"/>
    <w:rsid w:val="0020409C"/>
    <w:rsid w:val="00204F93"/>
    <w:rsid w:val="0020519D"/>
    <w:rsid w:val="002051BA"/>
    <w:rsid w:val="002051DF"/>
    <w:rsid w:val="00205269"/>
    <w:rsid w:val="00206332"/>
    <w:rsid w:val="00206578"/>
    <w:rsid w:val="00207D25"/>
    <w:rsid w:val="00207DBE"/>
    <w:rsid w:val="00210382"/>
    <w:rsid w:val="002109A6"/>
    <w:rsid w:val="00210B4F"/>
    <w:rsid w:val="00210C53"/>
    <w:rsid w:val="002113AF"/>
    <w:rsid w:val="002114B8"/>
    <w:rsid w:val="00211816"/>
    <w:rsid w:val="00211921"/>
    <w:rsid w:val="00211ED2"/>
    <w:rsid w:val="0021226C"/>
    <w:rsid w:val="002128CE"/>
    <w:rsid w:val="00212915"/>
    <w:rsid w:val="0021351F"/>
    <w:rsid w:val="0021362B"/>
    <w:rsid w:val="00213975"/>
    <w:rsid w:val="00213D7F"/>
    <w:rsid w:val="00213E93"/>
    <w:rsid w:val="00213EF6"/>
    <w:rsid w:val="002144C0"/>
    <w:rsid w:val="0021480A"/>
    <w:rsid w:val="00214E05"/>
    <w:rsid w:val="0021543E"/>
    <w:rsid w:val="0021563B"/>
    <w:rsid w:val="00215C17"/>
    <w:rsid w:val="00215FA8"/>
    <w:rsid w:val="00216615"/>
    <w:rsid w:val="00216B55"/>
    <w:rsid w:val="0022004B"/>
    <w:rsid w:val="002209A9"/>
    <w:rsid w:val="002209BF"/>
    <w:rsid w:val="00220BF6"/>
    <w:rsid w:val="00220CAC"/>
    <w:rsid w:val="00220D3B"/>
    <w:rsid w:val="00221B28"/>
    <w:rsid w:val="002220CC"/>
    <w:rsid w:val="00222485"/>
    <w:rsid w:val="00222557"/>
    <w:rsid w:val="002227E7"/>
    <w:rsid w:val="00222860"/>
    <w:rsid w:val="00222A94"/>
    <w:rsid w:val="00223054"/>
    <w:rsid w:val="0022323B"/>
    <w:rsid w:val="00223244"/>
    <w:rsid w:val="002236A5"/>
    <w:rsid w:val="0022373C"/>
    <w:rsid w:val="00223943"/>
    <w:rsid w:val="00223EF9"/>
    <w:rsid w:val="00223FC7"/>
    <w:rsid w:val="002240FC"/>
    <w:rsid w:val="002249C6"/>
    <w:rsid w:val="00225B04"/>
    <w:rsid w:val="00225DCB"/>
    <w:rsid w:val="002261C4"/>
    <w:rsid w:val="002263FE"/>
    <w:rsid w:val="00226608"/>
    <w:rsid w:val="0022751C"/>
    <w:rsid w:val="00227774"/>
    <w:rsid w:val="002278FA"/>
    <w:rsid w:val="00227D0F"/>
    <w:rsid w:val="002305BC"/>
    <w:rsid w:val="002308A2"/>
    <w:rsid w:val="00230A28"/>
    <w:rsid w:val="00230AF9"/>
    <w:rsid w:val="0023135D"/>
    <w:rsid w:val="002313A9"/>
    <w:rsid w:val="002315E1"/>
    <w:rsid w:val="002316BF"/>
    <w:rsid w:val="0023199B"/>
    <w:rsid w:val="00231F44"/>
    <w:rsid w:val="0023229C"/>
    <w:rsid w:val="00232361"/>
    <w:rsid w:val="002324AB"/>
    <w:rsid w:val="00232F29"/>
    <w:rsid w:val="002338A6"/>
    <w:rsid w:val="00233E2F"/>
    <w:rsid w:val="00233ED0"/>
    <w:rsid w:val="002343BA"/>
    <w:rsid w:val="002347B4"/>
    <w:rsid w:val="00234935"/>
    <w:rsid w:val="00234AAE"/>
    <w:rsid w:val="00234B3B"/>
    <w:rsid w:val="00234C21"/>
    <w:rsid w:val="002352E1"/>
    <w:rsid w:val="0023587A"/>
    <w:rsid w:val="0023588F"/>
    <w:rsid w:val="00235C91"/>
    <w:rsid w:val="00235E1B"/>
    <w:rsid w:val="00235EBC"/>
    <w:rsid w:val="00235F6A"/>
    <w:rsid w:val="00235FFA"/>
    <w:rsid w:val="002368A8"/>
    <w:rsid w:val="00236DC4"/>
    <w:rsid w:val="00236E1C"/>
    <w:rsid w:val="00236F47"/>
    <w:rsid w:val="00237D0F"/>
    <w:rsid w:val="00237D17"/>
    <w:rsid w:val="0024056B"/>
    <w:rsid w:val="00240BCE"/>
    <w:rsid w:val="002410E4"/>
    <w:rsid w:val="0024181C"/>
    <w:rsid w:val="0024183B"/>
    <w:rsid w:val="00241967"/>
    <w:rsid w:val="0024196F"/>
    <w:rsid w:val="00241A14"/>
    <w:rsid w:val="00241EDA"/>
    <w:rsid w:val="00242307"/>
    <w:rsid w:val="002426D8"/>
    <w:rsid w:val="0024361A"/>
    <w:rsid w:val="00243C0A"/>
    <w:rsid w:val="00243E27"/>
    <w:rsid w:val="0024419D"/>
    <w:rsid w:val="002443D1"/>
    <w:rsid w:val="00244DE2"/>
    <w:rsid w:val="002454C3"/>
    <w:rsid w:val="00245E1D"/>
    <w:rsid w:val="00245EDD"/>
    <w:rsid w:val="0024631A"/>
    <w:rsid w:val="0024688C"/>
    <w:rsid w:val="00246AA7"/>
    <w:rsid w:val="00246C88"/>
    <w:rsid w:val="00246CAC"/>
    <w:rsid w:val="00246DA2"/>
    <w:rsid w:val="0024712A"/>
    <w:rsid w:val="00247256"/>
    <w:rsid w:val="002472C9"/>
    <w:rsid w:val="002472CF"/>
    <w:rsid w:val="002472D3"/>
    <w:rsid w:val="00247DFC"/>
    <w:rsid w:val="00247E58"/>
    <w:rsid w:val="0025028D"/>
    <w:rsid w:val="0025054D"/>
    <w:rsid w:val="00250660"/>
    <w:rsid w:val="002507F1"/>
    <w:rsid w:val="00250E49"/>
    <w:rsid w:val="00250ED3"/>
    <w:rsid w:val="00250EE2"/>
    <w:rsid w:val="00251844"/>
    <w:rsid w:val="00251849"/>
    <w:rsid w:val="00251E2A"/>
    <w:rsid w:val="00251E8A"/>
    <w:rsid w:val="00252220"/>
    <w:rsid w:val="00252591"/>
    <w:rsid w:val="002530A6"/>
    <w:rsid w:val="002530C1"/>
    <w:rsid w:val="0025359E"/>
    <w:rsid w:val="0025396E"/>
    <w:rsid w:val="002539C5"/>
    <w:rsid w:val="00253E3A"/>
    <w:rsid w:val="002541DC"/>
    <w:rsid w:val="002544A8"/>
    <w:rsid w:val="002544C0"/>
    <w:rsid w:val="00254661"/>
    <w:rsid w:val="00254E5F"/>
    <w:rsid w:val="00255013"/>
    <w:rsid w:val="00255253"/>
    <w:rsid w:val="00255890"/>
    <w:rsid w:val="00255E5C"/>
    <w:rsid w:val="00255FF8"/>
    <w:rsid w:val="00257331"/>
    <w:rsid w:val="00257707"/>
    <w:rsid w:val="00257860"/>
    <w:rsid w:val="00257A58"/>
    <w:rsid w:val="00257B0F"/>
    <w:rsid w:val="00257B5B"/>
    <w:rsid w:val="00257F22"/>
    <w:rsid w:val="00260784"/>
    <w:rsid w:val="00260C49"/>
    <w:rsid w:val="00260D1A"/>
    <w:rsid w:val="00261257"/>
    <w:rsid w:val="002615CE"/>
    <w:rsid w:val="00261B8C"/>
    <w:rsid w:val="00261F78"/>
    <w:rsid w:val="0026228C"/>
    <w:rsid w:val="0026229C"/>
    <w:rsid w:val="002623D7"/>
    <w:rsid w:val="002626A1"/>
    <w:rsid w:val="00262B17"/>
    <w:rsid w:val="00263924"/>
    <w:rsid w:val="00263ADB"/>
    <w:rsid w:val="00263F90"/>
    <w:rsid w:val="0026405B"/>
    <w:rsid w:val="0026412C"/>
    <w:rsid w:val="002642E6"/>
    <w:rsid w:val="0026521F"/>
    <w:rsid w:val="00265858"/>
    <w:rsid w:val="00265A42"/>
    <w:rsid w:val="00265CC2"/>
    <w:rsid w:val="002661DB"/>
    <w:rsid w:val="002661E2"/>
    <w:rsid w:val="00266506"/>
    <w:rsid w:val="00266640"/>
    <w:rsid w:val="002667F9"/>
    <w:rsid w:val="00266AF8"/>
    <w:rsid w:val="00266D6B"/>
    <w:rsid w:val="00266FD3"/>
    <w:rsid w:val="00270528"/>
    <w:rsid w:val="00270740"/>
    <w:rsid w:val="00270CD3"/>
    <w:rsid w:val="0027100F"/>
    <w:rsid w:val="002710C2"/>
    <w:rsid w:val="002712C7"/>
    <w:rsid w:val="002715CF"/>
    <w:rsid w:val="00271843"/>
    <w:rsid w:val="00271D37"/>
    <w:rsid w:val="00272531"/>
    <w:rsid w:val="0027337A"/>
    <w:rsid w:val="0027367C"/>
    <w:rsid w:val="00273705"/>
    <w:rsid w:val="002740E5"/>
    <w:rsid w:val="0027412C"/>
    <w:rsid w:val="0027447B"/>
    <w:rsid w:val="00274770"/>
    <w:rsid w:val="00274854"/>
    <w:rsid w:val="0027486E"/>
    <w:rsid w:val="00274CC7"/>
    <w:rsid w:val="0027553D"/>
    <w:rsid w:val="00275574"/>
    <w:rsid w:val="002758B0"/>
    <w:rsid w:val="0027594F"/>
    <w:rsid w:val="0027614C"/>
    <w:rsid w:val="0027631C"/>
    <w:rsid w:val="00276A91"/>
    <w:rsid w:val="00276D86"/>
    <w:rsid w:val="00276FE8"/>
    <w:rsid w:val="002770A1"/>
    <w:rsid w:val="00277208"/>
    <w:rsid w:val="0027725F"/>
    <w:rsid w:val="002774B3"/>
    <w:rsid w:val="00277784"/>
    <w:rsid w:val="002800F8"/>
    <w:rsid w:val="002801E3"/>
    <w:rsid w:val="00280443"/>
    <w:rsid w:val="00280614"/>
    <w:rsid w:val="002809E0"/>
    <w:rsid w:val="002809E7"/>
    <w:rsid w:val="0028183D"/>
    <w:rsid w:val="00281DF0"/>
    <w:rsid w:val="002821B0"/>
    <w:rsid w:val="00282956"/>
    <w:rsid w:val="00283534"/>
    <w:rsid w:val="00283700"/>
    <w:rsid w:val="00283C99"/>
    <w:rsid w:val="002840AA"/>
    <w:rsid w:val="00284760"/>
    <w:rsid w:val="00284F82"/>
    <w:rsid w:val="0028533E"/>
    <w:rsid w:val="00285368"/>
    <w:rsid w:val="0028563B"/>
    <w:rsid w:val="002856F7"/>
    <w:rsid w:val="00285E10"/>
    <w:rsid w:val="0028635D"/>
    <w:rsid w:val="0028681C"/>
    <w:rsid w:val="002869B2"/>
    <w:rsid w:val="00286A6A"/>
    <w:rsid w:val="002872B0"/>
    <w:rsid w:val="00287582"/>
    <w:rsid w:val="00287633"/>
    <w:rsid w:val="00287693"/>
    <w:rsid w:val="00287ACD"/>
    <w:rsid w:val="0029049C"/>
    <w:rsid w:val="00290D89"/>
    <w:rsid w:val="002912DA"/>
    <w:rsid w:val="00291899"/>
    <w:rsid w:val="00291D00"/>
    <w:rsid w:val="00291DA5"/>
    <w:rsid w:val="00292181"/>
    <w:rsid w:val="00293FFE"/>
    <w:rsid w:val="00294006"/>
    <w:rsid w:val="002944DB"/>
    <w:rsid w:val="0029475B"/>
    <w:rsid w:val="002949D8"/>
    <w:rsid w:val="00294C55"/>
    <w:rsid w:val="00294F4F"/>
    <w:rsid w:val="002952D3"/>
    <w:rsid w:val="002953A8"/>
    <w:rsid w:val="0029603E"/>
    <w:rsid w:val="002962E4"/>
    <w:rsid w:val="0029635E"/>
    <w:rsid w:val="002965FF"/>
    <w:rsid w:val="002966C1"/>
    <w:rsid w:val="00296989"/>
    <w:rsid w:val="00296E26"/>
    <w:rsid w:val="00297536"/>
    <w:rsid w:val="0029792F"/>
    <w:rsid w:val="00297CE8"/>
    <w:rsid w:val="00297E10"/>
    <w:rsid w:val="00297FD0"/>
    <w:rsid w:val="002A0444"/>
    <w:rsid w:val="002A075E"/>
    <w:rsid w:val="002A07B7"/>
    <w:rsid w:val="002A0863"/>
    <w:rsid w:val="002A0ABA"/>
    <w:rsid w:val="002A0CD2"/>
    <w:rsid w:val="002A0CF1"/>
    <w:rsid w:val="002A0DFC"/>
    <w:rsid w:val="002A1072"/>
    <w:rsid w:val="002A1A2F"/>
    <w:rsid w:val="002A1A72"/>
    <w:rsid w:val="002A1FDF"/>
    <w:rsid w:val="002A1FEC"/>
    <w:rsid w:val="002A2FCE"/>
    <w:rsid w:val="002A36E0"/>
    <w:rsid w:val="002A3BF5"/>
    <w:rsid w:val="002A3E65"/>
    <w:rsid w:val="002A59DD"/>
    <w:rsid w:val="002A5AE6"/>
    <w:rsid w:val="002A5DE2"/>
    <w:rsid w:val="002A5FEC"/>
    <w:rsid w:val="002A761B"/>
    <w:rsid w:val="002B015E"/>
    <w:rsid w:val="002B050C"/>
    <w:rsid w:val="002B0878"/>
    <w:rsid w:val="002B0C73"/>
    <w:rsid w:val="002B0DDC"/>
    <w:rsid w:val="002B1244"/>
    <w:rsid w:val="002B17EA"/>
    <w:rsid w:val="002B1DA1"/>
    <w:rsid w:val="002B1ED3"/>
    <w:rsid w:val="002B1F60"/>
    <w:rsid w:val="002B1F9F"/>
    <w:rsid w:val="002B2146"/>
    <w:rsid w:val="002B2157"/>
    <w:rsid w:val="002B2527"/>
    <w:rsid w:val="002B2ECA"/>
    <w:rsid w:val="002B307B"/>
    <w:rsid w:val="002B3542"/>
    <w:rsid w:val="002B3717"/>
    <w:rsid w:val="002B3AE1"/>
    <w:rsid w:val="002B4071"/>
    <w:rsid w:val="002B48EE"/>
    <w:rsid w:val="002B4B43"/>
    <w:rsid w:val="002B4F29"/>
    <w:rsid w:val="002B5280"/>
    <w:rsid w:val="002B53CA"/>
    <w:rsid w:val="002B5556"/>
    <w:rsid w:val="002B559B"/>
    <w:rsid w:val="002B564D"/>
    <w:rsid w:val="002B5C11"/>
    <w:rsid w:val="002B5F06"/>
    <w:rsid w:val="002B5F66"/>
    <w:rsid w:val="002B6257"/>
    <w:rsid w:val="002B649C"/>
    <w:rsid w:val="002B695C"/>
    <w:rsid w:val="002B69A6"/>
    <w:rsid w:val="002B6C66"/>
    <w:rsid w:val="002B73A0"/>
    <w:rsid w:val="002B773C"/>
    <w:rsid w:val="002B782F"/>
    <w:rsid w:val="002B78D7"/>
    <w:rsid w:val="002B7B8F"/>
    <w:rsid w:val="002C01EB"/>
    <w:rsid w:val="002C0941"/>
    <w:rsid w:val="002C0E3B"/>
    <w:rsid w:val="002C0E45"/>
    <w:rsid w:val="002C1092"/>
    <w:rsid w:val="002C11CB"/>
    <w:rsid w:val="002C1209"/>
    <w:rsid w:val="002C17B7"/>
    <w:rsid w:val="002C1990"/>
    <w:rsid w:val="002C2600"/>
    <w:rsid w:val="002C27BE"/>
    <w:rsid w:val="002C3070"/>
    <w:rsid w:val="002C3178"/>
    <w:rsid w:val="002C3674"/>
    <w:rsid w:val="002C39C9"/>
    <w:rsid w:val="002C405A"/>
    <w:rsid w:val="002C425F"/>
    <w:rsid w:val="002C429C"/>
    <w:rsid w:val="002C433D"/>
    <w:rsid w:val="002C47F4"/>
    <w:rsid w:val="002C49D7"/>
    <w:rsid w:val="002C4AD8"/>
    <w:rsid w:val="002C5321"/>
    <w:rsid w:val="002C539F"/>
    <w:rsid w:val="002C5744"/>
    <w:rsid w:val="002C6090"/>
    <w:rsid w:val="002C6271"/>
    <w:rsid w:val="002C6792"/>
    <w:rsid w:val="002C6890"/>
    <w:rsid w:val="002C69FA"/>
    <w:rsid w:val="002C6C37"/>
    <w:rsid w:val="002C6C52"/>
    <w:rsid w:val="002C7232"/>
    <w:rsid w:val="002C7296"/>
    <w:rsid w:val="002C75D8"/>
    <w:rsid w:val="002C77B0"/>
    <w:rsid w:val="002D07EC"/>
    <w:rsid w:val="002D09D1"/>
    <w:rsid w:val="002D147A"/>
    <w:rsid w:val="002D1BC7"/>
    <w:rsid w:val="002D2058"/>
    <w:rsid w:val="002D2AB0"/>
    <w:rsid w:val="002D2ADF"/>
    <w:rsid w:val="002D33A4"/>
    <w:rsid w:val="002D3926"/>
    <w:rsid w:val="002D39CE"/>
    <w:rsid w:val="002D5479"/>
    <w:rsid w:val="002D6624"/>
    <w:rsid w:val="002D6716"/>
    <w:rsid w:val="002D6905"/>
    <w:rsid w:val="002D6BBF"/>
    <w:rsid w:val="002D6D91"/>
    <w:rsid w:val="002D74DB"/>
    <w:rsid w:val="002D7BD9"/>
    <w:rsid w:val="002D7CC1"/>
    <w:rsid w:val="002D7F31"/>
    <w:rsid w:val="002E0090"/>
    <w:rsid w:val="002E018A"/>
    <w:rsid w:val="002E0879"/>
    <w:rsid w:val="002E0CB9"/>
    <w:rsid w:val="002E1381"/>
    <w:rsid w:val="002E18C1"/>
    <w:rsid w:val="002E293F"/>
    <w:rsid w:val="002E2BD9"/>
    <w:rsid w:val="002E2C61"/>
    <w:rsid w:val="002E2FD3"/>
    <w:rsid w:val="002E31E3"/>
    <w:rsid w:val="002E33AC"/>
    <w:rsid w:val="002E3488"/>
    <w:rsid w:val="002E3C1E"/>
    <w:rsid w:val="002E481C"/>
    <w:rsid w:val="002E55ED"/>
    <w:rsid w:val="002E5710"/>
    <w:rsid w:val="002E57C3"/>
    <w:rsid w:val="002E6064"/>
    <w:rsid w:val="002E63B3"/>
    <w:rsid w:val="002E6404"/>
    <w:rsid w:val="002E69D7"/>
    <w:rsid w:val="002E6C83"/>
    <w:rsid w:val="002E6DC4"/>
    <w:rsid w:val="002E6F66"/>
    <w:rsid w:val="002E74F1"/>
    <w:rsid w:val="002E7B2F"/>
    <w:rsid w:val="002E7D62"/>
    <w:rsid w:val="002F05CF"/>
    <w:rsid w:val="002F0958"/>
    <w:rsid w:val="002F0D8B"/>
    <w:rsid w:val="002F137D"/>
    <w:rsid w:val="002F1F6A"/>
    <w:rsid w:val="002F2698"/>
    <w:rsid w:val="002F2937"/>
    <w:rsid w:val="002F3DE4"/>
    <w:rsid w:val="002F3EAD"/>
    <w:rsid w:val="002F45D8"/>
    <w:rsid w:val="002F48A1"/>
    <w:rsid w:val="002F4FBA"/>
    <w:rsid w:val="002F50EF"/>
    <w:rsid w:val="002F5118"/>
    <w:rsid w:val="002F51F9"/>
    <w:rsid w:val="002F5291"/>
    <w:rsid w:val="002F5FAE"/>
    <w:rsid w:val="002F61FD"/>
    <w:rsid w:val="002F6E23"/>
    <w:rsid w:val="002F7067"/>
    <w:rsid w:val="002F7410"/>
    <w:rsid w:val="002F74E3"/>
    <w:rsid w:val="002F7FA5"/>
    <w:rsid w:val="00300092"/>
    <w:rsid w:val="003004AD"/>
    <w:rsid w:val="003004DF"/>
    <w:rsid w:val="003007F7"/>
    <w:rsid w:val="00300D96"/>
    <w:rsid w:val="003015A8"/>
    <w:rsid w:val="0030171B"/>
    <w:rsid w:val="00301B97"/>
    <w:rsid w:val="0030213D"/>
    <w:rsid w:val="003022F9"/>
    <w:rsid w:val="0030238D"/>
    <w:rsid w:val="00302627"/>
    <w:rsid w:val="0030276D"/>
    <w:rsid w:val="0030279B"/>
    <w:rsid w:val="00302B14"/>
    <w:rsid w:val="00302B61"/>
    <w:rsid w:val="00303226"/>
    <w:rsid w:val="0030343F"/>
    <w:rsid w:val="00303776"/>
    <w:rsid w:val="003047E0"/>
    <w:rsid w:val="00304B78"/>
    <w:rsid w:val="00304E81"/>
    <w:rsid w:val="0030513E"/>
    <w:rsid w:val="003051C1"/>
    <w:rsid w:val="003053AF"/>
    <w:rsid w:val="0030577B"/>
    <w:rsid w:val="00305C0F"/>
    <w:rsid w:val="00305E7F"/>
    <w:rsid w:val="003063FA"/>
    <w:rsid w:val="00306542"/>
    <w:rsid w:val="00306DFF"/>
    <w:rsid w:val="00307927"/>
    <w:rsid w:val="00307A2B"/>
    <w:rsid w:val="00307A34"/>
    <w:rsid w:val="00307CE7"/>
    <w:rsid w:val="003109F0"/>
    <w:rsid w:val="00310A4A"/>
    <w:rsid w:val="003118B8"/>
    <w:rsid w:val="00311B31"/>
    <w:rsid w:val="003122D4"/>
    <w:rsid w:val="00313356"/>
    <w:rsid w:val="0031374E"/>
    <w:rsid w:val="00313D00"/>
    <w:rsid w:val="00313F1D"/>
    <w:rsid w:val="00314126"/>
    <w:rsid w:val="0031417D"/>
    <w:rsid w:val="0031458B"/>
    <w:rsid w:val="0031473B"/>
    <w:rsid w:val="00314951"/>
    <w:rsid w:val="00314B23"/>
    <w:rsid w:val="00314B89"/>
    <w:rsid w:val="003157D0"/>
    <w:rsid w:val="0031583E"/>
    <w:rsid w:val="00315D4E"/>
    <w:rsid w:val="00315E08"/>
    <w:rsid w:val="00315EA0"/>
    <w:rsid w:val="00315EE7"/>
    <w:rsid w:val="003161C7"/>
    <w:rsid w:val="00316685"/>
    <w:rsid w:val="00316D5D"/>
    <w:rsid w:val="00316E99"/>
    <w:rsid w:val="0031740E"/>
    <w:rsid w:val="00317526"/>
    <w:rsid w:val="00317530"/>
    <w:rsid w:val="00317606"/>
    <w:rsid w:val="00320010"/>
    <w:rsid w:val="00320063"/>
    <w:rsid w:val="003203F6"/>
    <w:rsid w:val="003207FC"/>
    <w:rsid w:val="00320CD2"/>
    <w:rsid w:val="00320F71"/>
    <w:rsid w:val="003216F5"/>
    <w:rsid w:val="00321762"/>
    <w:rsid w:val="00321814"/>
    <w:rsid w:val="003219C4"/>
    <w:rsid w:val="00321F23"/>
    <w:rsid w:val="00322153"/>
    <w:rsid w:val="00322651"/>
    <w:rsid w:val="00322AB9"/>
    <w:rsid w:val="00322C62"/>
    <w:rsid w:val="00322E20"/>
    <w:rsid w:val="0032364E"/>
    <w:rsid w:val="003239E3"/>
    <w:rsid w:val="00323E2D"/>
    <w:rsid w:val="00324038"/>
    <w:rsid w:val="00324257"/>
    <w:rsid w:val="00324AC7"/>
    <w:rsid w:val="00324B91"/>
    <w:rsid w:val="00324BB2"/>
    <w:rsid w:val="0032569B"/>
    <w:rsid w:val="00325C33"/>
    <w:rsid w:val="00325D4A"/>
    <w:rsid w:val="003263DB"/>
    <w:rsid w:val="003269AF"/>
    <w:rsid w:val="00327804"/>
    <w:rsid w:val="00327F11"/>
    <w:rsid w:val="00327FCF"/>
    <w:rsid w:val="00330670"/>
    <w:rsid w:val="00330AC5"/>
    <w:rsid w:val="00330DB3"/>
    <w:rsid w:val="00330E21"/>
    <w:rsid w:val="00330EBD"/>
    <w:rsid w:val="0033173C"/>
    <w:rsid w:val="00331808"/>
    <w:rsid w:val="00331EA7"/>
    <w:rsid w:val="0033253A"/>
    <w:rsid w:val="003338A3"/>
    <w:rsid w:val="00333ABA"/>
    <w:rsid w:val="003345C7"/>
    <w:rsid w:val="00334902"/>
    <w:rsid w:val="00335557"/>
    <w:rsid w:val="00335826"/>
    <w:rsid w:val="003358DB"/>
    <w:rsid w:val="00335E36"/>
    <w:rsid w:val="00337366"/>
    <w:rsid w:val="003377D8"/>
    <w:rsid w:val="00340508"/>
    <w:rsid w:val="00340BB9"/>
    <w:rsid w:val="00340F21"/>
    <w:rsid w:val="00340F64"/>
    <w:rsid w:val="00341168"/>
    <w:rsid w:val="003417BE"/>
    <w:rsid w:val="00341BF5"/>
    <w:rsid w:val="00342162"/>
    <w:rsid w:val="003422AB"/>
    <w:rsid w:val="0034243A"/>
    <w:rsid w:val="0034273C"/>
    <w:rsid w:val="003429E2"/>
    <w:rsid w:val="00342E3A"/>
    <w:rsid w:val="003430F7"/>
    <w:rsid w:val="00343ABD"/>
    <w:rsid w:val="00343ACF"/>
    <w:rsid w:val="0034421D"/>
    <w:rsid w:val="00344322"/>
    <w:rsid w:val="0034433F"/>
    <w:rsid w:val="003444E3"/>
    <w:rsid w:val="00344B44"/>
    <w:rsid w:val="003458FC"/>
    <w:rsid w:val="00345DED"/>
    <w:rsid w:val="00345E6E"/>
    <w:rsid w:val="00346111"/>
    <w:rsid w:val="00346BD2"/>
    <w:rsid w:val="00347E3A"/>
    <w:rsid w:val="00350445"/>
    <w:rsid w:val="00350913"/>
    <w:rsid w:val="003509BA"/>
    <w:rsid w:val="00350A51"/>
    <w:rsid w:val="00350C98"/>
    <w:rsid w:val="00351010"/>
    <w:rsid w:val="00351012"/>
    <w:rsid w:val="00351058"/>
    <w:rsid w:val="00351257"/>
    <w:rsid w:val="00351383"/>
    <w:rsid w:val="00351793"/>
    <w:rsid w:val="00351A84"/>
    <w:rsid w:val="00351CD7"/>
    <w:rsid w:val="00351D84"/>
    <w:rsid w:val="00351DCF"/>
    <w:rsid w:val="00352440"/>
    <w:rsid w:val="003525A0"/>
    <w:rsid w:val="00352C01"/>
    <w:rsid w:val="00352CAD"/>
    <w:rsid w:val="00352E25"/>
    <w:rsid w:val="00352E48"/>
    <w:rsid w:val="00353175"/>
    <w:rsid w:val="0035321C"/>
    <w:rsid w:val="003532D9"/>
    <w:rsid w:val="0035358C"/>
    <w:rsid w:val="00353C8B"/>
    <w:rsid w:val="003540EA"/>
    <w:rsid w:val="00354540"/>
    <w:rsid w:val="00354B6C"/>
    <w:rsid w:val="00354DD3"/>
    <w:rsid w:val="00354F0E"/>
    <w:rsid w:val="00354F66"/>
    <w:rsid w:val="003553C0"/>
    <w:rsid w:val="003555C2"/>
    <w:rsid w:val="0035585D"/>
    <w:rsid w:val="00355933"/>
    <w:rsid w:val="00355A2F"/>
    <w:rsid w:val="00355E39"/>
    <w:rsid w:val="00355FDD"/>
    <w:rsid w:val="0035659A"/>
    <w:rsid w:val="003566A4"/>
    <w:rsid w:val="00356D88"/>
    <w:rsid w:val="00357176"/>
    <w:rsid w:val="00357588"/>
    <w:rsid w:val="00357623"/>
    <w:rsid w:val="00357F4B"/>
    <w:rsid w:val="003602CA"/>
    <w:rsid w:val="00360D84"/>
    <w:rsid w:val="00360E0F"/>
    <w:rsid w:val="00361206"/>
    <w:rsid w:val="00361DD4"/>
    <w:rsid w:val="00361F8C"/>
    <w:rsid w:val="00362169"/>
    <w:rsid w:val="00362193"/>
    <w:rsid w:val="0036252B"/>
    <w:rsid w:val="00362FC3"/>
    <w:rsid w:val="0036336A"/>
    <w:rsid w:val="00363647"/>
    <w:rsid w:val="00363A8E"/>
    <w:rsid w:val="00364366"/>
    <w:rsid w:val="0036455D"/>
    <w:rsid w:val="003645DE"/>
    <w:rsid w:val="0036578E"/>
    <w:rsid w:val="003667BE"/>
    <w:rsid w:val="0036772E"/>
    <w:rsid w:val="0037003D"/>
    <w:rsid w:val="00370938"/>
    <w:rsid w:val="00370C2F"/>
    <w:rsid w:val="0037162E"/>
    <w:rsid w:val="003718A7"/>
    <w:rsid w:val="00371AB9"/>
    <w:rsid w:val="00371E10"/>
    <w:rsid w:val="00372169"/>
    <w:rsid w:val="00372641"/>
    <w:rsid w:val="00372C88"/>
    <w:rsid w:val="003731DC"/>
    <w:rsid w:val="00373B21"/>
    <w:rsid w:val="00373D7F"/>
    <w:rsid w:val="00373EF1"/>
    <w:rsid w:val="00374616"/>
    <w:rsid w:val="00375163"/>
    <w:rsid w:val="003755F6"/>
    <w:rsid w:val="00375752"/>
    <w:rsid w:val="003757CC"/>
    <w:rsid w:val="003757DA"/>
    <w:rsid w:val="00375915"/>
    <w:rsid w:val="00375DEE"/>
    <w:rsid w:val="0037641E"/>
    <w:rsid w:val="00376B94"/>
    <w:rsid w:val="00377017"/>
    <w:rsid w:val="00377023"/>
    <w:rsid w:val="003777A7"/>
    <w:rsid w:val="00377844"/>
    <w:rsid w:val="00377C4B"/>
    <w:rsid w:val="00377C53"/>
    <w:rsid w:val="0038078F"/>
    <w:rsid w:val="003809E1"/>
    <w:rsid w:val="00380A55"/>
    <w:rsid w:val="0038126D"/>
    <w:rsid w:val="0038128E"/>
    <w:rsid w:val="00381BDF"/>
    <w:rsid w:val="0038246A"/>
    <w:rsid w:val="00382630"/>
    <w:rsid w:val="00382ECB"/>
    <w:rsid w:val="003833D6"/>
    <w:rsid w:val="00383A8A"/>
    <w:rsid w:val="00383B85"/>
    <w:rsid w:val="00383CA2"/>
    <w:rsid w:val="003842B7"/>
    <w:rsid w:val="00384CF5"/>
    <w:rsid w:val="00385064"/>
    <w:rsid w:val="00385433"/>
    <w:rsid w:val="00385BE1"/>
    <w:rsid w:val="003861A6"/>
    <w:rsid w:val="003863E6"/>
    <w:rsid w:val="00386631"/>
    <w:rsid w:val="00386E88"/>
    <w:rsid w:val="00386ED3"/>
    <w:rsid w:val="003872B1"/>
    <w:rsid w:val="003872D9"/>
    <w:rsid w:val="0038774B"/>
    <w:rsid w:val="00387A35"/>
    <w:rsid w:val="00387A4C"/>
    <w:rsid w:val="00387BF7"/>
    <w:rsid w:val="00387F24"/>
    <w:rsid w:val="00390039"/>
    <w:rsid w:val="00390265"/>
    <w:rsid w:val="00390C0E"/>
    <w:rsid w:val="00390EAD"/>
    <w:rsid w:val="00390F6C"/>
    <w:rsid w:val="003910B6"/>
    <w:rsid w:val="0039183E"/>
    <w:rsid w:val="00391A5B"/>
    <w:rsid w:val="00391C23"/>
    <w:rsid w:val="00392FFB"/>
    <w:rsid w:val="00393586"/>
    <w:rsid w:val="0039364E"/>
    <w:rsid w:val="00393777"/>
    <w:rsid w:val="00394037"/>
    <w:rsid w:val="003944FA"/>
    <w:rsid w:val="00394D19"/>
    <w:rsid w:val="00394E57"/>
    <w:rsid w:val="00394F37"/>
    <w:rsid w:val="0039542E"/>
    <w:rsid w:val="00395AB5"/>
    <w:rsid w:val="00395AF6"/>
    <w:rsid w:val="00395D31"/>
    <w:rsid w:val="00395E7D"/>
    <w:rsid w:val="0039637F"/>
    <w:rsid w:val="00397012"/>
    <w:rsid w:val="00397452"/>
    <w:rsid w:val="003975C9"/>
    <w:rsid w:val="003975FF"/>
    <w:rsid w:val="003976A6"/>
    <w:rsid w:val="00397C90"/>
    <w:rsid w:val="00397CC9"/>
    <w:rsid w:val="00397E7A"/>
    <w:rsid w:val="003A0193"/>
    <w:rsid w:val="003A065A"/>
    <w:rsid w:val="003A0C7E"/>
    <w:rsid w:val="003A0CC1"/>
    <w:rsid w:val="003A2397"/>
    <w:rsid w:val="003A25A2"/>
    <w:rsid w:val="003A2C10"/>
    <w:rsid w:val="003A30C3"/>
    <w:rsid w:val="003A3711"/>
    <w:rsid w:val="003A3868"/>
    <w:rsid w:val="003A39FC"/>
    <w:rsid w:val="003A446F"/>
    <w:rsid w:val="003A47AB"/>
    <w:rsid w:val="003A4D22"/>
    <w:rsid w:val="003A4E1E"/>
    <w:rsid w:val="003A53D9"/>
    <w:rsid w:val="003A54BC"/>
    <w:rsid w:val="003A5A40"/>
    <w:rsid w:val="003A5C1A"/>
    <w:rsid w:val="003A662F"/>
    <w:rsid w:val="003A6944"/>
    <w:rsid w:val="003A6C4E"/>
    <w:rsid w:val="003A7261"/>
    <w:rsid w:val="003A7663"/>
    <w:rsid w:val="003B02FF"/>
    <w:rsid w:val="003B0CF6"/>
    <w:rsid w:val="003B131C"/>
    <w:rsid w:val="003B156A"/>
    <w:rsid w:val="003B18BF"/>
    <w:rsid w:val="003B2D5E"/>
    <w:rsid w:val="003B2F5D"/>
    <w:rsid w:val="003B3189"/>
    <w:rsid w:val="003B3833"/>
    <w:rsid w:val="003B3B4A"/>
    <w:rsid w:val="003B4368"/>
    <w:rsid w:val="003B4496"/>
    <w:rsid w:val="003B4AD8"/>
    <w:rsid w:val="003B56DA"/>
    <w:rsid w:val="003B5700"/>
    <w:rsid w:val="003B6780"/>
    <w:rsid w:val="003B6B63"/>
    <w:rsid w:val="003B7305"/>
    <w:rsid w:val="003B7F1A"/>
    <w:rsid w:val="003C0207"/>
    <w:rsid w:val="003C03DC"/>
    <w:rsid w:val="003C081E"/>
    <w:rsid w:val="003C12F3"/>
    <w:rsid w:val="003C169C"/>
    <w:rsid w:val="003C223E"/>
    <w:rsid w:val="003C24CE"/>
    <w:rsid w:val="003C28D8"/>
    <w:rsid w:val="003C357B"/>
    <w:rsid w:val="003C4096"/>
    <w:rsid w:val="003C435E"/>
    <w:rsid w:val="003C43BA"/>
    <w:rsid w:val="003C4E10"/>
    <w:rsid w:val="003C4F81"/>
    <w:rsid w:val="003C5684"/>
    <w:rsid w:val="003C573E"/>
    <w:rsid w:val="003C57FF"/>
    <w:rsid w:val="003C59BC"/>
    <w:rsid w:val="003C5D09"/>
    <w:rsid w:val="003C609A"/>
    <w:rsid w:val="003C6C9B"/>
    <w:rsid w:val="003C77D4"/>
    <w:rsid w:val="003C7E56"/>
    <w:rsid w:val="003D05B5"/>
    <w:rsid w:val="003D09D3"/>
    <w:rsid w:val="003D0E73"/>
    <w:rsid w:val="003D115B"/>
    <w:rsid w:val="003D1860"/>
    <w:rsid w:val="003D1AE3"/>
    <w:rsid w:val="003D1BC2"/>
    <w:rsid w:val="003D1D90"/>
    <w:rsid w:val="003D2C35"/>
    <w:rsid w:val="003D2FE7"/>
    <w:rsid w:val="003D3511"/>
    <w:rsid w:val="003D3816"/>
    <w:rsid w:val="003D3945"/>
    <w:rsid w:val="003D3D86"/>
    <w:rsid w:val="003D457F"/>
    <w:rsid w:val="003D4A05"/>
    <w:rsid w:val="003D4B5A"/>
    <w:rsid w:val="003D4B7A"/>
    <w:rsid w:val="003D54E4"/>
    <w:rsid w:val="003D556F"/>
    <w:rsid w:val="003D5ABB"/>
    <w:rsid w:val="003D6350"/>
    <w:rsid w:val="003D6FEB"/>
    <w:rsid w:val="003D70C1"/>
    <w:rsid w:val="003D73C3"/>
    <w:rsid w:val="003D7511"/>
    <w:rsid w:val="003D77F8"/>
    <w:rsid w:val="003D7CBC"/>
    <w:rsid w:val="003D7CC9"/>
    <w:rsid w:val="003E048B"/>
    <w:rsid w:val="003E1156"/>
    <w:rsid w:val="003E1476"/>
    <w:rsid w:val="003E1499"/>
    <w:rsid w:val="003E1E18"/>
    <w:rsid w:val="003E1FD2"/>
    <w:rsid w:val="003E2002"/>
    <w:rsid w:val="003E2240"/>
    <w:rsid w:val="003E25C9"/>
    <w:rsid w:val="003E2A6B"/>
    <w:rsid w:val="003E2E86"/>
    <w:rsid w:val="003E2E9A"/>
    <w:rsid w:val="003E3137"/>
    <w:rsid w:val="003E3EC4"/>
    <w:rsid w:val="003E4FE5"/>
    <w:rsid w:val="003E559A"/>
    <w:rsid w:val="003E567B"/>
    <w:rsid w:val="003E5726"/>
    <w:rsid w:val="003E581C"/>
    <w:rsid w:val="003E5E1D"/>
    <w:rsid w:val="003E641A"/>
    <w:rsid w:val="003E687C"/>
    <w:rsid w:val="003E6BEA"/>
    <w:rsid w:val="003E6D4B"/>
    <w:rsid w:val="003E6DEE"/>
    <w:rsid w:val="003E751E"/>
    <w:rsid w:val="003E7591"/>
    <w:rsid w:val="003E796B"/>
    <w:rsid w:val="003E7AAB"/>
    <w:rsid w:val="003E7EB5"/>
    <w:rsid w:val="003F0198"/>
    <w:rsid w:val="003F0477"/>
    <w:rsid w:val="003F10DE"/>
    <w:rsid w:val="003F11DE"/>
    <w:rsid w:val="003F1220"/>
    <w:rsid w:val="003F1353"/>
    <w:rsid w:val="003F13EB"/>
    <w:rsid w:val="003F2016"/>
    <w:rsid w:val="003F2323"/>
    <w:rsid w:val="003F286B"/>
    <w:rsid w:val="003F2CC1"/>
    <w:rsid w:val="003F3496"/>
    <w:rsid w:val="003F3B06"/>
    <w:rsid w:val="003F3CAA"/>
    <w:rsid w:val="003F3F58"/>
    <w:rsid w:val="003F42A0"/>
    <w:rsid w:val="003F47C8"/>
    <w:rsid w:val="003F4A35"/>
    <w:rsid w:val="003F4BD9"/>
    <w:rsid w:val="003F4D79"/>
    <w:rsid w:val="003F5087"/>
    <w:rsid w:val="003F52CC"/>
    <w:rsid w:val="003F591D"/>
    <w:rsid w:val="003F5DD6"/>
    <w:rsid w:val="003F62C5"/>
    <w:rsid w:val="003F63AF"/>
    <w:rsid w:val="003F63E4"/>
    <w:rsid w:val="003F6605"/>
    <w:rsid w:val="003F681A"/>
    <w:rsid w:val="003F6BEA"/>
    <w:rsid w:val="003F720A"/>
    <w:rsid w:val="003F75EF"/>
    <w:rsid w:val="003F7B56"/>
    <w:rsid w:val="004002D7"/>
    <w:rsid w:val="00400543"/>
    <w:rsid w:val="00400A32"/>
    <w:rsid w:val="00400B6B"/>
    <w:rsid w:val="00400D0F"/>
    <w:rsid w:val="0040124D"/>
    <w:rsid w:val="00401B74"/>
    <w:rsid w:val="00401CA4"/>
    <w:rsid w:val="00401E02"/>
    <w:rsid w:val="004025C9"/>
    <w:rsid w:val="004028AF"/>
    <w:rsid w:val="00402CF1"/>
    <w:rsid w:val="00402FDA"/>
    <w:rsid w:val="00403080"/>
    <w:rsid w:val="004032CA"/>
    <w:rsid w:val="00403367"/>
    <w:rsid w:val="00403A51"/>
    <w:rsid w:val="00403C7F"/>
    <w:rsid w:val="00403EEE"/>
    <w:rsid w:val="00404018"/>
    <w:rsid w:val="00404040"/>
    <w:rsid w:val="00404363"/>
    <w:rsid w:val="00404628"/>
    <w:rsid w:val="004046B9"/>
    <w:rsid w:val="004047DC"/>
    <w:rsid w:val="00404D7E"/>
    <w:rsid w:val="0040504E"/>
    <w:rsid w:val="004052EF"/>
    <w:rsid w:val="00405EBA"/>
    <w:rsid w:val="00406145"/>
    <w:rsid w:val="004063DE"/>
    <w:rsid w:val="0040659E"/>
    <w:rsid w:val="00406841"/>
    <w:rsid w:val="00406BC2"/>
    <w:rsid w:val="00406D45"/>
    <w:rsid w:val="00406F40"/>
    <w:rsid w:val="004076EE"/>
    <w:rsid w:val="004079FF"/>
    <w:rsid w:val="00407F1D"/>
    <w:rsid w:val="004101DB"/>
    <w:rsid w:val="00410AE5"/>
    <w:rsid w:val="00410EBD"/>
    <w:rsid w:val="00411346"/>
    <w:rsid w:val="00412114"/>
    <w:rsid w:val="004129F2"/>
    <w:rsid w:val="0041369E"/>
    <w:rsid w:val="00414189"/>
    <w:rsid w:val="00414319"/>
    <w:rsid w:val="0041434B"/>
    <w:rsid w:val="00414739"/>
    <w:rsid w:val="00414C36"/>
    <w:rsid w:val="00414CE6"/>
    <w:rsid w:val="00415586"/>
    <w:rsid w:val="004159B6"/>
    <w:rsid w:val="00415AF8"/>
    <w:rsid w:val="00415BA5"/>
    <w:rsid w:val="00416A80"/>
    <w:rsid w:val="00416CF0"/>
    <w:rsid w:val="00420073"/>
    <w:rsid w:val="004200E1"/>
    <w:rsid w:val="004204D3"/>
    <w:rsid w:val="00420536"/>
    <w:rsid w:val="004205E1"/>
    <w:rsid w:val="00420731"/>
    <w:rsid w:val="00421309"/>
    <w:rsid w:val="0042137C"/>
    <w:rsid w:val="004215E5"/>
    <w:rsid w:val="00421A9F"/>
    <w:rsid w:val="00422740"/>
    <w:rsid w:val="00422A66"/>
    <w:rsid w:val="00422C31"/>
    <w:rsid w:val="0042390F"/>
    <w:rsid w:val="00423BB5"/>
    <w:rsid w:val="0042413C"/>
    <w:rsid w:val="004243A3"/>
    <w:rsid w:val="004244AD"/>
    <w:rsid w:val="0042454A"/>
    <w:rsid w:val="00424B01"/>
    <w:rsid w:val="00424C63"/>
    <w:rsid w:val="00424CDA"/>
    <w:rsid w:val="00425212"/>
    <w:rsid w:val="004257AB"/>
    <w:rsid w:val="00426155"/>
    <w:rsid w:val="00426743"/>
    <w:rsid w:val="00426E26"/>
    <w:rsid w:val="0042719D"/>
    <w:rsid w:val="004274AD"/>
    <w:rsid w:val="00430F27"/>
    <w:rsid w:val="004315D9"/>
    <w:rsid w:val="00431C7B"/>
    <w:rsid w:val="00431EEE"/>
    <w:rsid w:val="0043247D"/>
    <w:rsid w:val="00433BBF"/>
    <w:rsid w:val="00433BC3"/>
    <w:rsid w:val="004344B8"/>
    <w:rsid w:val="00434BA3"/>
    <w:rsid w:val="00435076"/>
    <w:rsid w:val="004351A6"/>
    <w:rsid w:val="00435237"/>
    <w:rsid w:val="004354E1"/>
    <w:rsid w:val="00435667"/>
    <w:rsid w:val="0043618E"/>
    <w:rsid w:val="00436AD1"/>
    <w:rsid w:val="00436D44"/>
    <w:rsid w:val="00436EF4"/>
    <w:rsid w:val="0043738E"/>
    <w:rsid w:val="0043769D"/>
    <w:rsid w:val="004379B7"/>
    <w:rsid w:val="00437C8E"/>
    <w:rsid w:val="00437DB7"/>
    <w:rsid w:val="004401CF"/>
    <w:rsid w:val="004401D9"/>
    <w:rsid w:val="00440249"/>
    <w:rsid w:val="00440824"/>
    <w:rsid w:val="00440893"/>
    <w:rsid w:val="00440A47"/>
    <w:rsid w:val="00440CA3"/>
    <w:rsid w:val="00440E1F"/>
    <w:rsid w:val="00440E54"/>
    <w:rsid w:val="00441632"/>
    <w:rsid w:val="004421BB"/>
    <w:rsid w:val="00442470"/>
    <w:rsid w:val="00442740"/>
    <w:rsid w:val="0044274B"/>
    <w:rsid w:val="00442EEF"/>
    <w:rsid w:val="0044393F"/>
    <w:rsid w:val="00443B5C"/>
    <w:rsid w:val="00443D4F"/>
    <w:rsid w:val="0044421E"/>
    <w:rsid w:val="00444B6E"/>
    <w:rsid w:val="00445266"/>
    <w:rsid w:val="00445442"/>
    <w:rsid w:val="00445B5B"/>
    <w:rsid w:val="00445EA2"/>
    <w:rsid w:val="00446982"/>
    <w:rsid w:val="00446EC0"/>
    <w:rsid w:val="00447B15"/>
    <w:rsid w:val="00450115"/>
    <w:rsid w:val="004501FC"/>
    <w:rsid w:val="0045021C"/>
    <w:rsid w:val="004506C1"/>
    <w:rsid w:val="00450B26"/>
    <w:rsid w:val="00450C4E"/>
    <w:rsid w:val="00450DFB"/>
    <w:rsid w:val="00451192"/>
    <w:rsid w:val="0045135A"/>
    <w:rsid w:val="004513E3"/>
    <w:rsid w:val="0045204A"/>
    <w:rsid w:val="00453027"/>
    <w:rsid w:val="00453642"/>
    <w:rsid w:val="00453A63"/>
    <w:rsid w:val="00454191"/>
    <w:rsid w:val="00454548"/>
    <w:rsid w:val="00454753"/>
    <w:rsid w:val="004548D5"/>
    <w:rsid w:val="00455410"/>
    <w:rsid w:val="004554E1"/>
    <w:rsid w:val="004559D3"/>
    <w:rsid w:val="00455EE3"/>
    <w:rsid w:val="00456176"/>
    <w:rsid w:val="004561FF"/>
    <w:rsid w:val="0045647E"/>
    <w:rsid w:val="00456913"/>
    <w:rsid w:val="00457C24"/>
    <w:rsid w:val="00460141"/>
    <w:rsid w:val="00460223"/>
    <w:rsid w:val="004602F3"/>
    <w:rsid w:val="004605AB"/>
    <w:rsid w:val="004609BA"/>
    <w:rsid w:val="00460A55"/>
    <w:rsid w:val="00460E7B"/>
    <w:rsid w:val="004618D9"/>
    <w:rsid w:val="00461B0B"/>
    <w:rsid w:val="00461BC8"/>
    <w:rsid w:val="00461C64"/>
    <w:rsid w:val="00461E3A"/>
    <w:rsid w:val="00461F4F"/>
    <w:rsid w:val="004621B0"/>
    <w:rsid w:val="004622FA"/>
    <w:rsid w:val="00462359"/>
    <w:rsid w:val="004626A1"/>
    <w:rsid w:val="004629DE"/>
    <w:rsid w:val="0046327A"/>
    <w:rsid w:val="004633D8"/>
    <w:rsid w:val="004637A8"/>
    <w:rsid w:val="00463A82"/>
    <w:rsid w:val="00463FFA"/>
    <w:rsid w:val="00464868"/>
    <w:rsid w:val="00464958"/>
    <w:rsid w:val="00465245"/>
    <w:rsid w:val="004652E2"/>
    <w:rsid w:val="0046542B"/>
    <w:rsid w:val="00465486"/>
    <w:rsid w:val="00465B1B"/>
    <w:rsid w:val="00467677"/>
    <w:rsid w:val="00467A65"/>
    <w:rsid w:val="00467F83"/>
    <w:rsid w:val="00467FEB"/>
    <w:rsid w:val="0047031B"/>
    <w:rsid w:val="004707A8"/>
    <w:rsid w:val="00470949"/>
    <w:rsid w:val="00470998"/>
    <w:rsid w:val="00470C4A"/>
    <w:rsid w:val="0047142C"/>
    <w:rsid w:val="0047172B"/>
    <w:rsid w:val="0047174B"/>
    <w:rsid w:val="004717E8"/>
    <w:rsid w:val="00471893"/>
    <w:rsid w:val="00471E80"/>
    <w:rsid w:val="00471EB5"/>
    <w:rsid w:val="004723B2"/>
    <w:rsid w:val="00472C67"/>
    <w:rsid w:val="00472C76"/>
    <w:rsid w:val="004731CD"/>
    <w:rsid w:val="00473263"/>
    <w:rsid w:val="00473B1C"/>
    <w:rsid w:val="00473CB2"/>
    <w:rsid w:val="004746BE"/>
    <w:rsid w:val="00474A3C"/>
    <w:rsid w:val="00474C80"/>
    <w:rsid w:val="00474E21"/>
    <w:rsid w:val="00474EBD"/>
    <w:rsid w:val="004754ED"/>
    <w:rsid w:val="00475A87"/>
    <w:rsid w:val="00475CA3"/>
    <w:rsid w:val="00475EB3"/>
    <w:rsid w:val="00475EC0"/>
    <w:rsid w:val="00476111"/>
    <w:rsid w:val="004761F6"/>
    <w:rsid w:val="0047650F"/>
    <w:rsid w:val="00476D0C"/>
    <w:rsid w:val="00477A26"/>
    <w:rsid w:val="00480100"/>
    <w:rsid w:val="004808B3"/>
    <w:rsid w:val="0048095D"/>
    <w:rsid w:val="00480A53"/>
    <w:rsid w:val="004811EF"/>
    <w:rsid w:val="004812CF"/>
    <w:rsid w:val="004816C1"/>
    <w:rsid w:val="00481B4F"/>
    <w:rsid w:val="004821FF"/>
    <w:rsid w:val="004828DA"/>
    <w:rsid w:val="004829AA"/>
    <w:rsid w:val="00482D3D"/>
    <w:rsid w:val="00482EF9"/>
    <w:rsid w:val="00483AD5"/>
    <w:rsid w:val="004841F0"/>
    <w:rsid w:val="00484286"/>
    <w:rsid w:val="0048456C"/>
    <w:rsid w:val="004846AC"/>
    <w:rsid w:val="00484BA3"/>
    <w:rsid w:val="0048508E"/>
    <w:rsid w:val="00485E95"/>
    <w:rsid w:val="00486D3E"/>
    <w:rsid w:val="004870DE"/>
    <w:rsid w:val="004871E9"/>
    <w:rsid w:val="004877FA"/>
    <w:rsid w:val="00487AB8"/>
    <w:rsid w:val="00487AFE"/>
    <w:rsid w:val="00487C8D"/>
    <w:rsid w:val="004900A9"/>
    <w:rsid w:val="004901F2"/>
    <w:rsid w:val="00490533"/>
    <w:rsid w:val="00491245"/>
    <w:rsid w:val="0049157F"/>
    <w:rsid w:val="00491CBE"/>
    <w:rsid w:val="004921DE"/>
    <w:rsid w:val="004924AC"/>
    <w:rsid w:val="00492830"/>
    <w:rsid w:val="00493180"/>
    <w:rsid w:val="00493A54"/>
    <w:rsid w:val="0049424B"/>
    <w:rsid w:val="00494520"/>
    <w:rsid w:val="00494571"/>
    <w:rsid w:val="00494A3C"/>
    <w:rsid w:val="00494D6F"/>
    <w:rsid w:val="00495051"/>
    <w:rsid w:val="00495678"/>
    <w:rsid w:val="00495A35"/>
    <w:rsid w:val="0049639D"/>
    <w:rsid w:val="00496817"/>
    <w:rsid w:val="00496AD8"/>
    <w:rsid w:val="00496BC1"/>
    <w:rsid w:val="00496BCB"/>
    <w:rsid w:val="00496F35"/>
    <w:rsid w:val="004971C9"/>
    <w:rsid w:val="00497468"/>
    <w:rsid w:val="00497762"/>
    <w:rsid w:val="0049793A"/>
    <w:rsid w:val="00497A4A"/>
    <w:rsid w:val="004A02C0"/>
    <w:rsid w:val="004A0519"/>
    <w:rsid w:val="004A053E"/>
    <w:rsid w:val="004A08C0"/>
    <w:rsid w:val="004A0C12"/>
    <w:rsid w:val="004A1602"/>
    <w:rsid w:val="004A1BCA"/>
    <w:rsid w:val="004A209B"/>
    <w:rsid w:val="004A23C7"/>
    <w:rsid w:val="004A2584"/>
    <w:rsid w:val="004A264F"/>
    <w:rsid w:val="004A265E"/>
    <w:rsid w:val="004A26C5"/>
    <w:rsid w:val="004A28D2"/>
    <w:rsid w:val="004A2B2A"/>
    <w:rsid w:val="004A2DBE"/>
    <w:rsid w:val="004A2E1F"/>
    <w:rsid w:val="004A332D"/>
    <w:rsid w:val="004A39F0"/>
    <w:rsid w:val="004A3F71"/>
    <w:rsid w:val="004A444E"/>
    <w:rsid w:val="004A4566"/>
    <w:rsid w:val="004A45BA"/>
    <w:rsid w:val="004A4867"/>
    <w:rsid w:val="004A4F45"/>
    <w:rsid w:val="004A52F7"/>
    <w:rsid w:val="004A562C"/>
    <w:rsid w:val="004A5AA2"/>
    <w:rsid w:val="004A5D77"/>
    <w:rsid w:val="004A5E45"/>
    <w:rsid w:val="004A5F72"/>
    <w:rsid w:val="004A6438"/>
    <w:rsid w:val="004A6653"/>
    <w:rsid w:val="004A6C1F"/>
    <w:rsid w:val="004A6E28"/>
    <w:rsid w:val="004A735F"/>
    <w:rsid w:val="004A7855"/>
    <w:rsid w:val="004A7944"/>
    <w:rsid w:val="004A7CC6"/>
    <w:rsid w:val="004A7EF2"/>
    <w:rsid w:val="004B026B"/>
    <w:rsid w:val="004B0963"/>
    <w:rsid w:val="004B09E1"/>
    <w:rsid w:val="004B0A10"/>
    <w:rsid w:val="004B0D9F"/>
    <w:rsid w:val="004B0F27"/>
    <w:rsid w:val="004B0FA6"/>
    <w:rsid w:val="004B15AF"/>
    <w:rsid w:val="004B1C92"/>
    <w:rsid w:val="004B1D52"/>
    <w:rsid w:val="004B21A2"/>
    <w:rsid w:val="004B267D"/>
    <w:rsid w:val="004B2BBD"/>
    <w:rsid w:val="004B2E62"/>
    <w:rsid w:val="004B3070"/>
    <w:rsid w:val="004B3512"/>
    <w:rsid w:val="004B39B7"/>
    <w:rsid w:val="004B40CB"/>
    <w:rsid w:val="004B42F9"/>
    <w:rsid w:val="004B4583"/>
    <w:rsid w:val="004B4793"/>
    <w:rsid w:val="004B4E89"/>
    <w:rsid w:val="004B5040"/>
    <w:rsid w:val="004B51C6"/>
    <w:rsid w:val="004B5943"/>
    <w:rsid w:val="004B5AB9"/>
    <w:rsid w:val="004B67F1"/>
    <w:rsid w:val="004B689A"/>
    <w:rsid w:val="004B6C5F"/>
    <w:rsid w:val="004B71B4"/>
    <w:rsid w:val="004B7307"/>
    <w:rsid w:val="004B7446"/>
    <w:rsid w:val="004B76A2"/>
    <w:rsid w:val="004B78B9"/>
    <w:rsid w:val="004B7913"/>
    <w:rsid w:val="004B7C45"/>
    <w:rsid w:val="004B7C48"/>
    <w:rsid w:val="004C00EB"/>
    <w:rsid w:val="004C09FF"/>
    <w:rsid w:val="004C1498"/>
    <w:rsid w:val="004C18D5"/>
    <w:rsid w:val="004C19A5"/>
    <w:rsid w:val="004C2354"/>
    <w:rsid w:val="004C2D43"/>
    <w:rsid w:val="004C3B5F"/>
    <w:rsid w:val="004C3BDA"/>
    <w:rsid w:val="004C3E89"/>
    <w:rsid w:val="004C527E"/>
    <w:rsid w:val="004C5723"/>
    <w:rsid w:val="004C58AE"/>
    <w:rsid w:val="004C5B34"/>
    <w:rsid w:val="004C5C7F"/>
    <w:rsid w:val="004C621F"/>
    <w:rsid w:val="004C64B0"/>
    <w:rsid w:val="004C68B4"/>
    <w:rsid w:val="004C6A44"/>
    <w:rsid w:val="004C6D66"/>
    <w:rsid w:val="004C6D6C"/>
    <w:rsid w:val="004C6F04"/>
    <w:rsid w:val="004C72B8"/>
    <w:rsid w:val="004D05B7"/>
    <w:rsid w:val="004D07AF"/>
    <w:rsid w:val="004D0C83"/>
    <w:rsid w:val="004D0D99"/>
    <w:rsid w:val="004D0FAC"/>
    <w:rsid w:val="004D11C1"/>
    <w:rsid w:val="004D1453"/>
    <w:rsid w:val="004D18FF"/>
    <w:rsid w:val="004D1CC2"/>
    <w:rsid w:val="004D1DB8"/>
    <w:rsid w:val="004D20A0"/>
    <w:rsid w:val="004D23FE"/>
    <w:rsid w:val="004D277B"/>
    <w:rsid w:val="004D2809"/>
    <w:rsid w:val="004D2B21"/>
    <w:rsid w:val="004D2DF7"/>
    <w:rsid w:val="004D2FDA"/>
    <w:rsid w:val="004D3007"/>
    <w:rsid w:val="004D3453"/>
    <w:rsid w:val="004D442A"/>
    <w:rsid w:val="004D5741"/>
    <w:rsid w:val="004D5A45"/>
    <w:rsid w:val="004D5AF9"/>
    <w:rsid w:val="004D6320"/>
    <w:rsid w:val="004D660C"/>
    <w:rsid w:val="004D6C5A"/>
    <w:rsid w:val="004D6F79"/>
    <w:rsid w:val="004D7538"/>
    <w:rsid w:val="004D78A0"/>
    <w:rsid w:val="004D7EA2"/>
    <w:rsid w:val="004DF643"/>
    <w:rsid w:val="004E09F7"/>
    <w:rsid w:val="004E176D"/>
    <w:rsid w:val="004E1984"/>
    <w:rsid w:val="004E219B"/>
    <w:rsid w:val="004E2616"/>
    <w:rsid w:val="004E29BC"/>
    <w:rsid w:val="004E2AAF"/>
    <w:rsid w:val="004E2D0D"/>
    <w:rsid w:val="004E2F48"/>
    <w:rsid w:val="004E322E"/>
    <w:rsid w:val="004E356D"/>
    <w:rsid w:val="004E364F"/>
    <w:rsid w:val="004E3B24"/>
    <w:rsid w:val="004E3B78"/>
    <w:rsid w:val="004E3E02"/>
    <w:rsid w:val="004E3E8F"/>
    <w:rsid w:val="004E4300"/>
    <w:rsid w:val="004E45DD"/>
    <w:rsid w:val="004E46A0"/>
    <w:rsid w:val="004E484A"/>
    <w:rsid w:val="004E4D2F"/>
    <w:rsid w:val="004E4D44"/>
    <w:rsid w:val="004E5760"/>
    <w:rsid w:val="004E5799"/>
    <w:rsid w:val="004E5E04"/>
    <w:rsid w:val="004E5F20"/>
    <w:rsid w:val="004E5FF8"/>
    <w:rsid w:val="004E62F9"/>
    <w:rsid w:val="004E64F9"/>
    <w:rsid w:val="004E6579"/>
    <w:rsid w:val="004E7AAC"/>
    <w:rsid w:val="004F0373"/>
    <w:rsid w:val="004F0A5A"/>
    <w:rsid w:val="004F0B71"/>
    <w:rsid w:val="004F0E77"/>
    <w:rsid w:val="004F0FBD"/>
    <w:rsid w:val="004F1134"/>
    <w:rsid w:val="004F1214"/>
    <w:rsid w:val="004F1310"/>
    <w:rsid w:val="004F1873"/>
    <w:rsid w:val="004F1FD3"/>
    <w:rsid w:val="004F2253"/>
    <w:rsid w:val="004F2907"/>
    <w:rsid w:val="004F292A"/>
    <w:rsid w:val="004F38E3"/>
    <w:rsid w:val="004F39CD"/>
    <w:rsid w:val="004F3BC0"/>
    <w:rsid w:val="004F3E66"/>
    <w:rsid w:val="004F445D"/>
    <w:rsid w:val="004F462D"/>
    <w:rsid w:val="004F48AB"/>
    <w:rsid w:val="004F5F2B"/>
    <w:rsid w:val="004F61A7"/>
    <w:rsid w:val="004F62F6"/>
    <w:rsid w:val="004F6385"/>
    <w:rsid w:val="004F6634"/>
    <w:rsid w:val="004F6740"/>
    <w:rsid w:val="004F68E2"/>
    <w:rsid w:val="004F6F27"/>
    <w:rsid w:val="004F70CB"/>
    <w:rsid w:val="004F7353"/>
    <w:rsid w:val="004F7851"/>
    <w:rsid w:val="00500388"/>
    <w:rsid w:val="00500597"/>
    <w:rsid w:val="00500691"/>
    <w:rsid w:val="00500819"/>
    <w:rsid w:val="00500865"/>
    <w:rsid w:val="00500892"/>
    <w:rsid w:val="00500D33"/>
    <w:rsid w:val="0050120C"/>
    <w:rsid w:val="00501555"/>
    <w:rsid w:val="0050169C"/>
    <w:rsid w:val="0050196B"/>
    <w:rsid w:val="00501CB1"/>
    <w:rsid w:val="00501F38"/>
    <w:rsid w:val="005024FC"/>
    <w:rsid w:val="00502890"/>
    <w:rsid w:val="00502B5B"/>
    <w:rsid w:val="00502C9F"/>
    <w:rsid w:val="0050382F"/>
    <w:rsid w:val="00503EBD"/>
    <w:rsid w:val="00504179"/>
    <w:rsid w:val="00504B07"/>
    <w:rsid w:val="00505713"/>
    <w:rsid w:val="0050637C"/>
    <w:rsid w:val="005066EA"/>
    <w:rsid w:val="00506E92"/>
    <w:rsid w:val="00506F24"/>
    <w:rsid w:val="00506F97"/>
    <w:rsid w:val="005075A1"/>
    <w:rsid w:val="00507B5B"/>
    <w:rsid w:val="00507D7E"/>
    <w:rsid w:val="00510274"/>
    <w:rsid w:val="00510B43"/>
    <w:rsid w:val="00510F4E"/>
    <w:rsid w:val="00510F77"/>
    <w:rsid w:val="00511B2A"/>
    <w:rsid w:val="005120F2"/>
    <w:rsid w:val="005123A0"/>
    <w:rsid w:val="00512D90"/>
    <w:rsid w:val="00512E5F"/>
    <w:rsid w:val="005131C8"/>
    <w:rsid w:val="00513D49"/>
    <w:rsid w:val="00513F44"/>
    <w:rsid w:val="00514008"/>
    <w:rsid w:val="005144AF"/>
    <w:rsid w:val="0051474C"/>
    <w:rsid w:val="00514F54"/>
    <w:rsid w:val="00514FCB"/>
    <w:rsid w:val="005150B5"/>
    <w:rsid w:val="0051533B"/>
    <w:rsid w:val="00515351"/>
    <w:rsid w:val="005162D4"/>
    <w:rsid w:val="0051633E"/>
    <w:rsid w:val="00517745"/>
    <w:rsid w:val="00517E33"/>
    <w:rsid w:val="005208DB"/>
    <w:rsid w:val="00520E0F"/>
    <w:rsid w:val="00520FED"/>
    <w:rsid w:val="00520FFF"/>
    <w:rsid w:val="005214D1"/>
    <w:rsid w:val="00521C12"/>
    <w:rsid w:val="00521E33"/>
    <w:rsid w:val="0052216D"/>
    <w:rsid w:val="00522189"/>
    <w:rsid w:val="005225B4"/>
    <w:rsid w:val="005225B7"/>
    <w:rsid w:val="0052274D"/>
    <w:rsid w:val="0052290F"/>
    <w:rsid w:val="00522952"/>
    <w:rsid w:val="00523FF9"/>
    <w:rsid w:val="00524380"/>
    <w:rsid w:val="00524747"/>
    <w:rsid w:val="00524DFE"/>
    <w:rsid w:val="00524F07"/>
    <w:rsid w:val="0052502E"/>
    <w:rsid w:val="0052553A"/>
    <w:rsid w:val="00525E39"/>
    <w:rsid w:val="005260AF"/>
    <w:rsid w:val="0052678A"/>
    <w:rsid w:val="00526910"/>
    <w:rsid w:val="00526F21"/>
    <w:rsid w:val="005271CE"/>
    <w:rsid w:val="005277C0"/>
    <w:rsid w:val="00527864"/>
    <w:rsid w:val="005278ED"/>
    <w:rsid w:val="00527BEF"/>
    <w:rsid w:val="005300C6"/>
    <w:rsid w:val="005301C3"/>
    <w:rsid w:val="00530760"/>
    <w:rsid w:val="00530FD4"/>
    <w:rsid w:val="00531353"/>
    <w:rsid w:val="0053171E"/>
    <w:rsid w:val="00532062"/>
    <w:rsid w:val="00532278"/>
    <w:rsid w:val="00532561"/>
    <w:rsid w:val="005328AE"/>
    <w:rsid w:val="005330E8"/>
    <w:rsid w:val="005333BB"/>
    <w:rsid w:val="0053349B"/>
    <w:rsid w:val="0053353E"/>
    <w:rsid w:val="00534527"/>
    <w:rsid w:val="00534C1D"/>
    <w:rsid w:val="005352FB"/>
    <w:rsid w:val="005359F8"/>
    <w:rsid w:val="00535A27"/>
    <w:rsid w:val="00535EF4"/>
    <w:rsid w:val="005360CF"/>
    <w:rsid w:val="0053615B"/>
    <w:rsid w:val="0053693E"/>
    <w:rsid w:val="0053693F"/>
    <w:rsid w:val="005375FD"/>
    <w:rsid w:val="00537A51"/>
    <w:rsid w:val="005405C9"/>
    <w:rsid w:val="0054088E"/>
    <w:rsid w:val="00540A6D"/>
    <w:rsid w:val="00540B05"/>
    <w:rsid w:val="00540C38"/>
    <w:rsid w:val="00540F22"/>
    <w:rsid w:val="0054113F"/>
    <w:rsid w:val="0054120E"/>
    <w:rsid w:val="005412B9"/>
    <w:rsid w:val="00541BDC"/>
    <w:rsid w:val="00542304"/>
    <w:rsid w:val="00542C7A"/>
    <w:rsid w:val="00542EA6"/>
    <w:rsid w:val="00543C2B"/>
    <w:rsid w:val="00543C35"/>
    <w:rsid w:val="00543D7B"/>
    <w:rsid w:val="00543EB0"/>
    <w:rsid w:val="00543F62"/>
    <w:rsid w:val="005441C2"/>
    <w:rsid w:val="005448F4"/>
    <w:rsid w:val="00545273"/>
    <w:rsid w:val="005459FC"/>
    <w:rsid w:val="005461F0"/>
    <w:rsid w:val="00546287"/>
    <w:rsid w:val="00546BA4"/>
    <w:rsid w:val="00547091"/>
    <w:rsid w:val="0054720D"/>
    <w:rsid w:val="00547340"/>
    <w:rsid w:val="00547700"/>
    <w:rsid w:val="00547A34"/>
    <w:rsid w:val="00547D5A"/>
    <w:rsid w:val="00551637"/>
    <w:rsid w:val="0055173D"/>
    <w:rsid w:val="005522E7"/>
    <w:rsid w:val="00552CA0"/>
    <w:rsid w:val="00552DF2"/>
    <w:rsid w:val="00552E0A"/>
    <w:rsid w:val="00553333"/>
    <w:rsid w:val="00553530"/>
    <w:rsid w:val="005537CB"/>
    <w:rsid w:val="00553FA2"/>
    <w:rsid w:val="005543B8"/>
    <w:rsid w:val="00554FCD"/>
    <w:rsid w:val="00555741"/>
    <w:rsid w:val="005558B0"/>
    <w:rsid w:val="00555A5F"/>
    <w:rsid w:val="00555B9C"/>
    <w:rsid w:val="00555C25"/>
    <w:rsid w:val="00555FB2"/>
    <w:rsid w:val="0055603D"/>
    <w:rsid w:val="005565C3"/>
    <w:rsid w:val="0055666A"/>
    <w:rsid w:val="00556D2A"/>
    <w:rsid w:val="00556FFE"/>
    <w:rsid w:val="00557D5C"/>
    <w:rsid w:val="00560141"/>
    <w:rsid w:val="00560489"/>
    <w:rsid w:val="0056065F"/>
    <w:rsid w:val="00560899"/>
    <w:rsid w:val="005615EE"/>
    <w:rsid w:val="00561A65"/>
    <w:rsid w:val="00561B71"/>
    <w:rsid w:val="00562141"/>
    <w:rsid w:val="005633E1"/>
    <w:rsid w:val="00563419"/>
    <w:rsid w:val="00563617"/>
    <w:rsid w:val="00563C53"/>
    <w:rsid w:val="00563EBF"/>
    <w:rsid w:val="00563F4E"/>
    <w:rsid w:val="0056412A"/>
    <w:rsid w:val="005644E9"/>
    <w:rsid w:val="0056530D"/>
    <w:rsid w:val="005653CE"/>
    <w:rsid w:val="00565618"/>
    <w:rsid w:val="005656C9"/>
    <w:rsid w:val="005656D2"/>
    <w:rsid w:val="005659BA"/>
    <w:rsid w:val="005659FA"/>
    <w:rsid w:val="00565B41"/>
    <w:rsid w:val="00565F8B"/>
    <w:rsid w:val="0056640C"/>
    <w:rsid w:val="00566446"/>
    <w:rsid w:val="00566951"/>
    <w:rsid w:val="00566A9E"/>
    <w:rsid w:val="00567597"/>
    <w:rsid w:val="005677B2"/>
    <w:rsid w:val="00567E8E"/>
    <w:rsid w:val="00567FD8"/>
    <w:rsid w:val="005700EC"/>
    <w:rsid w:val="005701CB"/>
    <w:rsid w:val="0057026B"/>
    <w:rsid w:val="005706DE"/>
    <w:rsid w:val="00570773"/>
    <w:rsid w:val="005709A7"/>
    <w:rsid w:val="00570ACB"/>
    <w:rsid w:val="00570B10"/>
    <w:rsid w:val="00570F87"/>
    <w:rsid w:val="00571105"/>
    <w:rsid w:val="00571DAC"/>
    <w:rsid w:val="00572488"/>
    <w:rsid w:val="00572682"/>
    <w:rsid w:val="0057294B"/>
    <w:rsid w:val="00572B0D"/>
    <w:rsid w:val="00573153"/>
    <w:rsid w:val="00573364"/>
    <w:rsid w:val="00573838"/>
    <w:rsid w:val="005739A8"/>
    <w:rsid w:val="00573B58"/>
    <w:rsid w:val="00573BE9"/>
    <w:rsid w:val="00574119"/>
    <w:rsid w:val="00574DCB"/>
    <w:rsid w:val="00574E19"/>
    <w:rsid w:val="005754AB"/>
    <w:rsid w:val="00575716"/>
    <w:rsid w:val="00575AD2"/>
    <w:rsid w:val="00575EDC"/>
    <w:rsid w:val="00576934"/>
    <w:rsid w:val="0057696C"/>
    <w:rsid w:val="00576E0B"/>
    <w:rsid w:val="00577315"/>
    <w:rsid w:val="00577C42"/>
    <w:rsid w:val="00580BE8"/>
    <w:rsid w:val="00580FF4"/>
    <w:rsid w:val="00581732"/>
    <w:rsid w:val="00581930"/>
    <w:rsid w:val="00581FBB"/>
    <w:rsid w:val="0058293D"/>
    <w:rsid w:val="00582E7E"/>
    <w:rsid w:val="00582EF2"/>
    <w:rsid w:val="00582F4F"/>
    <w:rsid w:val="00583B61"/>
    <w:rsid w:val="00583B71"/>
    <w:rsid w:val="00583D6E"/>
    <w:rsid w:val="00584B2F"/>
    <w:rsid w:val="00584CA9"/>
    <w:rsid w:val="00584F93"/>
    <w:rsid w:val="0058565F"/>
    <w:rsid w:val="00585F49"/>
    <w:rsid w:val="00586D45"/>
    <w:rsid w:val="0058744B"/>
    <w:rsid w:val="0058761B"/>
    <w:rsid w:val="005878EF"/>
    <w:rsid w:val="00587F1F"/>
    <w:rsid w:val="00590150"/>
    <w:rsid w:val="00590272"/>
    <w:rsid w:val="00590973"/>
    <w:rsid w:val="00590B2A"/>
    <w:rsid w:val="00590DAF"/>
    <w:rsid w:val="00590EBB"/>
    <w:rsid w:val="00591303"/>
    <w:rsid w:val="00591B26"/>
    <w:rsid w:val="00591C8B"/>
    <w:rsid w:val="00591D0E"/>
    <w:rsid w:val="0059226B"/>
    <w:rsid w:val="0059255B"/>
    <w:rsid w:val="005928B7"/>
    <w:rsid w:val="00592C7A"/>
    <w:rsid w:val="005930F6"/>
    <w:rsid w:val="0059338E"/>
    <w:rsid w:val="005935AE"/>
    <w:rsid w:val="00593BF5"/>
    <w:rsid w:val="00594670"/>
    <w:rsid w:val="00594F36"/>
    <w:rsid w:val="005953A3"/>
    <w:rsid w:val="005957F7"/>
    <w:rsid w:val="00595CC4"/>
    <w:rsid w:val="00595E1F"/>
    <w:rsid w:val="00596004"/>
    <w:rsid w:val="0059620E"/>
    <w:rsid w:val="005964AC"/>
    <w:rsid w:val="005965A5"/>
    <w:rsid w:val="00596A86"/>
    <w:rsid w:val="00596B0F"/>
    <w:rsid w:val="00596B3A"/>
    <w:rsid w:val="00596B4D"/>
    <w:rsid w:val="00597DA4"/>
    <w:rsid w:val="005A024C"/>
    <w:rsid w:val="005A1191"/>
    <w:rsid w:val="005A174A"/>
    <w:rsid w:val="005A1B6D"/>
    <w:rsid w:val="005A1E97"/>
    <w:rsid w:val="005A22DE"/>
    <w:rsid w:val="005A26C7"/>
    <w:rsid w:val="005A26DE"/>
    <w:rsid w:val="005A2977"/>
    <w:rsid w:val="005A2999"/>
    <w:rsid w:val="005A3003"/>
    <w:rsid w:val="005A33D4"/>
    <w:rsid w:val="005A36BB"/>
    <w:rsid w:val="005A3B3C"/>
    <w:rsid w:val="005A3C18"/>
    <w:rsid w:val="005A40B1"/>
    <w:rsid w:val="005A4223"/>
    <w:rsid w:val="005A424C"/>
    <w:rsid w:val="005A4668"/>
    <w:rsid w:val="005A49C9"/>
    <w:rsid w:val="005A5142"/>
    <w:rsid w:val="005A5249"/>
    <w:rsid w:val="005A5C9C"/>
    <w:rsid w:val="005A5FE0"/>
    <w:rsid w:val="005A6914"/>
    <w:rsid w:val="005A6C14"/>
    <w:rsid w:val="005A6D60"/>
    <w:rsid w:val="005A6F83"/>
    <w:rsid w:val="005A70D0"/>
    <w:rsid w:val="005A7536"/>
    <w:rsid w:val="005A7C86"/>
    <w:rsid w:val="005B0273"/>
    <w:rsid w:val="005B14CE"/>
    <w:rsid w:val="005B1C92"/>
    <w:rsid w:val="005B1FA4"/>
    <w:rsid w:val="005B224F"/>
    <w:rsid w:val="005B237E"/>
    <w:rsid w:val="005B241C"/>
    <w:rsid w:val="005B286C"/>
    <w:rsid w:val="005B288D"/>
    <w:rsid w:val="005B34A6"/>
    <w:rsid w:val="005B3832"/>
    <w:rsid w:val="005B3E14"/>
    <w:rsid w:val="005B40C6"/>
    <w:rsid w:val="005B5954"/>
    <w:rsid w:val="005B5A35"/>
    <w:rsid w:val="005B607A"/>
    <w:rsid w:val="005B61C0"/>
    <w:rsid w:val="005B65D9"/>
    <w:rsid w:val="005B6B93"/>
    <w:rsid w:val="005B6CA9"/>
    <w:rsid w:val="005B71BB"/>
    <w:rsid w:val="005B7314"/>
    <w:rsid w:val="005B788F"/>
    <w:rsid w:val="005B7F86"/>
    <w:rsid w:val="005C06AA"/>
    <w:rsid w:val="005C19D8"/>
    <w:rsid w:val="005C1A7E"/>
    <w:rsid w:val="005C1B77"/>
    <w:rsid w:val="005C2924"/>
    <w:rsid w:val="005C3004"/>
    <w:rsid w:val="005C32AF"/>
    <w:rsid w:val="005C3351"/>
    <w:rsid w:val="005C3A22"/>
    <w:rsid w:val="005C3EE3"/>
    <w:rsid w:val="005C4532"/>
    <w:rsid w:val="005C47E1"/>
    <w:rsid w:val="005C4817"/>
    <w:rsid w:val="005C48C5"/>
    <w:rsid w:val="005C4EBF"/>
    <w:rsid w:val="005C5077"/>
    <w:rsid w:val="005C50F8"/>
    <w:rsid w:val="005C55B8"/>
    <w:rsid w:val="005C57FC"/>
    <w:rsid w:val="005C5DC4"/>
    <w:rsid w:val="005C6148"/>
    <w:rsid w:val="005C69B6"/>
    <w:rsid w:val="005C6FA8"/>
    <w:rsid w:val="005C7B0E"/>
    <w:rsid w:val="005C7D03"/>
    <w:rsid w:val="005D0035"/>
    <w:rsid w:val="005D005F"/>
    <w:rsid w:val="005D0106"/>
    <w:rsid w:val="005D0255"/>
    <w:rsid w:val="005D05BC"/>
    <w:rsid w:val="005D079E"/>
    <w:rsid w:val="005D0936"/>
    <w:rsid w:val="005D09BA"/>
    <w:rsid w:val="005D0F6A"/>
    <w:rsid w:val="005D1116"/>
    <w:rsid w:val="005D12C1"/>
    <w:rsid w:val="005D1872"/>
    <w:rsid w:val="005D1970"/>
    <w:rsid w:val="005D1AA2"/>
    <w:rsid w:val="005D1DA5"/>
    <w:rsid w:val="005D20B2"/>
    <w:rsid w:val="005D2204"/>
    <w:rsid w:val="005D25E4"/>
    <w:rsid w:val="005D2AC5"/>
    <w:rsid w:val="005D3320"/>
    <w:rsid w:val="005D3407"/>
    <w:rsid w:val="005D356D"/>
    <w:rsid w:val="005D37E9"/>
    <w:rsid w:val="005D3C58"/>
    <w:rsid w:val="005D404C"/>
    <w:rsid w:val="005D47F5"/>
    <w:rsid w:val="005D4877"/>
    <w:rsid w:val="005D4C84"/>
    <w:rsid w:val="005D6003"/>
    <w:rsid w:val="005D66BC"/>
    <w:rsid w:val="005D6799"/>
    <w:rsid w:val="005D69E3"/>
    <w:rsid w:val="005D6B34"/>
    <w:rsid w:val="005D71DF"/>
    <w:rsid w:val="005D720A"/>
    <w:rsid w:val="005D725F"/>
    <w:rsid w:val="005D751A"/>
    <w:rsid w:val="005D76AD"/>
    <w:rsid w:val="005D7B49"/>
    <w:rsid w:val="005D7F71"/>
    <w:rsid w:val="005E01A6"/>
    <w:rsid w:val="005E022A"/>
    <w:rsid w:val="005E0346"/>
    <w:rsid w:val="005E03DE"/>
    <w:rsid w:val="005E042F"/>
    <w:rsid w:val="005E1110"/>
    <w:rsid w:val="005E1176"/>
    <w:rsid w:val="005E1635"/>
    <w:rsid w:val="005E1F2E"/>
    <w:rsid w:val="005E1F6A"/>
    <w:rsid w:val="005E2168"/>
    <w:rsid w:val="005E2362"/>
    <w:rsid w:val="005E26B8"/>
    <w:rsid w:val="005E26F7"/>
    <w:rsid w:val="005E348F"/>
    <w:rsid w:val="005E35D7"/>
    <w:rsid w:val="005E38C1"/>
    <w:rsid w:val="005E3955"/>
    <w:rsid w:val="005E3A40"/>
    <w:rsid w:val="005E3B6D"/>
    <w:rsid w:val="005E40E1"/>
    <w:rsid w:val="005E4305"/>
    <w:rsid w:val="005E4663"/>
    <w:rsid w:val="005E48B6"/>
    <w:rsid w:val="005E4B24"/>
    <w:rsid w:val="005E53C0"/>
    <w:rsid w:val="005E579A"/>
    <w:rsid w:val="005E5975"/>
    <w:rsid w:val="005E5E71"/>
    <w:rsid w:val="005E66B5"/>
    <w:rsid w:val="005E68F2"/>
    <w:rsid w:val="005E6D78"/>
    <w:rsid w:val="005E6FAA"/>
    <w:rsid w:val="005E73AE"/>
    <w:rsid w:val="005E7459"/>
    <w:rsid w:val="005E75DE"/>
    <w:rsid w:val="005E76C3"/>
    <w:rsid w:val="005E7D1A"/>
    <w:rsid w:val="005E7FE1"/>
    <w:rsid w:val="005F0158"/>
    <w:rsid w:val="005F03D2"/>
    <w:rsid w:val="005F0542"/>
    <w:rsid w:val="005F069B"/>
    <w:rsid w:val="005F0975"/>
    <w:rsid w:val="005F0A37"/>
    <w:rsid w:val="005F0BF0"/>
    <w:rsid w:val="005F0FDB"/>
    <w:rsid w:val="005F1080"/>
    <w:rsid w:val="005F10B2"/>
    <w:rsid w:val="005F1998"/>
    <w:rsid w:val="005F2065"/>
    <w:rsid w:val="005F2734"/>
    <w:rsid w:val="005F2A59"/>
    <w:rsid w:val="005F2E84"/>
    <w:rsid w:val="005F3140"/>
    <w:rsid w:val="005F320E"/>
    <w:rsid w:val="005F38EB"/>
    <w:rsid w:val="005F41E7"/>
    <w:rsid w:val="005F423C"/>
    <w:rsid w:val="005F4347"/>
    <w:rsid w:val="005F48A7"/>
    <w:rsid w:val="005F499B"/>
    <w:rsid w:val="005F4A80"/>
    <w:rsid w:val="005F4BAC"/>
    <w:rsid w:val="005F4F39"/>
    <w:rsid w:val="005F5738"/>
    <w:rsid w:val="005F574E"/>
    <w:rsid w:val="005F58D3"/>
    <w:rsid w:val="005F5BAF"/>
    <w:rsid w:val="005F5EE3"/>
    <w:rsid w:val="005F6106"/>
    <w:rsid w:val="005F6117"/>
    <w:rsid w:val="005F65A8"/>
    <w:rsid w:val="005F65D8"/>
    <w:rsid w:val="005F68E3"/>
    <w:rsid w:val="005F6BDC"/>
    <w:rsid w:val="005F6D6C"/>
    <w:rsid w:val="005F6E53"/>
    <w:rsid w:val="005F707F"/>
    <w:rsid w:val="005F74A7"/>
    <w:rsid w:val="005F7561"/>
    <w:rsid w:val="005F7732"/>
    <w:rsid w:val="005F777E"/>
    <w:rsid w:val="005F7B99"/>
    <w:rsid w:val="005F7BA8"/>
    <w:rsid w:val="005F7D51"/>
    <w:rsid w:val="005F7E22"/>
    <w:rsid w:val="00600222"/>
    <w:rsid w:val="00600DF0"/>
    <w:rsid w:val="006017E4"/>
    <w:rsid w:val="00601FEE"/>
    <w:rsid w:val="0060206A"/>
    <w:rsid w:val="006023D9"/>
    <w:rsid w:val="0060274E"/>
    <w:rsid w:val="00602B32"/>
    <w:rsid w:val="00602BB5"/>
    <w:rsid w:val="0060312C"/>
    <w:rsid w:val="0060346B"/>
    <w:rsid w:val="006039A3"/>
    <w:rsid w:val="00603DDB"/>
    <w:rsid w:val="00605000"/>
    <w:rsid w:val="0060546A"/>
    <w:rsid w:val="00605B18"/>
    <w:rsid w:val="00605F0D"/>
    <w:rsid w:val="00605F7C"/>
    <w:rsid w:val="00605FB6"/>
    <w:rsid w:val="006061F0"/>
    <w:rsid w:val="00606842"/>
    <w:rsid w:val="00606ADF"/>
    <w:rsid w:val="00606DCD"/>
    <w:rsid w:val="0060752A"/>
    <w:rsid w:val="00607B97"/>
    <w:rsid w:val="00607DD6"/>
    <w:rsid w:val="00607E7D"/>
    <w:rsid w:val="00607E92"/>
    <w:rsid w:val="00607F3B"/>
    <w:rsid w:val="00610435"/>
    <w:rsid w:val="006106F9"/>
    <w:rsid w:val="0061097F"/>
    <w:rsid w:val="006110C9"/>
    <w:rsid w:val="0061168B"/>
    <w:rsid w:val="00611D0B"/>
    <w:rsid w:val="00612632"/>
    <w:rsid w:val="0061295C"/>
    <w:rsid w:val="00612DDB"/>
    <w:rsid w:val="006130F3"/>
    <w:rsid w:val="0061311E"/>
    <w:rsid w:val="00613AF2"/>
    <w:rsid w:val="00613C85"/>
    <w:rsid w:val="00613CE8"/>
    <w:rsid w:val="00614004"/>
    <w:rsid w:val="00614527"/>
    <w:rsid w:val="006147B5"/>
    <w:rsid w:val="00614AFF"/>
    <w:rsid w:val="00614C15"/>
    <w:rsid w:val="00614D4C"/>
    <w:rsid w:val="00615518"/>
    <w:rsid w:val="00615679"/>
    <w:rsid w:val="006157DB"/>
    <w:rsid w:val="00615942"/>
    <w:rsid w:val="00616B5C"/>
    <w:rsid w:val="00616F7B"/>
    <w:rsid w:val="00617260"/>
    <w:rsid w:val="00617416"/>
    <w:rsid w:val="0062021C"/>
    <w:rsid w:val="006202B2"/>
    <w:rsid w:val="0062048B"/>
    <w:rsid w:val="006205AD"/>
    <w:rsid w:val="00620B0E"/>
    <w:rsid w:val="00620D00"/>
    <w:rsid w:val="00620E41"/>
    <w:rsid w:val="0062138B"/>
    <w:rsid w:val="00621E70"/>
    <w:rsid w:val="00622049"/>
    <w:rsid w:val="006221B3"/>
    <w:rsid w:val="006223BA"/>
    <w:rsid w:val="00623527"/>
    <w:rsid w:val="006239C8"/>
    <w:rsid w:val="006241E6"/>
    <w:rsid w:val="006243EA"/>
    <w:rsid w:val="00624EF6"/>
    <w:rsid w:val="00624FCE"/>
    <w:rsid w:val="0062525C"/>
    <w:rsid w:val="006252E5"/>
    <w:rsid w:val="00625869"/>
    <w:rsid w:val="00625936"/>
    <w:rsid w:val="0062641E"/>
    <w:rsid w:val="00626971"/>
    <w:rsid w:val="00626CB7"/>
    <w:rsid w:val="006270AE"/>
    <w:rsid w:val="00627174"/>
    <w:rsid w:val="0062777B"/>
    <w:rsid w:val="00627ABE"/>
    <w:rsid w:val="00627C98"/>
    <w:rsid w:val="0063069D"/>
    <w:rsid w:val="00630836"/>
    <w:rsid w:val="00630982"/>
    <w:rsid w:val="00630BB3"/>
    <w:rsid w:val="00631336"/>
    <w:rsid w:val="006323B8"/>
    <w:rsid w:val="00632466"/>
    <w:rsid w:val="00632982"/>
    <w:rsid w:val="00632A3A"/>
    <w:rsid w:val="00632CAD"/>
    <w:rsid w:val="00632CB1"/>
    <w:rsid w:val="00633E56"/>
    <w:rsid w:val="006340B8"/>
    <w:rsid w:val="00634D43"/>
    <w:rsid w:val="00634F11"/>
    <w:rsid w:val="00635125"/>
    <w:rsid w:val="0063557F"/>
    <w:rsid w:val="0063565D"/>
    <w:rsid w:val="0063573C"/>
    <w:rsid w:val="006357A9"/>
    <w:rsid w:val="006361AE"/>
    <w:rsid w:val="00636A4F"/>
    <w:rsid w:val="00636BA2"/>
    <w:rsid w:val="00636FFC"/>
    <w:rsid w:val="006379A8"/>
    <w:rsid w:val="00637F61"/>
    <w:rsid w:val="0064005F"/>
    <w:rsid w:val="00640229"/>
    <w:rsid w:val="006403AA"/>
    <w:rsid w:val="006403B9"/>
    <w:rsid w:val="00640494"/>
    <w:rsid w:val="00640DF1"/>
    <w:rsid w:val="00641163"/>
    <w:rsid w:val="00641987"/>
    <w:rsid w:val="00641A17"/>
    <w:rsid w:val="006421E4"/>
    <w:rsid w:val="0064267F"/>
    <w:rsid w:val="006426A1"/>
    <w:rsid w:val="00642E13"/>
    <w:rsid w:val="00642FCE"/>
    <w:rsid w:val="006430A1"/>
    <w:rsid w:val="006431CF"/>
    <w:rsid w:val="006434F9"/>
    <w:rsid w:val="006435F6"/>
    <w:rsid w:val="00643666"/>
    <w:rsid w:val="00643E17"/>
    <w:rsid w:val="00643FD6"/>
    <w:rsid w:val="00644004"/>
    <w:rsid w:val="00644007"/>
    <w:rsid w:val="00644292"/>
    <w:rsid w:val="006442BD"/>
    <w:rsid w:val="00644345"/>
    <w:rsid w:val="0064494D"/>
    <w:rsid w:val="00644E1A"/>
    <w:rsid w:val="00645677"/>
    <w:rsid w:val="00645F2B"/>
    <w:rsid w:val="0064607E"/>
    <w:rsid w:val="0064662B"/>
    <w:rsid w:val="00646664"/>
    <w:rsid w:val="00646D14"/>
    <w:rsid w:val="00646D71"/>
    <w:rsid w:val="006470EB"/>
    <w:rsid w:val="006476D5"/>
    <w:rsid w:val="0064792F"/>
    <w:rsid w:val="00647A03"/>
    <w:rsid w:val="00647A32"/>
    <w:rsid w:val="00647B14"/>
    <w:rsid w:val="00647D89"/>
    <w:rsid w:val="00647E31"/>
    <w:rsid w:val="00647F68"/>
    <w:rsid w:val="0065014E"/>
    <w:rsid w:val="0065021A"/>
    <w:rsid w:val="00650FA5"/>
    <w:rsid w:val="006511F3"/>
    <w:rsid w:val="0065140B"/>
    <w:rsid w:val="00651E37"/>
    <w:rsid w:val="00652525"/>
    <w:rsid w:val="006525EF"/>
    <w:rsid w:val="006527BA"/>
    <w:rsid w:val="00652D59"/>
    <w:rsid w:val="00653189"/>
    <w:rsid w:val="0065394D"/>
    <w:rsid w:val="0065401B"/>
    <w:rsid w:val="00654473"/>
    <w:rsid w:val="00654D08"/>
    <w:rsid w:val="00655015"/>
    <w:rsid w:val="006552CA"/>
    <w:rsid w:val="006552EE"/>
    <w:rsid w:val="0065530B"/>
    <w:rsid w:val="00655785"/>
    <w:rsid w:val="00655B42"/>
    <w:rsid w:val="00655F8E"/>
    <w:rsid w:val="00656DDD"/>
    <w:rsid w:val="006574C5"/>
    <w:rsid w:val="0065764A"/>
    <w:rsid w:val="00657763"/>
    <w:rsid w:val="006577B2"/>
    <w:rsid w:val="00657899"/>
    <w:rsid w:val="00660256"/>
    <w:rsid w:val="006603AC"/>
    <w:rsid w:val="00660468"/>
    <w:rsid w:val="00660B6D"/>
    <w:rsid w:val="00660C8D"/>
    <w:rsid w:val="00660E20"/>
    <w:rsid w:val="00661AA7"/>
    <w:rsid w:val="00661AAE"/>
    <w:rsid w:val="00661FFE"/>
    <w:rsid w:val="00662041"/>
    <w:rsid w:val="006622C4"/>
    <w:rsid w:val="00662655"/>
    <w:rsid w:val="00662A9D"/>
    <w:rsid w:val="00663058"/>
    <w:rsid w:val="00663330"/>
    <w:rsid w:val="00663631"/>
    <w:rsid w:val="00663947"/>
    <w:rsid w:val="00663D59"/>
    <w:rsid w:val="00664103"/>
    <w:rsid w:val="00664203"/>
    <w:rsid w:val="00664826"/>
    <w:rsid w:val="006650CD"/>
    <w:rsid w:val="0066542C"/>
    <w:rsid w:val="0066574E"/>
    <w:rsid w:val="0066577B"/>
    <w:rsid w:val="006663CF"/>
    <w:rsid w:val="00666A02"/>
    <w:rsid w:val="00666D2A"/>
    <w:rsid w:val="00666EEF"/>
    <w:rsid w:val="0066746F"/>
    <w:rsid w:val="00670309"/>
    <w:rsid w:val="00670520"/>
    <w:rsid w:val="006706B5"/>
    <w:rsid w:val="00670D08"/>
    <w:rsid w:val="006712FB"/>
    <w:rsid w:val="00671324"/>
    <w:rsid w:val="00671450"/>
    <w:rsid w:val="0067170A"/>
    <w:rsid w:val="006717C1"/>
    <w:rsid w:val="00671A24"/>
    <w:rsid w:val="00671AE8"/>
    <w:rsid w:val="00671E04"/>
    <w:rsid w:val="00671F6D"/>
    <w:rsid w:val="00672218"/>
    <w:rsid w:val="00672237"/>
    <w:rsid w:val="00672682"/>
    <w:rsid w:val="00672E3E"/>
    <w:rsid w:val="0067314B"/>
    <w:rsid w:val="006731D6"/>
    <w:rsid w:val="006734A6"/>
    <w:rsid w:val="00673C8C"/>
    <w:rsid w:val="00673E4B"/>
    <w:rsid w:val="006740E4"/>
    <w:rsid w:val="00674E7B"/>
    <w:rsid w:val="00674EBD"/>
    <w:rsid w:val="0067508D"/>
    <w:rsid w:val="0067572F"/>
    <w:rsid w:val="00675730"/>
    <w:rsid w:val="006758BF"/>
    <w:rsid w:val="00675E23"/>
    <w:rsid w:val="006761D2"/>
    <w:rsid w:val="00676490"/>
    <w:rsid w:val="0067675F"/>
    <w:rsid w:val="006769E0"/>
    <w:rsid w:val="0067729E"/>
    <w:rsid w:val="0067748A"/>
    <w:rsid w:val="00677A93"/>
    <w:rsid w:val="00677E93"/>
    <w:rsid w:val="00677F9F"/>
    <w:rsid w:val="00680AA2"/>
    <w:rsid w:val="00680AED"/>
    <w:rsid w:val="00680CB4"/>
    <w:rsid w:val="00680DC3"/>
    <w:rsid w:val="00681299"/>
    <w:rsid w:val="0068141E"/>
    <w:rsid w:val="0068247C"/>
    <w:rsid w:val="00682584"/>
    <w:rsid w:val="006832E6"/>
    <w:rsid w:val="0068346B"/>
    <w:rsid w:val="00683711"/>
    <w:rsid w:val="006837C3"/>
    <w:rsid w:val="00683BBA"/>
    <w:rsid w:val="006841A5"/>
    <w:rsid w:val="006847A1"/>
    <w:rsid w:val="00684B56"/>
    <w:rsid w:val="00684BE1"/>
    <w:rsid w:val="0068508B"/>
    <w:rsid w:val="0068524F"/>
    <w:rsid w:val="00685703"/>
    <w:rsid w:val="00685FCF"/>
    <w:rsid w:val="00686060"/>
    <w:rsid w:val="00686103"/>
    <w:rsid w:val="00686499"/>
    <w:rsid w:val="00687082"/>
    <w:rsid w:val="0068712E"/>
    <w:rsid w:val="00687504"/>
    <w:rsid w:val="00687943"/>
    <w:rsid w:val="006879A1"/>
    <w:rsid w:val="00690023"/>
    <w:rsid w:val="006902D7"/>
    <w:rsid w:val="0069063F"/>
    <w:rsid w:val="0069081D"/>
    <w:rsid w:val="00691023"/>
    <w:rsid w:val="00691075"/>
    <w:rsid w:val="00691D40"/>
    <w:rsid w:val="006923DA"/>
    <w:rsid w:val="0069250D"/>
    <w:rsid w:val="00692E65"/>
    <w:rsid w:val="00692F27"/>
    <w:rsid w:val="00693032"/>
    <w:rsid w:val="00693547"/>
    <w:rsid w:val="00693C42"/>
    <w:rsid w:val="00693D15"/>
    <w:rsid w:val="00693F82"/>
    <w:rsid w:val="00694552"/>
    <w:rsid w:val="00694661"/>
    <w:rsid w:val="006946B7"/>
    <w:rsid w:val="00694C10"/>
    <w:rsid w:val="00694F51"/>
    <w:rsid w:val="006951F4"/>
    <w:rsid w:val="00695506"/>
    <w:rsid w:val="0069570E"/>
    <w:rsid w:val="00695B7D"/>
    <w:rsid w:val="00695F48"/>
    <w:rsid w:val="0069631E"/>
    <w:rsid w:val="00696CB4"/>
    <w:rsid w:val="00696D69"/>
    <w:rsid w:val="00696EDD"/>
    <w:rsid w:val="006975F7"/>
    <w:rsid w:val="00697928"/>
    <w:rsid w:val="00697BDB"/>
    <w:rsid w:val="00697EF2"/>
    <w:rsid w:val="006A0088"/>
    <w:rsid w:val="006A0441"/>
    <w:rsid w:val="006A0608"/>
    <w:rsid w:val="006A092C"/>
    <w:rsid w:val="006A0E8F"/>
    <w:rsid w:val="006A172E"/>
    <w:rsid w:val="006A28AD"/>
    <w:rsid w:val="006A2D53"/>
    <w:rsid w:val="006A3C8A"/>
    <w:rsid w:val="006A3F3B"/>
    <w:rsid w:val="006A4748"/>
    <w:rsid w:val="006A4B6B"/>
    <w:rsid w:val="006A4DE9"/>
    <w:rsid w:val="006A515C"/>
    <w:rsid w:val="006A5321"/>
    <w:rsid w:val="006A5AB2"/>
    <w:rsid w:val="006A5F98"/>
    <w:rsid w:val="006A71A0"/>
    <w:rsid w:val="006A7232"/>
    <w:rsid w:val="006A796F"/>
    <w:rsid w:val="006A7ABD"/>
    <w:rsid w:val="006A7B52"/>
    <w:rsid w:val="006A7B7C"/>
    <w:rsid w:val="006A7E9C"/>
    <w:rsid w:val="006B036D"/>
    <w:rsid w:val="006B0B2B"/>
    <w:rsid w:val="006B0FC4"/>
    <w:rsid w:val="006B1679"/>
    <w:rsid w:val="006B1AC3"/>
    <w:rsid w:val="006B1C95"/>
    <w:rsid w:val="006B1EC1"/>
    <w:rsid w:val="006B26EE"/>
    <w:rsid w:val="006B2756"/>
    <w:rsid w:val="006B29A1"/>
    <w:rsid w:val="006B29EA"/>
    <w:rsid w:val="006B2C98"/>
    <w:rsid w:val="006B3240"/>
    <w:rsid w:val="006B37EE"/>
    <w:rsid w:val="006B40B1"/>
    <w:rsid w:val="006B425F"/>
    <w:rsid w:val="006B4BB5"/>
    <w:rsid w:val="006B4D69"/>
    <w:rsid w:val="006B4E4E"/>
    <w:rsid w:val="006B522E"/>
    <w:rsid w:val="006B5267"/>
    <w:rsid w:val="006B5ED1"/>
    <w:rsid w:val="006B6701"/>
    <w:rsid w:val="006B68CE"/>
    <w:rsid w:val="006B6B4F"/>
    <w:rsid w:val="006B6CC8"/>
    <w:rsid w:val="006B6EC0"/>
    <w:rsid w:val="006B6FC9"/>
    <w:rsid w:val="006B707D"/>
    <w:rsid w:val="006B733E"/>
    <w:rsid w:val="006B7421"/>
    <w:rsid w:val="006B78EC"/>
    <w:rsid w:val="006C0635"/>
    <w:rsid w:val="006C08B7"/>
    <w:rsid w:val="006C09CF"/>
    <w:rsid w:val="006C0EDF"/>
    <w:rsid w:val="006C10D9"/>
    <w:rsid w:val="006C1166"/>
    <w:rsid w:val="006C16F6"/>
    <w:rsid w:val="006C1966"/>
    <w:rsid w:val="006C2320"/>
    <w:rsid w:val="006C251E"/>
    <w:rsid w:val="006C268B"/>
    <w:rsid w:val="006C379A"/>
    <w:rsid w:val="006C3A3C"/>
    <w:rsid w:val="006C4104"/>
    <w:rsid w:val="006C42E8"/>
    <w:rsid w:val="006C444E"/>
    <w:rsid w:val="006C4765"/>
    <w:rsid w:val="006C4FC0"/>
    <w:rsid w:val="006C563A"/>
    <w:rsid w:val="006C69DA"/>
    <w:rsid w:val="006C6B5B"/>
    <w:rsid w:val="006C6E0B"/>
    <w:rsid w:val="006C7216"/>
    <w:rsid w:val="006C7267"/>
    <w:rsid w:val="006C734D"/>
    <w:rsid w:val="006C7438"/>
    <w:rsid w:val="006C7DC4"/>
    <w:rsid w:val="006D0512"/>
    <w:rsid w:val="006D080C"/>
    <w:rsid w:val="006D0D8D"/>
    <w:rsid w:val="006D156E"/>
    <w:rsid w:val="006D1B03"/>
    <w:rsid w:val="006D1CBB"/>
    <w:rsid w:val="006D1DF1"/>
    <w:rsid w:val="006D1E25"/>
    <w:rsid w:val="006D2D8B"/>
    <w:rsid w:val="006D3094"/>
    <w:rsid w:val="006D33D8"/>
    <w:rsid w:val="006D3AD2"/>
    <w:rsid w:val="006D4842"/>
    <w:rsid w:val="006D4BBB"/>
    <w:rsid w:val="006D4C05"/>
    <w:rsid w:val="006D5728"/>
    <w:rsid w:val="006D5F42"/>
    <w:rsid w:val="006D615A"/>
    <w:rsid w:val="006D6598"/>
    <w:rsid w:val="006D6CEA"/>
    <w:rsid w:val="006D766F"/>
    <w:rsid w:val="006D77A9"/>
    <w:rsid w:val="006D797B"/>
    <w:rsid w:val="006D7CCE"/>
    <w:rsid w:val="006D7E13"/>
    <w:rsid w:val="006E0095"/>
    <w:rsid w:val="006E0275"/>
    <w:rsid w:val="006E06B8"/>
    <w:rsid w:val="006E0C52"/>
    <w:rsid w:val="006E0E4C"/>
    <w:rsid w:val="006E101D"/>
    <w:rsid w:val="006E1896"/>
    <w:rsid w:val="006E18D6"/>
    <w:rsid w:val="006E27BB"/>
    <w:rsid w:val="006E2C96"/>
    <w:rsid w:val="006E2EA4"/>
    <w:rsid w:val="006E3053"/>
    <w:rsid w:val="006E33B1"/>
    <w:rsid w:val="006E3480"/>
    <w:rsid w:val="006E35F9"/>
    <w:rsid w:val="006E3600"/>
    <w:rsid w:val="006E3F1D"/>
    <w:rsid w:val="006E4CCA"/>
    <w:rsid w:val="006E4E6C"/>
    <w:rsid w:val="006E50C3"/>
    <w:rsid w:val="006E6615"/>
    <w:rsid w:val="006E6A33"/>
    <w:rsid w:val="006E6D30"/>
    <w:rsid w:val="006E6E85"/>
    <w:rsid w:val="006E6EDB"/>
    <w:rsid w:val="006E6FF3"/>
    <w:rsid w:val="006E71B8"/>
    <w:rsid w:val="006E7821"/>
    <w:rsid w:val="006E7829"/>
    <w:rsid w:val="006E7B73"/>
    <w:rsid w:val="006E7CBF"/>
    <w:rsid w:val="006E7DB8"/>
    <w:rsid w:val="006F01DD"/>
    <w:rsid w:val="006F02C8"/>
    <w:rsid w:val="006F0E5E"/>
    <w:rsid w:val="006F0F72"/>
    <w:rsid w:val="006F250A"/>
    <w:rsid w:val="006F3420"/>
    <w:rsid w:val="006F3481"/>
    <w:rsid w:val="006F3589"/>
    <w:rsid w:val="006F3694"/>
    <w:rsid w:val="006F3E33"/>
    <w:rsid w:val="006F3E71"/>
    <w:rsid w:val="006F44CB"/>
    <w:rsid w:val="006F49C7"/>
    <w:rsid w:val="006F4AA8"/>
    <w:rsid w:val="006F4F54"/>
    <w:rsid w:val="006F554A"/>
    <w:rsid w:val="006F56F5"/>
    <w:rsid w:val="006F5850"/>
    <w:rsid w:val="006F58C7"/>
    <w:rsid w:val="006F5B5E"/>
    <w:rsid w:val="006F6D89"/>
    <w:rsid w:val="006F6DB5"/>
    <w:rsid w:val="006F79CC"/>
    <w:rsid w:val="00700190"/>
    <w:rsid w:val="007002A8"/>
    <w:rsid w:val="007005AC"/>
    <w:rsid w:val="007009E2"/>
    <w:rsid w:val="00700CDE"/>
    <w:rsid w:val="00700E15"/>
    <w:rsid w:val="00700FC9"/>
    <w:rsid w:val="00701C39"/>
    <w:rsid w:val="00701C3E"/>
    <w:rsid w:val="00701DB7"/>
    <w:rsid w:val="0070209B"/>
    <w:rsid w:val="0070221B"/>
    <w:rsid w:val="007029E8"/>
    <w:rsid w:val="00702EE4"/>
    <w:rsid w:val="007036C3"/>
    <w:rsid w:val="007039C9"/>
    <w:rsid w:val="007050BA"/>
    <w:rsid w:val="007058F9"/>
    <w:rsid w:val="00705915"/>
    <w:rsid w:val="00706355"/>
    <w:rsid w:val="00706773"/>
    <w:rsid w:val="00706B8D"/>
    <w:rsid w:val="00706F22"/>
    <w:rsid w:val="007076B8"/>
    <w:rsid w:val="0070784C"/>
    <w:rsid w:val="00710404"/>
    <w:rsid w:val="00710429"/>
    <w:rsid w:val="0071050D"/>
    <w:rsid w:val="007111BF"/>
    <w:rsid w:val="007120FD"/>
    <w:rsid w:val="00712129"/>
    <w:rsid w:val="0071263A"/>
    <w:rsid w:val="00712970"/>
    <w:rsid w:val="00712987"/>
    <w:rsid w:val="00712A32"/>
    <w:rsid w:val="007132DC"/>
    <w:rsid w:val="0071355A"/>
    <w:rsid w:val="00713668"/>
    <w:rsid w:val="00713A00"/>
    <w:rsid w:val="0071418A"/>
    <w:rsid w:val="007143BC"/>
    <w:rsid w:val="00714477"/>
    <w:rsid w:val="0071482B"/>
    <w:rsid w:val="00715441"/>
    <w:rsid w:val="00715C7F"/>
    <w:rsid w:val="00715CAB"/>
    <w:rsid w:val="00715F93"/>
    <w:rsid w:val="007160ED"/>
    <w:rsid w:val="00716617"/>
    <w:rsid w:val="00716734"/>
    <w:rsid w:val="007173DD"/>
    <w:rsid w:val="00717712"/>
    <w:rsid w:val="00717988"/>
    <w:rsid w:val="00717BEF"/>
    <w:rsid w:val="007200C0"/>
    <w:rsid w:val="00721317"/>
    <w:rsid w:val="007219B6"/>
    <w:rsid w:val="00721ED4"/>
    <w:rsid w:val="00721EF2"/>
    <w:rsid w:val="0072225C"/>
    <w:rsid w:val="007222FE"/>
    <w:rsid w:val="0072249D"/>
    <w:rsid w:val="00722A87"/>
    <w:rsid w:val="00722D29"/>
    <w:rsid w:val="00722FA2"/>
    <w:rsid w:val="00723C15"/>
    <w:rsid w:val="00724BB6"/>
    <w:rsid w:val="00724C12"/>
    <w:rsid w:val="0072511F"/>
    <w:rsid w:val="00725B81"/>
    <w:rsid w:val="00726136"/>
    <w:rsid w:val="0072683C"/>
    <w:rsid w:val="00726A30"/>
    <w:rsid w:val="00726C29"/>
    <w:rsid w:val="00726DBD"/>
    <w:rsid w:val="00726EE1"/>
    <w:rsid w:val="007273E4"/>
    <w:rsid w:val="007276F3"/>
    <w:rsid w:val="00730008"/>
    <w:rsid w:val="00730792"/>
    <w:rsid w:val="007307A8"/>
    <w:rsid w:val="00730975"/>
    <w:rsid w:val="00730B7D"/>
    <w:rsid w:val="00731207"/>
    <w:rsid w:val="007313F6"/>
    <w:rsid w:val="00731840"/>
    <w:rsid w:val="00731871"/>
    <w:rsid w:val="00731D4E"/>
    <w:rsid w:val="0073205A"/>
    <w:rsid w:val="00732360"/>
    <w:rsid w:val="00732428"/>
    <w:rsid w:val="0073262F"/>
    <w:rsid w:val="007338DA"/>
    <w:rsid w:val="00733A49"/>
    <w:rsid w:val="00733B10"/>
    <w:rsid w:val="00733F49"/>
    <w:rsid w:val="00734160"/>
    <w:rsid w:val="00734999"/>
    <w:rsid w:val="00734C69"/>
    <w:rsid w:val="00735191"/>
    <w:rsid w:val="007357D0"/>
    <w:rsid w:val="00735880"/>
    <w:rsid w:val="00735B4F"/>
    <w:rsid w:val="0073616A"/>
    <w:rsid w:val="0073617C"/>
    <w:rsid w:val="00736896"/>
    <w:rsid w:val="007369CD"/>
    <w:rsid w:val="00736CFF"/>
    <w:rsid w:val="007370F9"/>
    <w:rsid w:val="007372E5"/>
    <w:rsid w:val="0073762C"/>
    <w:rsid w:val="00737D9F"/>
    <w:rsid w:val="00740862"/>
    <w:rsid w:val="00740A2C"/>
    <w:rsid w:val="00740DF6"/>
    <w:rsid w:val="00740E20"/>
    <w:rsid w:val="007426BF"/>
    <w:rsid w:val="007427D1"/>
    <w:rsid w:val="00743F3B"/>
    <w:rsid w:val="00744CC2"/>
    <w:rsid w:val="00744CE1"/>
    <w:rsid w:val="00745189"/>
    <w:rsid w:val="0074518E"/>
    <w:rsid w:val="0074532F"/>
    <w:rsid w:val="007456A5"/>
    <w:rsid w:val="0074570E"/>
    <w:rsid w:val="00745CB6"/>
    <w:rsid w:val="00745F3C"/>
    <w:rsid w:val="00746022"/>
    <w:rsid w:val="0074620C"/>
    <w:rsid w:val="007469CE"/>
    <w:rsid w:val="0074756B"/>
    <w:rsid w:val="007478DA"/>
    <w:rsid w:val="00747C56"/>
    <w:rsid w:val="00750001"/>
    <w:rsid w:val="0075005D"/>
    <w:rsid w:val="00750244"/>
    <w:rsid w:val="00750966"/>
    <w:rsid w:val="007509F1"/>
    <w:rsid w:val="00750CDC"/>
    <w:rsid w:val="007513C7"/>
    <w:rsid w:val="0075152E"/>
    <w:rsid w:val="0075192A"/>
    <w:rsid w:val="007519AC"/>
    <w:rsid w:val="00752089"/>
    <w:rsid w:val="00752236"/>
    <w:rsid w:val="00752880"/>
    <w:rsid w:val="007530E2"/>
    <w:rsid w:val="00753CC6"/>
    <w:rsid w:val="00754079"/>
    <w:rsid w:val="0075407C"/>
    <w:rsid w:val="00754221"/>
    <w:rsid w:val="00754346"/>
    <w:rsid w:val="0075466B"/>
    <w:rsid w:val="0075593A"/>
    <w:rsid w:val="00755A78"/>
    <w:rsid w:val="00755B87"/>
    <w:rsid w:val="00755F21"/>
    <w:rsid w:val="00757093"/>
    <w:rsid w:val="007572B2"/>
    <w:rsid w:val="00760322"/>
    <w:rsid w:val="00760591"/>
    <w:rsid w:val="00760BD6"/>
    <w:rsid w:val="00760CFA"/>
    <w:rsid w:val="00761B18"/>
    <w:rsid w:val="00761B4C"/>
    <w:rsid w:val="007625AC"/>
    <w:rsid w:val="00762E1B"/>
    <w:rsid w:val="00763C81"/>
    <w:rsid w:val="00763D28"/>
    <w:rsid w:val="00764192"/>
    <w:rsid w:val="00764269"/>
    <w:rsid w:val="007650B2"/>
    <w:rsid w:val="007652B7"/>
    <w:rsid w:val="007659F1"/>
    <w:rsid w:val="00765BDB"/>
    <w:rsid w:val="00766523"/>
    <w:rsid w:val="00766901"/>
    <w:rsid w:val="0076794C"/>
    <w:rsid w:val="007703BF"/>
    <w:rsid w:val="00770BA3"/>
    <w:rsid w:val="00770F5F"/>
    <w:rsid w:val="00771286"/>
    <w:rsid w:val="00771510"/>
    <w:rsid w:val="00771837"/>
    <w:rsid w:val="00771910"/>
    <w:rsid w:val="00771C51"/>
    <w:rsid w:val="00772164"/>
    <w:rsid w:val="007721F9"/>
    <w:rsid w:val="00772394"/>
    <w:rsid w:val="0077250A"/>
    <w:rsid w:val="00772A48"/>
    <w:rsid w:val="00772BBB"/>
    <w:rsid w:val="0077326B"/>
    <w:rsid w:val="00773433"/>
    <w:rsid w:val="00773894"/>
    <w:rsid w:val="00774201"/>
    <w:rsid w:val="007746DC"/>
    <w:rsid w:val="007748A4"/>
    <w:rsid w:val="00774BE9"/>
    <w:rsid w:val="00774DDC"/>
    <w:rsid w:val="007750C7"/>
    <w:rsid w:val="007751EE"/>
    <w:rsid w:val="0077559D"/>
    <w:rsid w:val="00775A43"/>
    <w:rsid w:val="00775A76"/>
    <w:rsid w:val="00775AE7"/>
    <w:rsid w:val="00775F03"/>
    <w:rsid w:val="007766F3"/>
    <w:rsid w:val="00776C38"/>
    <w:rsid w:val="00776C8B"/>
    <w:rsid w:val="0077712F"/>
    <w:rsid w:val="007777AF"/>
    <w:rsid w:val="00780862"/>
    <w:rsid w:val="00780E47"/>
    <w:rsid w:val="00781117"/>
    <w:rsid w:val="00781735"/>
    <w:rsid w:val="007828F5"/>
    <w:rsid w:val="0078317F"/>
    <w:rsid w:val="00783423"/>
    <w:rsid w:val="00783961"/>
    <w:rsid w:val="00783EC2"/>
    <w:rsid w:val="0078411B"/>
    <w:rsid w:val="007847C5"/>
    <w:rsid w:val="007847E5"/>
    <w:rsid w:val="00784BAE"/>
    <w:rsid w:val="00784CB8"/>
    <w:rsid w:val="00784E98"/>
    <w:rsid w:val="007852FC"/>
    <w:rsid w:val="00785AF6"/>
    <w:rsid w:val="007860B1"/>
    <w:rsid w:val="0078618D"/>
    <w:rsid w:val="007863A9"/>
    <w:rsid w:val="007863ED"/>
    <w:rsid w:val="0078647A"/>
    <w:rsid w:val="00786E36"/>
    <w:rsid w:val="007871B8"/>
    <w:rsid w:val="007900EE"/>
    <w:rsid w:val="007901FE"/>
    <w:rsid w:val="007902D1"/>
    <w:rsid w:val="00790392"/>
    <w:rsid w:val="00790887"/>
    <w:rsid w:val="007908AA"/>
    <w:rsid w:val="0079128B"/>
    <w:rsid w:val="00791A3A"/>
    <w:rsid w:val="00791AAE"/>
    <w:rsid w:val="00791BBB"/>
    <w:rsid w:val="00792288"/>
    <w:rsid w:val="007926FB"/>
    <w:rsid w:val="00792A79"/>
    <w:rsid w:val="00793CB3"/>
    <w:rsid w:val="00793D48"/>
    <w:rsid w:val="00794003"/>
    <w:rsid w:val="007940FE"/>
    <w:rsid w:val="00794625"/>
    <w:rsid w:val="00794986"/>
    <w:rsid w:val="00794D97"/>
    <w:rsid w:val="00794E5B"/>
    <w:rsid w:val="00795236"/>
    <w:rsid w:val="00795672"/>
    <w:rsid w:val="007957BE"/>
    <w:rsid w:val="007957E5"/>
    <w:rsid w:val="00795964"/>
    <w:rsid w:val="00795B95"/>
    <w:rsid w:val="00795E8E"/>
    <w:rsid w:val="007960D1"/>
    <w:rsid w:val="007968A4"/>
    <w:rsid w:val="00796A36"/>
    <w:rsid w:val="00796C72"/>
    <w:rsid w:val="0079738E"/>
    <w:rsid w:val="00797589"/>
    <w:rsid w:val="007978DA"/>
    <w:rsid w:val="00797982"/>
    <w:rsid w:val="00797E3C"/>
    <w:rsid w:val="007A047B"/>
    <w:rsid w:val="007A0C17"/>
    <w:rsid w:val="007A1C65"/>
    <w:rsid w:val="007A1D07"/>
    <w:rsid w:val="007A270B"/>
    <w:rsid w:val="007A286B"/>
    <w:rsid w:val="007A2B65"/>
    <w:rsid w:val="007A2BE5"/>
    <w:rsid w:val="007A2D96"/>
    <w:rsid w:val="007A429E"/>
    <w:rsid w:val="007A48A9"/>
    <w:rsid w:val="007A586C"/>
    <w:rsid w:val="007A589E"/>
    <w:rsid w:val="007A6D81"/>
    <w:rsid w:val="007A7576"/>
    <w:rsid w:val="007A79A7"/>
    <w:rsid w:val="007A7A73"/>
    <w:rsid w:val="007B0A3D"/>
    <w:rsid w:val="007B0B71"/>
    <w:rsid w:val="007B0D60"/>
    <w:rsid w:val="007B1534"/>
    <w:rsid w:val="007B15CD"/>
    <w:rsid w:val="007B17A2"/>
    <w:rsid w:val="007B1E0C"/>
    <w:rsid w:val="007B2100"/>
    <w:rsid w:val="007B25D6"/>
    <w:rsid w:val="007B2794"/>
    <w:rsid w:val="007B2AB4"/>
    <w:rsid w:val="007B2D79"/>
    <w:rsid w:val="007B2F8E"/>
    <w:rsid w:val="007B30F3"/>
    <w:rsid w:val="007B3299"/>
    <w:rsid w:val="007B348B"/>
    <w:rsid w:val="007B386E"/>
    <w:rsid w:val="007B3AFA"/>
    <w:rsid w:val="007B3B1D"/>
    <w:rsid w:val="007B48D2"/>
    <w:rsid w:val="007B4DB3"/>
    <w:rsid w:val="007B5FDB"/>
    <w:rsid w:val="007B6194"/>
    <w:rsid w:val="007B61C3"/>
    <w:rsid w:val="007B7230"/>
    <w:rsid w:val="007B74DA"/>
    <w:rsid w:val="007B7AEB"/>
    <w:rsid w:val="007C0118"/>
    <w:rsid w:val="007C05C2"/>
    <w:rsid w:val="007C05D7"/>
    <w:rsid w:val="007C05F7"/>
    <w:rsid w:val="007C0D5D"/>
    <w:rsid w:val="007C1048"/>
    <w:rsid w:val="007C11D5"/>
    <w:rsid w:val="007C1337"/>
    <w:rsid w:val="007C148F"/>
    <w:rsid w:val="007C1C3A"/>
    <w:rsid w:val="007C208C"/>
    <w:rsid w:val="007C2231"/>
    <w:rsid w:val="007C25E7"/>
    <w:rsid w:val="007C277A"/>
    <w:rsid w:val="007C2CA3"/>
    <w:rsid w:val="007C2F8F"/>
    <w:rsid w:val="007C3280"/>
    <w:rsid w:val="007C37F7"/>
    <w:rsid w:val="007C38BD"/>
    <w:rsid w:val="007C43CB"/>
    <w:rsid w:val="007C45EF"/>
    <w:rsid w:val="007C45F8"/>
    <w:rsid w:val="007C4605"/>
    <w:rsid w:val="007C4982"/>
    <w:rsid w:val="007C4B0B"/>
    <w:rsid w:val="007C5795"/>
    <w:rsid w:val="007C5EAF"/>
    <w:rsid w:val="007C5F19"/>
    <w:rsid w:val="007C6B0A"/>
    <w:rsid w:val="007C6C0D"/>
    <w:rsid w:val="007C6D2B"/>
    <w:rsid w:val="007C72A5"/>
    <w:rsid w:val="007C7701"/>
    <w:rsid w:val="007D0096"/>
    <w:rsid w:val="007D0249"/>
    <w:rsid w:val="007D0EED"/>
    <w:rsid w:val="007D196A"/>
    <w:rsid w:val="007D1ADA"/>
    <w:rsid w:val="007D1DE6"/>
    <w:rsid w:val="007D1FCE"/>
    <w:rsid w:val="007D2107"/>
    <w:rsid w:val="007D2864"/>
    <w:rsid w:val="007D2A84"/>
    <w:rsid w:val="007D2C81"/>
    <w:rsid w:val="007D2EE8"/>
    <w:rsid w:val="007D30EE"/>
    <w:rsid w:val="007D3677"/>
    <w:rsid w:val="007D383C"/>
    <w:rsid w:val="007D3C6A"/>
    <w:rsid w:val="007D3DE7"/>
    <w:rsid w:val="007D3FAA"/>
    <w:rsid w:val="007D44CB"/>
    <w:rsid w:val="007D46E2"/>
    <w:rsid w:val="007D4FDE"/>
    <w:rsid w:val="007D4FE4"/>
    <w:rsid w:val="007D51B2"/>
    <w:rsid w:val="007D5329"/>
    <w:rsid w:val="007D5543"/>
    <w:rsid w:val="007D58D9"/>
    <w:rsid w:val="007D5FC4"/>
    <w:rsid w:val="007D62DF"/>
    <w:rsid w:val="007D6336"/>
    <w:rsid w:val="007D68B1"/>
    <w:rsid w:val="007D6E0A"/>
    <w:rsid w:val="007D6F6F"/>
    <w:rsid w:val="007D6FFD"/>
    <w:rsid w:val="007D70A4"/>
    <w:rsid w:val="007D7285"/>
    <w:rsid w:val="007D7421"/>
    <w:rsid w:val="007D7B62"/>
    <w:rsid w:val="007D7BA9"/>
    <w:rsid w:val="007D7CBD"/>
    <w:rsid w:val="007E0126"/>
    <w:rsid w:val="007E0380"/>
    <w:rsid w:val="007E0E52"/>
    <w:rsid w:val="007E0F2E"/>
    <w:rsid w:val="007E11F3"/>
    <w:rsid w:val="007E232B"/>
    <w:rsid w:val="007E2481"/>
    <w:rsid w:val="007E249A"/>
    <w:rsid w:val="007E24A1"/>
    <w:rsid w:val="007E2C4F"/>
    <w:rsid w:val="007E3067"/>
    <w:rsid w:val="007E3AFD"/>
    <w:rsid w:val="007E415D"/>
    <w:rsid w:val="007E4C3F"/>
    <w:rsid w:val="007E4DDC"/>
    <w:rsid w:val="007E50DA"/>
    <w:rsid w:val="007E52B4"/>
    <w:rsid w:val="007E5334"/>
    <w:rsid w:val="007E5B0A"/>
    <w:rsid w:val="007E5F3D"/>
    <w:rsid w:val="007E5FCA"/>
    <w:rsid w:val="007E68D5"/>
    <w:rsid w:val="007E6A08"/>
    <w:rsid w:val="007E76BD"/>
    <w:rsid w:val="007E7834"/>
    <w:rsid w:val="007E7D62"/>
    <w:rsid w:val="007F0146"/>
    <w:rsid w:val="007F015C"/>
    <w:rsid w:val="007F01F2"/>
    <w:rsid w:val="007F045F"/>
    <w:rsid w:val="007F05EE"/>
    <w:rsid w:val="007F0BAB"/>
    <w:rsid w:val="007F0CA3"/>
    <w:rsid w:val="007F0F7F"/>
    <w:rsid w:val="007F16A4"/>
    <w:rsid w:val="007F1984"/>
    <w:rsid w:val="007F2265"/>
    <w:rsid w:val="007F22F1"/>
    <w:rsid w:val="007F2365"/>
    <w:rsid w:val="007F26E6"/>
    <w:rsid w:val="007F27D8"/>
    <w:rsid w:val="007F28F2"/>
    <w:rsid w:val="007F30E0"/>
    <w:rsid w:val="007F3961"/>
    <w:rsid w:val="007F3CBF"/>
    <w:rsid w:val="007F3E66"/>
    <w:rsid w:val="007F4279"/>
    <w:rsid w:val="007F4335"/>
    <w:rsid w:val="007F44C9"/>
    <w:rsid w:val="007F45C6"/>
    <w:rsid w:val="007F48A1"/>
    <w:rsid w:val="007F49BC"/>
    <w:rsid w:val="007F4A0D"/>
    <w:rsid w:val="007F4A61"/>
    <w:rsid w:val="007F4EF7"/>
    <w:rsid w:val="007F5995"/>
    <w:rsid w:val="007F6970"/>
    <w:rsid w:val="007F6980"/>
    <w:rsid w:val="007F69BF"/>
    <w:rsid w:val="007F7076"/>
    <w:rsid w:val="007F7D28"/>
    <w:rsid w:val="00800241"/>
    <w:rsid w:val="0080067E"/>
    <w:rsid w:val="008006B9"/>
    <w:rsid w:val="00800957"/>
    <w:rsid w:val="00800F34"/>
    <w:rsid w:val="00801BE4"/>
    <w:rsid w:val="00801F5A"/>
    <w:rsid w:val="00802A97"/>
    <w:rsid w:val="00802D49"/>
    <w:rsid w:val="00802DDD"/>
    <w:rsid w:val="00803407"/>
    <w:rsid w:val="008035F6"/>
    <w:rsid w:val="00803697"/>
    <w:rsid w:val="00803C09"/>
    <w:rsid w:val="008041D7"/>
    <w:rsid w:val="008048FD"/>
    <w:rsid w:val="00804C57"/>
    <w:rsid w:val="00804E42"/>
    <w:rsid w:val="00805417"/>
    <w:rsid w:val="00805418"/>
    <w:rsid w:val="00805E72"/>
    <w:rsid w:val="00806264"/>
    <w:rsid w:val="008073BC"/>
    <w:rsid w:val="0080746A"/>
    <w:rsid w:val="00807CDF"/>
    <w:rsid w:val="00807D5D"/>
    <w:rsid w:val="00807F30"/>
    <w:rsid w:val="00810450"/>
    <w:rsid w:val="008107FD"/>
    <w:rsid w:val="00810B4D"/>
    <w:rsid w:val="00810E26"/>
    <w:rsid w:val="00811311"/>
    <w:rsid w:val="008113D4"/>
    <w:rsid w:val="008114D2"/>
    <w:rsid w:val="00811ED7"/>
    <w:rsid w:val="0081201D"/>
    <w:rsid w:val="0081319F"/>
    <w:rsid w:val="008138EE"/>
    <w:rsid w:val="00813BCB"/>
    <w:rsid w:val="00813C41"/>
    <w:rsid w:val="00813CDB"/>
    <w:rsid w:val="0081485A"/>
    <w:rsid w:val="00814F15"/>
    <w:rsid w:val="008152BC"/>
    <w:rsid w:val="00815A01"/>
    <w:rsid w:val="00815B71"/>
    <w:rsid w:val="00815C19"/>
    <w:rsid w:val="00815C69"/>
    <w:rsid w:val="00816344"/>
    <w:rsid w:val="00816540"/>
    <w:rsid w:val="00816F68"/>
    <w:rsid w:val="008173F0"/>
    <w:rsid w:val="008175F1"/>
    <w:rsid w:val="00817964"/>
    <w:rsid w:val="00817C24"/>
    <w:rsid w:val="00817EB8"/>
    <w:rsid w:val="0082016A"/>
    <w:rsid w:val="00820179"/>
    <w:rsid w:val="008204D6"/>
    <w:rsid w:val="008211F6"/>
    <w:rsid w:val="00821833"/>
    <w:rsid w:val="00823210"/>
    <w:rsid w:val="008234C5"/>
    <w:rsid w:val="00823A16"/>
    <w:rsid w:val="008240ED"/>
    <w:rsid w:val="0082411F"/>
    <w:rsid w:val="00824C34"/>
    <w:rsid w:val="00825154"/>
    <w:rsid w:val="00825597"/>
    <w:rsid w:val="00825C14"/>
    <w:rsid w:val="00825E13"/>
    <w:rsid w:val="00826184"/>
    <w:rsid w:val="00826279"/>
    <w:rsid w:val="0082656C"/>
    <w:rsid w:val="008271A9"/>
    <w:rsid w:val="0082747E"/>
    <w:rsid w:val="008275A6"/>
    <w:rsid w:val="00827A62"/>
    <w:rsid w:val="00827B3D"/>
    <w:rsid w:val="00830427"/>
    <w:rsid w:val="00830C3F"/>
    <w:rsid w:val="00830D7A"/>
    <w:rsid w:val="008311D1"/>
    <w:rsid w:val="0083153E"/>
    <w:rsid w:val="008319EB"/>
    <w:rsid w:val="008319EF"/>
    <w:rsid w:val="00831C98"/>
    <w:rsid w:val="00831D0D"/>
    <w:rsid w:val="00831D47"/>
    <w:rsid w:val="00831DD6"/>
    <w:rsid w:val="00831E85"/>
    <w:rsid w:val="0083244E"/>
    <w:rsid w:val="008325B7"/>
    <w:rsid w:val="0083285F"/>
    <w:rsid w:val="0083289E"/>
    <w:rsid w:val="008328AA"/>
    <w:rsid w:val="00832B6C"/>
    <w:rsid w:val="00832CDE"/>
    <w:rsid w:val="00832F12"/>
    <w:rsid w:val="00832F40"/>
    <w:rsid w:val="0083377C"/>
    <w:rsid w:val="0083387C"/>
    <w:rsid w:val="00833F05"/>
    <w:rsid w:val="008346B9"/>
    <w:rsid w:val="008347C6"/>
    <w:rsid w:val="0083485D"/>
    <w:rsid w:val="00835652"/>
    <w:rsid w:val="00835752"/>
    <w:rsid w:val="008357E9"/>
    <w:rsid w:val="0083584D"/>
    <w:rsid w:val="008358E3"/>
    <w:rsid w:val="00835B1E"/>
    <w:rsid w:val="00835CC2"/>
    <w:rsid w:val="008364B2"/>
    <w:rsid w:val="00836BC1"/>
    <w:rsid w:val="00836D08"/>
    <w:rsid w:val="00837413"/>
    <w:rsid w:val="00837924"/>
    <w:rsid w:val="00837E18"/>
    <w:rsid w:val="00840A49"/>
    <w:rsid w:val="00840D93"/>
    <w:rsid w:val="00841620"/>
    <w:rsid w:val="00841658"/>
    <w:rsid w:val="0084180A"/>
    <w:rsid w:val="00841900"/>
    <w:rsid w:val="00841A70"/>
    <w:rsid w:val="00841D9B"/>
    <w:rsid w:val="0084242C"/>
    <w:rsid w:val="00842DA1"/>
    <w:rsid w:val="00842FA6"/>
    <w:rsid w:val="0084368E"/>
    <w:rsid w:val="008439C4"/>
    <w:rsid w:val="00843A13"/>
    <w:rsid w:val="00843C75"/>
    <w:rsid w:val="00843DAB"/>
    <w:rsid w:val="00843F20"/>
    <w:rsid w:val="008441BD"/>
    <w:rsid w:val="00844461"/>
    <w:rsid w:val="008445AB"/>
    <w:rsid w:val="0084512C"/>
    <w:rsid w:val="00845977"/>
    <w:rsid w:val="00845F8A"/>
    <w:rsid w:val="008467E7"/>
    <w:rsid w:val="00846ABF"/>
    <w:rsid w:val="00847621"/>
    <w:rsid w:val="008477D1"/>
    <w:rsid w:val="008501BF"/>
    <w:rsid w:val="00850486"/>
    <w:rsid w:val="008508EA"/>
    <w:rsid w:val="00850A82"/>
    <w:rsid w:val="00850B8E"/>
    <w:rsid w:val="00850E67"/>
    <w:rsid w:val="0085102E"/>
    <w:rsid w:val="008512E4"/>
    <w:rsid w:val="0085141F"/>
    <w:rsid w:val="0085187A"/>
    <w:rsid w:val="0085190C"/>
    <w:rsid w:val="00851C42"/>
    <w:rsid w:val="008521E4"/>
    <w:rsid w:val="008524C5"/>
    <w:rsid w:val="00852644"/>
    <w:rsid w:val="008532B8"/>
    <w:rsid w:val="008537B4"/>
    <w:rsid w:val="00854312"/>
    <w:rsid w:val="00854DCE"/>
    <w:rsid w:val="008551EB"/>
    <w:rsid w:val="00855291"/>
    <w:rsid w:val="00855405"/>
    <w:rsid w:val="00855463"/>
    <w:rsid w:val="008558CD"/>
    <w:rsid w:val="00855F80"/>
    <w:rsid w:val="0085606E"/>
    <w:rsid w:val="0085611F"/>
    <w:rsid w:val="00856258"/>
    <w:rsid w:val="00856397"/>
    <w:rsid w:val="008565D2"/>
    <w:rsid w:val="008566FA"/>
    <w:rsid w:val="008568ED"/>
    <w:rsid w:val="008575C2"/>
    <w:rsid w:val="00857768"/>
    <w:rsid w:val="008606C3"/>
    <w:rsid w:val="008608D7"/>
    <w:rsid w:val="00860B2A"/>
    <w:rsid w:val="00860D95"/>
    <w:rsid w:val="00860D97"/>
    <w:rsid w:val="00860DDC"/>
    <w:rsid w:val="00861132"/>
    <w:rsid w:val="00861191"/>
    <w:rsid w:val="0086153A"/>
    <w:rsid w:val="008615DE"/>
    <w:rsid w:val="00861872"/>
    <w:rsid w:val="0086199F"/>
    <w:rsid w:val="00862358"/>
    <w:rsid w:val="0086245D"/>
    <w:rsid w:val="00862742"/>
    <w:rsid w:val="00862EEE"/>
    <w:rsid w:val="00862EFE"/>
    <w:rsid w:val="00864486"/>
    <w:rsid w:val="008646B3"/>
    <w:rsid w:val="008648AE"/>
    <w:rsid w:val="00864AF4"/>
    <w:rsid w:val="00864D54"/>
    <w:rsid w:val="00864DCA"/>
    <w:rsid w:val="008659F7"/>
    <w:rsid w:val="00865B59"/>
    <w:rsid w:val="00865C28"/>
    <w:rsid w:val="008660B9"/>
    <w:rsid w:val="0086616E"/>
    <w:rsid w:val="008661B9"/>
    <w:rsid w:val="00866275"/>
    <w:rsid w:val="00866411"/>
    <w:rsid w:val="00866EEE"/>
    <w:rsid w:val="008670C7"/>
    <w:rsid w:val="00867A67"/>
    <w:rsid w:val="00867EF7"/>
    <w:rsid w:val="0087009C"/>
    <w:rsid w:val="008700D3"/>
    <w:rsid w:val="00870677"/>
    <w:rsid w:val="00870961"/>
    <w:rsid w:val="00870D23"/>
    <w:rsid w:val="00871103"/>
    <w:rsid w:val="0087112E"/>
    <w:rsid w:val="008716FE"/>
    <w:rsid w:val="0087175B"/>
    <w:rsid w:val="008718A0"/>
    <w:rsid w:val="008718F2"/>
    <w:rsid w:val="00871AC7"/>
    <w:rsid w:val="00872E08"/>
    <w:rsid w:val="00872E91"/>
    <w:rsid w:val="008731D7"/>
    <w:rsid w:val="00873245"/>
    <w:rsid w:val="00873512"/>
    <w:rsid w:val="008742E6"/>
    <w:rsid w:val="008749A2"/>
    <w:rsid w:val="00874AD7"/>
    <w:rsid w:val="00874DF0"/>
    <w:rsid w:val="00874F2A"/>
    <w:rsid w:val="008758DD"/>
    <w:rsid w:val="00875976"/>
    <w:rsid w:val="0087599D"/>
    <w:rsid w:val="00875FAB"/>
    <w:rsid w:val="00876150"/>
    <w:rsid w:val="00876629"/>
    <w:rsid w:val="008766DE"/>
    <w:rsid w:val="0087682D"/>
    <w:rsid w:val="00876AFB"/>
    <w:rsid w:val="00876B10"/>
    <w:rsid w:val="00876C79"/>
    <w:rsid w:val="00876D36"/>
    <w:rsid w:val="00876E83"/>
    <w:rsid w:val="00876F75"/>
    <w:rsid w:val="008770E3"/>
    <w:rsid w:val="00877168"/>
    <w:rsid w:val="008775E1"/>
    <w:rsid w:val="00877794"/>
    <w:rsid w:val="00877958"/>
    <w:rsid w:val="00877FE4"/>
    <w:rsid w:val="00877FFD"/>
    <w:rsid w:val="008804BA"/>
    <w:rsid w:val="0088063A"/>
    <w:rsid w:val="0088079D"/>
    <w:rsid w:val="00880CC1"/>
    <w:rsid w:val="00880DFF"/>
    <w:rsid w:val="00880EB4"/>
    <w:rsid w:val="00880F20"/>
    <w:rsid w:val="00882346"/>
    <w:rsid w:val="00882402"/>
    <w:rsid w:val="00882DCF"/>
    <w:rsid w:val="00882E4F"/>
    <w:rsid w:val="00882F54"/>
    <w:rsid w:val="00883073"/>
    <w:rsid w:val="00883807"/>
    <w:rsid w:val="00883DF8"/>
    <w:rsid w:val="00884494"/>
    <w:rsid w:val="0088450D"/>
    <w:rsid w:val="0088473E"/>
    <w:rsid w:val="00884A61"/>
    <w:rsid w:val="00884CAC"/>
    <w:rsid w:val="00885036"/>
    <w:rsid w:val="00885615"/>
    <w:rsid w:val="008856B4"/>
    <w:rsid w:val="008857F2"/>
    <w:rsid w:val="008857F9"/>
    <w:rsid w:val="00885A58"/>
    <w:rsid w:val="00886994"/>
    <w:rsid w:val="00886F6F"/>
    <w:rsid w:val="00887520"/>
    <w:rsid w:val="00887620"/>
    <w:rsid w:val="00891D76"/>
    <w:rsid w:val="008925FC"/>
    <w:rsid w:val="00892884"/>
    <w:rsid w:val="00892F3D"/>
    <w:rsid w:val="008931FD"/>
    <w:rsid w:val="008936F1"/>
    <w:rsid w:val="008942FC"/>
    <w:rsid w:val="00894DA0"/>
    <w:rsid w:val="00894F2A"/>
    <w:rsid w:val="00895401"/>
    <w:rsid w:val="00895407"/>
    <w:rsid w:val="008957C5"/>
    <w:rsid w:val="00895E35"/>
    <w:rsid w:val="00895F0C"/>
    <w:rsid w:val="00895F44"/>
    <w:rsid w:val="00896193"/>
    <w:rsid w:val="00896772"/>
    <w:rsid w:val="008968EE"/>
    <w:rsid w:val="00896CEA"/>
    <w:rsid w:val="00896F00"/>
    <w:rsid w:val="00896FDF"/>
    <w:rsid w:val="00897272"/>
    <w:rsid w:val="008978D9"/>
    <w:rsid w:val="00897AC4"/>
    <w:rsid w:val="00897D33"/>
    <w:rsid w:val="00897D4E"/>
    <w:rsid w:val="008A009D"/>
    <w:rsid w:val="008A0C04"/>
    <w:rsid w:val="008A1CEB"/>
    <w:rsid w:val="008A1E0F"/>
    <w:rsid w:val="008A208D"/>
    <w:rsid w:val="008A26FE"/>
    <w:rsid w:val="008A2949"/>
    <w:rsid w:val="008A29B0"/>
    <w:rsid w:val="008A301B"/>
    <w:rsid w:val="008A337D"/>
    <w:rsid w:val="008A41C2"/>
    <w:rsid w:val="008A4219"/>
    <w:rsid w:val="008A4292"/>
    <w:rsid w:val="008A433F"/>
    <w:rsid w:val="008A451E"/>
    <w:rsid w:val="008A4991"/>
    <w:rsid w:val="008A5002"/>
    <w:rsid w:val="008A5146"/>
    <w:rsid w:val="008A617B"/>
    <w:rsid w:val="008A63B4"/>
    <w:rsid w:val="008A6474"/>
    <w:rsid w:val="008A6A17"/>
    <w:rsid w:val="008A7B19"/>
    <w:rsid w:val="008A7CAB"/>
    <w:rsid w:val="008B0517"/>
    <w:rsid w:val="008B088E"/>
    <w:rsid w:val="008B14AE"/>
    <w:rsid w:val="008B2505"/>
    <w:rsid w:val="008B2D07"/>
    <w:rsid w:val="008B307F"/>
    <w:rsid w:val="008B3169"/>
    <w:rsid w:val="008B3340"/>
    <w:rsid w:val="008B3DB5"/>
    <w:rsid w:val="008B3E6C"/>
    <w:rsid w:val="008B3FAA"/>
    <w:rsid w:val="008B50E8"/>
    <w:rsid w:val="008B5941"/>
    <w:rsid w:val="008B6ABC"/>
    <w:rsid w:val="008B773D"/>
    <w:rsid w:val="008B7D4A"/>
    <w:rsid w:val="008C0569"/>
    <w:rsid w:val="008C0596"/>
    <w:rsid w:val="008C0CF7"/>
    <w:rsid w:val="008C0E3C"/>
    <w:rsid w:val="008C10C2"/>
    <w:rsid w:val="008C1CD3"/>
    <w:rsid w:val="008C1DD8"/>
    <w:rsid w:val="008C213F"/>
    <w:rsid w:val="008C28F1"/>
    <w:rsid w:val="008C2D1F"/>
    <w:rsid w:val="008C2DB7"/>
    <w:rsid w:val="008C2F2F"/>
    <w:rsid w:val="008C34E6"/>
    <w:rsid w:val="008C3A49"/>
    <w:rsid w:val="008C3CAA"/>
    <w:rsid w:val="008C3D0E"/>
    <w:rsid w:val="008C3D61"/>
    <w:rsid w:val="008C3E90"/>
    <w:rsid w:val="008C4C8A"/>
    <w:rsid w:val="008C52A7"/>
    <w:rsid w:val="008C52EA"/>
    <w:rsid w:val="008C56A3"/>
    <w:rsid w:val="008C5A81"/>
    <w:rsid w:val="008C5D06"/>
    <w:rsid w:val="008C61FF"/>
    <w:rsid w:val="008C6A93"/>
    <w:rsid w:val="008C6C61"/>
    <w:rsid w:val="008C73BB"/>
    <w:rsid w:val="008C77DE"/>
    <w:rsid w:val="008C7849"/>
    <w:rsid w:val="008C7A9A"/>
    <w:rsid w:val="008C7BF6"/>
    <w:rsid w:val="008C7CEF"/>
    <w:rsid w:val="008C7DCD"/>
    <w:rsid w:val="008D0BB7"/>
    <w:rsid w:val="008D0D7A"/>
    <w:rsid w:val="008D1262"/>
    <w:rsid w:val="008D2AF4"/>
    <w:rsid w:val="008D2C2D"/>
    <w:rsid w:val="008D2EC9"/>
    <w:rsid w:val="008D3FCF"/>
    <w:rsid w:val="008D4296"/>
    <w:rsid w:val="008D448A"/>
    <w:rsid w:val="008D5473"/>
    <w:rsid w:val="008D5688"/>
    <w:rsid w:val="008D64CE"/>
    <w:rsid w:val="008D6505"/>
    <w:rsid w:val="008D660F"/>
    <w:rsid w:val="008D6FA3"/>
    <w:rsid w:val="008D71C2"/>
    <w:rsid w:val="008D73D0"/>
    <w:rsid w:val="008E0822"/>
    <w:rsid w:val="008E0EF2"/>
    <w:rsid w:val="008E12AF"/>
    <w:rsid w:val="008E1422"/>
    <w:rsid w:val="008E1509"/>
    <w:rsid w:val="008E18C1"/>
    <w:rsid w:val="008E1986"/>
    <w:rsid w:val="008E1A1B"/>
    <w:rsid w:val="008E1BED"/>
    <w:rsid w:val="008E1C4B"/>
    <w:rsid w:val="008E219C"/>
    <w:rsid w:val="008E25EF"/>
    <w:rsid w:val="008E2BED"/>
    <w:rsid w:val="008E2C8E"/>
    <w:rsid w:val="008E2E0B"/>
    <w:rsid w:val="008E3038"/>
    <w:rsid w:val="008E3297"/>
    <w:rsid w:val="008E359B"/>
    <w:rsid w:val="008E3651"/>
    <w:rsid w:val="008E3BC4"/>
    <w:rsid w:val="008E447F"/>
    <w:rsid w:val="008E461B"/>
    <w:rsid w:val="008E4821"/>
    <w:rsid w:val="008E4C46"/>
    <w:rsid w:val="008E4F06"/>
    <w:rsid w:val="008E4F4F"/>
    <w:rsid w:val="008E6334"/>
    <w:rsid w:val="008E6756"/>
    <w:rsid w:val="008E700C"/>
    <w:rsid w:val="008E7C8E"/>
    <w:rsid w:val="008F058F"/>
    <w:rsid w:val="008F0787"/>
    <w:rsid w:val="008F11FE"/>
    <w:rsid w:val="008F120C"/>
    <w:rsid w:val="008F1889"/>
    <w:rsid w:val="008F1F5C"/>
    <w:rsid w:val="008F1FE6"/>
    <w:rsid w:val="008F21C8"/>
    <w:rsid w:val="008F2582"/>
    <w:rsid w:val="008F25E8"/>
    <w:rsid w:val="008F26F5"/>
    <w:rsid w:val="008F2701"/>
    <w:rsid w:val="008F2B47"/>
    <w:rsid w:val="008F3217"/>
    <w:rsid w:val="008F32C9"/>
    <w:rsid w:val="008F394F"/>
    <w:rsid w:val="008F3972"/>
    <w:rsid w:val="008F46D4"/>
    <w:rsid w:val="008F4ACF"/>
    <w:rsid w:val="008F4B48"/>
    <w:rsid w:val="008F4D9D"/>
    <w:rsid w:val="008F6052"/>
    <w:rsid w:val="008F61FF"/>
    <w:rsid w:val="008F636A"/>
    <w:rsid w:val="008F640E"/>
    <w:rsid w:val="008F677D"/>
    <w:rsid w:val="008F7A88"/>
    <w:rsid w:val="008F7C82"/>
    <w:rsid w:val="009001CB"/>
    <w:rsid w:val="009002AA"/>
    <w:rsid w:val="009003F6"/>
    <w:rsid w:val="00900530"/>
    <w:rsid w:val="009005CD"/>
    <w:rsid w:val="00900872"/>
    <w:rsid w:val="00900965"/>
    <w:rsid w:val="00901026"/>
    <w:rsid w:val="00901C48"/>
    <w:rsid w:val="00902A5C"/>
    <w:rsid w:val="00903257"/>
    <w:rsid w:val="009032B9"/>
    <w:rsid w:val="009033D0"/>
    <w:rsid w:val="009038A1"/>
    <w:rsid w:val="00903A8E"/>
    <w:rsid w:val="00903E7B"/>
    <w:rsid w:val="00903F7F"/>
    <w:rsid w:val="0090408B"/>
    <w:rsid w:val="009044FD"/>
    <w:rsid w:val="0090459D"/>
    <w:rsid w:val="009048D3"/>
    <w:rsid w:val="009049E7"/>
    <w:rsid w:val="009049EF"/>
    <w:rsid w:val="00904A96"/>
    <w:rsid w:val="00904EF3"/>
    <w:rsid w:val="0090578C"/>
    <w:rsid w:val="00905AF0"/>
    <w:rsid w:val="00905F97"/>
    <w:rsid w:val="00906315"/>
    <w:rsid w:val="00906369"/>
    <w:rsid w:val="00906FF8"/>
    <w:rsid w:val="00907282"/>
    <w:rsid w:val="00910E8C"/>
    <w:rsid w:val="00911329"/>
    <w:rsid w:val="00911713"/>
    <w:rsid w:val="00911BDA"/>
    <w:rsid w:val="00912D08"/>
    <w:rsid w:val="00912D32"/>
    <w:rsid w:val="00912F7A"/>
    <w:rsid w:val="00913547"/>
    <w:rsid w:val="00913B54"/>
    <w:rsid w:val="00913B8D"/>
    <w:rsid w:val="00913E1E"/>
    <w:rsid w:val="00914D77"/>
    <w:rsid w:val="009154E5"/>
    <w:rsid w:val="00915D7E"/>
    <w:rsid w:val="00915F25"/>
    <w:rsid w:val="00916498"/>
    <w:rsid w:val="00916EC5"/>
    <w:rsid w:val="00916EFA"/>
    <w:rsid w:val="009170D4"/>
    <w:rsid w:val="00917BB7"/>
    <w:rsid w:val="00920065"/>
    <w:rsid w:val="0092069E"/>
    <w:rsid w:val="00920748"/>
    <w:rsid w:val="009209E1"/>
    <w:rsid w:val="00920CAA"/>
    <w:rsid w:val="0092142D"/>
    <w:rsid w:val="009214AA"/>
    <w:rsid w:val="00921DDC"/>
    <w:rsid w:val="00921F2C"/>
    <w:rsid w:val="0092214E"/>
    <w:rsid w:val="009227FC"/>
    <w:rsid w:val="009229CD"/>
    <w:rsid w:val="00922A39"/>
    <w:rsid w:val="00922F24"/>
    <w:rsid w:val="00923050"/>
    <w:rsid w:val="009231E0"/>
    <w:rsid w:val="009232C2"/>
    <w:rsid w:val="0092340E"/>
    <w:rsid w:val="00923579"/>
    <w:rsid w:val="00923A14"/>
    <w:rsid w:val="00923D21"/>
    <w:rsid w:val="00923EE7"/>
    <w:rsid w:val="009246A5"/>
    <w:rsid w:val="0092479D"/>
    <w:rsid w:val="00924B24"/>
    <w:rsid w:val="009258AB"/>
    <w:rsid w:val="00925AF5"/>
    <w:rsid w:val="00925B57"/>
    <w:rsid w:val="00925EA1"/>
    <w:rsid w:val="00925EAB"/>
    <w:rsid w:val="00925F2F"/>
    <w:rsid w:val="0092619D"/>
    <w:rsid w:val="00926F87"/>
    <w:rsid w:val="00927073"/>
    <w:rsid w:val="00927AC9"/>
    <w:rsid w:val="00927B8D"/>
    <w:rsid w:val="00927E5D"/>
    <w:rsid w:val="00927FC0"/>
    <w:rsid w:val="00930027"/>
    <w:rsid w:val="00930626"/>
    <w:rsid w:val="00930826"/>
    <w:rsid w:val="009318AA"/>
    <w:rsid w:val="00931AAA"/>
    <w:rsid w:val="00932435"/>
    <w:rsid w:val="00932478"/>
    <w:rsid w:val="00932EE1"/>
    <w:rsid w:val="00932F78"/>
    <w:rsid w:val="0093306A"/>
    <w:rsid w:val="009336C1"/>
    <w:rsid w:val="00933CE1"/>
    <w:rsid w:val="00934073"/>
    <w:rsid w:val="0093448F"/>
    <w:rsid w:val="00934C90"/>
    <w:rsid w:val="00935515"/>
    <w:rsid w:val="00935541"/>
    <w:rsid w:val="0093596D"/>
    <w:rsid w:val="00935973"/>
    <w:rsid w:val="00936188"/>
    <w:rsid w:val="00936246"/>
    <w:rsid w:val="009365AD"/>
    <w:rsid w:val="0093662D"/>
    <w:rsid w:val="0093680E"/>
    <w:rsid w:val="009368B9"/>
    <w:rsid w:val="00936C13"/>
    <w:rsid w:val="00937059"/>
    <w:rsid w:val="00937178"/>
    <w:rsid w:val="009371BC"/>
    <w:rsid w:val="009376E4"/>
    <w:rsid w:val="00937807"/>
    <w:rsid w:val="009400A4"/>
    <w:rsid w:val="009404EE"/>
    <w:rsid w:val="0094078B"/>
    <w:rsid w:val="009409F9"/>
    <w:rsid w:val="00940D62"/>
    <w:rsid w:val="00941899"/>
    <w:rsid w:val="00941A84"/>
    <w:rsid w:val="009429CA"/>
    <w:rsid w:val="00942B63"/>
    <w:rsid w:val="00942E2A"/>
    <w:rsid w:val="0094324B"/>
    <w:rsid w:val="009432C1"/>
    <w:rsid w:val="009438DE"/>
    <w:rsid w:val="00943D1F"/>
    <w:rsid w:val="0094426B"/>
    <w:rsid w:val="00944DCC"/>
    <w:rsid w:val="00944F46"/>
    <w:rsid w:val="009453F8"/>
    <w:rsid w:val="00945630"/>
    <w:rsid w:val="00945921"/>
    <w:rsid w:val="00945B5C"/>
    <w:rsid w:val="00945F5C"/>
    <w:rsid w:val="0094616E"/>
    <w:rsid w:val="00946235"/>
    <w:rsid w:val="009463F7"/>
    <w:rsid w:val="009464F7"/>
    <w:rsid w:val="00946540"/>
    <w:rsid w:val="00947363"/>
    <w:rsid w:val="00947566"/>
    <w:rsid w:val="009475E7"/>
    <w:rsid w:val="00947A3A"/>
    <w:rsid w:val="009502BB"/>
    <w:rsid w:val="00950556"/>
    <w:rsid w:val="00950A1C"/>
    <w:rsid w:val="00950D72"/>
    <w:rsid w:val="00950E5E"/>
    <w:rsid w:val="00951312"/>
    <w:rsid w:val="0095131B"/>
    <w:rsid w:val="0095191A"/>
    <w:rsid w:val="00952807"/>
    <w:rsid w:val="0095281C"/>
    <w:rsid w:val="00953E50"/>
    <w:rsid w:val="0095433D"/>
    <w:rsid w:val="00954651"/>
    <w:rsid w:val="009547B7"/>
    <w:rsid w:val="00955065"/>
    <w:rsid w:val="00955520"/>
    <w:rsid w:val="00956398"/>
    <w:rsid w:val="00956589"/>
    <w:rsid w:val="00956E4A"/>
    <w:rsid w:val="009575EB"/>
    <w:rsid w:val="00957632"/>
    <w:rsid w:val="00957BFB"/>
    <w:rsid w:val="00960A1B"/>
    <w:rsid w:val="00961810"/>
    <w:rsid w:val="00961BE3"/>
    <w:rsid w:val="009621D0"/>
    <w:rsid w:val="00962521"/>
    <w:rsid w:val="00962D97"/>
    <w:rsid w:val="00962DBB"/>
    <w:rsid w:val="0096338D"/>
    <w:rsid w:val="009638C9"/>
    <w:rsid w:val="00963C8B"/>
    <w:rsid w:val="00963C91"/>
    <w:rsid w:val="00963FC2"/>
    <w:rsid w:val="009641E9"/>
    <w:rsid w:val="00964A29"/>
    <w:rsid w:val="00964BDB"/>
    <w:rsid w:val="009655BA"/>
    <w:rsid w:val="009656C3"/>
    <w:rsid w:val="00965816"/>
    <w:rsid w:val="00965B4D"/>
    <w:rsid w:val="00965B6F"/>
    <w:rsid w:val="00965EDB"/>
    <w:rsid w:val="00965F33"/>
    <w:rsid w:val="009663BF"/>
    <w:rsid w:val="009664D5"/>
    <w:rsid w:val="00966BFC"/>
    <w:rsid w:val="009674E6"/>
    <w:rsid w:val="00970052"/>
    <w:rsid w:val="009703F7"/>
    <w:rsid w:val="0097058A"/>
    <w:rsid w:val="009705DC"/>
    <w:rsid w:val="009708CB"/>
    <w:rsid w:val="00970A7E"/>
    <w:rsid w:val="00970FC3"/>
    <w:rsid w:val="009712C8"/>
    <w:rsid w:val="00971764"/>
    <w:rsid w:val="00971999"/>
    <w:rsid w:val="00971F3A"/>
    <w:rsid w:val="00972144"/>
    <w:rsid w:val="0097214B"/>
    <w:rsid w:val="00972150"/>
    <w:rsid w:val="00972816"/>
    <w:rsid w:val="00972F43"/>
    <w:rsid w:val="0097344D"/>
    <w:rsid w:val="00973C6D"/>
    <w:rsid w:val="00973EF4"/>
    <w:rsid w:val="00974777"/>
    <w:rsid w:val="00974878"/>
    <w:rsid w:val="00974ED5"/>
    <w:rsid w:val="00975016"/>
    <w:rsid w:val="0097501A"/>
    <w:rsid w:val="009750D0"/>
    <w:rsid w:val="00975254"/>
    <w:rsid w:val="00975CD1"/>
    <w:rsid w:val="00975D47"/>
    <w:rsid w:val="00975DA8"/>
    <w:rsid w:val="00975E9D"/>
    <w:rsid w:val="00976592"/>
    <w:rsid w:val="00976706"/>
    <w:rsid w:val="00976DA4"/>
    <w:rsid w:val="00977029"/>
    <w:rsid w:val="009773BA"/>
    <w:rsid w:val="00977465"/>
    <w:rsid w:val="00977623"/>
    <w:rsid w:val="0097769D"/>
    <w:rsid w:val="00977E53"/>
    <w:rsid w:val="00977EC1"/>
    <w:rsid w:val="00977FBF"/>
    <w:rsid w:val="0098007D"/>
    <w:rsid w:val="00980390"/>
    <w:rsid w:val="009804EA"/>
    <w:rsid w:val="00980785"/>
    <w:rsid w:val="00980D4C"/>
    <w:rsid w:val="00981424"/>
    <w:rsid w:val="009817A7"/>
    <w:rsid w:val="009817E8"/>
    <w:rsid w:val="00981951"/>
    <w:rsid w:val="00981E9B"/>
    <w:rsid w:val="009821BE"/>
    <w:rsid w:val="0098220A"/>
    <w:rsid w:val="00982F85"/>
    <w:rsid w:val="0098300B"/>
    <w:rsid w:val="00983111"/>
    <w:rsid w:val="0098325D"/>
    <w:rsid w:val="00983638"/>
    <w:rsid w:val="0098373E"/>
    <w:rsid w:val="00983A70"/>
    <w:rsid w:val="00983ECF"/>
    <w:rsid w:val="00984033"/>
    <w:rsid w:val="00984037"/>
    <w:rsid w:val="009841C0"/>
    <w:rsid w:val="00984671"/>
    <w:rsid w:val="0098484A"/>
    <w:rsid w:val="009849FC"/>
    <w:rsid w:val="00985B47"/>
    <w:rsid w:val="00985C0B"/>
    <w:rsid w:val="009867B4"/>
    <w:rsid w:val="00986907"/>
    <w:rsid w:val="00986C8A"/>
    <w:rsid w:val="00986F59"/>
    <w:rsid w:val="0098734A"/>
    <w:rsid w:val="00987594"/>
    <w:rsid w:val="0099050E"/>
    <w:rsid w:val="00990688"/>
    <w:rsid w:val="009909EA"/>
    <w:rsid w:val="00990F07"/>
    <w:rsid w:val="0099133A"/>
    <w:rsid w:val="00991BC0"/>
    <w:rsid w:val="00991D1F"/>
    <w:rsid w:val="009925DE"/>
    <w:rsid w:val="00992921"/>
    <w:rsid w:val="00992B85"/>
    <w:rsid w:val="0099308F"/>
    <w:rsid w:val="009931AA"/>
    <w:rsid w:val="00993C47"/>
    <w:rsid w:val="00993DC7"/>
    <w:rsid w:val="0099406A"/>
    <w:rsid w:val="00994F11"/>
    <w:rsid w:val="009950BE"/>
    <w:rsid w:val="0099521D"/>
    <w:rsid w:val="00995343"/>
    <w:rsid w:val="00995E61"/>
    <w:rsid w:val="00995F09"/>
    <w:rsid w:val="0099609B"/>
    <w:rsid w:val="00996177"/>
    <w:rsid w:val="0099644E"/>
    <w:rsid w:val="00996506"/>
    <w:rsid w:val="00996EC3"/>
    <w:rsid w:val="00996F84"/>
    <w:rsid w:val="00997015"/>
    <w:rsid w:val="00997281"/>
    <w:rsid w:val="00997719"/>
    <w:rsid w:val="00997D72"/>
    <w:rsid w:val="00997E15"/>
    <w:rsid w:val="00997EA3"/>
    <w:rsid w:val="00997EE1"/>
    <w:rsid w:val="009A0369"/>
    <w:rsid w:val="009A0DA7"/>
    <w:rsid w:val="009A10EA"/>
    <w:rsid w:val="009A165F"/>
    <w:rsid w:val="009A1879"/>
    <w:rsid w:val="009A19F0"/>
    <w:rsid w:val="009A1EDC"/>
    <w:rsid w:val="009A2045"/>
    <w:rsid w:val="009A22CC"/>
    <w:rsid w:val="009A233C"/>
    <w:rsid w:val="009A267C"/>
    <w:rsid w:val="009A2928"/>
    <w:rsid w:val="009A2FF8"/>
    <w:rsid w:val="009A30CE"/>
    <w:rsid w:val="009A3575"/>
    <w:rsid w:val="009A37FC"/>
    <w:rsid w:val="009A3E22"/>
    <w:rsid w:val="009A3EE2"/>
    <w:rsid w:val="009A44C0"/>
    <w:rsid w:val="009A4621"/>
    <w:rsid w:val="009A54BE"/>
    <w:rsid w:val="009A59EB"/>
    <w:rsid w:val="009A5C32"/>
    <w:rsid w:val="009A6A6D"/>
    <w:rsid w:val="009A6F4E"/>
    <w:rsid w:val="009A7BC4"/>
    <w:rsid w:val="009A7EAE"/>
    <w:rsid w:val="009B0672"/>
    <w:rsid w:val="009B0A69"/>
    <w:rsid w:val="009B0D55"/>
    <w:rsid w:val="009B1398"/>
    <w:rsid w:val="009B15D7"/>
    <w:rsid w:val="009B17D0"/>
    <w:rsid w:val="009B1E62"/>
    <w:rsid w:val="009B2034"/>
    <w:rsid w:val="009B2201"/>
    <w:rsid w:val="009B2481"/>
    <w:rsid w:val="009B303F"/>
    <w:rsid w:val="009B3340"/>
    <w:rsid w:val="009B35E0"/>
    <w:rsid w:val="009B36D6"/>
    <w:rsid w:val="009B3747"/>
    <w:rsid w:val="009B39D6"/>
    <w:rsid w:val="009B3A3E"/>
    <w:rsid w:val="009B45C1"/>
    <w:rsid w:val="009B45E8"/>
    <w:rsid w:val="009B49A9"/>
    <w:rsid w:val="009B4D66"/>
    <w:rsid w:val="009B5028"/>
    <w:rsid w:val="009B58AB"/>
    <w:rsid w:val="009B5D58"/>
    <w:rsid w:val="009B5F0D"/>
    <w:rsid w:val="009B6AD3"/>
    <w:rsid w:val="009B6C45"/>
    <w:rsid w:val="009B7127"/>
    <w:rsid w:val="009B7E0B"/>
    <w:rsid w:val="009B7F1A"/>
    <w:rsid w:val="009C050E"/>
    <w:rsid w:val="009C09C7"/>
    <w:rsid w:val="009C188E"/>
    <w:rsid w:val="009C1991"/>
    <w:rsid w:val="009C20D2"/>
    <w:rsid w:val="009C2102"/>
    <w:rsid w:val="009C2432"/>
    <w:rsid w:val="009C2481"/>
    <w:rsid w:val="009C267B"/>
    <w:rsid w:val="009C28F8"/>
    <w:rsid w:val="009C2E6B"/>
    <w:rsid w:val="009C3288"/>
    <w:rsid w:val="009C400B"/>
    <w:rsid w:val="009C422C"/>
    <w:rsid w:val="009C4A2D"/>
    <w:rsid w:val="009C4E50"/>
    <w:rsid w:val="009C4F89"/>
    <w:rsid w:val="009C5E77"/>
    <w:rsid w:val="009C5EB8"/>
    <w:rsid w:val="009C5EC6"/>
    <w:rsid w:val="009C5FFB"/>
    <w:rsid w:val="009C603D"/>
    <w:rsid w:val="009C61EC"/>
    <w:rsid w:val="009C6842"/>
    <w:rsid w:val="009C70EE"/>
    <w:rsid w:val="009C7425"/>
    <w:rsid w:val="009C753E"/>
    <w:rsid w:val="009C7886"/>
    <w:rsid w:val="009C7E33"/>
    <w:rsid w:val="009C7E97"/>
    <w:rsid w:val="009C7EF2"/>
    <w:rsid w:val="009D0805"/>
    <w:rsid w:val="009D1593"/>
    <w:rsid w:val="009D19E5"/>
    <w:rsid w:val="009D20C2"/>
    <w:rsid w:val="009D24A8"/>
    <w:rsid w:val="009D2859"/>
    <w:rsid w:val="009D2BC7"/>
    <w:rsid w:val="009D3448"/>
    <w:rsid w:val="009D3A88"/>
    <w:rsid w:val="009D3A8E"/>
    <w:rsid w:val="009D45FD"/>
    <w:rsid w:val="009D4B1A"/>
    <w:rsid w:val="009D4D56"/>
    <w:rsid w:val="009D4D74"/>
    <w:rsid w:val="009D55E3"/>
    <w:rsid w:val="009D590B"/>
    <w:rsid w:val="009D5E4D"/>
    <w:rsid w:val="009D5F3A"/>
    <w:rsid w:val="009D5FA8"/>
    <w:rsid w:val="009D5FC0"/>
    <w:rsid w:val="009D600D"/>
    <w:rsid w:val="009D6174"/>
    <w:rsid w:val="009D66A9"/>
    <w:rsid w:val="009D6EF5"/>
    <w:rsid w:val="009D7607"/>
    <w:rsid w:val="009E0245"/>
    <w:rsid w:val="009E04BB"/>
    <w:rsid w:val="009E068E"/>
    <w:rsid w:val="009E0843"/>
    <w:rsid w:val="009E0E32"/>
    <w:rsid w:val="009E1204"/>
    <w:rsid w:val="009E12C6"/>
    <w:rsid w:val="009E1430"/>
    <w:rsid w:val="009E1459"/>
    <w:rsid w:val="009E1858"/>
    <w:rsid w:val="009E1C56"/>
    <w:rsid w:val="009E2A40"/>
    <w:rsid w:val="009E344E"/>
    <w:rsid w:val="009E34E9"/>
    <w:rsid w:val="009E36C6"/>
    <w:rsid w:val="009E3F72"/>
    <w:rsid w:val="009E40CC"/>
    <w:rsid w:val="009E40D6"/>
    <w:rsid w:val="009E455E"/>
    <w:rsid w:val="009E460B"/>
    <w:rsid w:val="009E4A14"/>
    <w:rsid w:val="009E4AA9"/>
    <w:rsid w:val="009E4D6C"/>
    <w:rsid w:val="009E4DD6"/>
    <w:rsid w:val="009E55E7"/>
    <w:rsid w:val="009E5987"/>
    <w:rsid w:val="009E5BB1"/>
    <w:rsid w:val="009E5F18"/>
    <w:rsid w:val="009E5F87"/>
    <w:rsid w:val="009E60B0"/>
    <w:rsid w:val="009E619B"/>
    <w:rsid w:val="009E6388"/>
    <w:rsid w:val="009E6412"/>
    <w:rsid w:val="009E685C"/>
    <w:rsid w:val="009E6AF7"/>
    <w:rsid w:val="009E752B"/>
    <w:rsid w:val="009E7620"/>
    <w:rsid w:val="009E7815"/>
    <w:rsid w:val="009E7837"/>
    <w:rsid w:val="009E7A94"/>
    <w:rsid w:val="009F018C"/>
    <w:rsid w:val="009F0589"/>
    <w:rsid w:val="009F06A1"/>
    <w:rsid w:val="009F089C"/>
    <w:rsid w:val="009F1066"/>
    <w:rsid w:val="009F115A"/>
    <w:rsid w:val="009F16F2"/>
    <w:rsid w:val="009F188B"/>
    <w:rsid w:val="009F19C4"/>
    <w:rsid w:val="009F1F34"/>
    <w:rsid w:val="009F255B"/>
    <w:rsid w:val="009F2E7F"/>
    <w:rsid w:val="009F3027"/>
    <w:rsid w:val="009F314F"/>
    <w:rsid w:val="009F338B"/>
    <w:rsid w:val="009F34F9"/>
    <w:rsid w:val="009F3A1C"/>
    <w:rsid w:val="009F4474"/>
    <w:rsid w:val="009F46FB"/>
    <w:rsid w:val="009F4B70"/>
    <w:rsid w:val="009F4D16"/>
    <w:rsid w:val="009F4EB7"/>
    <w:rsid w:val="009F5129"/>
    <w:rsid w:val="009F5509"/>
    <w:rsid w:val="009F5662"/>
    <w:rsid w:val="009F569F"/>
    <w:rsid w:val="009F5B13"/>
    <w:rsid w:val="009F6440"/>
    <w:rsid w:val="009F64BA"/>
    <w:rsid w:val="009F663E"/>
    <w:rsid w:val="009F6681"/>
    <w:rsid w:val="009F676E"/>
    <w:rsid w:val="009F6DEA"/>
    <w:rsid w:val="009F7538"/>
    <w:rsid w:val="009F79C7"/>
    <w:rsid w:val="009F7DB8"/>
    <w:rsid w:val="009FB5C9"/>
    <w:rsid w:val="00A00516"/>
    <w:rsid w:val="00A00647"/>
    <w:rsid w:val="00A00723"/>
    <w:rsid w:val="00A00D28"/>
    <w:rsid w:val="00A00DB1"/>
    <w:rsid w:val="00A00FF3"/>
    <w:rsid w:val="00A0116D"/>
    <w:rsid w:val="00A01478"/>
    <w:rsid w:val="00A01660"/>
    <w:rsid w:val="00A019F2"/>
    <w:rsid w:val="00A01E02"/>
    <w:rsid w:val="00A0215A"/>
    <w:rsid w:val="00A021F9"/>
    <w:rsid w:val="00A02609"/>
    <w:rsid w:val="00A0289B"/>
    <w:rsid w:val="00A03315"/>
    <w:rsid w:val="00A03321"/>
    <w:rsid w:val="00A0394F"/>
    <w:rsid w:val="00A03E90"/>
    <w:rsid w:val="00A03EF4"/>
    <w:rsid w:val="00A041DC"/>
    <w:rsid w:val="00A04358"/>
    <w:rsid w:val="00A044AA"/>
    <w:rsid w:val="00A0466B"/>
    <w:rsid w:val="00A046C6"/>
    <w:rsid w:val="00A04782"/>
    <w:rsid w:val="00A04F43"/>
    <w:rsid w:val="00A05167"/>
    <w:rsid w:val="00A053D8"/>
    <w:rsid w:val="00A059F2"/>
    <w:rsid w:val="00A05EC8"/>
    <w:rsid w:val="00A06570"/>
    <w:rsid w:val="00A06640"/>
    <w:rsid w:val="00A06915"/>
    <w:rsid w:val="00A06A02"/>
    <w:rsid w:val="00A06A05"/>
    <w:rsid w:val="00A06DBA"/>
    <w:rsid w:val="00A0756B"/>
    <w:rsid w:val="00A07F45"/>
    <w:rsid w:val="00A103C1"/>
    <w:rsid w:val="00A10EC7"/>
    <w:rsid w:val="00A11197"/>
    <w:rsid w:val="00A11668"/>
    <w:rsid w:val="00A117FA"/>
    <w:rsid w:val="00A11820"/>
    <w:rsid w:val="00A11DA0"/>
    <w:rsid w:val="00A122A0"/>
    <w:rsid w:val="00A130EC"/>
    <w:rsid w:val="00A13399"/>
    <w:rsid w:val="00A13571"/>
    <w:rsid w:val="00A13613"/>
    <w:rsid w:val="00A1376B"/>
    <w:rsid w:val="00A13CFB"/>
    <w:rsid w:val="00A142C7"/>
    <w:rsid w:val="00A144B6"/>
    <w:rsid w:val="00A14971"/>
    <w:rsid w:val="00A14AF8"/>
    <w:rsid w:val="00A14C95"/>
    <w:rsid w:val="00A154A4"/>
    <w:rsid w:val="00A154E4"/>
    <w:rsid w:val="00A15502"/>
    <w:rsid w:val="00A15666"/>
    <w:rsid w:val="00A15735"/>
    <w:rsid w:val="00A15764"/>
    <w:rsid w:val="00A157C5"/>
    <w:rsid w:val="00A15CAA"/>
    <w:rsid w:val="00A15FE4"/>
    <w:rsid w:val="00A16258"/>
    <w:rsid w:val="00A162F0"/>
    <w:rsid w:val="00A1630F"/>
    <w:rsid w:val="00A1635E"/>
    <w:rsid w:val="00A16A7F"/>
    <w:rsid w:val="00A16D6B"/>
    <w:rsid w:val="00A1718B"/>
    <w:rsid w:val="00A1725C"/>
    <w:rsid w:val="00A176E8"/>
    <w:rsid w:val="00A177B7"/>
    <w:rsid w:val="00A17ECF"/>
    <w:rsid w:val="00A2109B"/>
    <w:rsid w:val="00A21117"/>
    <w:rsid w:val="00A213BA"/>
    <w:rsid w:val="00A215F1"/>
    <w:rsid w:val="00A21AFA"/>
    <w:rsid w:val="00A21C42"/>
    <w:rsid w:val="00A21D2E"/>
    <w:rsid w:val="00A221CE"/>
    <w:rsid w:val="00A2273D"/>
    <w:rsid w:val="00A227C6"/>
    <w:rsid w:val="00A22854"/>
    <w:rsid w:val="00A23535"/>
    <w:rsid w:val="00A2374B"/>
    <w:rsid w:val="00A2394A"/>
    <w:rsid w:val="00A23FFC"/>
    <w:rsid w:val="00A241BC"/>
    <w:rsid w:val="00A24695"/>
    <w:rsid w:val="00A247CA"/>
    <w:rsid w:val="00A251FD"/>
    <w:rsid w:val="00A261A8"/>
    <w:rsid w:val="00A26651"/>
    <w:rsid w:val="00A26BC4"/>
    <w:rsid w:val="00A26D12"/>
    <w:rsid w:val="00A270EF"/>
    <w:rsid w:val="00A272E8"/>
    <w:rsid w:val="00A27408"/>
    <w:rsid w:val="00A27DE7"/>
    <w:rsid w:val="00A27F6E"/>
    <w:rsid w:val="00A3055F"/>
    <w:rsid w:val="00A30A44"/>
    <w:rsid w:val="00A311F7"/>
    <w:rsid w:val="00A31AD9"/>
    <w:rsid w:val="00A328B6"/>
    <w:rsid w:val="00A32DB0"/>
    <w:rsid w:val="00A32E07"/>
    <w:rsid w:val="00A331C4"/>
    <w:rsid w:val="00A33CF5"/>
    <w:rsid w:val="00A342A4"/>
    <w:rsid w:val="00A34C27"/>
    <w:rsid w:val="00A34E1A"/>
    <w:rsid w:val="00A3595D"/>
    <w:rsid w:val="00A359AC"/>
    <w:rsid w:val="00A35C51"/>
    <w:rsid w:val="00A36E5A"/>
    <w:rsid w:val="00A371D1"/>
    <w:rsid w:val="00A371E7"/>
    <w:rsid w:val="00A3743A"/>
    <w:rsid w:val="00A3759B"/>
    <w:rsid w:val="00A37A55"/>
    <w:rsid w:val="00A37CB1"/>
    <w:rsid w:val="00A37D3E"/>
    <w:rsid w:val="00A37E69"/>
    <w:rsid w:val="00A37E89"/>
    <w:rsid w:val="00A405C4"/>
    <w:rsid w:val="00A409D9"/>
    <w:rsid w:val="00A411F4"/>
    <w:rsid w:val="00A41763"/>
    <w:rsid w:val="00A417B1"/>
    <w:rsid w:val="00A418F8"/>
    <w:rsid w:val="00A41B87"/>
    <w:rsid w:val="00A41C8F"/>
    <w:rsid w:val="00A41F2F"/>
    <w:rsid w:val="00A42586"/>
    <w:rsid w:val="00A42AFE"/>
    <w:rsid w:val="00A43043"/>
    <w:rsid w:val="00A436B1"/>
    <w:rsid w:val="00A43982"/>
    <w:rsid w:val="00A441DC"/>
    <w:rsid w:val="00A4421C"/>
    <w:rsid w:val="00A443CF"/>
    <w:rsid w:val="00A44983"/>
    <w:rsid w:val="00A44C22"/>
    <w:rsid w:val="00A44F69"/>
    <w:rsid w:val="00A45188"/>
    <w:rsid w:val="00A4531D"/>
    <w:rsid w:val="00A45967"/>
    <w:rsid w:val="00A45A04"/>
    <w:rsid w:val="00A45ED3"/>
    <w:rsid w:val="00A45EFD"/>
    <w:rsid w:val="00A45F1E"/>
    <w:rsid w:val="00A463A3"/>
    <w:rsid w:val="00A4689B"/>
    <w:rsid w:val="00A46D73"/>
    <w:rsid w:val="00A46ED4"/>
    <w:rsid w:val="00A47577"/>
    <w:rsid w:val="00A47919"/>
    <w:rsid w:val="00A47FC1"/>
    <w:rsid w:val="00A47FE7"/>
    <w:rsid w:val="00A50135"/>
    <w:rsid w:val="00A50414"/>
    <w:rsid w:val="00A50697"/>
    <w:rsid w:val="00A50AA5"/>
    <w:rsid w:val="00A50D8F"/>
    <w:rsid w:val="00A50F85"/>
    <w:rsid w:val="00A51AE5"/>
    <w:rsid w:val="00A51E44"/>
    <w:rsid w:val="00A522B3"/>
    <w:rsid w:val="00A534AB"/>
    <w:rsid w:val="00A534F4"/>
    <w:rsid w:val="00A5355C"/>
    <w:rsid w:val="00A537B0"/>
    <w:rsid w:val="00A53F9D"/>
    <w:rsid w:val="00A54847"/>
    <w:rsid w:val="00A5498E"/>
    <w:rsid w:val="00A54B22"/>
    <w:rsid w:val="00A54B80"/>
    <w:rsid w:val="00A54CF7"/>
    <w:rsid w:val="00A54D32"/>
    <w:rsid w:val="00A54DB6"/>
    <w:rsid w:val="00A551AE"/>
    <w:rsid w:val="00A55348"/>
    <w:rsid w:val="00A55620"/>
    <w:rsid w:val="00A559C4"/>
    <w:rsid w:val="00A55DC5"/>
    <w:rsid w:val="00A55F50"/>
    <w:rsid w:val="00A5647B"/>
    <w:rsid w:val="00A5660E"/>
    <w:rsid w:val="00A56687"/>
    <w:rsid w:val="00A56A7F"/>
    <w:rsid w:val="00A56AAE"/>
    <w:rsid w:val="00A56D0B"/>
    <w:rsid w:val="00A57155"/>
    <w:rsid w:val="00A571B0"/>
    <w:rsid w:val="00A571D4"/>
    <w:rsid w:val="00A5731F"/>
    <w:rsid w:val="00A5751F"/>
    <w:rsid w:val="00A5771D"/>
    <w:rsid w:val="00A5780A"/>
    <w:rsid w:val="00A57815"/>
    <w:rsid w:val="00A57B40"/>
    <w:rsid w:val="00A601CD"/>
    <w:rsid w:val="00A60E8C"/>
    <w:rsid w:val="00A61178"/>
    <w:rsid w:val="00A6133C"/>
    <w:rsid w:val="00A61796"/>
    <w:rsid w:val="00A624A3"/>
    <w:rsid w:val="00A6290B"/>
    <w:rsid w:val="00A62C53"/>
    <w:rsid w:val="00A62C9A"/>
    <w:rsid w:val="00A62E1A"/>
    <w:rsid w:val="00A62F48"/>
    <w:rsid w:val="00A62FBD"/>
    <w:rsid w:val="00A62FE3"/>
    <w:rsid w:val="00A63332"/>
    <w:rsid w:val="00A63559"/>
    <w:rsid w:val="00A63B7A"/>
    <w:rsid w:val="00A63C37"/>
    <w:rsid w:val="00A63D3B"/>
    <w:rsid w:val="00A63D65"/>
    <w:rsid w:val="00A64ABC"/>
    <w:rsid w:val="00A64F7D"/>
    <w:rsid w:val="00A65512"/>
    <w:rsid w:val="00A65760"/>
    <w:rsid w:val="00A6582D"/>
    <w:rsid w:val="00A658B0"/>
    <w:rsid w:val="00A65FB9"/>
    <w:rsid w:val="00A67093"/>
    <w:rsid w:val="00A67236"/>
    <w:rsid w:val="00A67258"/>
    <w:rsid w:val="00A6762F"/>
    <w:rsid w:val="00A67950"/>
    <w:rsid w:val="00A67D5F"/>
    <w:rsid w:val="00A67D66"/>
    <w:rsid w:val="00A67DF0"/>
    <w:rsid w:val="00A70099"/>
    <w:rsid w:val="00A703F1"/>
    <w:rsid w:val="00A70C79"/>
    <w:rsid w:val="00A70DA4"/>
    <w:rsid w:val="00A70E3E"/>
    <w:rsid w:val="00A70EA8"/>
    <w:rsid w:val="00A72350"/>
    <w:rsid w:val="00A72549"/>
    <w:rsid w:val="00A72555"/>
    <w:rsid w:val="00A7273D"/>
    <w:rsid w:val="00A72B93"/>
    <w:rsid w:val="00A72E1C"/>
    <w:rsid w:val="00A7352A"/>
    <w:rsid w:val="00A73DB6"/>
    <w:rsid w:val="00A73FFA"/>
    <w:rsid w:val="00A74553"/>
    <w:rsid w:val="00A747AB"/>
    <w:rsid w:val="00A7482E"/>
    <w:rsid w:val="00A74896"/>
    <w:rsid w:val="00A748BE"/>
    <w:rsid w:val="00A7524C"/>
    <w:rsid w:val="00A7542D"/>
    <w:rsid w:val="00A75F95"/>
    <w:rsid w:val="00A76141"/>
    <w:rsid w:val="00A77800"/>
    <w:rsid w:val="00A801C7"/>
    <w:rsid w:val="00A804D1"/>
    <w:rsid w:val="00A80519"/>
    <w:rsid w:val="00A80A6C"/>
    <w:rsid w:val="00A81027"/>
    <w:rsid w:val="00A8164C"/>
    <w:rsid w:val="00A81C92"/>
    <w:rsid w:val="00A827EF"/>
    <w:rsid w:val="00A82F39"/>
    <w:rsid w:val="00A82FBD"/>
    <w:rsid w:val="00A831B5"/>
    <w:rsid w:val="00A83CB4"/>
    <w:rsid w:val="00A83F63"/>
    <w:rsid w:val="00A83FAF"/>
    <w:rsid w:val="00A84010"/>
    <w:rsid w:val="00A84432"/>
    <w:rsid w:val="00A84495"/>
    <w:rsid w:val="00A84A2E"/>
    <w:rsid w:val="00A84B6B"/>
    <w:rsid w:val="00A851CF"/>
    <w:rsid w:val="00A8553E"/>
    <w:rsid w:val="00A85688"/>
    <w:rsid w:val="00A8581B"/>
    <w:rsid w:val="00A85B87"/>
    <w:rsid w:val="00A85EDB"/>
    <w:rsid w:val="00A85FB4"/>
    <w:rsid w:val="00A8646F"/>
    <w:rsid w:val="00A86865"/>
    <w:rsid w:val="00A86ACC"/>
    <w:rsid w:val="00A8727C"/>
    <w:rsid w:val="00A8729D"/>
    <w:rsid w:val="00A87506"/>
    <w:rsid w:val="00A877F8"/>
    <w:rsid w:val="00A879E5"/>
    <w:rsid w:val="00A87B83"/>
    <w:rsid w:val="00A87D36"/>
    <w:rsid w:val="00A87E20"/>
    <w:rsid w:val="00A87FC4"/>
    <w:rsid w:val="00A9004D"/>
    <w:rsid w:val="00A90A88"/>
    <w:rsid w:val="00A90C81"/>
    <w:rsid w:val="00A90D54"/>
    <w:rsid w:val="00A90E64"/>
    <w:rsid w:val="00A91159"/>
    <w:rsid w:val="00A9153C"/>
    <w:rsid w:val="00A91618"/>
    <w:rsid w:val="00A9253E"/>
    <w:rsid w:val="00A9270C"/>
    <w:rsid w:val="00A930B7"/>
    <w:rsid w:val="00A93B52"/>
    <w:rsid w:val="00A94175"/>
    <w:rsid w:val="00A942EE"/>
    <w:rsid w:val="00A9436C"/>
    <w:rsid w:val="00A94AD6"/>
    <w:rsid w:val="00A95744"/>
    <w:rsid w:val="00A957DB"/>
    <w:rsid w:val="00A95B6C"/>
    <w:rsid w:val="00A95C93"/>
    <w:rsid w:val="00A95D49"/>
    <w:rsid w:val="00A95F10"/>
    <w:rsid w:val="00A96201"/>
    <w:rsid w:val="00A96D04"/>
    <w:rsid w:val="00A96DD8"/>
    <w:rsid w:val="00A96F3B"/>
    <w:rsid w:val="00A97408"/>
    <w:rsid w:val="00A97C77"/>
    <w:rsid w:val="00A97D5C"/>
    <w:rsid w:val="00A97EE3"/>
    <w:rsid w:val="00AA047D"/>
    <w:rsid w:val="00AA09D6"/>
    <w:rsid w:val="00AA0D66"/>
    <w:rsid w:val="00AA0DF7"/>
    <w:rsid w:val="00AA18B7"/>
    <w:rsid w:val="00AA1B33"/>
    <w:rsid w:val="00AA1D87"/>
    <w:rsid w:val="00AA240B"/>
    <w:rsid w:val="00AA2FC8"/>
    <w:rsid w:val="00AA2FC9"/>
    <w:rsid w:val="00AA3240"/>
    <w:rsid w:val="00AA344F"/>
    <w:rsid w:val="00AA3644"/>
    <w:rsid w:val="00AA36BA"/>
    <w:rsid w:val="00AA3AD0"/>
    <w:rsid w:val="00AA3AD9"/>
    <w:rsid w:val="00AA3F3E"/>
    <w:rsid w:val="00AA420B"/>
    <w:rsid w:val="00AA4218"/>
    <w:rsid w:val="00AA45AF"/>
    <w:rsid w:val="00AA48F5"/>
    <w:rsid w:val="00AA4E14"/>
    <w:rsid w:val="00AA4F49"/>
    <w:rsid w:val="00AA4FA1"/>
    <w:rsid w:val="00AA53E3"/>
    <w:rsid w:val="00AA617C"/>
    <w:rsid w:val="00AA6394"/>
    <w:rsid w:val="00AA6805"/>
    <w:rsid w:val="00AA6BD9"/>
    <w:rsid w:val="00AA706B"/>
    <w:rsid w:val="00AA7A11"/>
    <w:rsid w:val="00AA7A82"/>
    <w:rsid w:val="00AA7B3E"/>
    <w:rsid w:val="00AA7BF0"/>
    <w:rsid w:val="00AA7C86"/>
    <w:rsid w:val="00AB0DD0"/>
    <w:rsid w:val="00AB0F21"/>
    <w:rsid w:val="00AB1511"/>
    <w:rsid w:val="00AB20E6"/>
    <w:rsid w:val="00AB2683"/>
    <w:rsid w:val="00AB2BED"/>
    <w:rsid w:val="00AB2C89"/>
    <w:rsid w:val="00AB3555"/>
    <w:rsid w:val="00AB3952"/>
    <w:rsid w:val="00AB3AFC"/>
    <w:rsid w:val="00AB3FBD"/>
    <w:rsid w:val="00AB4A21"/>
    <w:rsid w:val="00AB5049"/>
    <w:rsid w:val="00AB5076"/>
    <w:rsid w:val="00AB6001"/>
    <w:rsid w:val="00AB60FA"/>
    <w:rsid w:val="00AB616B"/>
    <w:rsid w:val="00AB68F8"/>
    <w:rsid w:val="00AB6D27"/>
    <w:rsid w:val="00AC017A"/>
    <w:rsid w:val="00AC0EF5"/>
    <w:rsid w:val="00AC1BF9"/>
    <w:rsid w:val="00AC1C2E"/>
    <w:rsid w:val="00AC1E84"/>
    <w:rsid w:val="00AC1F37"/>
    <w:rsid w:val="00AC1FAB"/>
    <w:rsid w:val="00AC2A05"/>
    <w:rsid w:val="00AC39AE"/>
    <w:rsid w:val="00AC4172"/>
    <w:rsid w:val="00AC442F"/>
    <w:rsid w:val="00AC4985"/>
    <w:rsid w:val="00AC4998"/>
    <w:rsid w:val="00AC4ACC"/>
    <w:rsid w:val="00AC51B1"/>
    <w:rsid w:val="00AC5730"/>
    <w:rsid w:val="00AC6878"/>
    <w:rsid w:val="00AC68B1"/>
    <w:rsid w:val="00AC6DD7"/>
    <w:rsid w:val="00AC6ECA"/>
    <w:rsid w:val="00AC7382"/>
    <w:rsid w:val="00AC7DC8"/>
    <w:rsid w:val="00AC7EFB"/>
    <w:rsid w:val="00AC7FAE"/>
    <w:rsid w:val="00AD02E5"/>
    <w:rsid w:val="00AD0490"/>
    <w:rsid w:val="00AD04DA"/>
    <w:rsid w:val="00AD0558"/>
    <w:rsid w:val="00AD0E1C"/>
    <w:rsid w:val="00AD1115"/>
    <w:rsid w:val="00AD1327"/>
    <w:rsid w:val="00AD1FF6"/>
    <w:rsid w:val="00AD21D1"/>
    <w:rsid w:val="00AD2DB6"/>
    <w:rsid w:val="00AD2FDD"/>
    <w:rsid w:val="00AD30EF"/>
    <w:rsid w:val="00AD3C7F"/>
    <w:rsid w:val="00AD3CA3"/>
    <w:rsid w:val="00AD40FD"/>
    <w:rsid w:val="00AD45A2"/>
    <w:rsid w:val="00AD4934"/>
    <w:rsid w:val="00AD4CE5"/>
    <w:rsid w:val="00AD54EE"/>
    <w:rsid w:val="00AD5C7B"/>
    <w:rsid w:val="00AD5F7C"/>
    <w:rsid w:val="00AD63AD"/>
    <w:rsid w:val="00AD6558"/>
    <w:rsid w:val="00AD6C4F"/>
    <w:rsid w:val="00AD6E10"/>
    <w:rsid w:val="00AD7789"/>
    <w:rsid w:val="00AD7A18"/>
    <w:rsid w:val="00AD7F43"/>
    <w:rsid w:val="00AD7F5B"/>
    <w:rsid w:val="00AE041B"/>
    <w:rsid w:val="00AE06A8"/>
    <w:rsid w:val="00AE0E9E"/>
    <w:rsid w:val="00AE12C7"/>
    <w:rsid w:val="00AE1339"/>
    <w:rsid w:val="00AE15B9"/>
    <w:rsid w:val="00AE1A21"/>
    <w:rsid w:val="00AE2038"/>
    <w:rsid w:val="00AE2524"/>
    <w:rsid w:val="00AE2761"/>
    <w:rsid w:val="00AE2B5F"/>
    <w:rsid w:val="00AE2F1C"/>
    <w:rsid w:val="00AE3020"/>
    <w:rsid w:val="00AE324A"/>
    <w:rsid w:val="00AE339B"/>
    <w:rsid w:val="00AE3750"/>
    <w:rsid w:val="00AE3A86"/>
    <w:rsid w:val="00AE3AF7"/>
    <w:rsid w:val="00AE3C54"/>
    <w:rsid w:val="00AE4FBE"/>
    <w:rsid w:val="00AE5361"/>
    <w:rsid w:val="00AE55A1"/>
    <w:rsid w:val="00AE56C2"/>
    <w:rsid w:val="00AE5712"/>
    <w:rsid w:val="00AE5884"/>
    <w:rsid w:val="00AE5906"/>
    <w:rsid w:val="00AE66FA"/>
    <w:rsid w:val="00AE6A45"/>
    <w:rsid w:val="00AE6DE9"/>
    <w:rsid w:val="00AE6F0A"/>
    <w:rsid w:val="00AE79FA"/>
    <w:rsid w:val="00AE7C2B"/>
    <w:rsid w:val="00AE7C3C"/>
    <w:rsid w:val="00AF0644"/>
    <w:rsid w:val="00AF07F1"/>
    <w:rsid w:val="00AF0D84"/>
    <w:rsid w:val="00AF1006"/>
    <w:rsid w:val="00AF10A8"/>
    <w:rsid w:val="00AF1200"/>
    <w:rsid w:val="00AF15B6"/>
    <w:rsid w:val="00AF1E5F"/>
    <w:rsid w:val="00AF1EE1"/>
    <w:rsid w:val="00AF21C8"/>
    <w:rsid w:val="00AF2840"/>
    <w:rsid w:val="00AF290B"/>
    <w:rsid w:val="00AF29D3"/>
    <w:rsid w:val="00AF31E6"/>
    <w:rsid w:val="00AF3A05"/>
    <w:rsid w:val="00AF3F76"/>
    <w:rsid w:val="00AF3FEA"/>
    <w:rsid w:val="00AF4770"/>
    <w:rsid w:val="00AF49B5"/>
    <w:rsid w:val="00AF5067"/>
    <w:rsid w:val="00AF5127"/>
    <w:rsid w:val="00AF5226"/>
    <w:rsid w:val="00AF5579"/>
    <w:rsid w:val="00AF5997"/>
    <w:rsid w:val="00AF5A45"/>
    <w:rsid w:val="00AF5DC8"/>
    <w:rsid w:val="00AF5F15"/>
    <w:rsid w:val="00AF6366"/>
    <w:rsid w:val="00AF63B0"/>
    <w:rsid w:val="00AF63D2"/>
    <w:rsid w:val="00AF68D1"/>
    <w:rsid w:val="00AF6AC6"/>
    <w:rsid w:val="00AF6D6E"/>
    <w:rsid w:val="00B00243"/>
    <w:rsid w:val="00B0024A"/>
    <w:rsid w:val="00B004CB"/>
    <w:rsid w:val="00B012E7"/>
    <w:rsid w:val="00B01D6B"/>
    <w:rsid w:val="00B01DDF"/>
    <w:rsid w:val="00B0286C"/>
    <w:rsid w:val="00B02A3B"/>
    <w:rsid w:val="00B02B05"/>
    <w:rsid w:val="00B0334F"/>
    <w:rsid w:val="00B03552"/>
    <w:rsid w:val="00B035C1"/>
    <w:rsid w:val="00B03622"/>
    <w:rsid w:val="00B03934"/>
    <w:rsid w:val="00B03CFF"/>
    <w:rsid w:val="00B03EDB"/>
    <w:rsid w:val="00B04177"/>
    <w:rsid w:val="00B04742"/>
    <w:rsid w:val="00B04DD6"/>
    <w:rsid w:val="00B053B0"/>
    <w:rsid w:val="00B05523"/>
    <w:rsid w:val="00B0562A"/>
    <w:rsid w:val="00B05B71"/>
    <w:rsid w:val="00B05E13"/>
    <w:rsid w:val="00B05EAF"/>
    <w:rsid w:val="00B062F0"/>
    <w:rsid w:val="00B06459"/>
    <w:rsid w:val="00B06717"/>
    <w:rsid w:val="00B06BC9"/>
    <w:rsid w:val="00B06D27"/>
    <w:rsid w:val="00B06DB8"/>
    <w:rsid w:val="00B0769E"/>
    <w:rsid w:val="00B07A2B"/>
    <w:rsid w:val="00B07D07"/>
    <w:rsid w:val="00B100FF"/>
    <w:rsid w:val="00B10361"/>
    <w:rsid w:val="00B10A31"/>
    <w:rsid w:val="00B10B1E"/>
    <w:rsid w:val="00B11466"/>
    <w:rsid w:val="00B11B32"/>
    <w:rsid w:val="00B11EB8"/>
    <w:rsid w:val="00B11F8B"/>
    <w:rsid w:val="00B1239E"/>
    <w:rsid w:val="00B1278C"/>
    <w:rsid w:val="00B1345D"/>
    <w:rsid w:val="00B13477"/>
    <w:rsid w:val="00B136BC"/>
    <w:rsid w:val="00B13D2E"/>
    <w:rsid w:val="00B13FDF"/>
    <w:rsid w:val="00B14BF5"/>
    <w:rsid w:val="00B151EF"/>
    <w:rsid w:val="00B15276"/>
    <w:rsid w:val="00B15429"/>
    <w:rsid w:val="00B15551"/>
    <w:rsid w:val="00B15F49"/>
    <w:rsid w:val="00B15F59"/>
    <w:rsid w:val="00B16090"/>
    <w:rsid w:val="00B162C0"/>
    <w:rsid w:val="00B16432"/>
    <w:rsid w:val="00B1683B"/>
    <w:rsid w:val="00B16941"/>
    <w:rsid w:val="00B16988"/>
    <w:rsid w:val="00B169B3"/>
    <w:rsid w:val="00B16D0C"/>
    <w:rsid w:val="00B16DB2"/>
    <w:rsid w:val="00B16EEA"/>
    <w:rsid w:val="00B170C8"/>
    <w:rsid w:val="00B172FB"/>
    <w:rsid w:val="00B2006B"/>
    <w:rsid w:val="00B200A7"/>
    <w:rsid w:val="00B20941"/>
    <w:rsid w:val="00B20B95"/>
    <w:rsid w:val="00B21C78"/>
    <w:rsid w:val="00B223CF"/>
    <w:rsid w:val="00B2271A"/>
    <w:rsid w:val="00B2284A"/>
    <w:rsid w:val="00B237BB"/>
    <w:rsid w:val="00B23806"/>
    <w:rsid w:val="00B23E83"/>
    <w:rsid w:val="00B2402D"/>
    <w:rsid w:val="00B2474D"/>
    <w:rsid w:val="00B24A43"/>
    <w:rsid w:val="00B24AE6"/>
    <w:rsid w:val="00B24FAB"/>
    <w:rsid w:val="00B25283"/>
    <w:rsid w:val="00B25287"/>
    <w:rsid w:val="00B253EA"/>
    <w:rsid w:val="00B25743"/>
    <w:rsid w:val="00B257B3"/>
    <w:rsid w:val="00B259E7"/>
    <w:rsid w:val="00B25C11"/>
    <w:rsid w:val="00B25E9C"/>
    <w:rsid w:val="00B2638E"/>
    <w:rsid w:val="00B264DE"/>
    <w:rsid w:val="00B269E5"/>
    <w:rsid w:val="00B27F37"/>
    <w:rsid w:val="00B27F43"/>
    <w:rsid w:val="00B3003A"/>
    <w:rsid w:val="00B30FBF"/>
    <w:rsid w:val="00B31027"/>
    <w:rsid w:val="00B31040"/>
    <w:rsid w:val="00B313F4"/>
    <w:rsid w:val="00B316A7"/>
    <w:rsid w:val="00B31F28"/>
    <w:rsid w:val="00B32247"/>
    <w:rsid w:val="00B32466"/>
    <w:rsid w:val="00B344D2"/>
    <w:rsid w:val="00B347E1"/>
    <w:rsid w:val="00B35A8D"/>
    <w:rsid w:val="00B35B6B"/>
    <w:rsid w:val="00B36069"/>
    <w:rsid w:val="00B360A3"/>
    <w:rsid w:val="00B3626A"/>
    <w:rsid w:val="00B3663A"/>
    <w:rsid w:val="00B3669D"/>
    <w:rsid w:val="00B36C2D"/>
    <w:rsid w:val="00B36C3B"/>
    <w:rsid w:val="00B36FA2"/>
    <w:rsid w:val="00B36FE0"/>
    <w:rsid w:val="00B37D67"/>
    <w:rsid w:val="00B4024D"/>
    <w:rsid w:val="00B406C6"/>
    <w:rsid w:val="00B40A88"/>
    <w:rsid w:val="00B40DF8"/>
    <w:rsid w:val="00B40F79"/>
    <w:rsid w:val="00B40F8E"/>
    <w:rsid w:val="00B42391"/>
    <w:rsid w:val="00B423E9"/>
    <w:rsid w:val="00B42413"/>
    <w:rsid w:val="00B42E2E"/>
    <w:rsid w:val="00B42EB8"/>
    <w:rsid w:val="00B44740"/>
    <w:rsid w:val="00B44BAE"/>
    <w:rsid w:val="00B44CA3"/>
    <w:rsid w:val="00B44CBF"/>
    <w:rsid w:val="00B44FA3"/>
    <w:rsid w:val="00B4530E"/>
    <w:rsid w:val="00B45601"/>
    <w:rsid w:val="00B4565B"/>
    <w:rsid w:val="00B456ED"/>
    <w:rsid w:val="00B458B5"/>
    <w:rsid w:val="00B46239"/>
    <w:rsid w:val="00B4685D"/>
    <w:rsid w:val="00B46B48"/>
    <w:rsid w:val="00B46FD4"/>
    <w:rsid w:val="00B471EB"/>
    <w:rsid w:val="00B4748E"/>
    <w:rsid w:val="00B47B17"/>
    <w:rsid w:val="00B47E85"/>
    <w:rsid w:val="00B47EAC"/>
    <w:rsid w:val="00B506BA"/>
    <w:rsid w:val="00B5098D"/>
    <w:rsid w:val="00B50B38"/>
    <w:rsid w:val="00B50F57"/>
    <w:rsid w:val="00B511E1"/>
    <w:rsid w:val="00B51ADC"/>
    <w:rsid w:val="00B51CEE"/>
    <w:rsid w:val="00B52767"/>
    <w:rsid w:val="00B52933"/>
    <w:rsid w:val="00B52C40"/>
    <w:rsid w:val="00B531B1"/>
    <w:rsid w:val="00B5340D"/>
    <w:rsid w:val="00B5347B"/>
    <w:rsid w:val="00B536AC"/>
    <w:rsid w:val="00B537AC"/>
    <w:rsid w:val="00B53F07"/>
    <w:rsid w:val="00B542AD"/>
    <w:rsid w:val="00B546A3"/>
    <w:rsid w:val="00B54913"/>
    <w:rsid w:val="00B54E70"/>
    <w:rsid w:val="00B55098"/>
    <w:rsid w:val="00B55273"/>
    <w:rsid w:val="00B552D6"/>
    <w:rsid w:val="00B5536F"/>
    <w:rsid w:val="00B554A6"/>
    <w:rsid w:val="00B5563C"/>
    <w:rsid w:val="00B55A6E"/>
    <w:rsid w:val="00B56114"/>
    <w:rsid w:val="00B5628B"/>
    <w:rsid w:val="00B5667F"/>
    <w:rsid w:val="00B569C2"/>
    <w:rsid w:val="00B56A07"/>
    <w:rsid w:val="00B56A53"/>
    <w:rsid w:val="00B56A74"/>
    <w:rsid w:val="00B56B2E"/>
    <w:rsid w:val="00B56BE3"/>
    <w:rsid w:val="00B575AF"/>
    <w:rsid w:val="00B57B76"/>
    <w:rsid w:val="00B57BFA"/>
    <w:rsid w:val="00B57E80"/>
    <w:rsid w:val="00B57EBB"/>
    <w:rsid w:val="00B6055D"/>
    <w:rsid w:val="00B609B2"/>
    <w:rsid w:val="00B60B6C"/>
    <w:rsid w:val="00B60C51"/>
    <w:rsid w:val="00B60EA0"/>
    <w:rsid w:val="00B6114B"/>
    <w:rsid w:val="00B617C4"/>
    <w:rsid w:val="00B6190D"/>
    <w:rsid w:val="00B61B6D"/>
    <w:rsid w:val="00B61F06"/>
    <w:rsid w:val="00B62231"/>
    <w:rsid w:val="00B62285"/>
    <w:rsid w:val="00B625B5"/>
    <w:rsid w:val="00B63048"/>
    <w:rsid w:val="00B6323D"/>
    <w:rsid w:val="00B6374E"/>
    <w:rsid w:val="00B63E20"/>
    <w:rsid w:val="00B641CA"/>
    <w:rsid w:val="00B64239"/>
    <w:rsid w:val="00B6457B"/>
    <w:rsid w:val="00B64761"/>
    <w:rsid w:val="00B64BD5"/>
    <w:rsid w:val="00B65043"/>
    <w:rsid w:val="00B654EE"/>
    <w:rsid w:val="00B65B87"/>
    <w:rsid w:val="00B660B5"/>
    <w:rsid w:val="00B6620A"/>
    <w:rsid w:val="00B667E8"/>
    <w:rsid w:val="00B66B71"/>
    <w:rsid w:val="00B66CCC"/>
    <w:rsid w:val="00B66EFC"/>
    <w:rsid w:val="00B67029"/>
    <w:rsid w:val="00B67032"/>
    <w:rsid w:val="00B670F0"/>
    <w:rsid w:val="00B674C1"/>
    <w:rsid w:val="00B71293"/>
    <w:rsid w:val="00B715EB"/>
    <w:rsid w:val="00B7229B"/>
    <w:rsid w:val="00B72462"/>
    <w:rsid w:val="00B7255D"/>
    <w:rsid w:val="00B72C00"/>
    <w:rsid w:val="00B734DC"/>
    <w:rsid w:val="00B73906"/>
    <w:rsid w:val="00B73CB2"/>
    <w:rsid w:val="00B7450C"/>
    <w:rsid w:val="00B74572"/>
    <w:rsid w:val="00B7483E"/>
    <w:rsid w:val="00B752F1"/>
    <w:rsid w:val="00B75595"/>
    <w:rsid w:val="00B756FA"/>
    <w:rsid w:val="00B75D96"/>
    <w:rsid w:val="00B75E52"/>
    <w:rsid w:val="00B75EA5"/>
    <w:rsid w:val="00B76496"/>
    <w:rsid w:val="00B765E1"/>
    <w:rsid w:val="00B7675F"/>
    <w:rsid w:val="00B77743"/>
    <w:rsid w:val="00B77830"/>
    <w:rsid w:val="00B77BE4"/>
    <w:rsid w:val="00B77EC7"/>
    <w:rsid w:val="00B80139"/>
    <w:rsid w:val="00B80392"/>
    <w:rsid w:val="00B80C47"/>
    <w:rsid w:val="00B80D0B"/>
    <w:rsid w:val="00B81235"/>
    <w:rsid w:val="00B81539"/>
    <w:rsid w:val="00B82518"/>
    <w:rsid w:val="00B82CCF"/>
    <w:rsid w:val="00B82E34"/>
    <w:rsid w:val="00B83103"/>
    <w:rsid w:val="00B831A4"/>
    <w:rsid w:val="00B83C51"/>
    <w:rsid w:val="00B83CCD"/>
    <w:rsid w:val="00B8404C"/>
    <w:rsid w:val="00B84DE4"/>
    <w:rsid w:val="00B8521B"/>
    <w:rsid w:val="00B85547"/>
    <w:rsid w:val="00B8565A"/>
    <w:rsid w:val="00B862BB"/>
    <w:rsid w:val="00B86302"/>
    <w:rsid w:val="00B868A3"/>
    <w:rsid w:val="00B8695D"/>
    <w:rsid w:val="00B86FB3"/>
    <w:rsid w:val="00B870A4"/>
    <w:rsid w:val="00B87317"/>
    <w:rsid w:val="00B87AA9"/>
    <w:rsid w:val="00B90A12"/>
    <w:rsid w:val="00B90E49"/>
    <w:rsid w:val="00B90FCC"/>
    <w:rsid w:val="00B9267F"/>
    <w:rsid w:val="00B926AD"/>
    <w:rsid w:val="00B93343"/>
    <w:rsid w:val="00B93750"/>
    <w:rsid w:val="00B93D6B"/>
    <w:rsid w:val="00B942F2"/>
    <w:rsid w:val="00B94582"/>
    <w:rsid w:val="00B94CC4"/>
    <w:rsid w:val="00B94D91"/>
    <w:rsid w:val="00B95A30"/>
    <w:rsid w:val="00B95C45"/>
    <w:rsid w:val="00B96370"/>
    <w:rsid w:val="00B96548"/>
    <w:rsid w:val="00B9674F"/>
    <w:rsid w:val="00B9681A"/>
    <w:rsid w:val="00B96904"/>
    <w:rsid w:val="00B9708C"/>
    <w:rsid w:val="00B973BB"/>
    <w:rsid w:val="00B97815"/>
    <w:rsid w:val="00B97D98"/>
    <w:rsid w:val="00B97DDA"/>
    <w:rsid w:val="00B97FB1"/>
    <w:rsid w:val="00BA0DD2"/>
    <w:rsid w:val="00BA113D"/>
    <w:rsid w:val="00BA2102"/>
    <w:rsid w:val="00BA275F"/>
    <w:rsid w:val="00BA2D52"/>
    <w:rsid w:val="00BA31F6"/>
    <w:rsid w:val="00BA329A"/>
    <w:rsid w:val="00BA3502"/>
    <w:rsid w:val="00BA3A90"/>
    <w:rsid w:val="00BA3C47"/>
    <w:rsid w:val="00BA3D8F"/>
    <w:rsid w:val="00BA470A"/>
    <w:rsid w:val="00BA4B26"/>
    <w:rsid w:val="00BA4FB0"/>
    <w:rsid w:val="00BA58DC"/>
    <w:rsid w:val="00BA599A"/>
    <w:rsid w:val="00BA5A7E"/>
    <w:rsid w:val="00BA5DFE"/>
    <w:rsid w:val="00BA637C"/>
    <w:rsid w:val="00BA63FD"/>
    <w:rsid w:val="00BA64DC"/>
    <w:rsid w:val="00BA6665"/>
    <w:rsid w:val="00BA6B54"/>
    <w:rsid w:val="00BA6EC5"/>
    <w:rsid w:val="00BA75E3"/>
    <w:rsid w:val="00BA7735"/>
    <w:rsid w:val="00BB00D7"/>
    <w:rsid w:val="00BB0251"/>
    <w:rsid w:val="00BB08A3"/>
    <w:rsid w:val="00BB0BC9"/>
    <w:rsid w:val="00BB16AD"/>
    <w:rsid w:val="00BB18F8"/>
    <w:rsid w:val="00BB1BE7"/>
    <w:rsid w:val="00BB2137"/>
    <w:rsid w:val="00BB225A"/>
    <w:rsid w:val="00BB260A"/>
    <w:rsid w:val="00BB2DCB"/>
    <w:rsid w:val="00BB31EE"/>
    <w:rsid w:val="00BB340D"/>
    <w:rsid w:val="00BB3AE4"/>
    <w:rsid w:val="00BB40C4"/>
    <w:rsid w:val="00BB4551"/>
    <w:rsid w:val="00BB46E0"/>
    <w:rsid w:val="00BB4F9B"/>
    <w:rsid w:val="00BB5351"/>
    <w:rsid w:val="00BB563D"/>
    <w:rsid w:val="00BB5A8C"/>
    <w:rsid w:val="00BB5FA1"/>
    <w:rsid w:val="00BB602A"/>
    <w:rsid w:val="00BB630D"/>
    <w:rsid w:val="00BB6AF6"/>
    <w:rsid w:val="00BB6DCA"/>
    <w:rsid w:val="00BB76FF"/>
    <w:rsid w:val="00BB7928"/>
    <w:rsid w:val="00BC01E5"/>
    <w:rsid w:val="00BC023F"/>
    <w:rsid w:val="00BC106F"/>
    <w:rsid w:val="00BC1174"/>
    <w:rsid w:val="00BC12C1"/>
    <w:rsid w:val="00BC1AD2"/>
    <w:rsid w:val="00BC1B87"/>
    <w:rsid w:val="00BC1CF6"/>
    <w:rsid w:val="00BC249F"/>
    <w:rsid w:val="00BC26BA"/>
    <w:rsid w:val="00BC2880"/>
    <w:rsid w:val="00BC2973"/>
    <w:rsid w:val="00BC34DB"/>
    <w:rsid w:val="00BC3557"/>
    <w:rsid w:val="00BC3AEA"/>
    <w:rsid w:val="00BC3DA0"/>
    <w:rsid w:val="00BC4372"/>
    <w:rsid w:val="00BC445D"/>
    <w:rsid w:val="00BC4784"/>
    <w:rsid w:val="00BC487E"/>
    <w:rsid w:val="00BC4FAB"/>
    <w:rsid w:val="00BC5BEA"/>
    <w:rsid w:val="00BC680E"/>
    <w:rsid w:val="00BC686A"/>
    <w:rsid w:val="00BC6975"/>
    <w:rsid w:val="00BC6B6B"/>
    <w:rsid w:val="00BC6D45"/>
    <w:rsid w:val="00BC73AD"/>
    <w:rsid w:val="00BC7820"/>
    <w:rsid w:val="00BC7F7D"/>
    <w:rsid w:val="00BD06E1"/>
    <w:rsid w:val="00BD0711"/>
    <w:rsid w:val="00BD091A"/>
    <w:rsid w:val="00BD0A15"/>
    <w:rsid w:val="00BD0E4A"/>
    <w:rsid w:val="00BD1364"/>
    <w:rsid w:val="00BD14EE"/>
    <w:rsid w:val="00BD1502"/>
    <w:rsid w:val="00BD180B"/>
    <w:rsid w:val="00BD1A0A"/>
    <w:rsid w:val="00BD2800"/>
    <w:rsid w:val="00BD2CD0"/>
    <w:rsid w:val="00BD2E2D"/>
    <w:rsid w:val="00BD3214"/>
    <w:rsid w:val="00BD3263"/>
    <w:rsid w:val="00BD3A01"/>
    <w:rsid w:val="00BD3E31"/>
    <w:rsid w:val="00BD3F87"/>
    <w:rsid w:val="00BD431F"/>
    <w:rsid w:val="00BD4B6C"/>
    <w:rsid w:val="00BD51B2"/>
    <w:rsid w:val="00BD603B"/>
    <w:rsid w:val="00BD61D3"/>
    <w:rsid w:val="00BD62CD"/>
    <w:rsid w:val="00BD671A"/>
    <w:rsid w:val="00BD67E6"/>
    <w:rsid w:val="00BD6E86"/>
    <w:rsid w:val="00BD7328"/>
    <w:rsid w:val="00BD7418"/>
    <w:rsid w:val="00BD7798"/>
    <w:rsid w:val="00BD798E"/>
    <w:rsid w:val="00BD7AFD"/>
    <w:rsid w:val="00BD7B64"/>
    <w:rsid w:val="00BD7D5D"/>
    <w:rsid w:val="00BE02E4"/>
    <w:rsid w:val="00BE04FC"/>
    <w:rsid w:val="00BE0656"/>
    <w:rsid w:val="00BE0852"/>
    <w:rsid w:val="00BE0918"/>
    <w:rsid w:val="00BE138F"/>
    <w:rsid w:val="00BE17CF"/>
    <w:rsid w:val="00BE19C5"/>
    <w:rsid w:val="00BE1A92"/>
    <w:rsid w:val="00BE23BD"/>
    <w:rsid w:val="00BE2431"/>
    <w:rsid w:val="00BE2B32"/>
    <w:rsid w:val="00BE30B8"/>
    <w:rsid w:val="00BE3366"/>
    <w:rsid w:val="00BE342B"/>
    <w:rsid w:val="00BE37CA"/>
    <w:rsid w:val="00BE3D71"/>
    <w:rsid w:val="00BE4352"/>
    <w:rsid w:val="00BE4699"/>
    <w:rsid w:val="00BE4760"/>
    <w:rsid w:val="00BE4803"/>
    <w:rsid w:val="00BE4DFC"/>
    <w:rsid w:val="00BE5E0C"/>
    <w:rsid w:val="00BE6081"/>
    <w:rsid w:val="00BE60C5"/>
    <w:rsid w:val="00BE6575"/>
    <w:rsid w:val="00BE716F"/>
    <w:rsid w:val="00BE794D"/>
    <w:rsid w:val="00BF0A8A"/>
    <w:rsid w:val="00BF0C3D"/>
    <w:rsid w:val="00BF0F0E"/>
    <w:rsid w:val="00BF1065"/>
    <w:rsid w:val="00BF10C8"/>
    <w:rsid w:val="00BF125A"/>
    <w:rsid w:val="00BF1334"/>
    <w:rsid w:val="00BF140B"/>
    <w:rsid w:val="00BF1642"/>
    <w:rsid w:val="00BF1696"/>
    <w:rsid w:val="00BF1878"/>
    <w:rsid w:val="00BF30F1"/>
    <w:rsid w:val="00BF3245"/>
    <w:rsid w:val="00BF33DF"/>
    <w:rsid w:val="00BF38D7"/>
    <w:rsid w:val="00BF43EB"/>
    <w:rsid w:val="00BF449A"/>
    <w:rsid w:val="00BF47C2"/>
    <w:rsid w:val="00BF4985"/>
    <w:rsid w:val="00BF4ACC"/>
    <w:rsid w:val="00BF4DD1"/>
    <w:rsid w:val="00BF53D2"/>
    <w:rsid w:val="00BF6989"/>
    <w:rsid w:val="00BF6A51"/>
    <w:rsid w:val="00BF6BA9"/>
    <w:rsid w:val="00BF6ED7"/>
    <w:rsid w:val="00BF711E"/>
    <w:rsid w:val="00BF7244"/>
    <w:rsid w:val="00BF7388"/>
    <w:rsid w:val="00BF7478"/>
    <w:rsid w:val="00BF75DE"/>
    <w:rsid w:val="00BF7662"/>
    <w:rsid w:val="00C0034E"/>
    <w:rsid w:val="00C0060D"/>
    <w:rsid w:val="00C00868"/>
    <w:rsid w:val="00C00AE5"/>
    <w:rsid w:val="00C00C2D"/>
    <w:rsid w:val="00C00DDF"/>
    <w:rsid w:val="00C00FDE"/>
    <w:rsid w:val="00C00FE0"/>
    <w:rsid w:val="00C01232"/>
    <w:rsid w:val="00C01370"/>
    <w:rsid w:val="00C018B4"/>
    <w:rsid w:val="00C01BD4"/>
    <w:rsid w:val="00C01C72"/>
    <w:rsid w:val="00C02C3B"/>
    <w:rsid w:val="00C02CE4"/>
    <w:rsid w:val="00C02D65"/>
    <w:rsid w:val="00C02F4C"/>
    <w:rsid w:val="00C03220"/>
    <w:rsid w:val="00C03269"/>
    <w:rsid w:val="00C038D3"/>
    <w:rsid w:val="00C03926"/>
    <w:rsid w:val="00C03956"/>
    <w:rsid w:val="00C03D3A"/>
    <w:rsid w:val="00C03DE3"/>
    <w:rsid w:val="00C04007"/>
    <w:rsid w:val="00C04112"/>
    <w:rsid w:val="00C042F3"/>
    <w:rsid w:val="00C048FE"/>
    <w:rsid w:val="00C04911"/>
    <w:rsid w:val="00C04AA7"/>
    <w:rsid w:val="00C04B17"/>
    <w:rsid w:val="00C05182"/>
    <w:rsid w:val="00C05926"/>
    <w:rsid w:val="00C05A03"/>
    <w:rsid w:val="00C05AEF"/>
    <w:rsid w:val="00C06402"/>
    <w:rsid w:val="00C066B5"/>
    <w:rsid w:val="00C06772"/>
    <w:rsid w:val="00C06B21"/>
    <w:rsid w:val="00C06D35"/>
    <w:rsid w:val="00C06EC7"/>
    <w:rsid w:val="00C0735E"/>
    <w:rsid w:val="00C0781E"/>
    <w:rsid w:val="00C079FB"/>
    <w:rsid w:val="00C07D5F"/>
    <w:rsid w:val="00C07E57"/>
    <w:rsid w:val="00C10B32"/>
    <w:rsid w:val="00C10C2C"/>
    <w:rsid w:val="00C11C22"/>
    <w:rsid w:val="00C11ECB"/>
    <w:rsid w:val="00C13971"/>
    <w:rsid w:val="00C13B0F"/>
    <w:rsid w:val="00C14457"/>
    <w:rsid w:val="00C147DA"/>
    <w:rsid w:val="00C14863"/>
    <w:rsid w:val="00C14868"/>
    <w:rsid w:val="00C14AE3"/>
    <w:rsid w:val="00C14B23"/>
    <w:rsid w:val="00C14BFE"/>
    <w:rsid w:val="00C14D6C"/>
    <w:rsid w:val="00C14FA7"/>
    <w:rsid w:val="00C156A2"/>
    <w:rsid w:val="00C16396"/>
    <w:rsid w:val="00C17435"/>
    <w:rsid w:val="00C17BA5"/>
    <w:rsid w:val="00C17F22"/>
    <w:rsid w:val="00C203FE"/>
    <w:rsid w:val="00C20665"/>
    <w:rsid w:val="00C209B9"/>
    <w:rsid w:val="00C20B16"/>
    <w:rsid w:val="00C20F3E"/>
    <w:rsid w:val="00C20FEF"/>
    <w:rsid w:val="00C2139E"/>
    <w:rsid w:val="00C21580"/>
    <w:rsid w:val="00C2178A"/>
    <w:rsid w:val="00C21B72"/>
    <w:rsid w:val="00C21F75"/>
    <w:rsid w:val="00C21FAE"/>
    <w:rsid w:val="00C22305"/>
    <w:rsid w:val="00C22458"/>
    <w:rsid w:val="00C22540"/>
    <w:rsid w:val="00C22809"/>
    <w:rsid w:val="00C2320C"/>
    <w:rsid w:val="00C237FC"/>
    <w:rsid w:val="00C238DB"/>
    <w:rsid w:val="00C24499"/>
    <w:rsid w:val="00C24835"/>
    <w:rsid w:val="00C259E8"/>
    <w:rsid w:val="00C25C0B"/>
    <w:rsid w:val="00C25FFF"/>
    <w:rsid w:val="00C2619B"/>
    <w:rsid w:val="00C26529"/>
    <w:rsid w:val="00C2663A"/>
    <w:rsid w:val="00C26911"/>
    <w:rsid w:val="00C27664"/>
    <w:rsid w:val="00C279DD"/>
    <w:rsid w:val="00C27EB3"/>
    <w:rsid w:val="00C27EEF"/>
    <w:rsid w:val="00C301F2"/>
    <w:rsid w:val="00C3045D"/>
    <w:rsid w:val="00C30481"/>
    <w:rsid w:val="00C30BA7"/>
    <w:rsid w:val="00C31163"/>
    <w:rsid w:val="00C316B8"/>
    <w:rsid w:val="00C31D89"/>
    <w:rsid w:val="00C3241C"/>
    <w:rsid w:val="00C3280D"/>
    <w:rsid w:val="00C328AE"/>
    <w:rsid w:val="00C3307F"/>
    <w:rsid w:val="00C338D1"/>
    <w:rsid w:val="00C3396C"/>
    <w:rsid w:val="00C33A54"/>
    <w:rsid w:val="00C33DEA"/>
    <w:rsid w:val="00C35263"/>
    <w:rsid w:val="00C3536E"/>
    <w:rsid w:val="00C354FC"/>
    <w:rsid w:val="00C359BB"/>
    <w:rsid w:val="00C3660C"/>
    <w:rsid w:val="00C36658"/>
    <w:rsid w:val="00C36B7C"/>
    <w:rsid w:val="00C36CFD"/>
    <w:rsid w:val="00C36F80"/>
    <w:rsid w:val="00C37048"/>
    <w:rsid w:val="00C37BF9"/>
    <w:rsid w:val="00C4003A"/>
    <w:rsid w:val="00C40663"/>
    <w:rsid w:val="00C40A0E"/>
    <w:rsid w:val="00C40A3A"/>
    <w:rsid w:val="00C40C10"/>
    <w:rsid w:val="00C41302"/>
    <w:rsid w:val="00C415BD"/>
    <w:rsid w:val="00C41E39"/>
    <w:rsid w:val="00C41F76"/>
    <w:rsid w:val="00C422E5"/>
    <w:rsid w:val="00C42ED1"/>
    <w:rsid w:val="00C42F67"/>
    <w:rsid w:val="00C43029"/>
    <w:rsid w:val="00C43733"/>
    <w:rsid w:val="00C439AD"/>
    <w:rsid w:val="00C43A87"/>
    <w:rsid w:val="00C43D0D"/>
    <w:rsid w:val="00C43F37"/>
    <w:rsid w:val="00C4418B"/>
    <w:rsid w:val="00C441DC"/>
    <w:rsid w:val="00C44410"/>
    <w:rsid w:val="00C44C71"/>
    <w:rsid w:val="00C44DDC"/>
    <w:rsid w:val="00C44EAF"/>
    <w:rsid w:val="00C4505B"/>
    <w:rsid w:val="00C4515E"/>
    <w:rsid w:val="00C4590E"/>
    <w:rsid w:val="00C4601D"/>
    <w:rsid w:val="00C46894"/>
    <w:rsid w:val="00C46B2D"/>
    <w:rsid w:val="00C46D44"/>
    <w:rsid w:val="00C47018"/>
    <w:rsid w:val="00C473D8"/>
    <w:rsid w:val="00C47962"/>
    <w:rsid w:val="00C50131"/>
    <w:rsid w:val="00C503B1"/>
    <w:rsid w:val="00C506A0"/>
    <w:rsid w:val="00C50ABF"/>
    <w:rsid w:val="00C50BB7"/>
    <w:rsid w:val="00C50BDE"/>
    <w:rsid w:val="00C512D3"/>
    <w:rsid w:val="00C515CB"/>
    <w:rsid w:val="00C51B79"/>
    <w:rsid w:val="00C52020"/>
    <w:rsid w:val="00C523E3"/>
    <w:rsid w:val="00C52709"/>
    <w:rsid w:val="00C52812"/>
    <w:rsid w:val="00C52CB6"/>
    <w:rsid w:val="00C52DDE"/>
    <w:rsid w:val="00C530B8"/>
    <w:rsid w:val="00C53A0D"/>
    <w:rsid w:val="00C548C3"/>
    <w:rsid w:val="00C5492B"/>
    <w:rsid w:val="00C54CAF"/>
    <w:rsid w:val="00C54EB0"/>
    <w:rsid w:val="00C555DA"/>
    <w:rsid w:val="00C5574E"/>
    <w:rsid w:val="00C559C1"/>
    <w:rsid w:val="00C55D42"/>
    <w:rsid w:val="00C55ED1"/>
    <w:rsid w:val="00C5626B"/>
    <w:rsid w:val="00C56A6C"/>
    <w:rsid w:val="00C56E3C"/>
    <w:rsid w:val="00C57EB8"/>
    <w:rsid w:val="00C600C3"/>
    <w:rsid w:val="00C61310"/>
    <w:rsid w:val="00C613AB"/>
    <w:rsid w:val="00C6184E"/>
    <w:rsid w:val="00C61B4A"/>
    <w:rsid w:val="00C620D6"/>
    <w:rsid w:val="00C622F6"/>
    <w:rsid w:val="00C6233D"/>
    <w:rsid w:val="00C6257D"/>
    <w:rsid w:val="00C62D86"/>
    <w:rsid w:val="00C62D9F"/>
    <w:rsid w:val="00C633F1"/>
    <w:rsid w:val="00C6352E"/>
    <w:rsid w:val="00C6411E"/>
    <w:rsid w:val="00C643C1"/>
    <w:rsid w:val="00C649E0"/>
    <w:rsid w:val="00C6524F"/>
    <w:rsid w:val="00C658B6"/>
    <w:rsid w:val="00C65955"/>
    <w:rsid w:val="00C65A2A"/>
    <w:rsid w:val="00C66272"/>
    <w:rsid w:val="00C66DDE"/>
    <w:rsid w:val="00C66E1A"/>
    <w:rsid w:val="00C66F49"/>
    <w:rsid w:val="00C66FFA"/>
    <w:rsid w:val="00C670B0"/>
    <w:rsid w:val="00C67731"/>
    <w:rsid w:val="00C703D0"/>
    <w:rsid w:val="00C71BC9"/>
    <w:rsid w:val="00C71D51"/>
    <w:rsid w:val="00C74003"/>
    <w:rsid w:val="00C750EC"/>
    <w:rsid w:val="00C7590D"/>
    <w:rsid w:val="00C76571"/>
    <w:rsid w:val="00C76713"/>
    <w:rsid w:val="00C768F3"/>
    <w:rsid w:val="00C769D7"/>
    <w:rsid w:val="00C76B56"/>
    <w:rsid w:val="00C76D2B"/>
    <w:rsid w:val="00C76F5D"/>
    <w:rsid w:val="00C80F24"/>
    <w:rsid w:val="00C8126A"/>
    <w:rsid w:val="00C81511"/>
    <w:rsid w:val="00C8166E"/>
    <w:rsid w:val="00C8177D"/>
    <w:rsid w:val="00C817B6"/>
    <w:rsid w:val="00C817BD"/>
    <w:rsid w:val="00C818E7"/>
    <w:rsid w:val="00C825A0"/>
    <w:rsid w:val="00C82B12"/>
    <w:rsid w:val="00C82F14"/>
    <w:rsid w:val="00C8340B"/>
    <w:rsid w:val="00C83699"/>
    <w:rsid w:val="00C836DC"/>
    <w:rsid w:val="00C83777"/>
    <w:rsid w:val="00C83885"/>
    <w:rsid w:val="00C83B60"/>
    <w:rsid w:val="00C83F9F"/>
    <w:rsid w:val="00C840E6"/>
    <w:rsid w:val="00C854F8"/>
    <w:rsid w:val="00C855AC"/>
    <w:rsid w:val="00C8575B"/>
    <w:rsid w:val="00C85D65"/>
    <w:rsid w:val="00C86A9D"/>
    <w:rsid w:val="00C86D5E"/>
    <w:rsid w:val="00C86D63"/>
    <w:rsid w:val="00C86E8A"/>
    <w:rsid w:val="00C8709C"/>
    <w:rsid w:val="00C870F4"/>
    <w:rsid w:val="00C873AC"/>
    <w:rsid w:val="00C87A97"/>
    <w:rsid w:val="00C9032F"/>
    <w:rsid w:val="00C9038F"/>
    <w:rsid w:val="00C909A7"/>
    <w:rsid w:val="00C90AA7"/>
    <w:rsid w:val="00C90F81"/>
    <w:rsid w:val="00C91186"/>
    <w:rsid w:val="00C911E0"/>
    <w:rsid w:val="00C9132E"/>
    <w:rsid w:val="00C91393"/>
    <w:rsid w:val="00C917DC"/>
    <w:rsid w:val="00C918E5"/>
    <w:rsid w:val="00C91E6A"/>
    <w:rsid w:val="00C91E6C"/>
    <w:rsid w:val="00C92FA3"/>
    <w:rsid w:val="00C93854"/>
    <w:rsid w:val="00C93889"/>
    <w:rsid w:val="00C93CBD"/>
    <w:rsid w:val="00C94392"/>
    <w:rsid w:val="00C94C6E"/>
    <w:rsid w:val="00C94E66"/>
    <w:rsid w:val="00C951FA"/>
    <w:rsid w:val="00C9523E"/>
    <w:rsid w:val="00C95699"/>
    <w:rsid w:val="00C95E44"/>
    <w:rsid w:val="00C95E4E"/>
    <w:rsid w:val="00C95E59"/>
    <w:rsid w:val="00C95E68"/>
    <w:rsid w:val="00C960A5"/>
    <w:rsid w:val="00C960F0"/>
    <w:rsid w:val="00C96A66"/>
    <w:rsid w:val="00C96B58"/>
    <w:rsid w:val="00C977E8"/>
    <w:rsid w:val="00C97A58"/>
    <w:rsid w:val="00C97AD3"/>
    <w:rsid w:val="00C97C45"/>
    <w:rsid w:val="00C97C83"/>
    <w:rsid w:val="00CA019A"/>
    <w:rsid w:val="00CA01E2"/>
    <w:rsid w:val="00CA0478"/>
    <w:rsid w:val="00CA0509"/>
    <w:rsid w:val="00CA0D8F"/>
    <w:rsid w:val="00CA0DD1"/>
    <w:rsid w:val="00CA1056"/>
    <w:rsid w:val="00CA2274"/>
    <w:rsid w:val="00CA24AF"/>
    <w:rsid w:val="00CA252E"/>
    <w:rsid w:val="00CA25BC"/>
    <w:rsid w:val="00CA2B7E"/>
    <w:rsid w:val="00CA2BF5"/>
    <w:rsid w:val="00CA2F5B"/>
    <w:rsid w:val="00CA313B"/>
    <w:rsid w:val="00CA373F"/>
    <w:rsid w:val="00CA381E"/>
    <w:rsid w:val="00CA441A"/>
    <w:rsid w:val="00CA45BE"/>
    <w:rsid w:val="00CA490B"/>
    <w:rsid w:val="00CA54EB"/>
    <w:rsid w:val="00CA5568"/>
    <w:rsid w:val="00CA563B"/>
    <w:rsid w:val="00CA599D"/>
    <w:rsid w:val="00CA5EA9"/>
    <w:rsid w:val="00CA5F15"/>
    <w:rsid w:val="00CA60D6"/>
    <w:rsid w:val="00CA62F4"/>
    <w:rsid w:val="00CA658E"/>
    <w:rsid w:val="00CA65A1"/>
    <w:rsid w:val="00CA6BDB"/>
    <w:rsid w:val="00CA6E63"/>
    <w:rsid w:val="00CA7321"/>
    <w:rsid w:val="00CA7343"/>
    <w:rsid w:val="00CA73ED"/>
    <w:rsid w:val="00CB1312"/>
    <w:rsid w:val="00CB13CA"/>
    <w:rsid w:val="00CB1A67"/>
    <w:rsid w:val="00CB1E5F"/>
    <w:rsid w:val="00CB1EED"/>
    <w:rsid w:val="00CB1FD9"/>
    <w:rsid w:val="00CB24AA"/>
    <w:rsid w:val="00CB2740"/>
    <w:rsid w:val="00CB2942"/>
    <w:rsid w:val="00CB2BE5"/>
    <w:rsid w:val="00CB2DDB"/>
    <w:rsid w:val="00CB2E57"/>
    <w:rsid w:val="00CB3044"/>
    <w:rsid w:val="00CB354C"/>
    <w:rsid w:val="00CB3C10"/>
    <w:rsid w:val="00CB4578"/>
    <w:rsid w:val="00CB535F"/>
    <w:rsid w:val="00CB54E1"/>
    <w:rsid w:val="00CB5662"/>
    <w:rsid w:val="00CB593D"/>
    <w:rsid w:val="00CB61F0"/>
    <w:rsid w:val="00CB62E8"/>
    <w:rsid w:val="00CB6587"/>
    <w:rsid w:val="00CB6740"/>
    <w:rsid w:val="00CB68AA"/>
    <w:rsid w:val="00CB6CBB"/>
    <w:rsid w:val="00CB75BB"/>
    <w:rsid w:val="00CB78C9"/>
    <w:rsid w:val="00CB7A81"/>
    <w:rsid w:val="00CB7B13"/>
    <w:rsid w:val="00CC0DFF"/>
    <w:rsid w:val="00CC1044"/>
    <w:rsid w:val="00CC16B4"/>
    <w:rsid w:val="00CC1BB5"/>
    <w:rsid w:val="00CC1BE9"/>
    <w:rsid w:val="00CC1CBE"/>
    <w:rsid w:val="00CC2D55"/>
    <w:rsid w:val="00CC2ECF"/>
    <w:rsid w:val="00CC2FB4"/>
    <w:rsid w:val="00CC3089"/>
    <w:rsid w:val="00CC3B06"/>
    <w:rsid w:val="00CC3BDB"/>
    <w:rsid w:val="00CC3CF9"/>
    <w:rsid w:val="00CC41B5"/>
    <w:rsid w:val="00CC438D"/>
    <w:rsid w:val="00CC48A2"/>
    <w:rsid w:val="00CC4B27"/>
    <w:rsid w:val="00CC4DC3"/>
    <w:rsid w:val="00CC4EB3"/>
    <w:rsid w:val="00CC5BF0"/>
    <w:rsid w:val="00CC5CF8"/>
    <w:rsid w:val="00CC663B"/>
    <w:rsid w:val="00CC6764"/>
    <w:rsid w:val="00CC6B11"/>
    <w:rsid w:val="00CC76B0"/>
    <w:rsid w:val="00CC7DA7"/>
    <w:rsid w:val="00CD1ACA"/>
    <w:rsid w:val="00CD1EBB"/>
    <w:rsid w:val="00CD1F32"/>
    <w:rsid w:val="00CD1F8B"/>
    <w:rsid w:val="00CD2035"/>
    <w:rsid w:val="00CD312B"/>
    <w:rsid w:val="00CD32F6"/>
    <w:rsid w:val="00CD3548"/>
    <w:rsid w:val="00CD5ABE"/>
    <w:rsid w:val="00CD5F88"/>
    <w:rsid w:val="00CD5FBA"/>
    <w:rsid w:val="00CD6AC6"/>
    <w:rsid w:val="00CD72C4"/>
    <w:rsid w:val="00CE019A"/>
    <w:rsid w:val="00CE08B4"/>
    <w:rsid w:val="00CE0B2B"/>
    <w:rsid w:val="00CE0D5A"/>
    <w:rsid w:val="00CE1424"/>
    <w:rsid w:val="00CE177F"/>
    <w:rsid w:val="00CE1C67"/>
    <w:rsid w:val="00CE21AC"/>
    <w:rsid w:val="00CE2236"/>
    <w:rsid w:val="00CE241D"/>
    <w:rsid w:val="00CE24AE"/>
    <w:rsid w:val="00CE2828"/>
    <w:rsid w:val="00CE3138"/>
    <w:rsid w:val="00CE3BC4"/>
    <w:rsid w:val="00CE3C24"/>
    <w:rsid w:val="00CE3E59"/>
    <w:rsid w:val="00CE423A"/>
    <w:rsid w:val="00CE46DC"/>
    <w:rsid w:val="00CE4DEF"/>
    <w:rsid w:val="00CE4EB9"/>
    <w:rsid w:val="00CE5085"/>
    <w:rsid w:val="00CE5B24"/>
    <w:rsid w:val="00CE6A07"/>
    <w:rsid w:val="00CE6B04"/>
    <w:rsid w:val="00CE6CC3"/>
    <w:rsid w:val="00CE6F95"/>
    <w:rsid w:val="00CE73F5"/>
    <w:rsid w:val="00CE75B2"/>
    <w:rsid w:val="00CE7781"/>
    <w:rsid w:val="00CE7F4D"/>
    <w:rsid w:val="00CF0081"/>
    <w:rsid w:val="00CF05B6"/>
    <w:rsid w:val="00CF05EE"/>
    <w:rsid w:val="00CF0941"/>
    <w:rsid w:val="00CF0E6E"/>
    <w:rsid w:val="00CF1D16"/>
    <w:rsid w:val="00CF2129"/>
    <w:rsid w:val="00CF21A2"/>
    <w:rsid w:val="00CF27D4"/>
    <w:rsid w:val="00CF2A0C"/>
    <w:rsid w:val="00CF2A89"/>
    <w:rsid w:val="00CF2CD3"/>
    <w:rsid w:val="00CF2D88"/>
    <w:rsid w:val="00CF2DAD"/>
    <w:rsid w:val="00CF322A"/>
    <w:rsid w:val="00CF349C"/>
    <w:rsid w:val="00CF351B"/>
    <w:rsid w:val="00CF3E00"/>
    <w:rsid w:val="00CF42CF"/>
    <w:rsid w:val="00CF5036"/>
    <w:rsid w:val="00CF521A"/>
    <w:rsid w:val="00CF529F"/>
    <w:rsid w:val="00CF538D"/>
    <w:rsid w:val="00CF63B2"/>
    <w:rsid w:val="00CF660F"/>
    <w:rsid w:val="00CF6A21"/>
    <w:rsid w:val="00CF6D0A"/>
    <w:rsid w:val="00CF6DF3"/>
    <w:rsid w:val="00CF72D1"/>
    <w:rsid w:val="00CF74DC"/>
    <w:rsid w:val="00CF74DD"/>
    <w:rsid w:val="00CF77E2"/>
    <w:rsid w:val="00CF7CEC"/>
    <w:rsid w:val="00CF7FDA"/>
    <w:rsid w:val="00D0053F"/>
    <w:rsid w:val="00D00A4D"/>
    <w:rsid w:val="00D00C48"/>
    <w:rsid w:val="00D00DBA"/>
    <w:rsid w:val="00D00E29"/>
    <w:rsid w:val="00D00F55"/>
    <w:rsid w:val="00D01826"/>
    <w:rsid w:val="00D01A04"/>
    <w:rsid w:val="00D01BC2"/>
    <w:rsid w:val="00D01C9E"/>
    <w:rsid w:val="00D01CD8"/>
    <w:rsid w:val="00D02215"/>
    <w:rsid w:val="00D0297C"/>
    <w:rsid w:val="00D02ACE"/>
    <w:rsid w:val="00D03136"/>
    <w:rsid w:val="00D0359A"/>
    <w:rsid w:val="00D03696"/>
    <w:rsid w:val="00D03CD7"/>
    <w:rsid w:val="00D0409A"/>
    <w:rsid w:val="00D040C1"/>
    <w:rsid w:val="00D045C4"/>
    <w:rsid w:val="00D046EF"/>
    <w:rsid w:val="00D0558C"/>
    <w:rsid w:val="00D05761"/>
    <w:rsid w:val="00D059EF"/>
    <w:rsid w:val="00D05BC1"/>
    <w:rsid w:val="00D05D39"/>
    <w:rsid w:val="00D05E7E"/>
    <w:rsid w:val="00D06296"/>
    <w:rsid w:val="00D06FD9"/>
    <w:rsid w:val="00D07BBE"/>
    <w:rsid w:val="00D07C56"/>
    <w:rsid w:val="00D07D08"/>
    <w:rsid w:val="00D10010"/>
    <w:rsid w:val="00D1022A"/>
    <w:rsid w:val="00D10401"/>
    <w:rsid w:val="00D107FF"/>
    <w:rsid w:val="00D111B8"/>
    <w:rsid w:val="00D11656"/>
    <w:rsid w:val="00D11F17"/>
    <w:rsid w:val="00D1200F"/>
    <w:rsid w:val="00D1204E"/>
    <w:rsid w:val="00D124B0"/>
    <w:rsid w:val="00D138FF"/>
    <w:rsid w:val="00D14251"/>
    <w:rsid w:val="00D14458"/>
    <w:rsid w:val="00D14B97"/>
    <w:rsid w:val="00D14BC7"/>
    <w:rsid w:val="00D1567A"/>
    <w:rsid w:val="00D15909"/>
    <w:rsid w:val="00D15BDE"/>
    <w:rsid w:val="00D16169"/>
    <w:rsid w:val="00D161BE"/>
    <w:rsid w:val="00D167FE"/>
    <w:rsid w:val="00D16A81"/>
    <w:rsid w:val="00D16B66"/>
    <w:rsid w:val="00D16B88"/>
    <w:rsid w:val="00D16E72"/>
    <w:rsid w:val="00D17313"/>
    <w:rsid w:val="00D176A5"/>
    <w:rsid w:val="00D17FAC"/>
    <w:rsid w:val="00D20632"/>
    <w:rsid w:val="00D2151B"/>
    <w:rsid w:val="00D21CF1"/>
    <w:rsid w:val="00D21D57"/>
    <w:rsid w:val="00D21DA3"/>
    <w:rsid w:val="00D21E3A"/>
    <w:rsid w:val="00D22090"/>
    <w:rsid w:val="00D22E74"/>
    <w:rsid w:val="00D23222"/>
    <w:rsid w:val="00D23371"/>
    <w:rsid w:val="00D235E8"/>
    <w:rsid w:val="00D23C28"/>
    <w:rsid w:val="00D2415C"/>
    <w:rsid w:val="00D242CB"/>
    <w:rsid w:val="00D2438A"/>
    <w:rsid w:val="00D24EAB"/>
    <w:rsid w:val="00D252A8"/>
    <w:rsid w:val="00D2552C"/>
    <w:rsid w:val="00D25594"/>
    <w:rsid w:val="00D2567E"/>
    <w:rsid w:val="00D25FD2"/>
    <w:rsid w:val="00D2600A"/>
    <w:rsid w:val="00D26105"/>
    <w:rsid w:val="00D26378"/>
    <w:rsid w:val="00D26B14"/>
    <w:rsid w:val="00D26DF0"/>
    <w:rsid w:val="00D27065"/>
    <w:rsid w:val="00D270F7"/>
    <w:rsid w:val="00D27895"/>
    <w:rsid w:val="00D304DB"/>
    <w:rsid w:val="00D30991"/>
    <w:rsid w:val="00D30AD6"/>
    <w:rsid w:val="00D30F98"/>
    <w:rsid w:val="00D31138"/>
    <w:rsid w:val="00D311BF"/>
    <w:rsid w:val="00D315B2"/>
    <w:rsid w:val="00D321BE"/>
    <w:rsid w:val="00D321E9"/>
    <w:rsid w:val="00D332FA"/>
    <w:rsid w:val="00D3330E"/>
    <w:rsid w:val="00D3346C"/>
    <w:rsid w:val="00D33622"/>
    <w:rsid w:val="00D33E29"/>
    <w:rsid w:val="00D34349"/>
    <w:rsid w:val="00D3484F"/>
    <w:rsid w:val="00D34949"/>
    <w:rsid w:val="00D34BF6"/>
    <w:rsid w:val="00D351E0"/>
    <w:rsid w:val="00D357EA"/>
    <w:rsid w:val="00D360FB"/>
    <w:rsid w:val="00D3620E"/>
    <w:rsid w:val="00D36298"/>
    <w:rsid w:val="00D371CC"/>
    <w:rsid w:val="00D37570"/>
    <w:rsid w:val="00D37D83"/>
    <w:rsid w:val="00D37E00"/>
    <w:rsid w:val="00D37EF1"/>
    <w:rsid w:val="00D40054"/>
    <w:rsid w:val="00D416ED"/>
    <w:rsid w:val="00D41AD4"/>
    <w:rsid w:val="00D41B04"/>
    <w:rsid w:val="00D41F7C"/>
    <w:rsid w:val="00D42647"/>
    <w:rsid w:val="00D42ACA"/>
    <w:rsid w:val="00D43C2D"/>
    <w:rsid w:val="00D43C3B"/>
    <w:rsid w:val="00D43DDD"/>
    <w:rsid w:val="00D44152"/>
    <w:rsid w:val="00D446E3"/>
    <w:rsid w:val="00D44CFF"/>
    <w:rsid w:val="00D4559E"/>
    <w:rsid w:val="00D457CC"/>
    <w:rsid w:val="00D45AFB"/>
    <w:rsid w:val="00D45C1B"/>
    <w:rsid w:val="00D45DC4"/>
    <w:rsid w:val="00D45EF1"/>
    <w:rsid w:val="00D4612C"/>
    <w:rsid w:val="00D46624"/>
    <w:rsid w:val="00D46C78"/>
    <w:rsid w:val="00D46E63"/>
    <w:rsid w:val="00D4735F"/>
    <w:rsid w:val="00D477C7"/>
    <w:rsid w:val="00D4797B"/>
    <w:rsid w:val="00D47E15"/>
    <w:rsid w:val="00D47F06"/>
    <w:rsid w:val="00D50C46"/>
    <w:rsid w:val="00D5121D"/>
    <w:rsid w:val="00D51729"/>
    <w:rsid w:val="00D519A3"/>
    <w:rsid w:val="00D52041"/>
    <w:rsid w:val="00D52066"/>
    <w:rsid w:val="00D52234"/>
    <w:rsid w:val="00D52264"/>
    <w:rsid w:val="00D5248A"/>
    <w:rsid w:val="00D52C67"/>
    <w:rsid w:val="00D530BF"/>
    <w:rsid w:val="00D53532"/>
    <w:rsid w:val="00D53B7C"/>
    <w:rsid w:val="00D53F1D"/>
    <w:rsid w:val="00D54B30"/>
    <w:rsid w:val="00D551B2"/>
    <w:rsid w:val="00D551B6"/>
    <w:rsid w:val="00D5544E"/>
    <w:rsid w:val="00D5546A"/>
    <w:rsid w:val="00D55602"/>
    <w:rsid w:val="00D55869"/>
    <w:rsid w:val="00D55908"/>
    <w:rsid w:val="00D55DE2"/>
    <w:rsid w:val="00D55F11"/>
    <w:rsid w:val="00D569F7"/>
    <w:rsid w:val="00D56D32"/>
    <w:rsid w:val="00D56E8A"/>
    <w:rsid w:val="00D57373"/>
    <w:rsid w:val="00D57A44"/>
    <w:rsid w:val="00D57C33"/>
    <w:rsid w:val="00D57D21"/>
    <w:rsid w:val="00D57EBB"/>
    <w:rsid w:val="00D6069E"/>
    <w:rsid w:val="00D60804"/>
    <w:rsid w:val="00D60B04"/>
    <w:rsid w:val="00D60C27"/>
    <w:rsid w:val="00D61529"/>
    <w:rsid w:val="00D61534"/>
    <w:rsid w:val="00D62013"/>
    <w:rsid w:val="00D62184"/>
    <w:rsid w:val="00D62412"/>
    <w:rsid w:val="00D62520"/>
    <w:rsid w:val="00D625D7"/>
    <w:rsid w:val="00D62B15"/>
    <w:rsid w:val="00D62E0F"/>
    <w:rsid w:val="00D631A6"/>
    <w:rsid w:val="00D6336C"/>
    <w:rsid w:val="00D634A3"/>
    <w:rsid w:val="00D64571"/>
    <w:rsid w:val="00D64EA5"/>
    <w:rsid w:val="00D65809"/>
    <w:rsid w:val="00D66343"/>
    <w:rsid w:val="00D6698F"/>
    <w:rsid w:val="00D670A9"/>
    <w:rsid w:val="00D670E1"/>
    <w:rsid w:val="00D67142"/>
    <w:rsid w:val="00D67FB0"/>
    <w:rsid w:val="00D7009C"/>
    <w:rsid w:val="00D70413"/>
    <w:rsid w:val="00D70591"/>
    <w:rsid w:val="00D709DE"/>
    <w:rsid w:val="00D70C25"/>
    <w:rsid w:val="00D71BDC"/>
    <w:rsid w:val="00D7259B"/>
    <w:rsid w:val="00D72A32"/>
    <w:rsid w:val="00D72C9B"/>
    <w:rsid w:val="00D72DE9"/>
    <w:rsid w:val="00D72FDD"/>
    <w:rsid w:val="00D73102"/>
    <w:rsid w:val="00D7371C"/>
    <w:rsid w:val="00D73AA1"/>
    <w:rsid w:val="00D73ADD"/>
    <w:rsid w:val="00D74357"/>
    <w:rsid w:val="00D7438E"/>
    <w:rsid w:val="00D74487"/>
    <w:rsid w:val="00D7525A"/>
    <w:rsid w:val="00D75D90"/>
    <w:rsid w:val="00D766AB"/>
    <w:rsid w:val="00D76724"/>
    <w:rsid w:val="00D76CEF"/>
    <w:rsid w:val="00D76EFF"/>
    <w:rsid w:val="00D7754A"/>
    <w:rsid w:val="00D77A99"/>
    <w:rsid w:val="00D800A7"/>
    <w:rsid w:val="00D8087D"/>
    <w:rsid w:val="00D81440"/>
    <w:rsid w:val="00D81697"/>
    <w:rsid w:val="00D81EC6"/>
    <w:rsid w:val="00D821BD"/>
    <w:rsid w:val="00D82588"/>
    <w:rsid w:val="00D82C15"/>
    <w:rsid w:val="00D82CF4"/>
    <w:rsid w:val="00D8367B"/>
    <w:rsid w:val="00D836C4"/>
    <w:rsid w:val="00D83D7B"/>
    <w:rsid w:val="00D8449F"/>
    <w:rsid w:val="00D84523"/>
    <w:rsid w:val="00D84B79"/>
    <w:rsid w:val="00D85083"/>
    <w:rsid w:val="00D850A8"/>
    <w:rsid w:val="00D850D5"/>
    <w:rsid w:val="00D853BD"/>
    <w:rsid w:val="00D8578F"/>
    <w:rsid w:val="00D85924"/>
    <w:rsid w:val="00D85F53"/>
    <w:rsid w:val="00D86460"/>
    <w:rsid w:val="00D86641"/>
    <w:rsid w:val="00D87A29"/>
    <w:rsid w:val="00D900E0"/>
    <w:rsid w:val="00D90468"/>
    <w:rsid w:val="00D9052A"/>
    <w:rsid w:val="00D91401"/>
    <w:rsid w:val="00D9158A"/>
    <w:rsid w:val="00D91952"/>
    <w:rsid w:val="00D91A04"/>
    <w:rsid w:val="00D91C82"/>
    <w:rsid w:val="00D9237B"/>
    <w:rsid w:val="00D92AD2"/>
    <w:rsid w:val="00D92E57"/>
    <w:rsid w:val="00D93488"/>
    <w:rsid w:val="00D94046"/>
    <w:rsid w:val="00D943F4"/>
    <w:rsid w:val="00D9508D"/>
    <w:rsid w:val="00D953D8"/>
    <w:rsid w:val="00D95821"/>
    <w:rsid w:val="00D95872"/>
    <w:rsid w:val="00D95BE6"/>
    <w:rsid w:val="00D95DB9"/>
    <w:rsid w:val="00D96304"/>
    <w:rsid w:val="00D965EC"/>
    <w:rsid w:val="00D9681E"/>
    <w:rsid w:val="00D972BB"/>
    <w:rsid w:val="00D97398"/>
    <w:rsid w:val="00D9740D"/>
    <w:rsid w:val="00D97694"/>
    <w:rsid w:val="00D97877"/>
    <w:rsid w:val="00D979C5"/>
    <w:rsid w:val="00DA04EF"/>
    <w:rsid w:val="00DA1278"/>
    <w:rsid w:val="00DA1285"/>
    <w:rsid w:val="00DA14FB"/>
    <w:rsid w:val="00DA1903"/>
    <w:rsid w:val="00DA20A7"/>
    <w:rsid w:val="00DA219B"/>
    <w:rsid w:val="00DA21EF"/>
    <w:rsid w:val="00DA22F7"/>
    <w:rsid w:val="00DA2658"/>
    <w:rsid w:val="00DA2D68"/>
    <w:rsid w:val="00DA34B0"/>
    <w:rsid w:val="00DA37EB"/>
    <w:rsid w:val="00DA3F1C"/>
    <w:rsid w:val="00DA42D9"/>
    <w:rsid w:val="00DA4566"/>
    <w:rsid w:val="00DA46CE"/>
    <w:rsid w:val="00DA4777"/>
    <w:rsid w:val="00DA49CF"/>
    <w:rsid w:val="00DA4A54"/>
    <w:rsid w:val="00DA51D5"/>
    <w:rsid w:val="00DA5480"/>
    <w:rsid w:val="00DA5959"/>
    <w:rsid w:val="00DA5AD5"/>
    <w:rsid w:val="00DA5E21"/>
    <w:rsid w:val="00DA61F5"/>
    <w:rsid w:val="00DA6461"/>
    <w:rsid w:val="00DA690B"/>
    <w:rsid w:val="00DA6A72"/>
    <w:rsid w:val="00DA74C7"/>
    <w:rsid w:val="00DA768C"/>
    <w:rsid w:val="00DA76FD"/>
    <w:rsid w:val="00DA79CF"/>
    <w:rsid w:val="00DA7CB4"/>
    <w:rsid w:val="00DB0D69"/>
    <w:rsid w:val="00DB1BD9"/>
    <w:rsid w:val="00DB2144"/>
    <w:rsid w:val="00DB28E5"/>
    <w:rsid w:val="00DB2C0B"/>
    <w:rsid w:val="00DB3176"/>
    <w:rsid w:val="00DB3881"/>
    <w:rsid w:val="00DB40C6"/>
    <w:rsid w:val="00DB4611"/>
    <w:rsid w:val="00DB47A7"/>
    <w:rsid w:val="00DB5237"/>
    <w:rsid w:val="00DB5372"/>
    <w:rsid w:val="00DB53C7"/>
    <w:rsid w:val="00DB5B48"/>
    <w:rsid w:val="00DB6251"/>
    <w:rsid w:val="00DB67EA"/>
    <w:rsid w:val="00DB6ECA"/>
    <w:rsid w:val="00DB6F8A"/>
    <w:rsid w:val="00DB6FCC"/>
    <w:rsid w:val="00DB7051"/>
    <w:rsid w:val="00DB705F"/>
    <w:rsid w:val="00DB738F"/>
    <w:rsid w:val="00DB7765"/>
    <w:rsid w:val="00DB7866"/>
    <w:rsid w:val="00DB78E9"/>
    <w:rsid w:val="00DC009D"/>
    <w:rsid w:val="00DC00C3"/>
    <w:rsid w:val="00DC02C3"/>
    <w:rsid w:val="00DC0453"/>
    <w:rsid w:val="00DC0C0F"/>
    <w:rsid w:val="00DC0C26"/>
    <w:rsid w:val="00DC0D43"/>
    <w:rsid w:val="00DC13E5"/>
    <w:rsid w:val="00DC159A"/>
    <w:rsid w:val="00DC15C8"/>
    <w:rsid w:val="00DC1C69"/>
    <w:rsid w:val="00DC1C8C"/>
    <w:rsid w:val="00DC1D7E"/>
    <w:rsid w:val="00DC1EFD"/>
    <w:rsid w:val="00DC26CA"/>
    <w:rsid w:val="00DC2D32"/>
    <w:rsid w:val="00DC2DE3"/>
    <w:rsid w:val="00DC3638"/>
    <w:rsid w:val="00DC3921"/>
    <w:rsid w:val="00DC416C"/>
    <w:rsid w:val="00DC45D8"/>
    <w:rsid w:val="00DC45F2"/>
    <w:rsid w:val="00DC46D1"/>
    <w:rsid w:val="00DC57D8"/>
    <w:rsid w:val="00DC58BD"/>
    <w:rsid w:val="00DC5D8A"/>
    <w:rsid w:val="00DC66E6"/>
    <w:rsid w:val="00DC6A03"/>
    <w:rsid w:val="00DC6F45"/>
    <w:rsid w:val="00DC798A"/>
    <w:rsid w:val="00DC7D95"/>
    <w:rsid w:val="00DC7F5F"/>
    <w:rsid w:val="00DC7F67"/>
    <w:rsid w:val="00DD047B"/>
    <w:rsid w:val="00DD04CB"/>
    <w:rsid w:val="00DD0520"/>
    <w:rsid w:val="00DD0542"/>
    <w:rsid w:val="00DD0E11"/>
    <w:rsid w:val="00DD1557"/>
    <w:rsid w:val="00DD1595"/>
    <w:rsid w:val="00DD16AE"/>
    <w:rsid w:val="00DD171F"/>
    <w:rsid w:val="00DD1A89"/>
    <w:rsid w:val="00DD22C0"/>
    <w:rsid w:val="00DD26F7"/>
    <w:rsid w:val="00DD2798"/>
    <w:rsid w:val="00DD2B11"/>
    <w:rsid w:val="00DD3533"/>
    <w:rsid w:val="00DD3A82"/>
    <w:rsid w:val="00DD3D83"/>
    <w:rsid w:val="00DD5269"/>
    <w:rsid w:val="00DD53DF"/>
    <w:rsid w:val="00DD62F6"/>
    <w:rsid w:val="00DD7013"/>
    <w:rsid w:val="00DD7401"/>
    <w:rsid w:val="00DD78DD"/>
    <w:rsid w:val="00DE0994"/>
    <w:rsid w:val="00DE1527"/>
    <w:rsid w:val="00DE152B"/>
    <w:rsid w:val="00DE15A2"/>
    <w:rsid w:val="00DE15AA"/>
    <w:rsid w:val="00DE16E5"/>
    <w:rsid w:val="00DE18F1"/>
    <w:rsid w:val="00DE199F"/>
    <w:rsid w:val="00DE1EFD"/>
    <w:rsid w:val="00DE222F"/>
    <w:rsid w:val="00DE2437"/>
    <w:rsid w:val="00DE257D"/>
    <w:rsid w:val="00DE26F4"/>
    <w:rsid w:val="00DE27F8"/>
    <w:rsid w:val="00DE28CF"/>
    <w:rsid w:val="00DE2D7B"/>
    <w:rsid w:val="00DE2EBD"/>
    <w:rsid w:val="00DE3297"/>
    <w:rsid w:val="00DE39CE"/>
    <w:rsid w:val="00DE3E77"/>
    <w:rsid w:val="00DE4002"/>
    <w:rsid w:val="00DE40F9"/>
    <w:rsid w:val="00DE4C30"/>
    <w:rsid w:val="00DE4E10"/>
    <w:rsid w:val="00DE6108"/>
    <w:rsid w:val="00DE6332"/>
    <w:rsid w:val="00DE6A84"/>
    <w:rsid w:val="00DE6F73"/>
    <w:rsid w:val="00DE701C"/>
    <w:rsid w:val="00DE71E4"/>
    <w:rsid w:val="00DE72BA"/>
    <w:rsid w:val="00DE7382"/>
    <w:rsid w:val="00DE7E83"/>
    <w:rsid w:val="00DF0064"/>
    <w:rsid w:val="00DF028B"/>
    <w:rsid w:val="00DF06E7"/>
    <w:rsid w:val="00DF0AA0"/>
    <w:rsid w:val="00DF18DD"/>
    <w:rsid w:val="00DF1B97"/>
    <w:rsid w:val="00DF1C49"/>
    <w:rsid w:val="00DF3A77"/>
    <w:rsid w:val="00DF3EBC"/>
    <w:rsid w:val="00DF4275"/>
    <w:rsid w:val="00DF455B"/>
    <w:rsid w:val="00DF4808"/>
    <w:rsid w:val="00DF5343"/>
    <w:rsid w:val="00DF56CA"/>
    <w:rsid w:val="00DF67F1"/>
    <w:rsid w:val="00DF6865"/>
    <w:rsid w:val="00DF6C3E"/>
    <w:rsid w:val="00DF6CD5"/>
    <w:rsid w:val="00DF6D61"/>
    <w:rsid w:val="00DF6E34"/>
    <w:rsid w:val="00DF732A"/>
    <w:rsid w:val="00DF7E27"/>
    <w:rsid w:val="00DF7EEB"/>
    <w:rsid w:val="00DF7F18"/>
    <w:rsid w:val="00E001B9"/>
    <w:rsid w:val="00E00B06"/>
    <w:rsid w:val="00E00C82"/>
    <w:rsid w:val="00E00D29"/>
    <w:rsid w:val="00E00FFF"/>
    <w:rsid w:val="00E01018"/>
    <w:rsid w:val="00E012E3"/>
    <w:rsid w:val="00E0204B"/>
    <w:rsid w:val="00E023D5"/>
    <w:rsid w:val="00E02468"/>
    <w:rsid w:val="00E02475"/>
    <w:rsid w:val="00E0256F"/>
    <w:rsid w:val="00E029F4"/>
    <w:rsid w:val="00E02BD2"/>
    <w:rsid w:val="00E02E9D"/>
    <w:rsid w:val="00E03079"/>
    <w:rsid w:val="00E03A1E"/>
    <w:rsid w:val="00E03D2D"/>
    <w:rsid w:val="00E03F31"/>
    <w:rsid w:val="00E0414B"/>
    <w:rsid w:val="00E043FC"/>
    <w:rsid w:val="00E048E6"/>
    <w:rsid w:val="00E04C84"/>
    <w:rsid w:val="00E0647C"/>
    <w:rsid w:val="00E06489"/>
    <w:rsid w:val="00E06718"/>
    <w:rsid w:val="00E06811"/>
    <w:rsid w:val="00E06AE4"/>
    <w:rsid w:val="00E077AD"/>
    <w:rsid w:val="00E07925"/>
    <w:rsid w:val="00E10B23"/>
    <w:rsid w:val="00E11174"/>
    <w:rsid w:val="00E115FE"/>
    <w:rsid w:val="00E11C5F"/>
    <w:rsid w:val="00E1201E"/>
    <w:rsid w:val="00E126D4"/>
    <w:rsid w:val="00E12760"/>
    <w:rsid w:val="00E1319A"/>
    <w:rsid w:val="00E13794"/>
    <w:rsid w:val="00E13A1C"/>
    <w:rsid w:val="00E13A83"/>
    <w:rsid w:val="00E13BA6"/>
    <w:rsid w:val="00E1420F"/>
    <w:rsid w:val="00E14388"/>
    <w:rsid w:val="00E15079"/>
    <w:rsid w:val="00E1546B"/>
    <w:rsid w:val="00E15933"/>
    <w:rsid w:val="00E15A0A"/>
    <w:rsid w:val="00E15B95"/>
    <w:rsid w:val="00E161E7"/>
    <w:rsid w:val="00E1640C"/>
    <w:rsid w:val="00E16925"/>
    <w:rsid w:val="00E17263"/>
    <w:rsid w:val="00E174A1"/>
    <w:rsid w:val="00E175F6"/>
    <w:rsid w:val="00E17600"/>
    <w:rsid w:val="00E17745"/>
    <w:rsid w:val="00E17848"/>
    <w:rsid w:val="00E17D4E"/>
    <w:rsid w:val="00E2046D"/>
    <w:rsid w:val="00E21285"/>
    <w:rsid w:val="00E2172E"/>
    <w:rsid w:val="00E21CAC"/>
    <w:rsid w:val="00E21FEC"/>
    <w:rsid w:val="00E2258A"/>
    <w:rsid w:val="00E22675"/>
    <w:rsid w:val="00E22C4D"/>
    <w:rsid w:val="00E22F8B"/>
    <w:rsid w:val="00E23AA7"/>
    <w:rsid w:val="00E23EF2"/>
    <w:rsid w:val="00E2447A"/>
    <w:rsid w:val="00E24554"/>
    <w:rsid w:val="00E245F7"/>
    <w:rsid w:val="00E2464E"/>
    <w:rsid w:val="00E247B3"/>
    <w:rsid w:val="00E24CC0"/>
    <w:rsid w:val="00E2507F"/>
    <w:rsid w:val="00E250BE"/>
    <w:rsid w:val="00E25563"/>
    <w:rsid w:val="00E255A1"/>
    <w:rsid w:val="00E256C4"/>
    <w:rsid w:val="00E25769"/>
    <w:rsid w:val="00E25E7D"/>
    <w:rsid w:val="00E26214"/>
    <w:rsid w:val="00E263E2"/>
    <w:rsid w:val="00E26754"/>
    <w:rsid w:val="00E26C4B"/>
    <w:rsid w:val="00E26C7C"/>
    <w:rsid w:val="00E26D1D"/>
    <w:rsid w:val="00E26EF8"/>
    <w:rsid w:val="00E27115"/>
    <w:rsid w:val="00E27321"/>
    <w:rsid w:val="00E3089F"/>
    <w:rsid w:val="00E30CD0"/>
    <w:rsid w:val="00E30FE1"/>
    <w:rsid w:val="00E31244"/>
    <w:rsid w:val="00E3132D"/>
    <w:rsid w:val="00E31731"/>
    <w:rsid w:val="00E32256"/>
    <w:rsid w:val="00E32281"/>
    <w:rsid w:val="00E3248A"/>
    <w:rsid w:val="00E32796"/>
    <w:rsid w:val="00E332C7"/>
    <w:rsid w:val="00E33417"/>
    <w:rsid w:val="00E33919"/>
    <w:rsid w:val="00E3396E"/>
    <w:rsid w:val="00E33A4C"/>
    <w:rsid w:val="00E33ACE"/>
    <w:rsid w:val="00E33D15"/>
    <w:rsid w:val="00E33F8C"/>
    <w:rsid w:val="00E341A1"/>
    <w:rsid w:val="00E3465F"/>
    <w:rsid w:val="00E3530B"/>
    <w:rsid w:val="00E35801"/>
    <w:rsid w:val="00E358C0"/>
    <w:rsid w:val="00E35A75"/>
    <w:rsid w:val="00E36BF4"/>
    <w:rsid w:val="00E370CB"/>
    <w:rsid w:val="00E37486"/>
    <w:rsid w:val="00E378D2"/>
    <w:rsid w:val="00E37EF1"/>
    <w:rsid w:val="00E400AA"/>
    <w:rsid w:val="00E402DB"/>
    <w:rsid w:val="00E40356"/>
    <w:rsid w:val="00E40FD4"/>
    <w:rsid w:val="00E41028"/>
    <w:rsid w:val="00E412D1"/>
    <w:rsid w:val="00E41728"/>
    <w:rsid w:val="00E42434"/>
    <w:rsid w:val="00E42D92"/>
    <w:rsid w:val="00E42FAA"/>
    <w:rsid w:val="00E4418C"/>
    <w:rsid w:val="00E44746"/>
    <w:rsid w:val="00E449F0"/>
    <w:rsid w:val="00E44D73"/>
    <w:rsid w:val="00E4518C"/>
    <w:rsid w:val="00E4523C"/>
    <w:rsid w:val="00E452C4"/>
    <w:rsid w:val="00E45AE3"/>
    <w:rsid w:val="00E4608A"/>
    <w:rsid w:val="00E46285"/>
    <w:rsid w:val="00E465AE"/>
    <w:rsid w:val="00E46A9E"/>
    <w:rsid w:val="00E47070"/>
    <w:rsid w:val="00E472E6"/>
    <w:rsid w:val="00E505E2"/>
    <w:rsid w:val="00E507C1"/>
    <w:rsid w:val="00E5087C"/>
    <w:rsid w:val="00E50CD5"/>
    <w:rsid w:val="00E512AD"/>
    <w:rsid w:val="00E5176C"/>
    <w:rsid w:val="00E517EB"/>
    <w:rsid w:val="00E524DF"/>
    <w:rsid w:val="00E5395A"/>
    <w:rsid w:val="00E541BB"/>
    <w:rsid w:val="00E5595E"/>
    <w:rsid w:val="00E55BD7"/>
    <w:rsid w:val="00E5621D"/>
    <w:rsid w:val="00E5678F"/>
    <w:rsid w:val="00E5692D"/>
    <w:rsid w:val="00E56AE2"/>
    <w:rsid w:val="00E56E7F"/>
    <w:rsid w:val="00E56EF5"/>
    <w:rsid w:val="00E56F64"/>
    <w:rsid w:val="00E5771B"/>
    <w:rsid w:val="00E57935"/>
    <w:rsid w:val="00E5793A"/>
    <w:rsid w:val="00E57D9B"/>
    <w:rsid w:val="00E57FCB"/>
    <w:rsid w:val="00E609AA"/>
    <w:rsid w:val="00E60E20"/>
    <w:rsid w:val="00E6177D"/>
    <w:rsid w:val="00E61994"/>
    <w:rsid w:val="00E61A6D"/>
    <w:rsid w:val="00E61A80"/>
    <w:rsid w:val="00E61BFF"/>
    <w:rsid w:val="00E61E6F"/>
    <w:rsid w:val="00E6220A"/>
    <w:rsid w:val="00E627E6"/>
    <w:rsid w:val="00E62A01"/>
    <w:rsid w:val="00E62CD6"/>
    <w:rsid w:val="00E634DD"/>
    <w:rsid w:val="00E63527"/>
    <w:rsid w:val="00E63708"/>
    <w:rsid w:val="00E63C87"/>
    <w:rsid w:val="00E64429"/>
    <w:rsid w:val="00E64ACE"/>
    <w:rsid w:val="00E65347"/>
    <w:rsid w:val="00E653B2"/>
    <w:rsid w:val="00E658BF"/>
    <w:rsid w:val="00E65993"/>
    <w:rsid w:val="00E65D04"/>
    <w:rsid w:val="00E66238"/>
    <w:rsid w:val="00E66526"/>
    <w:rsid w:val="00E6684B"/>
    <w:rsid w:val="00E66AC0"/>
    <w:rsid w:val="00E66C8E"/>
    <w:rsid w:val="00E66D5F"/>
    <w:rsid w:val="00E66F68"/>
    <w:rsid w:val="00E67062"/>
    <w:rsid w:val="00E70194"/>
    <w:rsid w:val="00E7064A"/>
    <w:rsid w:val="00E7070D"/>
    <w:rsid w:val="00E7081F"/>
    <w:rsid w:val="00E70DEF"/>
    <w:rsid w:val="00E70E8F"/>
    <w:rsid w:val="00E71A91"/>
    <w:rsid w:val="00E71D59"/>
    <w:rsid w:val="00E71F3E"/>
    <w:rsid w:val="00E721F0"/>
    <w:rsid w:val="00E7252C"/>
    <w:rsid w:val="00E726E1"/>
    <w:rsid w:val="00E73A31"/>
    <w:rsid w:val="00E73C09"/>
    <w:rsid w:val="00E7434D"/>
    <w:rsid w:val="00E743A5"/>
    <w:rsid w:val="00E74600"/>
    <w:rsid w:val="00E74A39"/>
    <w:rsid w:val="00E74B2D"/>
    <w:rsid w:val="00E74C3B"/>
    <w:rsid w:val="00E74EC6"/>
    <w:rsid w:val="00E74F14"/>
    <w:rsid w:val="00E75290"/>
    <w:rsid w:val="00E75D81"/>
    <w:rsid w:val="00E75E39"/>
    <w:rsid w:val="00E7625A"/>
    <w:rsid w:val="00E762F4"/>
    <w:rsid w:val="00E7631A"/>
    <w:rsid w:val="00E76539"/>
    <w:rsid w:val="00E76607"/>
    <w:rsid w:val="00E76724"/>
    <w:rsid w:val="00E768DA"/>
    <w:rsid w:val="00E768F7"/>
    <w:rsid w:val="00E769DF"/>
    <w:rsid w:val="00E76A55"/>
    <w:rsid w:val="00E76EF0"/>
    <w:rsid w:val="00E771F8"/>
    <w:rsid w:val="00E7740A"/>
    <w:rsid w:val="00E77848"/>
    <w:rsid w:val="00E8001D"/>
    <w:rsid w:val="00E80453"/>
    <w:rsid w:val="00E810A1"/>
    <w:rsid w:val="00E8289D"/>
    <w:rsid w:val="00E82BF5"/>
    <w:rsid w:val="00E83031"/>
    <w:rsid w:val="00E83267"/>
    <w:rsid w:val="00E8438F"/>
    <w:rsid w:val="00E84754"/>
    <w:rsid w:val="00E84873"/>
    <w:rsid w:val="00E858FA"/>
    <w:rsid w:val="00E85C1C"/>
    <w:rsid w:val="00E85C29"/>
    <w:rsid w:val="00E85E01"/>
    <w:rsid w:val="00E86706"/>
    <w:rsid w:val="00E868DF"/>
    <w:rsid w:val="00E874FE"/>
    <w:rsid w:val="00E8787C"/>
    <w:rsid w:val="00E90065"/>
    <w:rsid w:val="00E90645"/>
    <w:rsid w:val="00E9078C"/>
    <w:rsid w:val="00E9079F"/>
    <w:rsid w:val="00E90B51"/>
    <w:rsid w:val="00E91022"/>
    <w:rsid w:val="00E91293"/>
    <w:rsid w:val="00E9142C"/>
    <w:rsid w:val="00E91470"/>
    <w:rsid w:val="00E9174C"/>
    <w:rsid w:val="00E91B40"/>
    <w:rsid w:val="00E91C54"/>
    <w:rsid w:val="00E91D6B"/>
    <w:rsid w:val="00E91EFB"/>
    <w:rsid w:val="00E91F93"/>
    <w:rsid w:val="00E92619"/>
    <w:rsid w:val="00E9287D"/>
    <w:rsid w:val="00E92B18"/>
    <w:rsid w:val="00E92BB1"/>
    <w:rsid w:val="00E92E17"/>
    <w:rsid w:val="00E92F9D"/>
    <w:rsid w:val="00E9329C"/>
    <w:rsid w:val="00E932F7"/>
    <w:rsid w:val="00E9331C"/>
    <w:rsid w:val="00E9355A"/>
    <w:rsid w:val="00E9383E"/>
    <w:rsid w:val="00E93B1F"/>
    <w:rsid w:val="00E943BF"/>
    <w:rsid w:val="00E94529"/>
    <w:rsid w:val="00E94AA7"/>
    <w:rsid w:val="00E94B76"/>
    <w:rsid w:val="00E94F7F"/>
    <w:rsid w:val="00E94FFD"/>
    <w:rsid w:val="00E95127"/>
    <w:rsid w:val="00E951E2"/>
    <w:rsid w:val="00E9555C"/>
    <w:rsid w:val="00E95BD6"/>
    <w:rsid w:val="00E96E5A"/>
    <w:rsid w:val="00E96FD2"/>
    <w:rsid w:val="00E96FFC"/>
    <w:rsid w:val="00E973AC"/>
    <w:rsid w:val="00E973B1"/>
    <w:rsid w:val="00E975D3"/>
    <w:rsid w:val="00EA07BD"/>
    <w:rsid w:val="00EA0CF8"/>
    <w:rsid w:val="00EA17B7"/>
    <w:rsid w:val="00EA1804"/>
    <w:rsid w:val="00EA1835"/>
    <w:rsid w:val="00EA1BA2"/>
    <w:rsid w:val="00EA235B"/>
    <w:rsid w:val="00EA2861"/>
    <w:rsid w:val="00EA2A8D"/>
    <w:rsid w:val="00EA2B5E"/>
    <w:rsid w:val="00EA2BE3"/>
    <w:rsid w:val="00EA2C0D"/>
    <w:rsid w:val="00EA2F9B"/>
    <w:rsid w:val="00EA3492"/>
    <w:rsid w:val="00EA3C84"/>
    <w:rsid w:val="00EA409D"/>
    <w:rsid w:val="00EA42AF"/>
    <w:rsid w:val="00EA4A2C"/>
    <w:rsid w:val="00EA4AE8"/>
    <w:rsid w:val="00EA4F4B"/>
    <w:rsid w:val="00EA50E1"/>
    <w:rsid w:val="00EA520D"/>
    <w:rsid w:val="00EA554F"/>
    <w:rsid w:val="00EA562C"/>
    <w:rsid w:val="00EA562E"/>
    <w:rsid w:val="00EA59C7"/>
    <w:rsid w:val="00EA5D2E"/>
    <w:rsid w:val="00EA5F71"/>
    <w:rsid w:val="00EA6AE2"/>
    <w:rsid w:val="00EA77B7"/>
    <w:rsid w:val="00EA7B6C"/>
    <w:rsid w:val="00EB07A3"/>
    <w:rsid w:val="00EB0BD0"/>
    <w:rsid w:val="00EB0C8E"/>
    <w:rsid w:val="00EB1460"/>
    <w:rsid w:val="00EB1AFF"/>
    <w:rsid w:val="00EB1C0A"/>
    <w:rsid w:val="00EB1C6B"/>
    <w:rsid w:val="00EB1D53"/>
    <w:rsid w:val="00EB1D5D"/>
    <w:rsid w:val="00EB209F"/>
    <w:rsid w:val="00EB23E1"/>
    <w:rsid w:val="00EB2CCA"/>
    <w:rsid w:val="00EB36A7"/>
    <w:rsid w:val="00EB3725"/>
    <w:rsid w:val="00EB3CE8"/>
    <w:rsid w:val="00EB3E30"/>
    <w:rsid w:val="00EB3E4C"/>
    <w:rsid w:val="00EB3E5D"/>
    <w:rsid w:val="00EB3EF6"/>
    <w:rsid w:val="00EB4062"/>
    <w:rsid w:val="00EB4C92"/>
    <w:rsid w:val="00EB5ACF"/>
    <w:rsid w:val="00EB5E41"/>
    <w:rsid w:val="00EB6B77"/>
    <w:rsid w:val="00EB6BAB"/>
    <w:rsid w:val="00EB6C86"/>
    <w:rsid w:val="00EB6D4A"/>
    <w:rsid w:val="00EB6E97"/>
    <w:rsid w:val="00EB795F"/>
    <w:rsid w:val="00EB7EF7"/>
    <w:rsid w:val="00EC09DD"/>
    <w:rsid w:val="00EC0A21"/>
    <w:rsid w:val="00EC0A39"/>
    <w:rsid w:val="00EC0EB5"/>
    <w:rsid w:val="00EC0EBD"/>
    <w:rsid w:val="00EC14EB"/>
    <w:rsid w:val="00EC1EAD"/>
    <w:rsid w:val="00EC21E0"/>
    <w:rsid w:val="00EC22DC"/>
    <w:rsid w:val="00EC2806"/>
    <w:rsid w:val="00EC29F2"/>
    <w:rsid w:val="00EC3180"/>
    <w:rsid w:val="00EC33F9"/>
    <w:rsid w:val="00EC3F6D"/>
    <w:rsid w:val="00EC41D1"/>
    <w:rsid w:val="00EC4339"/>
    <w:rsid w:val="00EC4A81"/>
    <w:rsid w:val="00EC4F4B"/>
    <w:rsid w:val="00EC54D8"/>
    <w:rsid w:val="00EC5893"/>
    <w:rsid w:val="00EC59B5"/>
    <w:rsid w:val="00EC5D89"/>
    <w:rsid w:val="00EC68D5"/>
    <w:rsid w:val="00EC7130"/>
    <w:rsid w:val="00EC71F1"/>
    <w:rsid w:val="00EC7584"/>
    <w:rsid w:val="00EC77D2"/>
    <w:rsid w:val="00EC7C10"/>
    <w:rsid w:val="00ED0293"/>
    <w:rsid w:val="00ED0371"/>
    <w:rsid w:val="00ED0758"/>
    <w:rsid w:val="00ED1097"/>
    <w:rsid w:val="00ED11D1"/>
    <w:rsid w:val="00ED1C4F"/>
    <w:rsid w:val="00ED20DE"/>
    <w:rsid w:val="00ED21C0"/>
    <w:rsid w:val="00ED2984"/>
    <w:rsid w:val="00ED2AB3"/>
    <w:rsid w:val="00ED2AB9"/>
    <w:rsid w:val="00ED315A"/>
    <w:rsid w:val="00ED35D9"/>
    <w:rsid w:val="00ED386E"/>
    <w:rsid w:val="00ED3932"/>
    <w:rsid w:val="00ED3C4A"/>
    <w:rsid w:val="00ED3DF3"/>
    <w:rsid w:val="00ED4969"/>
    <w:rsid w:val="00ED4F2C"/>
    <w:rsid w:val="00ED5184"/>
    <w:rsid w:val="00ED54E8"/>
    <w:rsid w:val="00ED589E"/>
    <w:rsid w:val="00ED5A45"/>
    <w:rsid w:val="00ED5B48"/>
    <w:rsid w:val="00ED626D"/>
    <w:rsid w:val="00ED65AC"/>
    <w:rsid w:val="00ED6A25"/>
    <w:rsid w:val="00ED793B"/>
    <w:rsid w:val="00ED7B29"/>
    <w:rsid w:val="00ED7EBC"/>
    <w:rsid w:val="00ED7FF6"/>
    <w:rsid w:val="00EE0025"/>
    <w:rsid w:val="00EE0D2E"/>
    <w:rsid w:val="00EE108F"/>
    <w:rsid w:val="00EE11AA"/>
    <w:rsid w:val="00EE1455"/>
    <w:rsid w:val="00EE147C"/>
    <w:rsid w:val="00EE1509"/>
    <w:rsid w:val="00EE170A"/>
    <w:rsid w:val="00EE1983"/>
    <w:rsid w:val="00EE2403"/>
    <w:rsid w:val="00EE2613"/>
    <w:rsid w:val="00EE2ED5"/>
    <w:rsid w:val="00EE31C6"/>
    <w:rsid w:val="00EE3391"/>
    <w:rsid w:val="00EE3488"/>
    <w:rsid w:val="00EE36A3"/>
    <w:rsid w:val="00EE40DB"/>
    <w:rsid w:val="00EE4751"/>
    <w:rsid w:val="00EE4754"/>
    <w:rsid w:val="00EE59AC"/>
    <w:rsid w:val="00EE5A16"/>
    <w:rsid w:val="00EE5B1E"/>
    <w:rsid w:val="00EE68DE"/>
    <w:rsid w:val="00EE6CB5"/>
    <w:rsid w:val="00EE7942"/>
    <w:rsid w:val="00EE795C"/>
    <w:rsid w:val="00EE7A49"/>
    <w:rsid w:val="00EF0390"/>
    <w:rsid w:val="00EF06C3"/>
    <w:rsid w:val="00EF093C"/>
    <w:rsid w:val="00EF09B3"/>
    <w:rsid w:val="00EF0E8F"/>
    <w:rsid w:val="00EF117F"/>
    <w:rsid w:val="00EF13FC"/>
    <w:rsid w:val="00EF140A"/>
    <w:rsid w:val="00EF191A"/>
    <w:rsid w:val="00EF1ABF"/>
    <w:rsid w:val="00EF21E6"/>
    <w:rsid w:val="00EF225E"/>
    <w:rsid w:val="00EF2808"/>
    <w:rsid w:val="00EF2F76"/>
    <w:rsid w:val="00EF3566"/>
    <w:rsid w:val="00EF3638"/>
    <w:rsid w:val="00EF3702"/>
    <w:rsid w:val="00EF411F"/>
    <w:rsid w:val="00EF4931"/>
    <w:rsid w:val="00EF4AEC"/>
    <w:rsid w:val="00EF50BC"/>
    <w:rsid w:val="00EF580B"/>
    <w:rsid w:val="00EF5902"/>
    <w:rsid w:val="00EF59B0"/>
    <w:rsid w:val="00EF5C86"/>
    <w:rsid w:val="00EF5D0A"/>
    <w:rsid w:val="00EF61CC"/>
    <w:rsid w:val="00EF62DD"/>
    <w:rsid w:val="00EF67F3"/>
    <w:rsid w:val="00EF6D92"/>
    <w:rsid w:val="00EF710F"/>
    <w:rsid w:val="00F00122"/>
    <w:rsid w:val="00F0025A"/>
    <w:rsid w:val="00F0048F"/>
    <w:rsid w:val="00F00580"/>
    <w:rsid w:val="00F00FEA"/>
    <w:rsid w:val="00F018C8"/>
    <w:rsid w:val="00F01BE3"/>
    <w:rsid w:val="00F02177"/>
    <w:rsid w:val="00F024B9"/>
    <w:rsid w:val="00F02582"/>
    <w:rsid w:val="00F025D4"/>
    <w:rsid w:val="00F02726"/>
    <w:rsid w:val="00F027C2"/>
    <w:rsid w:val="00F027EE"/>
    <w:rsid w:val="00F0288A"/>
    <w:rsid w:val="00F03157"/>
    <w:rsid w:val="00F038F9"/>
    <w:rsid w:val="00F03953"/>
    <w:rsid w:val="00F03A36"/>
    <w:rsid w:val="00F03CAC"/>
    <w:rsid w:val="00F03E4D"/>
    <w:rsid w:val="00F040F8"/>
    <w:rsid w:val="00F0469B"/>
    <w:rsid w:val="00F04D10"/>
    <w:rsid w:val="00F050CE"/>
    <w:rsid w:val="00F0581B"/>
    <w:rsid w:val="00F05A00"/>
    <w:rsid w:val="00F05C6F"/>
    <w:rsid w:val="00F06F63"/>
    <w:rsid w:val="00F07508"/>
    <w:rsid w:val="00F0772D"/>
    <w:rsid w:val="00F07C1B"/>
    <w:rsid w:val="00F10427"/>
    <w:rsid w:val="00F10C09"/>
    <w:rsid w:val="00F11214"/>
    <w:rsid w:val="00F11453"/>
    <w:rsid w:val="00F11682"/>
    <w:rsid w:val="00F1175E"/>
    <w:rsid w:val="00F11833"/>
    <w:rsid w:val="00F11EC3"/>
    <w:rsid w:val="00F12607"/>
    <w:rsid w:val="00F126DC"/>
    <w:rsid w:val="00F12D38"/>
    <w:rsid w:val="00F139A6"/>
    <w:rsid w:val="00F13ABC"/>
    <w:rsid w:val="00F13B43"/>
    <w:rsid w:val="00F13E39"/>
    <w:rsid w:val="00F14014"/>
    <w:rsid w:val="00F14618"/>
    <w:rsid w:val="00F1463A"/>
    <w:rsid w:val="00F14BD2"/>
    <w:rsid w:val="00F15197"/>
    <w:rsid w:val="00F1531B"/>
    <w:rsid w:val="00F1579A"/>
    <w:rsid w:val="00F157B6"/>
    <w:rsid w:val="00F16480"/>
    <w:rsid w:val="00F165FA"/>
    <w:rsid w:val="00F16EF2"/>
    <w:rsid w:val="00F176F6"/>
    <w:rsid w:val="00F17950"/>
    <w:rsid w:val="00F17BDD"/>
    <w:rsid w:val="00F17D26"/>
    <w:rsid w:val="00F20547"/>
    <w:rsid w:val="00F211F7"/>
    <w:rsid w:val="00F21207"/>
    <w:rsid w:val="00F215CA"/>
    <w:rsid w:val="00F21A56"/>
    <w:rsid w:val="00F21A72"/>
    <w:rsid w:val="00F21FD2"/>
    <w:rsid w:val="00F22079"/>
    <w:rsid w:val="00F224E8"/>
    <w:rsid w:val="00F22D0B"/>
    <w:rsid w:val="00F23553"/>
    <w:rsid w:val="00F23913"/>
    <w:rsid w:val="00F23949"/>
    <w:rsid w:val="00F245BF"/>
    <w:rsid w:val="00F2479F"/>
    <w:rsid w:val="00F24C1B"/>
    <w:rsid w:val="00F25087"/>
    <w:rsid w:val="00F2522D"/>
    <w:rsid w:val="00F25653"/>
    <w:rsid w:val="00F25982"/>
    <w:rsid w:val="00F2668F"/>
    <w:rsid w:val="00F26B59"/>
    <w:rsid w:val="00F26F19"/>
    <w:rsid w:val="00F27081"/>
    <w:rsid w:val="00F2709B"/>
    <w:rsid w:val="00F2722A"/>
    <w:rsid w:val="00F273E3"/>
    <w:rsid w:val="00F274A4"/>
    <w:rsid w:val="00F27AA1"/>
    <w:rsid w:val="00F30026"/>
    <w:rsid w:val="00F30258"/>
    <w:rsid w:val="00F30796"/>
    <w:rsid w:val="00F308B0"/>
    <w:rsid w:val="00F30A90"/>
    <w:rsid w:val="00F30C6A"/>
    <w:rsid w:val="00F31685"/>
    <w:rsid w:val="00F3179A"/>
    <w:rsid w:val="00F319C2"/>
    <w:rsid w:val="00F3226E"/>
    <w:rsid w:val="00F32358"/>
    <w:rsid w:val="00F32473"/>
    <w:rsid w:val="00F3351B"/>
    <w:rsid w:val="00F33A9D"/>
    <w:rsid w:val="00F33C9A"/>
    <w:rsid w:val="00F33F28"/>
    <w:rsid w:val="00F34323"/>
    <w:rsid w:val="00F34441"/>
    <w:rsid w:val="00F3479D"/>
    <w:rsid w:val="00F347AF"/>
    <w:rsid w:val="00F347FB"/>
    <w:rsid w:val="00F34A36"/>
    <w:rsid w:val="00F34EA3"/>
    <w:rsid w:val="00F34FCE"/>
    <w:rsid w:val="00F354E6"/>
    <w:rsid w:val="00F3572D"/>
    <w:rsid w:val="00F35E66"/>
    <w:rsid w:val="00F35FAF"/>
    <w:rsid w:val="00F360CE"/>
    <w:rsid w:val="00F36F58"/>
    <w:rsid w:val="00F36F92"/>
    <w:rsid w:val="00F3754E"/>
    <w:rsid w:val="00F37908"/>
    <w:rsid w:val="00F37C88"/>
    <w:rsid w:val="00F37F03"/>
    <w:rsid w:val="00F40164"/>
    <w:rsid w:val="00F401D6"/>
    <w:rsid w:val="00F4177C"/>
    <w:rsid w:val="00F41F75"/>
    <w:rsid w:val="00F420FE"/>
    <w:rsid w:val="00F42639"/>
    <w:rsid w:val="00F42901"/>
    <w:rsid w:val="00F429D6"/>
    <w:rsid w:val="00F42F64"/>
    <w:rsid w:val="00F43257"/>
    <w:rsid w:val="00F43513"/>
    <w:rsid w:val="00F43AAF"/>
    <w:rsid w:val="00F44240"/>
    <w:rsid w:val="00F44721"/>
    <w:rsid w:val="00F447E1"/>
    <w:rsid w:val="00F44959"/>
    <w:rsid w:val="00F44C17"/>
    <w:rsid w:val="00F4506B"/>
    <w:rsid w:val="00F45393"/>
    <w:rsid w:val="00F453E7"/>
    <w:rsid w:val="00F45443"/>
    <w:rsid w:val="00F45482"/>
    <w:rsid w:val="00F454D9"/>
    <w:rsid w:val="00F45827"/>
    <w:rsid w:val="00F461B5"/>
    <w:rsid w:val="00F46516"/>
    <w:rsid w:val="00F46975"/>
    <w:rsid w:val="00F46CAA"/>
    <w:rsid w:val="00F46D3D"/>
    <w:rsid w:val="00F46E98"/>
    <w:rsid w:val="00F474AA"/>
    <w:rsid w:val="00F47D41"/>
    <w:rsid w:val="00F5004A"/>
    <w:rsid w:val="00F500FE"/>
    <w:rsid w:val="00F503C0"/>
    <w:rsid w:val="00F50522"/>
    <w:rsid w:val="00F50723"/>
    <w:rsid w:val="00F50730"/>
    <w:rsid w:val="00F512A4"/>
    <w:rsid w:val="00F5205E"/>
    <w:rsid w:val="00F52167"/>
    <w:rsid w:val="00F5252E"/>
    <w:rsid w:val="00F526C7"/>
    <w:rsid w:val="00F52745"/>
    <w:rsid w:val="00F52817"/>
    <w:rsid w:val="00F52CB9"/>
    <w:rsid w:val="00F52EC4"/>
    <w:rsid w:val="00F52FCB"/>
    <w:rsid w:val="00F5355F"/>
    <w:rsid w:val="00F53573"/>
    <w:rsid w:val="00F53E27"/>
    <w:rsid w:val="00F53E2A"/>
    <w:rsid w:val="00F541C7"/>
    <w:rsid w:val="00F54796"/>
    <w:rsid w:val="00F5479A"/>
    <w:rsid w:val="00F5495F"/>
    <w:rsid w:val="00F54A20"/>
    <w:rsid w:val="00F54A5E"/>
    <w:rsid w:val="00F54D02"/>
    <w:rsid w:val="00F552EF"/>
    <w:rsid w:val="00F559AA"/>
    <w:rsid w:val="00F55CEA"/>
    <w:rsid w:val="00F5649F"/>
    <w:rsid w:val="00F56B37"/>
    <w:rsid w:val="00F56C04"/>
    <w:rsid w:val="00F57063"/>
    <w:rsid w:val="00F5793D"/>
    <w:rsid w:val="00F57950"/>
    <w:rsid w:val="00F57C64"/>
    <w:rsid w:val="00F60178"/>
    <w:rsid w:val="00F60657"/>
    <w:rsid w:val="00F60C02"/>
    <w:rsid w:val="00F61A78"/>
    <w:rsid w:val="00F61B1B"/>
    <w:rsid w:val="00F6240D"/>
    <w:rsid w:val="00F62666"/>
    <w:rsid w:val="00F630FD"/>
    <w:rsid w:val="00F632DB"/>
    <w:rsid w:val="00F633DA"/>
    <w:rsid w:val="00F63CD3"/>
    <w:rsid w:val="00F63EA0"/>
    <w:rsid w:val="00F63F5D"/>
    <w:rsid w:val="00F641D4"/>
    <w:rsid w:val="00F64C2B"/>
    <w:rsid w:val="00F64EF8"/>
    <w:rsid w:val="00F65214"/>
    <w:rsid w:val="00F65430"/>
    <w:rsid w:val="00F65F3C"/>
    <w:rsid w:val="00F66469"/>
    <w:rsid w:val="00F66609"/>
    <w:rsid w:val="00F6792D"/>
    <w:rsid w:val="00F67F85"/>
    <w:rsid w:val="00F70580"/>
    <w:rsid w:val="00F7102B"/>
    <w:rsid w:val="00F71441"/>
    <w:rsid w:val="00F71C63"/>
    <w:rsid w:val="00F71F81"/>
    <w:rsid w:val="00F725B0"/>
    <w:rsid w:val="00F72924"/>
    <w:rsid w:val="00F72CEC"/>
    <w:rsid w:val="00F735C1"/>
    <w:rsid w:val="00F73641"/>
    <w:rsid w:val="00F736C3"/>
    <w:rsid w:val="00F73812"/>
    <w:rsid w:val="00F73B97"/>
    <w:rsid w:val="00F749A5"/>
    <w:rsid w:val="00F74F26"/>
    <w:rsid w:val="00F75091"/>
    <w:rsid w:val="00F7515B"/>
    <w:rsid w:val="00F7543A"/>
    <w:rsid w:val="00F75452"/>
    <w:rsid w:val="00F755F6"/>
    <w:rsid w:val="00F75912"/>
    <w:rsid w:val="00F75AFA"/>
    <w:rsid w:val="00F75E07"/>
    <w:rsid w:val="00F76062"/>
    <w:rsid w:val="00F76422"/>
    <w:rsid w:val="00F767A2"/>
    <w:rsid w:val="00F77187"/>
    <w:rsid w:val="00F77240"/>
    <w:rsid w:val="00F77D71"/>
    <w:rsid w:val="00F809B1"/>
    <w:rsid w:val="00F809DB"/>
    <w:rsid w:val="00F80CC3"/>
    <w:rsid w:val="00F80ED0"/>
    <w:rsid w:val="00F813FB"/>
    <w:rsid w:val="00F81468"/>
    <w:rsid w:val="00F81736"/>
    <w:rsid w:val="00F81C6B"/>
    <w:rsid w:val="00F822C4"/>
    <w:rsid w:val="00F83015"/>
    <w:rsid w:val="00F83586"/>
    <w:rsid w:val="00F8399A"/>
    <w:rsid w:val="00F83AC3"/>
    <w:rsid w:val="00F83E11"/>
    <w:rsid w:val="00F844B5"/>
    <w:rsid w:val="00F844FF"/>
    <w:rsid w:val="00F847D0"/>
    <w:rsid w:val="00F84885"/>
    <w:rsid w:val="00F84AF5"/>
    <w:rsid w:val="00F85093"/>
    <w:rsid w:val="00F85B86"/>
    <w:rsid w:val="00F85F78"/>
    <w:rsid w:val="00F86023"/>
    <w:rsid w:val="00F864A5"/>
    <w:rsid w:val="00F8676E"/>
    <w:rsid w:val="00F869A1"/>
    <w:rsid w:val="00F87275"/>
    <w:rsid w:val="00F87F5F"/>
    <w:rsid w:val="00F906C5"/>
    <w:rsid w:val="00F91803"/>
    <w:rsid w:val="00F91AC4"/>
    <w:rsid w:val="00F91D3F"/>
    <w:rsid w:val="00F9244F"/>
    <w:rsid w:val="00F928C4"/>
    <w:rsid w:val="00F92C1E"/>
    <w:rsid w:val="00F937DE"/>
    <w:rsid w:val="00F938C0"/>
    <w:rsid w:val="00F939DB"/>
    <w:rsid w:val="00F940C1"/>
    <w:rsid w:val="00F948F6"/>
    <w:rsid w:val="00F94AF6"/>
    <w:rsid w:val="00F94D03"/>
    <w:rsid w:val="00F9514E"/>
    <w:rsid w:val="00F95258"/>
    <w:rsid w:val="00F97006"/>
    <w:rsid w:val="00F977AF"/>
    <w:rsid w:val="00F97B16"/>
    <w:rsid w:val="00F97CC5"/>
    <w:rsid w:val="00F97D55"/>
    <w:rsid w:val="00FA0AA6"/>
    <w:rsid w:val="00FA0FEA"/>
    <w:rsid w:val="00FA122B"/>
    <w:rsid w:val="00FA19B0"/>
    <w:rsid w:val="00FA242E"/>
    <w:rsid w:val="00FA26BD"/>
    <w:rsid w:val="00FA28EF"/>
    <w:rsid w:val="00FA2B98"/>
    <w:rsid w:val="00FA2DC6"/>
    <w:rsid w:val="00FA2E9C"/>
    <w:rsid w:val="00FA31B8"/>
    <w:rsid w:val="00FA32D2"/>
    <w:rsid w:val="00FA3366"/>
    <w:rsid w:val="00FA34BC"/>
    <w:rsid w:val="00FA3544"/>
    <w:rsid w:val="00FA37DF"/>
    <w:rsid w:val="00FA382D"/>
    <w:rsid w:val="00FA3EB8"/>
    <w:rsid w:val="00FA402E"/>
    <w:rsid w:val="00FA4300"/>
    <w:rsid w:val="00FA43CA"/>
    <w:rsid w:val="00FA4706"/>
    <w:rsid w:val="00FA47E8"/>
    <w:rsid w:val="00FA5721"/>
    <w:rsid w:val="00FA573E"/>
    <w:rsid w:val="00FA5A6A"/>
    <w:rsid w:val="00FA5AD1"/>
    <w:rsid w:val="00FA6046"/>
    <w:rsid w:val="00FA63A5"/>
    <w:rsid w:val="00FA6CF3"/>
    <w:rsid w:val="00FA6FBA"/>
    <w:rsid w:val="00FA6FF5"/>
    <w:rsid w:val="00FA72B1"/>
    <w:rsid w:val="00FA7477"/>
    <w:rsid w:val="00FA74EB"/>
    <w:rsid w:val="00FA77E8"/>
    <w:rsid w:val="00FA7D88"/>
    <w:rsid w:val="00FA7E9A"/>
    <w:rsid w:val="00FB08FB"/>
    <w:rsid w:val="00FB0B8A"/>
    <w:rsid w:val="00FB127D"/>
    <w:rsid w:val="00FB132C"/>
    <w:rsid w:val="00FB1686"/>
    <w:rsid w:val="00FB1BA4"/>
    <w:rsid w:val="00FB1C68"/>
    <w:rsid w:val="00FB340D"/>
    <w:rsid w:val="00FB3B2D"/>
    <w:rsid w:val="00FB3C50"/>
    <w:rsid w:val="00FB3C52"/>
    <w:rsid w:val="00FB3DE1"/>
    <w:rsid w:val="00FB4900"/>
    <w:rsid w:val="00FB4D99"/>
    <w:rsid w:val="00FB4EFB"/>
    <w:rsid w:val="00FB4FE6"/>
    <w:rsid w:val="00FB54A3"/>
    <w:rsid w:val="00FB56C9"/>
    <w:rsid w:val="00FB5B1C"/>
    <w:rsid w:val="00FB5DC3"/>
    <w:rsid w:val="00FB5E23"/>
    <w:rsid w:val="00FB5F20"/>
    <w:rsid w:val="00FB6452"/>
    <w:rsid w:val="00FB6C06"/>
    <w:rsid w:val="00FB6F47"/>
    <w:rsid w:val="00FB7261"/>
    <w:rsid w:val="00FB7297"/>
    <w:rsid w:val="00FB76DC"/>
    <w:rsid w:val="00FC09DC"/>
    <w:rsid w:val="00FC0A10"/>
    <w:rsid w:val="00FC0FC4"/>
    <w:rsid w:val="00FC172A"/>
    <w:rsid w:val="00FC1FE0"/>
    <w:rsid w:val="00FC2749"/>
    <w:rsid w:val="00FC28FA"/>
    <w:rsid w:val="00FC2FAC"/>
    <w:rsid w:val="00FC313A"/>
    <w:rsid w:val="00FC32D5"/>
    <w:rsid w:val="00FC3543"/>
    <w:rsid w:val="00FC355B"/>
    <w:rsid w:val="00FC3576"/>
    <w:rsid w:val="00FC3D48"/>
    <w:rsid w:val="00FC3D5A"/>
    <w:rsid w:val="00FC4742"/>
    <w:rsid w:val="00FC4811"/>
    <w:rsid w:val="00FC4891"/>
    <w:rsid w:val="00FC4F3E"/>
    <w:rsid w:val="00FC51B4"/>
    <w:rsid w:val="00FC5DFE"/>
    <w:rsid w:val="00FC5E4A"/>
    <w:rsid w:val="00FC6183"/>
    <w:rsid w:val="00FC6ED7"/>
    <w:rsid w:val="00FC714D"/>
    <w:rsid w:val="00FC7498"/>
    <w:rsid w:val="00FC758C"/>
    <w:rsid w:val="00FC75BE"/>
    <w:rsid w:val="00FC78B1"/>
    <w:rsid w:val="00FC7951"/>
    <w:rsid w:val="00FC7CA3"/>
    <w:rsid w:val="00FD0165"/>
    <w:rsid w:val="00FD0B64"/>
    <w:rsid w:val="00FD0BE8"/>
    <w:rsid w:val="00FD0EF1"/>
    <w:rsid w:val="00FD0FE0"/>
    <w:rsid w:val="00FD16CB"/>
    <w:rsid w:val="00FD1945"/>
    <w:rsid w:val="00FD1CCF"/>
    <w:rsid w:val="00FD208F"/>
    <w:rsid w:val="00FD23C6"/>
    <w:rsid w:val="00FD2725"/>
    <w:rsid w:val="00FD2943"/>
    <w:rsid w:val="00FD2CAE"/>
    <w:rsid w:val="00FD3AE7"/>
    <w:rsid w:val="00FD3C56"/>
    <w:rsid w:val="00FD4211"/>
    <w:rsid w:val="00FD469A"/>
    <w:rsid w:val="00FD55A8"/>
    <w:rsid w:val="00FD581B"/>
    <w:rsid w:val="00FD5A69"/>
    <w:rsid w:val="00FD5BB8"/>
    <w:rsid w:val="00FD6601"/>
    <w:rsid w:val="00FD67A7"/>
    <w:rsid w:val="00FD7898"/>
    <w:rsid w:val="00FE04A2"/>
    <w:rsid w:val="00FE08B7"/>
    <w:rsid w:val="00FE09A8"/>
    <w:rsid w:val="00FE0AEE"/>
    <w:rsid w:val="00FE0C78"/>
    <w:rsid w:val="00FE0EBD"/>
    <w:rsid w:val="00FE125A"/>
    <w:rsid w:val="00FE1340"/>
    <w:rsid w:val="00FE1833"/>
    <w:rsid w:val="00FE1A0E"/>
    <w:rsid w:val="00FE1F13"/>
    <w:rsid w:val="00FE20D5"/>
    <w:rsid w:val="00FE24DE"/>
    <w:rsid w:val="00FE2933"/>
    <w:rsid w:val="00FE40BC"/>
    <w:rsid w:val="00FE40C7"/>
    <w:rsid w:val="00FE41A8"/>
    <w:rsid w:val="00FE4342"/>
    <w:rsid w:val="00FE448C"/>
    <w:rsid w:val="00FE45F3"/>
    <w:rsid w:val="00FE46D4"/>
    <w:rsid w:val="00FE4721"/>
    <w:rsid w:val="00FE4A7D"/>
    <w:rsid w:val="00FE4A9F"/>
    <w:rsid w:val="00FE4AA1"/>
    <w:rsid w:val="00FE4CDE"/>
    <w:rsid w:val="00FE4E92"/>
    <w:rsid w:val="00FE5A72"/>
    <w:rsid w:val="00FE5DA7"/>
    <w:rsid w:val="00FE5EF7"/>
    <w:rsid w:val="00FE61DB"/>
    <w:rsid w:val="00FE6F50"/>
    <w:rsid w:val="00FE71FD"/>
    <w:rsid w:val="00FE7257"/>
    <w:rsid w:val="00FE72BA"/>
    <w:rsid w:val="00FE744B"/>
    <w:rsid w:val="00FE746A"/>
    <w:rsid w:val="00FE7477"/>
    <w:rsid w:val="00FF08B5"/>
    <w:rsid w:val="00FF111B"/>
    <w:rsid w:val="00FF159D"/>
    <w:rsid w:val="00FF15FF"/>
    <w:rsid w:val="00FF1D43"/>
    <w:rsid w:val="00FF1D7A"/>
    <w:rsid w:val="00FF1E74"/>
    <w:rsid w:val="00FF1F89"/>
    <w:rsid w:val="00FF267B"/>
    <w:rsid w:val="00FF2CC2"/>
    <w:rsid w:val="00FF2CCE"/>
    <w:rsid w:val="00FF2D1B"/>
    <w:rsid w:val="00FF2E86"/>
    <w:rsid w:val="00FF2EBD"/>
    <w:rsid w:val="00FF3255"/>
    <w:rsid w:val="00FF3E69"/>
    <w:rsid w:val="00FF45C8"/>
    <w:rsid w:val="00FF46D9"/>
    <w:rsid w:val="00FF480C"/>
    <w:rsid w:val="00FF48EB"/>
    <w:rsid w:val="00FF4D03"/>
    <w:rsid w:val="00FF56D1"/>
    <w:rsid w:val="00FF56F4"/>
    <w:rsid w:val="00FF5ABC"/>
    <w:rsid w:val="00FF5FDE"/>
    <w:rsid w:val="00FF67A2"/>
    <w:rsid w:val="00FF705A"/>
    <w:rsid w:val="00FF716C"/>
    <w:rsid w:val="00FF792D"/>
    <w:rsid w:val="00FF7C28"/>
    <w:rsid w:val="00FF7CBE"/>
    <w:rsid w:val="01A32763"/>
    <w:rsid w:val="01C93261"/>
    <w:rsid w:val="01CA6612"/>
    <w:rsid w:val="020E7085"/>
    <w:rsid w:val="0221325C"/>
    <w:rsid w:val="0243E650"/>
    <w:rsid w:val="02440BC6"/>
    <w:rsid w:val="0306A212"/>
    <w:rsid w:val="032A36F9"/>
    <w:rsid w:val="033B37E7"/>
    <w:rsid w:val="03867262"/>
    <w:rsid w:val="03B00A49"/>
    <w:rsid w:val="03C6F904"/>
    <w:rsid w:val="03DF4226"/>
    <w:rsid w:val="04291B68"/>
    <w:rsid w:val="0457D373"/>
    <w:rsid w:val="04C20BB9"/>
    <w:rsid w:val="04D16548"/>
    <w:rsid w:val="05CB9D78"/>
    <w:rsid w:val="0656EAB3"/>
    <w:rsid w:val="0667B9B7"/>
    <w:rsid w:val="066A0203"/>
    <w:rsid w:val="0695C283"/>
    <w:rsid w:val="06ECE737"/>
    <w:rsid w:val="070B0B94"/>
    <w:rsid w:val="0712D0B9"/>
    <w:rsid w:val="071E5B9F"/>
    <w:rsid w:val="074AA5C8"/>
    <w:rsid w:val="075C451C"/>
    <w:rsid w:val="079B06CD"/>
    <w:rsid w:val="07A5975E"/>
    <w:rsid w:val="07BA6FAA"/>
    <w:rsid w:val="07F1D312"/>
    <w:rsid w:val="08078827"/>
    <w:rsid w:val="085733C3"/>
    <w:rsid w:val="0879D102"/>
    <w:rsid w:val="08ACF704"/>
    <w:rsid w:val="092227EF"/>
    <w:rsid w:val="094EBAFC"/>
    <w:rsid w:val="0958162D"/>
    <w:rsid w:val="096C1FD3"/>
    <w:rsid w:val="098761A6"/>
    <w:rsid w:val="0987BDA4"/>
    <w:rsid w:val="09A4F3BC"/>
    <w:rsid w:val="09E3441E"/>
    <w:rsid w:val="09EC9576"/>
    <w:rsid w:val="0A0F3D77"/>
    <w:rsid w:val="0A91A1A7"/>
    <w:rsid w:val="0A9D7E32"/>
    <w:rsid w:val="0B56983F"/>
    <w:rsid w:val="0B652E32"/>
    <w:rsid w:val="0B919518"/>
    <w:rsid w:val="0B9B890C"/>
    <w:rsid w:val="0B9D46AA"/>
    <w:rsid w:val="0C0021E0"/>
    <w:rsid w:val="0C2B70F2"/>
    <w:rsid w:val="0C34660A"/>
    <w:rsid w:val="0C34A866"/>
    <w:rsid w:val="0C7D7D1F"/>
    <w:rsid w:val="0C98CC7F"/>
    <w:rsid w:val="0C9AE900"/>
    <w:rsid w:val="0CC0E7CA"/>
    <w:rsid w:val="0CD7EB6F"/>
    <w:rsid w:val="0D461A9C"/>
    <w:rsid w:val="0D5261F0"/>
    <w:rsid w:val="0DD904CD"/>
    <w:rsid w:val="0DE10357"/>
    <w:rsid w:val="0DE37AFE"/>
    <w:rsid w:val="0E3260D2"/>
    <w:rsid w:val="0E5AA818"/>
    <w:rsid w:val="0E9F569E"/>
    <w:rsid w:val="0EDBD889"/>
    <w:rsid w:val="0EEF860C"/>
    <w:rsid w:val="0EF4A13C"/>
    <w:rsid w:val="0F026937"/>
    <w:rsid w:val="0F2BEA0E"/>
    <w:rsid w:val="0F3A387E"/>
    <w:rsid w:val="0FC78B47"/>
    <w:rsid w:val="0FF91DD2"/>
    <w:rsid w:val="10173F35"/>
    <w:rsid w:val="105B60F4"/>
    <w:rsid w:val="10D9455E"/>
    <w:rsid w:val="11616DE2"/>
    <w:rsid w:val="1174E003"/>
    <w:rsid w:val="1193A81B"/>
    <w:rsid w:val="11D23F59"/>
    <w:rsid w:val="11FF64A0"/>
    <w:rsid w:val="123F7962"/>
    <w:rsid w:val="126BC1C7"/>
    <w:rsid w:val="126D0689"/>
    <w:rsid w:val="12B267B4"/>
    <w:rsid w:val="1312CE1A"/>
    <w:rsid w:val="1316C706"/>
    <w:rsid w:val="13B46B4F"/>
    <w:rsid w:val="13F6BF55"/>
    <w:rsid w:val="14151C9B"/>
    <w:rsid w:val="142DE1FE"/>
    <w:rsid w:val="14604ED9"/>
    <w:rsid w:val="147F81FF"/>
    <w:rsid w:val="14B92894"/>
    <w:rsid w:val="14DD73D0"/>
    <w:rsid w:val="14FC5AF6"/>
    <w:rsid w:val="1521BC77"/>
    <w:rsid w:val="15483238"/>
    <w:rsid w:val="1582D0C9"/>
    <w:rsid w:val="15DF78D2"/>
    <w:rsid w:val="15F20B90"/>
    <w:rsid w:val="1640B7DA"/>
    <w:rsid w:val="165043BC"/>
    <w:rsid w:val="1668824C"/>
    <w:rsid w:val="1685A339"/>
    <w:rsid w:val="169A7D15"/>
    <w:rsid w:val="169F5556"/>
    <w:rsid w:val="17084B5C"/>
    <w:rsid w:val="171EDDD7"/>
    <w:rsid w:val="175E53B8"/>
    <w:rsid w:val="175F300B"/>
    <w:rsid w:val="1764FC2A"/>
    <w:rsid w:val="17E660A7"/>
    <w:rsid w:val="17FE0BB0"/>
    <w:rsid w:val="18062E26"/>
    <w:rsid w:val="183D073C"/>
    <w:rsid w:val="18485E40"/>
    <w:rsid w:val="1852566E"/>
    <w:rsid w:val="1896A1D2"/>
    <w:rsid w:val="18C12DDD"/>
    <w:rsid w:val="18CB2CC3"/>
    <w:rsid w:val="18E24793"/>
    <w:rsid w:val="18FAAB8C"/>
    <w:rsid w:val="190AE0F9"/>
    <w:rsid w:val="198D2D03"/>
    <w:rsid w:val="19AD384C"/>
    <w:rsid w:val="19C9285E"/>
    <w:rsid w:val="19CD34D0"/>
    <w:rsid w:val="1A4AFF18"/>
    <w:rsid w:val="1A5D55B9"/>
    <w:rsid w:val="1A76ECF3"/>
    <w:rsid w:val="1B05854F"/>
    <w:rsid w:val="1B288158"/>
    <w:rsid w:val="1B2F3D70"/>
    <w:rsid w:val="1B753FB3"/>
    <w:rsid w:val="1B77637A"/>
    <w:rsid w:val="1BFA8D52"/>
    <w:rsid w:val="1C282AB0"/>
    <w:rsid w:val="1C3B6BAE"/>
    <w:rsid w:val="1C4DBA9E"/>
    <w:rsid w:val="1C5AFA87"/>
    <w:rsid w:val="1C8A4CF8"/>
    <w:rsid w:val="1D2A5E6A"/>
    <w:rsid w:val="1DA63085"/>
    <w:rsid w:val="1DDDF484"/>
    <w:rsid w:val="1DE81268"/>
    <w:rsid w:val="1E5E918B"/>
    <w:rsid w:val="1E7D1E7F"/>
    <w:rsid w:val="1ECE4EA7"/>
    <w:rsid w:val="1ED6E0BF"/>
    <w:rsid w:val="1EFFECD4"/>
    <w:rsid w:val="1F5D04B9"/>
    <w:rsid w:val="1F857DE2"/>
    <w:rsid w:val="20398D65"/>
    <w:rsid w:val="20B66492"/>
    <w:rsid w:val="2104405D"/>
    <w:rsid w:val="21323559"/>
    <w:rsid w:val="2139E525"/>
    <w:rsid w:val="21708008"/>
    <w:rsid w:val="217B9331"/>
    <w:rsid w:val="217E0460"/>
    <w:rsid w:val="21B61269"/>
    <w:rsid w:val="21CBBC70"/>
    <w:rsid w:val="21F962D5"/>
    <w:rsid w:val="226D095D"/>
    <w:rsid w:val="228A3403"/>
    <w:rsid w:val="22971157"/>
    <w:rsid w:val="22C13E51"/>
    <w:rsid w:val="22FF7AC5"/>
    <w:rsid w:val="23447029"/>
    <w:rsid w:val="234F2DDA"/>
    <w:rsid w:val="23D4090E"/>
    <w:rsid w:val="23E1CD4A"/>
    <w:rsid w:val="23E7DA18"/>
    <w:rsid w:val="242827C5"/>
    <w:rsid w:val="2434FDF0"/>
    <w:rsid w:val="24371467"/>
    <w:rsid w:val="2438A502"/>
    <w:rsid w:val="24614F67"/>
    <w:rsid w:val="24805AF3"/>
    <w:rsid w:val="24854215"/>
    <w:rsid w:val="24E201D8"/>
    <w:rsid w:val="24EFAA53"/>
    <w:rsid w:val="250EE378"/>
    <w:rsid w:val="2520337C"/>
    <w:rsid w:val="25C5DC39"/>
    <w:rsid w:val="25EC959F"/>
    <w:rsid w:val="261DAF89"/>
    <w:rsid w:val="263E6B86"/>
    <w:rsid w:val="2648CA2D"/>
    <w:rsid w:val="26775CA2"/>
    <w:rsid w:val="26AB99B1"/>
    <w:rsid w:val="26B757C6"/>
    <w:rsid w:val="27017039"/>
    <w:rsid w:val="270B4B1D"/>
    <w:rsid w:val="270C2FA2"/>
    <w:rsid w:val="2741FF10"/>
    <w:rsid w:val="27507816"/>
    <w:rsid w:val="276B328E"/>
    <w:rsid w:val="27C091EA"/>
    <w:rsid w:val="281220F7"/>
    <w:rsid w:val="2853AB9E"/>
    <w:rsid w:val="28AE6EE1"/>
    <w:rsid w:val="28CAD0DB"/>
    <w:rsid w:val="291FBE1B"/>
    <w:rsid w:val="29219770"/>
    <w:rsid w:val="299C3CE3"/>
    <w:rsid w:val="29A6CD05"/>
    <w:rsid w:val="29F78A4E"/>
    <w:rsid w:val="2A3DD3D1"/>
    <w:rsid w:val="2A77B2EF"/>
    <w:rsid w:val="2AA43F74"/>
    <w:rsid w:val="2AAC5124"/>
    <w:rsid w:val="2AFF3EDE"/>
    <w:rsid w:val="2B15E7CC"/>
    <w:rsid w:val="2B1790D8"/>
    <w:rsid w:val="2B3FB7EC"/>
    <w:rsid w:val="2B7517E2"/>
    <w:rsid w:val="2B7E2D2B"/>
    <w:rsid w:val="2B95B9D5"/>
    <w:rsid w:val="2B9B92BF"/>
    <w:rsid w:val="2BBED27B"/>
    <w:rsid w:val="2BEA14D3"/>
    <w:rsid w:val="2C3B58A6"/>
    <w:rsid w:val="2C6E2547"/>
    <w:rsid w:val="2C77A706"/>
    <w:rsid w:val="2C94251A"/>
    <w:rsid w:val="2CE2FAE3"/>
    <w:rsid w:val="2CFEADA9"/>
    <w:rsid w:val="2D39176D"/>
    <w:rsid w:val="2D569163"/>
    <w:rsid w:val="2D5DBEAD"/>
    <w:rsid w:val="2D83BE96"/>
    <w:rsid w:val="2D8BFEE7"/>
    <w:rsid w:val="2DBB8192"/>
    <w:rsid w:val="2E041FCA"/>
    <w:rsid w:val="2E199277"/>
    <w:rsid w:val="2E43E146"/>
    <w:rsid w:val="2E47F48E"/>
    <w:rsid w:val="2E882486"/>
    <w:rsid w:val="2E99CE46"/>
    <w:rsid w:val="2EFD5CC5"/>
    <w:rsid w:val="2F1FAF55"/>
    <w:rsid w:val="2F3DE313"/>
    <w:rsid w:val="2F4A3B07"/>
    <w:rsid w:val="2F7D74DE"/>
    <w:rsid w:val="2F88D4DF"/>
    <w:rsid w:val="2F943D8B"/>
    <w:rsid w:val="2F9D03B7"/>
    <w:rsid w:val="2FA57083"/>
    <w:rsid w:val="2FB77E07"/>
    <w:rsid w:val="2FD46E22"/>
    <w:rsid w:val="2FF26A6A"/>
    <w:rsid w:val="2FF6C044"/>
    <w:rsid w:val="2FFF1017"/>
    <w:rsid w:val="307CBD94"/>
    <w:rsid w:val="30820AA6"/>
    <w:rsid w:val="309650FE"/>
    <w:rsid w:val="309C4A18"/>
    <w:rsid w:val="30AAE37D"/>
    <w:rsid w:val="30D0A725"/>
    <w:rsid w:val="311380F8"/>
    <w:rsid w:val="311B6E7E"/>
    <w:rsid w:val="315600C9"/>
    <w:rsid w:val="315E92EF"/>
    <w:rsid w:val="3160F857"/>
    <w:rsid w:val="31930303"/>
    <w:rsid w:val="3195CE79"/>
    <w:rsid w:val="3196572C"/>
    <w:rsid w:val="32320BFE"/>
    <w:rsid w:val="326B18E3"/>
    <w:rsid w:val="329E516A"/>
    <w:rsid w:val="32C13CF7"/>
    <w:rsid w:val="32FE473F"/>
    <w:rsid w:val="330BEEB7"/>
    <w:rsid w:val="334A5A51"/>
    <w:rsid w:val="33D336D5"/>
    <w:rsid w:val="33D48560"/>
    <w:rsid w:val="341CF65A"/>
    <w:rsid w:val="343E6165"/>
    <w:rsid w:val="34AFCBAE"/>
    <w:rsid w:val="34B0C8F5"/>
    <w:rsid w:val="352E8525"/>
    <w:rsid w:val="356ACDCE"/>
    <w:rsid w:val="35C4E44F"/>
    <w:rsid w:val="35EF1656"/>
    <w:rsid w:val="3605DFE0"/>
    <w:rsid w:val="360A7783"/>
    <w:rsid w:val="36345385"/>
    <w:rsid w:val="3647EBBA"/>
    <w:rsid w:val="3659BA68"/>
    <w:rsid w:val="368C0D9E"/>
    <w:rsid w:val="371B3FCA"/>
    <w:rsid w:val="371FF3BE"/>
    <w:rsid w:val="37496FA2"/>
    <w:rsid w:val="37998ED0"/>
    <w:rsid w:val="37FE7599"/>
    <w:rsid w:val="3808FE35"/>
    <w:rsid w:val="383A0AE5"/>
    <w:rsid w:val="38A7E49E"/>
    <w:rsid w:val="38D26FFB"/>
    <w:rsid w:val="38D86EAC"/>
    <w:rsid w:val="38DBD3F5"/>
    <w:rsid w:val="38DFCB37"/>
    <w:rsid w:val="38FE20CB"/>
    <w:rsid w:val="39B1006D"/>
    <w:rsid w:val="39E07332"/>
    <w:rsid w:val="3A13F41B"/>
    <w:rsid w:val="3A4F771B"/>
    <w:rsid w:val="3A5F0939"/>
    <w:rsid w:val="3A6EE49E"/>
    <w:rsid w:val="3A773471"/>
    <w:rsid w:val="3AAD1D12"/>
    <w:rsid w:val="3AB6EAC8"/>
    <w:rsid w:val="3ACFB0B2"/>
    <w:rsid w:val="3ADC2B03"/>
    <w:rsid w:val="3ADDC7E9"/>
    <w:rsid w:val="3B03DA64"/>
    <w:rsid w:val="3B0A1B65"/>
    <w:rsid w:val="3B348305"/>
    <w:rsid w:val="3B4E27EA"/>
    <w:rsid w:val="3B684459"/>
    <w:rsid w:val="3B94DF35"/>
    <w:rsid w:val="3BB62837"/>
    <w:rsid w:val="3BCAB325"/>
    <w:rsid w:val="3BD66D4B"/>
    <w:rsid w:val="3BFEC2CE"/>
    <w:rsid w:val="3C28B818"/>
    <w:rsid w:val="3C5E0DB2"/>
    <w:rsid w:val="3C7B650A"/>
    <w:rsid w:val="3C987E01"/>
    <w:rsid w:val="3D40E0FD"/>
    <w:rsid w:val="3D8990AF"/>
    <w:rsid w:val="3DF426F3"/>
    <w:rsid w:val="3E5EE06F"/>
    <w:rsid w:val="3E717AD9"/>
    <w:rsid w:val="3E726D29"/>
    <w:rsid w:val="3EAD0ACD"/>
    <w:rsid w:val="3EC1A18F"/>
    <w:rsid w:val="3F1360EA"/>
    <w:rsid w:val="3F211E17"/>
    <w:rsid w:val="3F7C998A"/>
    <w:rsid w:val="3F8DA207"/>
    <w:rsid w:val="3FA107AC"/>
    <w:rsid w:val="3FD18BFC"/>
    <w:rsid w:val="3FD505A1"/>
    <w:rsid w:val="3FFD8BF0"/>
    <w:rsid w:val="3FFE1AEA"/>
    <w:rsid w:val="4028C7D3"/>
    <w:rsid w:val="40344FFA"/>
    <w:rsid w:val="4063A9D0"/>
    <w:rsid w:val="4068F31E"/>
    <w:rsid w:val="40845C42"/>
    <w:rsid w:val="40BDF820"/>
    <w:rsid w:val="40E5A1D8"/>
    <w:rsid w:val="41095B8B"/>
    <w:rsid w:val="41215424"/>
    <w:rsid w:val="412CAA3B"/>
    <w:rsid w:val="412FFE3D"/>
    <w:rsid w:val="4158D485"/>
    <w:rsid w:val="41D08AD6"/>
    <w:rsid w:val="41FDF039"/>
    <w:rsid w:val="423EAB84"/>
    <w:rsid w:val="424699A8"/>
    <w:rsid w:val="4311EF9B"/>
    <w:rsid w:val="431993A9"/>
    <w:rsid w:val="4334321B"/>
    <w:rsid w:val="4348CF21"/>
    <w:rsid w:val="436DFFE1"/>
    <w:rsid w:val="43BBF86B"/>
    <w:rsid w:val="43D47D22"/>
    <w:rsid w:val="43EDE113"/>
    <w:rsid w:val="43FAD7C0"/>
    <w:rsid w:val="441846EF"/>
    <w:rsid w:val="444D10CF"/>
    <w:rsid w:val="44858C9F"/>
    <w:rsid w:val="4489C0C2"/>
    <w:rsid w:val="449DA829"/>
    <w:rsid w:val="44AC381F"/>
    <w:rsid w:val="45119645"/>
    <w:rsid w:val="45256E9F"/>
    <w:rsid w:val="4612FB49"/>
    <w:rsid w:val="461B6AAC"/>
    <w:rsid w:val="46581408"/>
    <w:rsid w:val="46592163"/>
    <w:rsid w:val="466AAAEF"/>
    <w:rsid w:val="46821BD9"/>
    <w:rsid w:val="4686BAB4"/>
    <w:rsid w:val="469B0204"/>
    <w:rsid w:val="469BBAF8"/>
    <w:rsid w:val="46D52668"/>
    <w:rsid w:val="4750239C"/>
    <w:rsid w:val="47542537"/>
    <w:rsid w:val="478EF7FC"/>
    <w:rsid w:val="47F0E9C3"/>
    <w:rsid w:val="481CB787"/>
    <w:rsid w:val="486DEB87"/>
    <w:rsid w:val="486F2E70"/>
    <w:rsid w:val="4891291C"/>
    <w:rsid w:val="48B9CD62"/>
    <w:rsid w:val="48ECFE2C"/>
    <w:rsid w:val="49237BD0"/>
    <w:rsid w:val="49545C52"/>
    <w:rsid w:val="495D4548"/>
    <w:rsid w:val="4961BA68"/>
    <w:rsid w:val="496D6C7B"/>
    <w:rsid w:val="498DE1C4"/>
    <w:rsid w:val="499CE2DA"/>
    <w:rsid w:val="4A5F68A5"/>
    <w:rsid w:val="4A8F8B7B"/>
    <w:rsid w:val="4AB3FF87"/>
    <w:rsid w:val="4AB48A48"/>
    <w:rsid w:val="4AED3A1B"/>
    <w:rsid w:val="4B624CF6"/>
    <w:rsid w:val="4B79CFA8"/>
    <w:rsid w:val="4B7AE550"/>
    <w:rsid w:val="4B8D7A25"/>
    <w:rsid w:val="4B8E3372"/>
    <w:rsid w:val="4B9ED105"/>
    <w:rsid w:val="4BB4A804"/>
    <w:rsid w:val="4BC4C05C"/>
    <w:rsid w:val="4BDBA10C"/>
    <w:rsid w:val="4BDECF57"/>
    <w:rsid w:val="4BE24A4A"/>
    <w:rsid w:val="4BF603A9"/>
    <w:rsid w:val="4C13079A"/>
    <w:rsid w:val="4C43473C"/>
    <w:rsid w:val="4C4616E1"/>
    <w:rsid w:val="4C887E4E"/>
    <w:rsid w:val="4CE5E299"/>
    <w:rsid w:val="4D2E1A9E"/>
    <w:rsid w:val="4D4E27E6"/>
    <w:rsid w:val="4D535FCC"/>
    <w:rsid w:val="4D754D3A"/>
    <w:rsid w:val="4D7F3E93"/>
    <w:rsid w:val="4DD34E05"/>
    <w:rsid w:val="4E00469F"/>
    <w:rsid w:val="4E131A0D"/>
    <w:rsid w:val="4E195538"/>
    <w:rsid w:val="4E6ABE56"/>
    <w:rsid w:val="4E96C1D4"/>
    <w:rsid w:val="4ECA826E"/>
    <w:rsid w:val="4F1D5AEA"/>
    <w:rsid w:val="4F45171A"/>
    <w:rsid w:val="4F83C86C"/>
    <w:rsid w:val="502F46FE"/>
    <w:rsid w:val="50A50EB1"/>
    <w:rsid w:val="50AF3356"/>
    <w:rsid w:val="50FF4805"/>
    <w:rsid w:val="513AA7ED"/>
    <w:rsid w:val="518E071C"/>
    <w:rsid w:val="51E83B9C"/>
    <w:rsid w:val="51EBD957"/>
    <w:rsid w:val="51F948DF"/>
    <w:rsid w:val="520B9707"/>
    <w:rsid w:val="5237DE4A"/>
    <w:rsid w:val="52557A28"/>
    <w:rsid w:val="526A185C"/>
    <w:rsid w:val="52A68118"/>
    <w:rsid w:val="530891E2"/>
    <w:rsid w:val="537E6610"/>
    <w:rsid w:val="5383A4F9"/>
    <w:rsid w:val="538C36DF"/>
    <w:rsid w:val="53931B65"/>
    <w:rsid w:val="53A93CB1"/>
    <w:rsid w:val="53BED4F4"/>
    <w:rsid w:val="53E97707"/>
    <w:rsid w:val="5473DAA2"/>
    <w:rsid w:val="54C5F12D"/>
    <w:rsid w:val="54EC6645"/>
    <w:rsid w:val="551449B3"/>
    <w:rsid w:val="551B86A2"/>
    <w:rsid w:val="55373785"/>
    <w:rsid w:val="553CDC87"/>
    <w:rsid w:val="553D12AF"/>
    <w:rsid w:val="553EF86E"/>
    <w:rsid w:val="555D6223"/>
    <w:rsid w:val="55B258D7"/>
    <w:rsid w:val="55B4F71B"/>
    <w:rsid w:val="5639CB8F"/>
    <w:rsid w:val="56649FEA"/>
    <w:rsid w:val="56D95038"/>
    <w:rsid w:val="56DC996E"/>
    <w:rsid w:val="56F357E2"/>
    <w:rsid w:val="574E2938"/>
    <w:rsid w:val="57B91EA8"/>
    <w:rsid w:val="57D01710"/>
    <w:rsid w:val="58045C4B"/>
    <w:rsid w:val="580BB0F6"/>
    <w:rsid w:val="5848B5F4"/>
    <w:rsid w:val="5883642C"/>
    <w:rsid w:val="58E9F999"/>
    <w:rsid w:val="59BBE61A"/>
    <w:rsid w:val="59D2E316"/>
    <w:rsid w:val="59F66618"/>
    <w:rsid w:val="5A7BF0B8"/>
    <w:rsid w:val="5A7F4FC8"/>
    <w:rsid w:val="5A875F14"/>
    <w:rsid w:val="5ABB1C5D"/>
    <w:rsid w:val="5B4CD4C7"/>
    <w:rsid w:val="5BA5BC26"/>
    <w:rsid w:val="5BAFEADC"/>
    <w:rsid w:val="5BB276FF"/>
    <w:rsid w:val="5BE934D2"/>
    <w:rsid w:val="5BF6D676"/>
    <w:rsid w:val="5BFAC5AD"/>
    <w:rsid w:val="5C09E00D"/>
    <w:rsid w:val="5C1D4833"/>
    <w:rsid w:val="5C5F95FC"/>
    <w:rsid w:val="5C6EB2DC"/>
    <w:rsid w:val="5C73C306"/>
    <w:rsid w:val="5CBBA2AE"/>
    <w:rsid w:val="5CBDD65F"/>
    <w:rsid w:val="5CCB6B91"/>
    <w:rsid w:val="5D01D5F7"/>
    <w:rsid w:val="5D18A6A2"/>
    <w:rsid w:val="5D44B3A5"/>
    <w:rsid w:val="5DAA5160"/>
    <w:rsid w:val="5DEA7402"/>
    <w:rsid w:val="5E00DD1B"/>
    <w:rsid w:val="5E0AE17A"/>
    <w:rsid w:val="5E6EA624"/>
    <w:rsid w:val="5E76BE94"/>
    <w:rsid w:val="5E81E401"/>
    <w:rsid w:val="5EB00E4E"/>
    <w:rsid w:val="5EDDDB7E"/>
    <w:rsid w:val="5EE10F75"/>
    <w:rsid w:val="5EF8F189"/>
    <w:rsid w:val="5F6E268A"/>
    <w:rsid w:val="605CAF91"/>
    <w:rsid w:val="608B2770"/>
    <w:rsid w:val="60AE5D1E"/>
    <w:rsid w:val="60C85137"/>
    <w:rsid w:val="6105915A"/>
    <w:rsid w:val="613376A8"/>
    <w:rsid w:val="614383AE"/>
    <w:rsid w:val="61F00EDD"/>
    <w:rsid w:val="62615DE7"/>
    <w:rsid w:val="627B6373"/>
    <w:rsid w:val="62849A5E"/>
    <w:rsid w:val="62A66B9E"/>
    <w:rsid w:val="62C4CEA0"/>
    <w:rsid w:val="62CF4709"/>
    <w:rsid w:val="62D0A962"/>
    <w:rsid w:val="62DDCDB4"/>
    <w:rsid w:val="63674BCE"/>
    <w:rsid w:val="6391A961"/>
    <w:rsid w:val="63A1546F"/>
    <w:rsid w:val="63D5C637"/>
    <w:rsid w:val="6411622E"/>
    <w:rsid w:val="64542F53"/>
    <w:rsid w:val="6471A651"/>
    <w:rsid w:val="647EFBD3"/>
    <w:rsid w:val="648DF2BA"/>
    <w:rsid w:val="64AB86EB"/>
    <w:rsid w:val="64C96A0F"/>
    <w:rsid w:val="64F0DDC3"/>
    <w:rsid w:val="650F7A23"/>
    <w:rsid w:val="6513C37B"/>
    <w:rsid w:val="653CFC76"/>
    <w:rsid w:val="65701534"/>
    <w:rsid w:val="6571C2EC"/>
    <w:rsid w:val="6584DEDD"/>
    <w:rsid w:val="65D06A27"/>
    <w:rsid w:val="65DFF983"/>
    <w:rsid w:val="65F6C300"/>
    <w:rsid w:val="6626DAE3"/>
    <w:rsid w:val="6661A196"/>
    <w:rsid w:val="6670D36D"/>
    <w:rsid w:val="6676CBFF"/>
    <w:rsid w:val="66845B3B"/>
    <w:rsid w:val="66899FB1"/>
    <w:rsid w:val="6690CB5F"/>
    <w:rsid w:val="66971CA7"/>
    <w:rsid w:val="669F4A84"/>
    <w:rsid w:val="66C026C4"/>
    <w:rsid w:val="66E594A9"/>
    <w:rsid w:val="66F2BD38"/>
    <w:rsid w:val="670104CE"/>
    <w:rsid w:val="6704EB76"/>
    <w:rsid w:val="671DDF25"/>
    <w:rsid w:val="67848580"/>
    <w:rsid w:val="67AC6B1F"/>
    <w:rsid w:val="67FFA888"/>
    <w:rsid w:val="68776435"/>
    <w:rsid w:val="689700B2"/>
    <w:rsid w:val="68BF27DA"/>
    <w:rsid w:val="68CDD19A"/>
    <w:rsid w:val="69241E9A"/>
    <w:rsid w:val="698DE0A5"/>
    <w:rsid w:val="6992F6F5"/>
    <w:rsid w:val="6A6E0ED3"/>
    <w:rsid w:val="6A7BA7A6"/>
    <w:rsid w:val="6B2D99D2"/>
    <w:rsid w:val="6B5A8732"/>
    <w:rsid w:val="6C112403"/>
    <w:rsid w:val="6C1F0F86"/>
    <w:rsid w:val="6C34C53A"/>
    <w:rsid w:val="6C87A8DC"/>
    <w:rsid w:val="6C9F48CA"/>
    <w:rsid w:val="6CA6E577"/>
    <w:rsid w:val="6CB9F14E"/>
    <w:rsid w:val="6CC7C731"/>
    <w:rsid w:val="6CD46293"/>
    <w:rsid w:val="6CE70622"/>
    <w:rsid w:val="6D3683A2"/>
    <w:rsid w:val="6D3C36D0"/>
    <w:rsid w:val="6D5AC7F4"/>
    <w:rsid w:val="6D9232F5"/>
    <w:rsid w:val="6D93C04E"/>
    <w:rsid w:val="6DC063FE"/>
    <w:rsid w:val="6DD59655"/>
    <w:rsid w:val="6DF83E4A"/>
    <w:rsid w:val="6E1181D4"/>
    <w:rsid w:val="6E1BACA3"/>
    <w:rsid w:val="6E7BD569"/>
    <w:rsid w:val="6EA21F02"/>
    <w:rsid w:val="6EACD5F9"/>
    <w:rsid w:val="6ED5203E"/>
    <w:rsid w:val="6EFDCF1D"/>
    <w:rsid w:val="6F511F12"/>
    <w:rsid w:val="6F63E37F"/>
    <w:rsid w:val="6FF3AD20"/>
    <w:rsid w:val="70342450"/>
    <w:rsid w:val="70675EEC"/>
    <w:rsid w:val="7092FC50"/>
    <w:rsid w:val="70B3815F"/>
    <w:rsid w:val="70DC0E49"/>
    <w:rsid w:val="711EBE2B"/>
    <w:rsid w:val="712DD0AE"/>
    <w:rsid w:val="714EAAF0"/>
    <w:rsid w:val="71C3A687"/>
    <w:rsid w:val="71EA5D26"/>
    <w:rsid w:val="71F6724A"/>
    <w:rsid w:val="720724FC"/>
    <w:rsid w:val="721328A4"/>
    <w:rsid w:val="72A205B1"/>
    <w:rsid w:val="73B855E3"/>
    <w:rsid w:val="73C057FF"/>
    <w:rsid w:val="73EB442A"/>
    <w:rsid w:val="74915C6B"/>
    <w:rsid w:val="7492D453"/>
    <w:rsid w:val="74963951"/>
    <w:rsid w:val="74A07FED"/>
    <w:rsid w:val="74EDF10C"/>
    <w:rsid w:val="7503328F"/>
    <w:rsid w:val="751A47AB"/>
    <w:rsid w:val="7520E77F"/>
    <w:rsid w:val="7574FE27"/>
    <w:rsid w:val="7575E08D"/>
    <w:rsid w:val="75824141"/>
    <w:rsid w:val="75B601BB"/>
    <w:rsid w:val="75E36889"/>
    <w:rsid w:val="75EFBF56"/>
    <w:rsid w:val="760D7BF6"/>
    <w:rsid w:val="7656A8FB"/>
    <w:rsid w:val="76DEF016"/>
    <w:rsid w:val="774E0017"/>
    <w:rsid w:val="778572ED"/>
    <w:rsid w:val="77BF8165"/>
    <w:rsid w:val="782E4F66"/>
    <w:rsid w:val="785D30C9"/>
    <w:rsid w:val="78AA6DFE"/>
    <w:rsid w:val="78EE304E"/>
    <w:rsid w:val="7928F4C0"/>
    <w:rsid w:val="792D693A"/>
    <w:rsid w:val="796B4920"/>
    <w:rsid w:val="79987456"/>
    <w:rsid w:val="79EA63CF"/>
    <w:rsid w:val="79F8C949"/>
    <w:rsid w:val="7A1BA507"/>
    <w:rsid w:val="7AB92841"/>
    <w:rsid w:val="7ADC9906"/>
    <w:rsid w:val="7AF0269F"/>
    <w:rsid w:val="7B15042F"/>
    <w:rsid w:val="7B3711DB"/>
    <w:rsid w:val="7BA8F1B1"/>
    <w:rsid w:val="7BE73702"/>
    <w:rsid w:val="7BF65856"/>
    <w:rsid w:val="7C2C63AC"/>
    <w:rsid w:val="7CFA8A92"/>
    <w:rsid w:val="7D2E0C99"/>
    <w:rsid w:val="7D35D123"/>
    <w:rsid w:val="7D44ADC9"/>
    <w:rsid w:val="7D7B4492"/>
    <w:rsid w:val="7D7BD346"/>
    <w:rsid w:val="7D80100C"/>
    <w:rsid w:val="7DB9D396"/>
    <w:rsid w:val="7E332B29"/>
    <w:rsid w:val="7E87C594"/>
    <w:rsid w:val="7EEC4AB4"/>
    <w:rsid w:val="7F0C6B03"/>
    <w:rsid w:val="7F2E0327"/>
    <w:rsid w:val="7FAD7632"/>
    <w:rsid w:val="7FD69CB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6A0C5"/>
  <w15:docId w15:val="{20B608D8-E1A4-4E88-A05C-44287E94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00"/>
    <w:pPr>
      <w:spacing w:after="120"/>
    </w:pPr>
    <w:rPr>
      <w:lang w:eastAsia="en-US"/>
    </w:rPr>
  </w:style>
  <w:style w:type="paragraph" w:styleId="Heading1">
    <w:name w:val="heading 1"/>
    <w:basedOn w:val="Normal"/>
    <w:next w:val="Normal"/>
    <w:link w:val="Heading1Char"/>
    <w:qFormat/>
    <w:rsid w:val="00261F78"/>
    <w:pPr>
      <w:keepNext/>
      <w:numPr>
        <w:numId w:val="10"/>
      </w:numPr>
      <w:tabs>
        <w:tab w:val="left" w:pos="680"/>
      </w:tabs>
      <w:outlineLvl w:val="0"/>
    </w:pPr>
    <w:rPr>
      <w:rFonts w:ascii="Arial" w:hAnsi="Arial" w:cs="Arial"/>
      <w:b/>
      <w:bCs/>
      <w:sz w:val="28"/>
    </w:rPr>
  </w:style>
  <w:style w:type="paragraph" w:styleId="Heading2">
    <w:name w:val="heading 2"/>
    <w:basedOn w:val="Heading1"/>
    <w:next w:val="Normal"/>
    <w:link w:val="Heading2Char"/>
    <w:qFormat/>
    <w:rsid w:val="00632CB1"/>
    <w:pPr>
      <w:numPr>
        <w:ilvl w:val="1"/>
      </w:numPr>
      <w:tabs>
        <w:tab w:val="clear" w:pos="680"/>
        <w:tab w:val="left" w:pos="1134"/>
      </w:tabs>
      <w:spacing w:before="240"/>
      <w:ind w:left="578" w:hanging="578"/>
      <w:outlineLvl w:val="1"/>
    </w:pPr>
    <w:rPr>
      <w:sz w:val="24"/>
    </w:rPr>
  </w:style>
  <w:style w:type="paragraph" w:styleId="Heading3">
    <w:name w:val="heading 3"/>
    <w:basedOn w:val="Normal"/>
    <w:next w:val="Normal"/>
    <w:link w:val="Heading3Char"/>
    <w:qFormat/>
    <w:rsid w:val="008211F6"/>
    <w:pPr>
      <w:keepNext/>
      <w:numPr>
        <w:ilvl w:val="2"/>
        <w:numId w:val="10"/>
      </w:numPr>
      <w:spacing w:before="240"/>
      <w:outlineLvl w:val="2"/>
    </w:pPr>
    <w:rPr>
      <w:rFonts w:ascii="Arial" w:hAnsi="Arial"/>
      <w:b/>
      <w:sz w:val="22"/>
    </w:rPr>
  </w:style>
  <w:style w:type="paragraph" w:styleId="Heading4">
    <w:name w:val="heading 4"/>
    <w:basedOn w:val="Normal"/>
    <w:next w:val="Normal"/>
    <w:link w:val="Heading4Char"/>
    <w:uiPriority w:val="9"/>
    <w:semiHidden/>
    <w:unhideWhenUsed/>
    <w:qFormat/>
    <w:rsid w:val="00060565"/>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75D96"/>
    <w:pPr>
      <w:numPr>
        <w:ilvl w:val="4"/>
        <w:numId w:val="10"/>
      </w:numPr>
      <w:spacing w:before="120"/>
      <w:outlineLvl w:val="4"/>
    </w:pPr>
    <w:rPr>
      <w:rFonts w:ascii="Arial" w:hAnsi="Arial"/>
      <w:b/>
      <w:bCs/>
      <w:iCs/>
      <w:szCs w:val="26"/>
    </w:rPr>
  </w:style>
  <w:style w:type="paragraph" w:styleId="Heading6">
    <w:name w:val="heading 6"/>
    <w:basedOn w:val="Normal"/>
    <w:next w:val="Normal"/>
    <w:link w:val="Heading6Char"/>
    <w:uiPriority w:val="9"/>
    <w:semiHidden/>
    <w:unhideWhenUsed/>
    <w:qFormat/>
    <w:rsid w:val="00060565"/>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60565"/>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60565"/>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60565"/>
    <w:pPr>
      <w:numPr>
        <w:ilvl w:val="8"/>
        <w:numId w:val="1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F0D"/>
    <w:pPr>
      <w:tabs>
        <w:tab w:val="center" w:pos="4320"/>
        <w:tab w:val="right" w:pos="8640"/>
      </w:tabs>
    </w:pPr>
  </w:style>
  <w:style w:type="paragraph" w:styleId="Footer">
    <w:name w:val="footer"/>
    <w:basedOn w:val="Normal"/>
    <w:link w:val="FooterChar"/>
    <w:uiPriority w:val="99"/>
    <w:rsid w:val="009B5F0D"/>
    <w:pPr>
      <w:tabs>
        <w:tab w:val="center" w:pos="4320"/>
        <w:tab w:val="right" w:pos="8640"/>
      </w:tabs>
    </w:pPr>
  </w:style>
  <w:style w:type="character" w:styleId="PageNumber">
    <w:name w:val="page number"/>
    <w:basedOn w:val="DefaultParagraphFont"/>
    <w:rsid w:val="00E858FA"/>
  </w:style>
  <w:style w:type="paragraph" w:styleId="BodyText">
    <w:name w:val="Body Text"/>
    <w:basedOn w:val="Normal"/>
    <w:link w:val="BodyTextChar"/>
    <w:rsid w:val="00E74A39"/>
    <w:rPr>
      <w:b/>
      <w:bCs/>
      <w:sz w:val="24"/>
      <w:szCs w:val="24"/>
    </w:rPr>
  </w:style>
  <w:style w:type="paragraph" w:styleId="BalloonText">
    <w:name w:val="Balloon Text"/>
    <w:basedOn w:val="Normal"/>
    <w:link w:val="BalloonTextChar"/>
    <w:semiHidden/>
    <w:rsid w:val="006C4765"/>
    <w:rPr>
      <w:rFonts w:ascii="Tahoma" w:hAnsi="Tahoma" w:cs="Tahoma"/>
      <w:sz w:val="16"/>
      <w:szCs w:val="16"/>
    </w:rPr>
  </w:style>
  <w:style w:type="paragraph" w:styleId="FootnoteText">
    <w:name w:val="footnote text"/>
    <w:basedOn w:val="Normal"/>
    <w:link w:val="FootnoteTextChar"/>
    <w:semiHidden/>
    <w:rsid w:val="00F71F81"/>
  </w:style>
  <w:style w:type="character" w:styleId="FootnoteReference">
    <w:name w:val="footnote reference"/>
    <w:rsid w:val="00F71F81"/>
    <w:rPr>
      <w:vertAlign w:val="superscript"/>
    </w:rPr>
  </w:style>
  <w:style w:type="character" w:styleId="Hyperlink">
    <w:name w:val="Hyperlink"/>
    <w:uiPriority w:val="99"/>
    <w:rsid w:val="00C7590D"/>
    <w:rPr>
      <w:color w:val="0000FF"/>
      <w:u w:val="single"/>
    </w:rPr>
  </w:style>
  <w:style w:type="paragraph" w:customStyle="1" w:styleId="MfE">
    <w:name w:val="MfE"/>
    <w:basedOn w:val="Normal"/>
    <w:rsid w:val="007F22F1"/>
    <w:pPr>
      <w:ind w:left="1134"/>
      <w:jc w:val="both"/>
    </w:pPr>
    <w:rPr>
      <w:sz w:val="24"/>
      <w:lang w:val="en-GB" w:eastAsia="en-AU"/>
    </w:rPr>
  </w:style>
  <w:style w:type="table" w:styleId="TableGrid">
    <w:name w:val="Table Grid"/>
    <w:basedOn w:val="TableNormal"/>
    <w:rsid w:val="0024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61F78"/>
    <w:rPr>
      <w:rFonts w:ascii="Arial" w:hAnsi="Arial" w:cs="Arial"/>
      <w:b/>
      <w:bCs/>
      <w:sz w:val="28"/>
      <w:lang w:eastAsia="en-US"/>
    </w:rPr>
  </w:style>
  <w:style w:type="paragraph" w:styleId="TOC1">
    <w:name w:val="toc 1"/>
    <w:basedOn w:val="Normal"/>
    <w:next w:val="Normal"/>
    <w:autoRedefine/>
    <w:uiPriority w:val="39"/>
    <w:rsid w:val="008234C5"/>
    <w:pPr>
      <w:tabs>
        <w:tab w:val="left" w:pos="440"/>
        <w:tab w:val="right" w:leader="dot" w:pos="9061"/>
      </w:tabs>
      <w:spacing w:after="0" w:line="300" w:lineRule="atLeast"/>
    </w:pPr>
    <w:rPr>
      <w:rFonts w:ascii="Arial" w:hAnsi="Arial" w:cs="Arial"/>
      <w:b/>
      <w:noProof/>
      <w:lang w:val="en-US"/>
    </w:rPr>
  </w:style>
  <w:style w:type="paragraph" w:styleId="TOC2">
    <w:name w:val="toc 2"/>
    <w:basedOn w:val="Normal"/>
    <w:next w:val="Normal"/>
    <w:autoRedefine/>
    <w:uiPriority w:val="39"/>
    <w:rsid w:val="00903E7B"/>
    <w:pPr>
      <w:ind w:left="200"/>
    </w:pPr>
  </w:style>
  <w:style w:type="paragraph" w:styleId="EndnoteText">
    <w:name w:val="endnote text"/>
    <w:basedOn w:val="Normal"/>
    <w:link w:val="EndnoteTextChar"/>
    <w:semiHidden/>
    <w:rsid w:val="00BC4FAB"/>
  </w:style>
  <w:style w:type="character" w:styleId="EndnoteReference">
    <w:name w:val="endnote reference"/>
    <w:semiHidden/>
    <w:rsid w:val="00BC4FAB"/>
    <w:rPr>
      <w:vertAlign w:val="superscript"/>
    </w:rPr>
  </w:style>
  <w:style w:type="character" w:customStyle="1" w:styleId="a">
    <w:name w:val="a"/>
    <w:aliases w:val="b,c"/>
    <w:basedOn w:val="DefaultParagraphFont"/>
    <w:rsid w:val="002C0941"/>
  </w:style>
  <w:style w:type="character" w:customStyle="1" w:styleId="FootnoteTextChar">
    <w:name w:val="Footnote Text Char"/>
    <w:link w:val="FootnoteText"/>
    <w:semiHidden/>
    <w:rsid w:val="00672237"/>
    <w:rPr>
      <w:lang w:eastAsia="en-US"/>
    </w:rPr>
  </w:style>
  <w:style w:type="paragraph" w:styleId="ListParagraph">
    <w:name w:val="List Paragraph"/>
    <w:basedOn w:val="Normal"/>
    <w:uiPriority w:val="34"/>
    <w:qFormat/>
    <w:rsid w:val="00E06489"/>
    <w:pPr>
      <w:ind w:left="720"/>
      <w:contextualSpacing/>
    </w:pPr>
  </w:style>
  <w:style w:type="character" w:customStyle="1" w:styleId="FooterChar">
    <w:name w:val="Footer Char"/>
    <w:link w:val="Footer"/>
    <w:uiPriority w:val="99"/>
    <w:rsid w:val="00A70DA4"/>
    <w:rPr>
      <w:lang w:eastAsia="en-US"/>
    </w:rPr>
  </w:style>
  <w:style w:type="paragraph" w:styleId="NormalWeb">
    <w:name w:val="Normal (Web)"/>
    <w:basedOn w:val="Normal"/>
    <w:uiPriority w:val="99"/>
    <w:semiHidden/>
    <w:unhideWhenUsed/>
    <w:rsid w:val="00B151EF"/>
    <w:rPr>
      <w:sz w:val="24"/>
      <w:szCs w:val="24"/>
    </w:rPr>
  </w:style>
  <w:style w:type="numbering" w:styleId="111111">
    <w:name w:val="Outline List 2"/>
    <w:aliases w:val="1 / 1.1"/>
    <w:basedOn w:val="NoList"/>
    <w:rsid w:val="00136884"/>
    <w:pPr>
      <w:numPr>
        <w:numId w:val="1"/>
      </w:numPr>
    </w:pPr>
  </w:style>
  <w:style w:type="character" w:customStyle="1" w:styleId="Heading5Char">
    <w:name w:val="Heading 5 Char"/>
    <w:link w:val="Heading5"/>
    <w:uiPriority w:val="9"/>
    <w:rsid w:val="00B75D96"/>
    <w:rPr>
      <w:rFonts w:ascii="Arial" w:hAnsi="Arial"/>
      <w:b/>
      <w:bCs/>
      <w:iCs/>
      <w:szCs w:val="26"/>
      <w:lang w:eastAsia="en-US"/>
    </w:rPr>
  </w:style>
  <w:style w:type="character" w:customStyle="1" w:styleId="BodyTextChar">
    <w:name w:val="Body Text Char"/>
    <w:link w:val="BodyText"/>
    <w:rsid w:val="00B75D96"/>
    <w:rPr>
      <w:b/>
      <w:bCs/>
      <w:sz w:val="24"/>
      <w:szCs w:val="24"/>
      <w:lang w:eastAsia="en-US"/>
    </w:rPr>
  </w:style>
  <w:style w:type="paragraph" w:styleId="Caption">
    <w:name w:val="caption"/>
    <w:basedOn w:val="Normal"/>
    <w:next w:val="Normal"/>
    <w:uiPriority w:val="35"/>
    <w:unhideWhenUsed/>
    <w:qFormat/>
    <w:rsid w:val="00BD091A"/>
    <w:pPr>
      <w:spacing w:before="240" w:after="240"/>
      <w:jc w:val="center"/>
    </w:pPr>
    <w:rPr>
      <w:rFonts w:ascii="Arial" w:hAnsi="Arial"/>
      <w:b/>
      <w:bCs/>
    </w:rPr>
  </w:style>
  <w:style w:type="character" w:customStyle="1" w:styleId="Heading4Char">
    <w:name w:val="Heading 4 Char"/>
    <w:link w:val="Heading4"/>
    <w:uiPriority w:val="9"/>
    <w:semiHidden/>
    <w:rsid w:val="00060565"/>
    <w:rPr>
      <w:rFonts w:ascii="Calibri" w:hAnsi="Calibri"/>
      <w:b/>
      <w:bCs/>
      <w:sz w:val="28"/>
      <w:szCs w:val="28"/>
      <w:lang w:eastAsia="en-US"/>
    </w:rPr>
  </w:style>
  <w:style w:type="character" w:customStyle="1" w:styleId="Heading6Char">
    <w:name w:val="Heading 6 Char"/>
    <w:link w:val="Heading6"/>
    <w:uiPriority w:val="9"/>
    <w:semiHidden/>
    <w:rsid w:val="00060565"/>
    <w:rPr>
      <w:rFonts w:ascii="Calibri" w:hAnsi="Calibri"/>
      <w:b/>
      <w:bCs/>
      <w:sz w:val="22"/>
      <w:szCs w:val="22"/>
      <w:lang w:eastAsia="en-US"/>
    </w:rPr>
  </w:style>
  <w:style w:type="character" w:customStyle="1" w:styleId="Heading7Char">
    <w:name w:val="Heading 7 Char"/>
    <w:link w:val="Heading7"/>
    <w:uiPriority w:val="9"/>
    <w:semiHidden/>
    <w:rsid w:val="00060565"/>
    <w:rPr>
      <w:rFonts w:ascii="Calibri" w:hAnsi="Calibri"/>
      <w:sz w:val="24"/>
      <w:szCs w:val="24"/>
      <w:lang w:eastAsia="en-US"/>
    </w:rPr>
  </w:style>
  <w:style w:type="character" w:customStyle="1" w:styleId="Heading8Char">
    <w:name w:val="Heading 8 Char"/>
    <w:link w:val="Heading8"/>
    <w:uiPriority w:val="9"/>
    <w:semiHidden/>
    <w:rsid w:val="00060565"/>
    <w:rPr>
      <w:rFonts w:ascii="Calibri" w:hAnsi="Calibri"/>
      <w:i/>
      <w:iCs/>
      <w:sz w:val="24"/>
      <w:szCs w:val="24"/>
      <w:lang w:eastAsia="en-US"/>
    </w:rPr>
  </w:style>
  <w:style w:type="character" w:customStyle="1" w:styleId="Heading9Char">
    <w:name w:val="Heading 9 Char"/>
    <w:link w:val="Heading9"/>
    <w:uiPriority w:val="9"/>
    <w:semiHidden/>
    <w:rsid w:val="00060565"/>
    <w:rPr>
      <w:rFonts w:ascii="Cambria" w:hAnsi="Cambria"/>
      <w:sz w:val="22"/>
      <w:szCs w:val="22"/>
      <w:lang w:eastAsia="en-US"/>
    </w:rPr>
  </w:style>
  <w:style w:type="paragraph" w:styleId="TOC3">
    <w:name w:val="toc 3"/>
    <w:basedOn w:val="Normal"/>
    <w:next w:val="Normal"/>
    <w:autoRedefine/>
    <w:uiPriority w:val="39"/>
    <w:unhideWhenUsed/>
    <w:rsid w:val="00AB3FBD"/>
    <w:pPr>
      <w:tabs>
        <w:tab w:val="left" w:pos="1320"/>
        <w:tab w:val="right" w:leader="dot" w:pos="9061"/>
      </w:tabs>
      <w:spacing w:after="100" w:line="276" w:lineRule="auto"/>
      <w:ind w:left="440"/>
    </w:pPr>
    <w:rPr>
      <w:rFonts w:eastAsiaTheme="minorEastAsia"/>
      <w:noProof/>
      <w:sz w:val="22"/>
      <w:szCs w:val="22"/>
      <w:lang w:eastAsia="en-NZ"/>
    </w:rPr>
  </w:style>
  <w:style w:type="paragraph" w:styleId="TOC4">
    <w:name w:val="toc 4"/>
    <w:basedOn w:val="Normal"/>
    <w:next w:val="Normal"/>
    <w:autoRedefine/>
    <w:uiPriority w:val="39"/>
    <w:unhideWhenUsed/>
    <w:rsid w:val="00277208"/>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277208"/>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277208"/>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277208"/>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277208"/>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277208"/>
    <w:pPr>
      <w:spacing w:after="100" w:line="276" w:lineRule="auto"/>
      <w:ind w:left="1760"/>
    </w:pPr>
    <w:rPr>
      <w:rFonts w:asciiTheme="minorHAnsi" w:eastAsiaTheme="minorEastAsia" w:hAnsiTheme="minorHAnsi" w:cstheme="minorBidi"/>
      <w:sz w:val="22"/>
      <w:szCs w:val="22"/>
      <w:lang w:eastAsia="en-NZ"/>
    </w:rPr>
  </w:style>
  <w:style w:type="character" w:customStyle="1" w:styleId="Heading2Char">
    <w:name w:val="Heading 2 Char"/>
    <w:basedOn w:val="DefaultParagraphFont"/>
    <w:link w:val="Heading2"/>
    <w:rsid w:val="00632CB1"/>
    <w:rPr>
      <w:rFonts w:ascii="Arial" w:hAnsi="Arial" w:cs="Arial"/>
      <w:b/>
      <w:bCs/>
      <w:sz w:val="24"/>
      <w:lang w:eastAsia="en-US"/>
    </w:rPr>
  </w:style>
  <w:style w:type="paragraph" w:styleId="BodyTextIndent3">
    <w:name w:val="Body Text Indent 3"/>
    <w:basedOn w:val="Normal"/>
    <w:link w:val="BodyTextIndent3Char"/>
    <w:uiPriority w:val="99"/>
    <w:semiHidden/>
    <w:unhideWhenUsed/>
    <w:rsid w:val="00842DA1"/>
    <w:pPr>
      <w:ind w:left="283"/>
    </w:pPr>
    <w:rPr>
      <w:sz w:val="16"/>
      <w:szCs w:val="16"/>
    </w:rPr>
  </w:style>
  <w:style w:type="character" w:customStyle="1" w:styleId="BodyTextIndent3Char">
    <w:name w:val="Body Text Indent 3 Char"/>
    <w:basedOn w:val="DefaultParagraphFont"/>
    <w:link w:val="BodyTextIndent3"/>
    <w:uiPriority w:val="99"/>
    <w:semiHidden/>
    <w:rsid w:val="00842DA1"/>
    <w:rPr>
      <w:sz w:val="16"/>
      <w:szCs w:val="16"/>
      <w:lang w:eastAsia="en-US"/>
    </w:rPr>
  </w:style>
  <w:style w:type="character" w:customStyle="1" w:styleId="Heading3Char">
    <w:name w:val="Heading 3 Char"/>
    <w:basedOn w:val="DefaultParagraphFont"/>
    <w:link w:val="Heading3"/>
    <w:rsid w:val="008211F6"/>
    <w:rPr>
      <w:rFonts w:ascii="Arial" w:hAnsi="Arial"/>
      <w:b/>
      <w:sz w:val="22"/>
      <w:lang w:eastAsia="en-US"/>
    </w:rPr>
  </w:style>
  <w:style w:type="character" w:styleId="PlaceholderText">
    <w:name w:val="Placeholder Text"/>
    <w:basedOn w:val="DefaultParagraphFont"/>
    <w:uiPriority w:val="99"/>
    <w:semiHidden/>
    <w:rsid w:val="00BA4FB0"/>
    <w:rPr>
      <w:color w:val="808080"/>
    </w:rPr>
  </w:style>
  <w:style w:type="paragraph" w:styleId="BodyText2">
    <w:name w:val="Body Text 2"/>
    <w:basedOn w:val="Normal"/>
    <w:link w:val="BodyText2Char"/>
    <w:uiPriority w:val="99"/>
    <w:semiHidden/>
    <w:unhideWhenUsed/>
    <w:rsid w:val="00C94E66"/>
    <w:pPr>
      <w:spacing w:line="480" w:lineRule="auto"/>
    </w:pPr>
  </w:style>
  <w:style w:type="character" w:customStyle="1" w:styleId="BodyText2Char">
    <w:name w:val="Body Text 2 Char"/>
    <w:basedOn w:val="DefaultParagraphFont"/>
    <w:link w:val="BodyText2"/>
    <w:uiPriority w:val="99"/>
    <w:semiHidden/>
    <w:rsid w:val="00C94E66"/>
    <w:rPr>
      <w:lang w:eastAsia="en-US"/>
    </w:rPr>
  </w:style>
  <w:style w:type="character" w:styleId="CommentReference">
    <w:name w:val="annotation reference"/>
    <w:basedOn w:val="DefaultParagraphFont"/>
    <w:uiPriority w:val="99"/>
    <w:semiHidden/>
    <w:unhideWhenUsed/>
    <w:rsid w:val="00C44410"/>
    <w:rPr>
      <w:sz w:val="16"/>
      <w:szCs w:val="16"/>
    </w:rPr>
  </w:style>
  <w:style w:type="paragraph" w:styleId="CommentText">
    <w:name w:val="annotation text"/>
    <w:basedOn w:val="Normal"/>
    <w:link w:val="CommentTextChar"/>
    <w:uiPriority w:val="99"/>
    <w:unhideWhenUsed/>
    <w:rsid w:val="00C44410"/>
  </w:style>
  <w:style w:type="character" w:customStyle="1" w:styleId="CommentTextChar">
    <w:name w:val="Comment Text Char"/>
    <w:basedOn w:val="DefaultParagraphFont"/>
    <w:link w:val="CommentText"/>
    <w:uiPriority w:val="99"/>
    <w:rsid w:val="00C44410"/>
    <w:rPr>
      <w:lang w:eastAsia="en-US"/>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lang w:eastAsia="en-US"/>
    </w:rPr>
  </w:style>
  <w:style w:type="paragraph" w:styleId="Bibliography">
    <w:name w:val="Bibliography"/>
    <w:basedOn w:val="Normal"/>
    <w:next w:val="Normal"/>
    <w:uiPriority w:val="37"/>
    <w:unhideWhenUsed/>
    <w:rsid w:val="00EC71F1"/>
  </w:style>
  <w:style w:type="paragraph" w:styleId="Revision">
    <w:name w:val="Revision"/>
    <w:hidden/>
    <w:uiPriority w:val="99"/>
    <w:semiHidden/>
    <w:rsid w:val="00B360A3"/>
    <w:rPr>
      <w:lang w:eastAsia="en-US"/>
    </w:rPr>
  </w:style>
  <w:style w:type="table" w:customStyle="1" w:styleId="TableGrid1">
    <w:name w:val="Table Grid1"/>
    <w:basedOn w:val="TableNormal"/>
    <w:next w:val="TableGrid"/>
    <w:uiPriority w:val="59"/>
    <w:rsid w:val="00873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64BA"/>
    <w:rPr>
      <w:color w:val="800080" w:themeColor="followedHyperlink"/>
      <w:u w:val="single"/>
    </w:rPr>
  </w:style>
  <w:style w:type="character" w:customStyle="1" w:styleId="HeaderChar">
    <w:name w:val="Header Char"/>
    <w:basedOn w:val="DefaultParagraphFont"/>
    <w:link w:val="Header"/>
    <w:rsid w:val="006761D2"/>
    <w:rPr>
      <w:lang w:eastAsia="en-US"/>
    </w:rPr>
  </w:style>
  <w:style w:type="character" w:customStyle="1" w:styleId="BalloonTextChar">
    <w:name w:val="Balloon Text Char"/>
    <w:basedOn w:val="DefaultParagraphFont"/>
    <w:link w:val="BalloonText"/>
    <w:semiHidden/>
    <w:rsid w:val="006761D2"/>
    <w:rPr>
      <w:rFonts w:ascii="Tahoma" w:hAnsi="Tahoma" w:cs="Tahoma"/>
      <w:sz w:val="16"/>
      <w:szCs w:val="16"/>
      <w:lang w:eastAsia="en-US"/>
    </w:rPr>
  </w:style>
  <w:style w:type="character" w:customStyle="1" w:styleId="EndnoteTextChar">
    <w:name w:val="Endnote Text Char"/>
    <w:basedOn w:val="DefaultParagraphFont"/>
    <w:link w:val="EndnoteText"/>
    <w:semiHidden/>
    <w:rsid w:val="006761D2"/>
    <w:rPr>
      <w:lang w:eastAsia="en-US"/>
    </w:rPr>
  </w:style>
  <w:style w:type="paragraph" w:customStyle="1" w:styleId="Default">
    <w:name w:val="Default"/>
    <w:rsid w:val="00352E25"/>
    <w:pPr>
      <w:autoSpaceDE w:val="0"/>
      <w:autoSpaceDN w:val="0"/>
      <w:adjustRightInd w:val="0"/>
    </w:pPr>
    <w:rPr>
      <w:color w:val="000000"/>
      <w:sz w:val="24"/>
      <w:szCs w:val="24"/>
    </w:rPr>
  </w:style>
  <w:style w:type="character" w:styleId="Mention">
    <w:name w:val="Mention"/>
    <w:basedOn w:val="DefaultParagraphFont"/>
    <w:uiPriority w:val="99"/>
    <w:unhideWhenUsed/>
    <w:rsid w:val="00C14D6C"/>
    <w:rPr>
      <w:color w:val="2B579A"/>
      <w:shd w:val="clear" w:color="auto" w:fill="E1DFDD"/>
    </w:rPr>
  </w:style>
  <w:style w:type="character" w:styleId="UnresolvedMention">
    <w:name w:val="Unresolved Mention"/>
    <w:basedOn w:val="DefaultParagraphFont"/>
    <w:uiPriority w:val="99"/>
    <w:semiHidden/>
    <w:unhideWhenUsed/>
    <w:rsid w:val="00AC7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391">
      <w:bodyDiv w:val="1"/>
      <w:marLeft w:val="0"/>
      <w:marRight w:val="0"/>
      <w:marTop w:val="0"/>
      <w:marBottom w:val="0"/>
      <w:divBdr>
        <w:top w:val="none" w:sz="0" w:space="0" w:color="auto"/>
        <w:left w:val="none" w:sz="0" w:space="0" w:color="auto"/>
        <w:bottom w:val="none" w:sz="0" w:space="0" w:color="auto"/>
        <w:right w:val="none" w:sz="0" w:space="0" w:color="auto"/>
      </w:divBdr>
    </w:div>
    <w:div w:id="9727631">
      <w:bodyDiv w:val="1"/>
      <w:marLeft w:val="0"/>
      <w:marRight w:val="0"/>
      <w:marTop w:val="0"/>
      <w:marBottom w:val="0"/>
      <w:divBdr>
        <w:top w:val="none" w:sz="0" w:space="0" w:color="auto"/>
        <w:left w:val="none" w:sz="0" w:space="0" w:color="auto"/>
        <w:bottom w:val="none" w:sz="0" w:space="0" w:color="auto"/>
        <w:right w:val="none" w:sz="0" w:space="0" w:color="auto"/>
      </w:divBdr>
    </w:div>
    <w:div w:id="18631172">
      <w:bodyDiv w:val="1"/>
      <w:marLeft w:val="0"/>
      <w:marRight w:val="0"/>
      <w:marTop w:val="0"/>
      <w:marBottom w:val="0"/>
      <w:divBdr>
        <w:top w:val="none" w:sz="0" w:space="0" w:color="auto"/>
        <w:left w:val="none" w:sz="0" w:space="0" w:color="auto"/>
        <w:bottom w:val="none" w:sz="0" w:space="0" w:color="auto"/>
        <w:right w:val="none" w:sz="0" w:space="0" w:color="auto"/>
      </w:divBdr>
    </w:div>
    <w:div w:id="31537735">
      <w:bodyDiv w:val="1"/>
      <w:marLeft w:val="0"/>
      <w:marRight w:val="0"/>
      <w:marTop w:val="0"/>
      <w:marBottom w:val="0"/>
      <w:divBdr>
        <w:top w:val="none" w:sz="0" w:space="0" w:color="auto"/>
        <w:left w:val="none" w:sz="0" w:space="0" w:color="auto"/>
        <w:bottom w:val="none" w:sz="0" w:space="0" w:color="auto"/>
        <w:right w:val="none" w:sz="0" w:space="0" w:color="auto"/>
      </w:divBdr>
    </w:div>
    <w:div w:id="35401269">
      <w:bodyDiv w:val="1"/>
      <w:marLeft w:val="0"/>
      <w:marRight w:val="0"/>
      <w:marTop w:val="0"/>
      <w:marBottom w:val="0"/>
      <w:divBdr>
        <w:top w:val="none" w:sz="0" w:space="0" w:color="auto"/>
        <w:left w:val="none" w:sz="0" w:space="0" w:color="auto"/>
        <w:bottom w:val="none" w:sz="0" w:space="0" w:color="auto"/>
        <w:right w:val="none" w:sz="0" w:space="0" w:color="auto"/>
      </w:divBdr>
    </w:div>
    <w:div w:id="44914322">
      <w:bodyDiv w:val="1"/>
      <w:marLeft w:val="0"/>
      <w:marRight w:val="0"/>
      <w:marTop w:val="0"/>
      <w:marBottom w:val="0"/>
      <w:divBdr>
        <w:top w:val="none" w:sz="0" w:space="0" w:color="auto"/>
        <w:left w:val="none" w:sz="0" w:space="0" w:color="auto"/>
        <w:bottom w:val="none" w:sz="0" w:space="0" w:color="auto"/>
        <w:right w:val="none" w:sz="0" w:space="0" w:color="auto"/>
      </w:divBdr>
    </w:div>
    <w:div w:id="52655880">
      <w:bodyDiv w:val="1"/>
      <w:marLeft w:val="0"/>
      <w:marRight w:val="0"/>
      <w:marTop w:val="0"/>
      <w:marBottom w:val="0"/>
      <w:divBdr>
        <w:top w:val="none" w:sz="0" w:space="0" w:color="auto"/>
        <w:left w:val="none" w:sz="0" w:space="0" w:color="auto"/>
        <w:bottom w:val="none" w:sz="0" w:space="0" w:color="auto"/>
        <w:right w:val="none" w:sz="0" w:space="0" w:color="auto"/>
      </w:divBdr>
    </w:div>
    <w:div w:id="129829460">
      <w:bodyDiv w:val="1"/>
      <w:marLeft w:val="0"/>
      <w:marRight w:val="0"/>
      <w:marTop w:val="0"/>
      <w:marBottom w:val="0"/>
      <w:divBdr>
        <w:top w:val="none" w:sz="0" w:space="0" w:color="auto"/>
        <w:left w:val="none" w:sz="0" w:space="0" w:color="auto"/>
        <w:bottom w:val="none" w:sz="0" w:space="0" w:color="auto"/>
        <w:right w:val="none" w:sz="0" w:space="0" w:color="auto"/>
      </w:divBdr>
    </w:div>
    <w:div w:id="138501954">
      <w:bodyDiv w:val="1"/>
      <w:marLeft w:val="0"/>
      <w:marRight w:val="0"/>
      <w:marTop w:val="0"/>
      <w:marBottom w:val="0"/>
      <w:divBdr>
        <w:top w:val="none" w:sz="0" w:space="0" w:color="auto"/>
        <w:left w:val="none" w:sz="0" w:space="0" w:color="auto"/>
        <w:bottom w:val="none" w:sz="0" w:space="0" w:color="auto"/>
        <w:right w:val="none" w:sz="0" w:space="0" w:color="auto"/>
      </w:divBdr>
    </w:div>
    <w:div w:id="145821774">
      <w:bodyDiv w:val="1"/>
      <w:marLeft w:val="0"/>
      <w:marRight w:val="0"/>
      <w:marTop w:val="0"/>
      <w:marBottom w:val="0"/>
      <w:divBdr>
        <w:top w:val="none" w:sz="0" w:space="0" w:color="auto"/>
        <w:left w:val="none" w:sz="0" w:space="0" w:color="auto"/>
        <w:bottom w:val="none" w:sz="0" w:space="0" w:color="auto"/>
        <w:right w:val="none" w:sz="0" w:space="0" w:color="auto"/>
      </w:divBdr>
    </w:div>
    <w:div w:id="150297235">
      <w:bodyDiv w:val="1"/>
      <w:marLeft w:val="0"/>
      <w:marRight w:val="0"/>
      <w:marTop w:val="0"/>
      <w:marBottom w:val="0"/>
      <w:divBdr>
        <w:top w:val="none" w:sz="0" w:space="0" w:color="auto"/>
        <w:left w:val="none" w:sz="0" w:space="0" w:color="auto"/>
        <w:bottom w:val="none" w:sz="0" w:space="0" w:color="auto"/>
        <w:right w:val="none" w:sz="0" w:space="0" w:color="auto"/>
      </w:divBdr>
    </w:div>
    <w:div w:id="154499162">
      <w:bodyDiv w:val="1"/>
      <w:marLeft w:val="0"/>
      <w:marRight w:val="0"/>
      <w:marTop w:val="0"/>
      <w:marBottom w:val="0"/>
      <w:divBdr>
        <w:top w:val="none" w:sz="0" w:space="0" w:color="auto"/>
        <w:left w:val="none" w:sz="0" w:space="0" w:color="auto"/>
        <w:bottom w:val="none" w:sz="0" w:space="0" w:color="auto"/>
        <w:right w:val="none" w:sz="0" w:space="0" w:color="auto"/>
      </w:divBdr>
    </w:div>
    <w:div w:id="169292904">
      <w:bodyDiv w:val="1"/>
      <w:marLeft w:val="0"/>
      <w:marRight w:val="0"/>
      <w:marTop w:val="0"/>
      <w:marBottom w:val="0"/>
      <w:divBdr>
        <w:top w:val="none" w:sz="0" w:space="0" w:color="auto"/>
        <w:left w:val="none" w:sz="0" w:space="0" w:color="auto"/>
        <w:bottom w:val="none" w:sz="0" w:space="0" w:color="auto"/>
        <w:right w:val="none" w:sz="0" w:space="0" w:color="auto"/>
      </w:divBdr>
    </w:div>
    <w:div w:id="212085783">
      <w:bodyDiv w:val="1"/>
      <w:marLeft w:val="0"/>
      <w:marRight w:val="0"/>
      <w:marTop w:val="0"/>
      <w:marBottom w:val="0"/>
      <w:divBdr>
        <w:top w:val="none" w:sz="0" w:space="0" w:color="auto"/>
        <w:left w:val="none" w:sz="0" w:space="0" w:color="auto"/>
        <w:bottom w:val="none" w:sz="0" w:space="0" w:color="auto"/>
        <w:right w:val="none" w:sz="0" w:space="0" w:color="auto"/>
      </w:divBdr>
    </w:div>
    <w:div w:id="214124284">
      <w:bodyDiv w:val="1"/>
      <w:marLeft w:val="0"/>
      <w:marRight w:val="0"/>
      <w:marTop w:val="0"/>
      <w:marBottom w:val="0"/>
      <w:divBdr>
        <w:top w:val="none" w:sz="0" w:space="0" w:color="auto"/>
        <w:left w:val="none" w:sz="0" w:space="0" w:color="auto"/>
        <w:bottom w:val="none" w:sz="0" w:space="0" w:color="auto"/>
        <w:right w:val="none" w:sz="0" w:space="0" w:color="auto"/>
      </w:divBdr>
    </w:div>
    <w:div w:id="217787100">
      <w:bodyDiv w:val="1"/>
      <w:marLeft w:val="0"/>
      <w:marRight w:val="0"/>
      <w:marTop w:val="0"/>
      <w:marBottom w:val="0"/>
      <w:divBdr>
        <w:top w:val="none" w:sz="0" w:space="0" w:color="auto"/>
        <w:left w:val="none" w:sz="0" w:space="0" w:color="auto"/>
        <w:bottom w:val="none" w:sz="0" w:space="0" w:color="auto"/>
        <w:right w:val="none" w:sz="0" w:space="0" w:color="auto"/>
      </w:divBdr>
    </w:div>
    <w:div w:id="239144346">
      <w:bodyDiv w:val="1"/>
      <w:marLeft w:val="0"/>
      <w:marRight w:val="0"/>
      <w:marTop w:val="0"/>
      <w:marBottom w:val="0"/>
      <w:divBdr>
        <w:top w:val="none" w:sz="0" w:space="0" w:color="auto"/>
        <w:left w:val="none" w:sz="0" w:space="0" w:color="auto"/>
        <w:bottom w:val="none" w:sz="0" w:space="0" w:color="auto"/>
        <w:right w:val="none" w:sz="0" w:space="0" w:color="auto"/>
      </w:divBdr>
    </w:div>
    <w:div w:id="240726053">
      <w:bodyDiv w:val="1"/>
      <w:marLeft w:val="0"/>
      <w:marRight w:val="0"/>
      <w:marTop w:val="0"/>
      <w:marBottom w:val="0"/>
      <w:divBdr>
        <w:top w:val="none" w:sz="0" w:space="0" w:color="auto"/>
        <w:left w:val="none" w:sz="0" w:space="0" w:color="auto"/>
        <w:bottom w:val="none" w:sz="0" w:space="0" w:color="auto"/>
        <w:right w:val="none" w:sz="0" w:space="0" w:color="auto"/>
      </w:divBdr>
    </w:div>
    <w:div w:id="245498604">
      <w:bodyDiv w:val="1"/>
      <w:marLeft w:val="0"/>
      <w:marRight w:val="0"/>
      <w:marTop w:val="0"/>
      <w:marBottom w:val="0"/>
      <w:divBdr>
        <w:top w:val="none" w:sz="0" w:space="0" w:color="auto"/>
        <w:left w:val="none" w:sz="0" w:space="0" w:color="auto"/>
        <w:bottom w:val="none" w:sz="0" w:space="0" w:color="auto"/>
        <w:right w:val="none" w:sz="0" w:space="0" w:color="auto"/>
      </w:divBdr>
    </w:div>
    <w:div w:id="255285994">
      <w:bodyDiv w:val="1"/>
      <w:marLeft w:val="0"/>
      <w:marRight w:val="0"/>
      <w:marTop w:val="0"/>
      <w:marBottom w:val="0"/>
      <w:divBdr>
        <w:top w:val="none" w:sz="0" w:space="0" w:color="auto"/>
        <w:left w:val="none" w:sz="0" w:space="0" w:color="auto"/>
        <w:bottom w:val="none" w:sz="0" w:space="0" w:color="auto"/>
        <w:right w:val="none" w:sz="0" w:space="0" w:color="auto"/>
      </w:divBdr>
    </w:div>
    <w:div w:id="269435668">
      <w:bodyDiv w:val="1"/>
      <w:marLeft w:val="0"/>
      <w:marRight w:val="0"/>
      <w:marTop w:val="0"/>
      <w:marBottom w:val="0"/>
      <w:divBdr>
        <w:top w:val="none" w:sz="0" w:space="0" w:color="auto"/>
        <w:left w:val="none" w:sz="0" w:space="0" w:color="auto"/>
        <w:bottom w:val="none" w:sz="0" w:space="0" w:color="auto"/>
        <w:right w:val="none" w:sz="0" w:space="0" w:color="auto"/>
      </w:divBdr>
    </w:div>
    <w:div w:id="274606031">
      <w:bodyDiv w:val="1"/>
      <w:marLeft w:val="0"/>
      <w:marRight w:val="0"/>
      <w:marTop w:val="0"/>
      <w:marBottom w:val="0"/>
      <w:divBdr>
        <w:top w:val="none" w:sz="0" w:space="0" w:color="auto"/>
        <w:left w:val="none" w:sz="0" w:space="0" w:color="auto"/>
        <w:bottom w:val="none" w:sz="0" w:space="0" w:color="auto"/>
        <w:right w:val="none" w:sz="0" w:space="0" w:color="auto"/>
      </w:divBdr>
    </w:div>
    <w:div w:id="309943380">
      <w:bodyDiv w:val="1"/>
      <w:marLeft w:val="0"/>
      <w:marRight w:val="0"/>
      <w:marTop w:val="0"/>
      <w:marBottom w:val="0"/>
      <w:divBdr>
        <w:top w:val="none" w:sz="0" w:space="0" w:color="auto"/>
        <w:left w:val="none" w:sz="0" w:space="0" w:color="auto"/>
        <w:bottom w:val="none" w:sz="0" w:space="0" w:color="auto"/>
        <w:right w:val="none" w:sz="0" w:space="0" w:color="auto"/>
      </w:divBdr>
    </w:div>
    <w:div w:id="313413670">
      <w:bodyDiv w:val="1"/>
      <w:marLeft w:val="0"/>
      <w:marRight w:val="0"/>
      <w:marTop w:val="0"/>
      <w:marBottom w:val="0"/>
      <w:divBdr>
        <w:top w:val="none" w:sz="0" w:space="0" w:color="auto"/>
        <w:left w:val="none" w:sz="0" w:space="0" w:color="auto"/>
        <w:bottom w:val="none" w:sz="0" w:space="0" w:color="auto"/>
        <w:right w:val="none" w:sz="0" w:space="0" w:color="auto"/>
      </w:divBdr>
    </w:div>
    <w:div w:id="332490022">
      <w:bodyDiv w:val="1"/>
      <w:marLeft w:val="0"/>
      <w:marRight w:val="0"/>
      <w:marTop w:val="0"/>
      <w:marBottom w:val="0"/>
      <w:divBdr>
        <w:top w:val="none" w:sz="0" w:space="0" w:color="auto"/>
        <w:left w:val="none" w:sz="0" w:space="0" w:color="auto"/>
        <w:bottom w:val="none" w:sz="0" w:space="0" w:color="auto"/>
        <w:right w:val="none" w:sz="0" w:space="0" w:color="auto"/>
      </w:divBdr>
    </w:div>
    <w:div w:id="342780296">
      <w:bodyDiv w:val="1"/>
      <w:marLeft w:val="0"/>
      <w:marRight w:val="0"/>
      <w:marTop w:val="0"/>
      <w:marBottom w:val="0"/>
      <w:divBdr>
        <w:top w:val="none" w:sz="0" w:space="0" w:color="auto"/>
        <w:left w:val="none" w:sz="0" w:space="0" w:color="auto"/>
        <w:bottom w:val="none" w:sz="0" w:space="0" w:color="auto"/>
        <w:right w:val="none" w:sz="0" w:space="0" w:color="auto"/>
      </w:divBdr>
    </w:div>
    <w:div w:id="358163107">
      <w:bodyDiv w:val="1"/>
      <w:marLeft w:val="0"/>
      <w:marRight w:val="0"/>
      <w:marTop w:val="0"/>
      <w:marBottom w:val="0"/>
      <w:divBdr>
        <w:top w:val="none" w:sz="0" w:space="0" w:color="auto"/>
        <w:left w:val="none" w:sz="0" w:space="0" w:color="auto"/>
        <w:bottom w:val="none" w:sz="0" w:space="0" w:color="auto"/>
        <w:right w:val="none" w:sz="0" w:space="0" w:color="auto"/>
      </w:divBdr>
    </w:div>
    <w:div w:id="367724430">
      <w:bodyDiv w:val="1"/>
      <w:marLeft w:val="0"/>
      <w:marRight w:val="0"/>
      <w:marTop w:val="0"/>
      <w:marBottom w:val="0"/>
      <w:divBdr>
        <w:top w:val="none" w:sz="0" w:space="0" w:color="auto"/>
        <w:left w:val="none" w:sz="0" w:space="0" w:color="auto"/>
        <w:bottom w:val="none" w:sz="0" w:space="0" w:color="auto"/>
        <w:right w:val="none" w:sz="0" w:space="0" w:color="auto"/>
      </w:divBdr>
    </w:div>
    <w:div w:id="378208662">
      <w:bodyDiv w:val="1"/>
      <w:marLeft w:val="0"/>
      <w:marRight w:val="0"/>
      <w:marTop w:val="0"/>
      <w:marBottom w:val="0"/>
      <w:divBdr>
        <w:top w:val="none" w:sz="0" w:space="0" w:color="auto"/>
        <w:left w:val="none" w:sz="0" w:space="0" w:color="auto"/>
        <w:bottom w:val="none" w:sz="0" w:space="0" w:color="auto"/>
        <w:right w:val="none" w:sz="0" w:space="0" w:color="auto"/>
      </w:divBdr>
    </w:div>
    <w:div w:id="385960003">
      <w:bodyDiv w:val="1"/>
      <w:marLeft w:val="0"/>
      <w:marRight w:val="0"/>
      <w:marTop w:val="0"/>
      <w:marBottom w:val="0"/>
      <w:divBdr>
        <w:top w:val="none" w:sz="0" w:space="0" w:color="auto"/>
        <w:left w:val="none" w:sz="0" w:space="0" w:color="auto"/>
        <w:bottom w:val="none" w:sz="0" w:space="0" w:color="auto"/>
        <w:right w:val="none" w:sz="0" w:space="0" w:color="auto"/>
      </w:divBdr>
    </w:div>
    <w:div w:id="397020910">
      <w:bodyDiv w:val="1"/>
      <w:marLeft w:val="0"/>
      <w:marRight w:val="0"/>
      <w:marTop w:val="0"/>
      <w:marBottom w:val="0"/>
      <w:divBdr>
        <w:top w:val="none" w:sz="0" w:space="0" w:color="auto"/>
        <w:left w:val="none" w:sz="0" w:space="0" w:color="auto"/>
        <w:bottom w:val="none" w:sz="0" w:space="0" w:color="auto"/>
        <w:right w:val="none" w:sz="0" w:space="0" w:color="auto"/>
      </w:divBdr>
    </w:div>
    <w:div w:id="401635217">
      <w:bodyDiv w:val="1"/>
      <w:marLeft w:val="0"/>
      <w:marRight w:val="0"/>
      <w:marTop w:val="0"/>
      <w:marBottom w:val="0"/>
      <w:divBdr>
        <w:top w:val="none" w:sz="0" w:space="0" w:color="auto"/>
        <w:left w:val="none" w:sz="0" w:space="0" w:color="auto"/>
        <w:bottom w:val="none" w:sz="0" w:space="0" w:color="auto"/>
        <w:right w:val="none" w:sz="0" w:space="0" w:color="auto"/>
      </w:divBdr>
    </w:div>
    <w:div w:id="416486752">
      <w:bodyDiv w:val="1"/>
      <w:marLeft w:val="0"/>
      <w:marRight w:val="0"/>
      <w:marTop w:val="0"/>
      <w:marBottom w:val="0"/>
      <w:divBdr>
        <w:top w:val="none" w:sz="0" w:space="0" w:color="auto"/>
        <w:left w:val="none" w:sz="0" w:space="0" w:color="auto"/>
        <w:bottom w:val="none" w:sz="0" w:space="0" w:color="auto"/>
        <w:right w:val="none" w:sz="0" w:space="0" w:color="auto"/>
      </w:divBdr>
    </w:div>
    <w:div w:id="421336127">
      <w:bodyDiv w:val="1"/>
      <w:marLeft w:val="0"/>
      <w:marRight w:val="0"/>
      <w:marTop w:val="0"/>
      <w:marBottom w:val="0"/>
      <w:divBdr>
        <w:top w:val="none" w:sz="0" w:space="0" w:color="auto"/>
        <w:left w:val="none" w:sz="0" w:space="0" w:color="auto"/>
        <w:bottom w:val="none" w:sz="0" w:space="0" w:color="auto"/>
        <w:right w:val="none" w:sz="0" w:space="0" w:color="auto"/>
      </w:divBdr>
    </w:div>
    <w:div w:id="423109955">
      <w:bodyDiv w:val="1"/>
      <w:marLeft w:val="0"/>
      <w:marRight w:val="0"/>
      <w:marTop w:val="0"/>
      <w:marBottom w:val="0"/>
      <w:divBdr>
        <w:top w:val="none" w:sz="0" w:space="0" w:color="auto"/>
        <w:left w:val="none" w:sz="0" w:space="0" w:color="auto"/>
        <w:bottom w:val="none" w:sz="0" w:space="0" w:color="auto"/>
        <w:right w:val="none" w:sz="0" w:space="0" w:color="auto"/>
      </w:divBdr>
    </w:div>
    <w:div w:id="429619289">
      <w:bodyDiv w:val="1"/>
      <w:marLeft w:val="0"/>
      <w:marRight w:val="0"/>
      <w:marTop w:val="0"/>
      <w:marBottom w:val="0"/>
      <w:divBdr>
        <w:top w:val="none" w:sz="0" w:space="0" w:color="auto"/>
        <w:left w:val="none" w:sz="0" w:space="0" w:color="auto"/>
        <w:bottom w:val="none" w:sz="0" w:space="0" w:color="auto"/>
        <w:right w:val="none" w:sz="0" w:space="0" w:color="auto"/>
      </w:divBdr>
    </w:div>
    <w:div w:id="437985958">
      <w:bodyDiv w:val="1"/>
      <w:marLeft w:val="0"/>
      <w:marRight w:val="0"/>
      <w:marTop w:val="0"/>
      <w:marBottom w:val="0"/>
      <w:divBdr>
        <w:top w:val="none" w:sz="0" w:space="0" w:color="auto"/>
        <w:left w:val="none" w:sz="0" w:space="0" w:color="auto"/>
        <w:bottom w:val="none" w:sz="0" w:space="0" w:color="auto"/>
        <w:right w:val="none" w:sz="0" w:space="0" w:color="auto"/>
      </w:divBdr>
    </w:div>
    <w:div w:id="440997897">
      <w:bodyDiv w:val="1"/>
      <w:marLeft w:val="0"/>
      <w:marRight w:val="0"/>
      <w:marTop w:val="0"/>
      <w:marBottom w:val="0"/>
      <w:divBdr>
        <w:top w:val="none" w:sz="0" w:space="0" w:color="auto"/>
        <w:left w:val="none" w:sz="0" w:space="0" w:color="auto"/>
        <w:bottom w:val="none" w:sz="0" w:space="0" w:color="auto"/>
        <w:right w:val="none" w:sz="0" w:space="0" w:color="auto"/>
      </w:divBdr>
    </w:div>
    <w:div w:id="441653851">
      <w:bodyDiv w:val="1"/>
      <w:marLeft w:val="0"/>
      <w:marRight w:val="0"/>
      <w:marTop w:val="0"/>
      <w:marBottom w:val="0"/>
      <w:divBdr>
        <w:top w:val="none" w:sz="0" w:space="0" w:color="auto"/>
        <w:left w:val="none" w:sz="0" w:space="0" w:color="auto"/>
        <w:bottom w:val="none" w:sz="0" w:space="0" w:color="auto"/>
        <w:right w:val="none" w:sz="0" w:space="0" w:color="auto"/>
      </w:divBdr>
    </w:div>
    <w:div w:id="447701856">
      <w:bodyDiv w:val="1"/>
      <w:marLeft w:val="0"/>
      <w:marRight w:val="0"/>
      <w:marTop w:val="0"/>
      <w:marBottom w:val="0"/>
      <w:divBdr>
        <w:top w:val="none" w:sz="0" w:space="0" w:color="auto"/>
        <w:left w:val="none" w:sz="0" w:space="0" w:color="auto"/>
        <w:bottom w:val="none" w:sz="0" w:space="0" w:color="auto"/>
        <w:right w:val="none" w:sz="0" w:space="0" w:color="auto"/>
      </w:divBdr>
    </w:div>
    <w:div w:id="447941154">
      <w:bodyDiv w:val="1"/>
      <w:marLeft w:val="0"/>
      <w:marRight w:val="0"/>
      <w:marTop w:val="0"/>
      <w:marBottom w:val="0"/>
      <w:divBdr>
        <w:top w:val="none" w:sz="0" w:space="0" w:color="auto"/>
        <w:left w:val="none" w:sz="0" w:space="0" w:color="auto"/>
        <w:bottom w:val="none" w:sz="0" w:space="0" w:color="auto"/>
        <w:right w:val="none" w:sz="0" w:space="0" w:color="auto"/>
      </w:divBdr>
    </w:div>
    <w:div w:id="456410865">
      <w:bodyDiv w:val="1"/>
      <w:marLeft w:val="0"/>
      <w:marRight w:val="0"/>
      <w:marTop w:val="0"/>
      <w:marBottom w:val="0"/>
      <w:divBdr>
        <w:top w:val="none" w:sz="0" w:space="0" w:color="auto"/>
        <w:left w:val="none" w:sz="0" w:space="0" w:color="auto"/>
        <w:bottom w:val="none" w:sz="0" w:space="0" w:color="auto"/>
        <w:right w:val="none" w:sz="0" w:space="0" w:color="auto"/>
      </w:divBdr>
    </w:div>
    <w:div w:id="460152990">
      <w:bodyDiv w:val="1"/>
      <w:marLeft w:val="0"/>
      <w:marRight w:val="0"/>
      <w:marTop w:val="0"/>
      <w:marBottom w:val="0"/>
      <w:divBdr>
        <w:top w:val="none" w:sz="0" w:space="0" w:color="auto"/>
        <w:left w:val="none" w:sz="0" w:space="0" w:color="auto"/>
        <w:bottom w:val="none" w:sz="0" w:space="0" w:color="auto"/>
        <w:right w:val="none" w:sz="0" w:space="0" w:color="auto"/>
      </w:divBdr>
    </w:div>
    <w:div w:id="468977408">
      <w:bodyDiv w:val="1"/>
      <w:marLeft w:val="0"/>
      <w:marRight w:val="0"/>
      <w:marTop w:val="0"/>
      <w:marBottom w:val="0"/>
      <w:divBdr>
        <w:top w:val="none" w:sz="0" w:space="0" w:color="auto"/>
        <w:left w:val="none" w:sz="0" w:space="0" w:color="auto"/>
        <w:bottom w:val="none" w:sz="0" w:space="0" w:color="auto"/>
        <w:right w:val="none" w:sz="0" w:space="0" w:color="auto"/>
      </w:divBdr>
    </w:div>
    <w:div w:id="485168478">
      <w:bodyDiv w:val="1"/>
      <w:marLeft w:val="0"/>
      <w:marRight w:val="0"/>
      <w:marTop w:val="0"/>
      <w:marBottom w:val="0"/>
      <w:divBdr>
        <w:top w:val="none" w:sz="0" w:space="0" w:color="auto"/>
        <w:left w:val="none" w:sz="0" w:space="0" w:color="auto"/>
        <w:bottom w:val="none" w:sz="0" w:space="0" w:color="auto"/>
        <w:right w:val="none" w:sz="0" w:space="0" w:color="auto"/>
      </w:divBdr>
    </w:div>
    <w:div w:id="506947902">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24833323">
      <w:bodyDiv w:val="1"/>
      <w:marLeft w:val="0"/>
      <w:marRight w:val="0"/>
      <w:marTop w:val="0"/>
      <w:marBottom w:val="0"/>
      <w:divBdr>
        <w:top w:val="none" w:sz="0" w:space="0" w:color="auto"/>
        <w:left w:val="none" w:sz="0" w:space="0" w:color="auto"/>
        <w:bottom w:val="none" w:sz="0" w:space="0" w:color="auto"/>
        <w:right w:val="none" w:sz="0" w:space="0" w:color="auto"/>
      </w:divBdr>
    </w:div>
    <w:div w:id="546725544">
      <w:bodyDiv w:val="1"/>
      <w:marLeft w:val="0"/>
      <w:marRight w:val="0"/>
      <w:marTop w:val="0"/>
      <w:marBottom w:val="0"/>
      <w:divBdr>
        <w:top w:val="none" w:sz="0" w:space="0" w:color="auto"/>
        <w:left w:val="none" w:sz="0" w:space="0" w:color="auto"/>
        <w:bottom w:val="none" w:sz="0" w:space="0" w:color="auto"/>
        <w:right w:val="none" w:sz="0" w:space="0" w:color="auto"/>
      </w:divBdr>
    </w:div>
    <w:div w:id="550188312">
      <w:bodyDiv w:val="1"/>
      <w:marLeft w:val="0"/>
      <w:marRight w:val="0"/>
      <w:marTop w:val="0"/>
      <w:marBottom w:val="0"/>
      <w:divBdr>
        <w:top w:val="none" w:sz="0" w:space="0" w:color="auto"/>
        <w:left w:val="none" w:sz="0" w:space="0" w:color="auto"/>
        <w:bottom w:val="none" w:sz="0" w:space="0" w:color="auto"/>
        <w:right w:val="none" w:sz="0" w:space="0" w:color="auto"/>
      </w:divBdr>
    </w:div>
    <w:div w:id="556236376">
      <w:bodyDiv w:val="1"/>
      <w:marLeft w:val="0"/>
      <w:marRight w:val="0"/>
      <w:marTop w:val="0"/>
      <w:marBottom w:val="0"/>
      <w:divBdr>
        <w:top w:val="none" w:sz="0" w:space="0" w:color="auto"/>
        <w:left w:val="none" w:sz="0" w:space="0" w:color="auto"/>
        <w:bottom w:val="none" w:sz="0" w:space="0" w:color="auto"/>
        <w:right w:val="none" w:sz="0" w:space="0" w:color="auto"/>
      </w:divBdr>
    </w:div>
    <w:div w:id="572160594">
      <w:bodyDiv w:val="1"/>
      <w:marLeft w:val="0"/>
      <w:marRight w:val="0"/>
      <w:marTop w:val="0"/>
      <w:marBottom w:val="0"/>
      <w:divBdr>
        <w:top w:val="none" w:sz="0" w:space="0" w:color="auto"/>
        <w:left w:val="none" w:sz="0" w:space="0" w:color="auto"/>
        <w:bottom w:val="none" w:sz="0" w:space="0" w:color="auto"/>
        <w:right w:val="none" w:sz="0" w:space="0" w:color="auto"/>
      </w:divBdr>
    </w:div>
    <w:div w:id="605816229">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
    <w:div w:id="714428264">
      <w:bodyDiv w:val="1"/>
      <w:marLeft w:val="0"/>
      <w:marRight w:val="0"/>
      <w:marTop w:val="0"/>
      <w:marBottom w:val="0"/>
      <w:divBdr>
        <w:top w:val="none" w:sz="0" w:space="0" w:color="auto"/>
        <w:left w:val="none" w:sz="0" w:space="0" w:color="auto"/>
        <w:bottom w:val="none" w:sz="0" w:space="0" w:color="auto"/>
        <w:right w:val="none" w:sz="0" w:space="0" w:color="auto"/>
      </w:divBdr>
    </w:div>
    <w:div w:id="723215996">
      <w:bodyDiv w:val="1"/>
      <w:marLeft w:val="0"/>
      <w:marRight w:val="0"/>
      <w:marTop w:val="0"/>
      <w:marBottom w:val="0"/>
      <w:divBdr>
        <w:top w:val="none" w:sz="0" w:space="0" w:color="auto"/>
        <w:left w:val="none" w:sz="0" w:space="0" w:color="auto"/>
        <w:bottom w:val="none" w:sz="0" w:space="0" w:color="auto"/>
        <w:right w:val="none" w:sz="0" w:space="0" w:color="auto"/>
      </w:divBdr>
    </w:div>
    <w:div w:id="748111739">
      <w:bodyDiv w:val="1"/>
      <w:marLeft w:val="0"/>
      <w:marRight w:val="0"/>
      <w:marTop w:val="0"/>
      <w:marBottom w:val="0"/>
      <w:divBdr>
        <w:top w:val="none" w:sz="0" w:space="0" w:color="auto"/>
        <w:left w:val="none" w:sz="0" w:space="0" w:color="auto"/>
        <w:bottom w:val="none" w:sz="0" w:space="0" w:color="auto"/>
        <w:right w:val="none" w:sz="0" w:space="0" w:color="auto"/>
      </w:divBdr>
    </w:div>
    <w:div w:id="751394782">
      <w:bodyDiv w:val="1"/>
      <w:marLeft w:val="0"/>
      <w:marRight w:val="0"/>
      <w:marTop w:val="0"/>
      <w:marBottom w:val="0"/>
      <w:divBdr>
        <w:top w:val="none" w:sz="0" w:space="0" w:color="auto"/>
        <w:left w:val="none" w:sz="0" w:space="0" w:color="auto"/>
        <w:bottom w:val="none" w:sz="0" w:space="0" w:color="auto"/>
        <w:right w:val="none" w:sz="0" w:space="0" w:color="auto"/>
      </w:divBdr>
    </w:div>
    <w:div w:id="779683421">
      <w:bodyDiv w:val="1"/>
      <w:marLeft w:val="0"/>
      <w:marRight w:val="0"/>
      <w:marTop w:val="0"/>
      <w:marBottom w:val="0"/>
      <w:divBdr>
        <w:top w:val="none" w:sz="0" w:space="0" w:color="auto"/>
        <w:left w:val="none" w:sz="0" w:space="0" w:color="auto"/>
        <w:bottom w:val="none" w:sz="0" w:space="0" w:color="auto"/>
        <w:right w:val="none" w:sz="0" w:space="0" w:color="auto"/>
      </w:divBdr>
    </w:div>
    <w:div w:id="842814577">
      <w:bodyDiv w:val="1"/>
      <w:marLeft w:val="0"/>
      <w:marRight w:val="0"/>
      <w:marTop w:val="0"/>
      <w:marBottom w:val="0"/>
      <w:divBdr>
        <w:top w:val="none" w:sz="0" w:space="0" w:color="auto"/>
        <w:left w:val="none" w:sz="0" w:space="0" w:color="auto"/>
        <w:bottom w:val="none" w:sz="0" w:space="0" w:color="auto"/>
        <w:right w:val="none" w:sz="0" w:space="0" w:color="auto"/>
      </w:divBdr>
    </w:div>
    <w:div w:id="853541713">
      <w:bodyDiv w:val="1"/>
      <w:marLeft w:val="0"/>
      <w:marRight w:val="0"/>
      <w:marTop w:val="0"/>
      <w:marBottom w:val="0"/>
      <w:divBdr>
        <w:top w:val="none" w:sz="0" w:space="0" w:color="auto"/>
        <w:left w:val="none" w:sz="0" w:space="0" w:color="auto"/>
        <w:bottom w:val="none" w:sz="0" w:space="0" w:color="auto"/>
        <w:right w:val="none" w:sz="0" w:space="0" w:color="auto"/>
      </w:divBdr>
      <w:divsChild>
        <w:div w:id="1698778359">
          <w:marLeft w:val="0"/>
          <w:marRight w:val="0"/>
          <w:marTop w:val="0"/>
          <w:marBottom w:val="0"/>
          <w:divBdr>
            <w:top w:val="none" w:sz="0" w:space="0" w:color="auto"/>
            <w:left w:val="none" w:sz="0" w:space="0" w:color="auto"/>
            <w:bottom w:val="none" w:sz="0" w:space="0" w:color="auto"/>
            <w:right w:val="none" w:sz="0" w:space="0" w:color="auto"/>
          </w:divBdr>
          <w:divsChild>
            <w:div w:id="1797215177">
              <w:marLeft w:val="0"/>
              <w:marRight w:val="0"/>
              <w:marTop w:val="0"/>
              <w:marBottom w:val="0"/>
              <w:divBdr>
                <w:top w:val="none" w:sz="0" w:space="0" w:color="auto"/>
                <w:left w:val="none" w:sz="0" w:space="0" w:color="auto"/>
                <w:bottom w:val="none" w:sz="0" w:space="0" w:color="auto"/>
                <w:right w:val="none" w:sz="0" w:space="0" w:color="auto"/>
              </w:divBdr>
              <w:divsChild>
                <w:div w:id="351683755">
                  <w:marLeft w:val="0"/>
                  <w:marRight w:val="0"/>
                  <w:marTop w:val="105"/>
                  <w:marBottom w:val="0"/>
                  <w:divBdr>
                    <w:top w:val="none" w:sz="0" w:space="0" w:color="auto"/>
                    <w:left w:val="none" w:sz="0" w:space="0" w:color="auto"/>
                    <w:bottom w:val="none" w:sz="0" w:space="0" w:color="auto"/>
                    <w:right w:val="none" w:sz="0" w:space="0" w:color="auto"/>
                  </w:divBdr>
                  <w:divsChild>
                    <w:div w:id="1484194947">
                      <w:marLeft w:val="450"/>
                      <w:marRight w:val="225"/>
                      <w:marTop w:val="0"/>
                      <w:marBottom w:val="0"/>
                      <w:divBdr>
                        <w:top w:val="none" w:sz="0" w:space="0" w:color="auto"/>
                        <w:left w:val="none" w:sz="0" w:space="0" w:color="auto"/>
                        <w:bottom w:val="none" w:sz="0" w:space="0" w:color="auto"/>
                        <w:right w:val="none" w:sz="0" w:space="0" w:color="auto"/>
                      </w:divBdr>
                      <w:divsChild>
                        <w:div w:id="2005475609">
                          <w:marLeft w:val="0"/>
                          <w:marRight w:val="0"/>
                          <w:marTop w:val="0"/>
                          <w:marBottom w:val="600"/>
                          <w:divBdr>
                            <w:top w:val="single" w:sz="6" w:space="0" w:color="314664"/>
                            <w:left w:val="single" w:sz="6" w:space="0" w:color="314664"/>
                            <w:bottom w:val="single" w:sz="6" w:space="0" w:color="314664"/>
                            <w:right w:val="single" w:sz="6" w:space="0" w:color="314664"/>
                          </w:divBdr>
                          <w:divsChild>
                            <w:div w:id="1396124661">
                              <w:marLeft w:val="0"/>
                              <w:marRight w:val="0"/>
                              <w:marTop w:val="0"/>
                              <w:marBottom w:val="0"/>
                              <w:divBdr>
                                <w:top w:val="none" w:sz="0" w:space="0" w:color="auto"/>
                                <w:left w:val="none" w:sz="0" w:space="0" w:color="auto"/>
                                <w:bottom w:val="none" w:sz="0" w:space="0" w:color="auto"/>
                                <w:right w:val="none" w:sz="0" w:space="0" w:color="auto"/>
                              </w:divBdr>
                              <w:divsChild>
                                <w:div w:id="1928035539">
                                  <w:marLeft w:val="0"/>
                                  <w:marRight w:val="0"/>
                                  <w:marTop w:val="0"/>
                                  <w:marBottom w:val="0"/>
                                  <w:divBdr>
                                    <w:top w:val="none" w:sz="0" w:space="0" w:color="auto"/>
                                    <w:left w:val="none" w:sz="0" w:space="0" w:color="auto"/>
                                    <w:bottom w:val="none" w:sz="0" w:space="0" w:color="auto"/>
                                    <w:right w:val="none" w:sz="0" w:space="0" w:color="auto"/>
                                  </w:divBdr>
                                  <w:divsChild>
                                    <w:div w:id="1903832343">
                                      <w:marLeft w:val="0"/>
                                      <w:marRight w:val="0"/>
                                      <w:marTop w:val="0"/>
                                      <w:marBottom w:val="0"/>
                                      <w:divBdr>
                                        <w:top w:val="none" w:sz="0" w:space="0" w:color="auto"/>
                                        <w:left w:val="none" w:sz="0" w:space="0" w:color="auto"/>
                                        <w:bottom w:val="none" w:sz="0" w:space="0" w:color="auto"/>
                                        <w:right w:val="none" w:sz="0" w:space="0" w:color="auto"/>
                                      </w:divBdr>
                                      <w:divsChild>
                                        <w:div w:id="1170753187">
                                          <w:marLeft w:val="0"/>
                                          <w:marRight w:val="0"/>
                                          <w:marTop w:val="0"/>
                                          <w:marBottom w:val="0"/>
                                          <w:divBdr>
                                            <w:top w:val="none" w:sz="0" w:space="0" w:color="auto"/>
                                            <w:left w:val="none" w:sz="0" w:space="0" w:color="auto"/>
                                            <w:bottom w:val="none" w:sz="0" w:space="0" w:color="auto"/>
                                            <w:right w:val="none" w:sz="0" w:space="0" w:color="auto"/>
                                          </w:divBdr>
                                          <w:divsChild>
                                            <w:div w:id="1109278646">
                                              <w:marLeft w:val="0"/>
                                              <w:marRight w:val="0"/>
                                              <w:marTop w:val="0"/>
                                              <w:marBottom w:val="0"/>
                                              <w:divBdr>
                                                <w:top w:val="none" w:sz="0" w:space="0" w:color="auto"/>
                                                <w:left w:val="none" w:sz="0" w:space="0" w:color="auto"/>
                                                <w:bottom w:val="none" w:sz="0" w:space="0" w:color="auto"/>
                                                <w:right w:val="none" w:sz="0" w:space="0" w:color="auto"/>
                                              </w:divBdr>
                                              <w:divsChild>
                                                <w:div w:id="1056899194">
                                                  <w:marLeft w:val="0"/>
                                                  <w:marRight w:val="0"/>
                                                  <w:marTop w:val="0"/>
                                                  <w:marBottom w:val="0"/>
                                                  <w:divBdr>
                                                    <w:top w:val="none" w:sz="0" w:space="0" w:color="auto"/>
                                                    <w:left w:val="none" w:sz="0" w:space="0" w:color="auto"/>
                                                    <w:bottom w:val="none" w:sz="0" w:space="0" w:color="auto"/>
                                                    <w:right w:val="none" w:sz="0" w:space="0" w:color="auto"/>
                                                  </w:divBdr>
                                                  <w:divsChild>
                                                    <w:div w:id="874122222">
                                                      <w:marLeft w:val="0"/>
                                                      <w:marRight w:val="0"/>
                                                      <w:marTop w:val="0"/>
                                                      <w:marBottom w:val="0"/>
                                                      <w:divBdr>
                                                        <w:top w:val="none" w:sz="0" w:space="0" w:color="auto"/>
                                                        <w:left w:val="none" w:sz="0" w:space="0" w:color="auto"/>
                                                        <w:bottom w:val="none" w:sz="0" w:space="0" w:color="auto"/>
                                                        <w:right w:val="none" w:sz="0" w:space="0" w:color="auto"/>
                                                      </w:divBdr>
                                                      <w:divsChild>
                                                        <w:div w:id="3529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90790">
      <w:bodyDiv w:val="1"/>
      <w:marLeft w:val="0"/>
      <w:marRight w:val="0"/>
      <w:marTop w:val="0"/>
      <w:marBottom w:val="0"/>
      <w:divBdr>
        <w:top w:val="none" w:sz="0" w:space="0" w:color="auto"/>
        <w:left w:val="none" w:sz="0" w:space="0" w:color="auto"/>
        <w:bottom w:val="none" w:sz="0" w:space="0" w:color="auto"/>
        <w:right w:val="none" w:sz="0" w:space="0" w:color="auto"/>
      </w:divBdr>
    </w:div>
    <w:div w:id="867645051">
      <w:bodyDiv w:val="1"/>
      <w:marLeft w:val="0"/>
      <w:marRight w:val="0"/>
      <w:marTop w:val="0"/>
      <w:marBottom w:val="0"/>
      <w:divBdr>
        <w:top w:val="none" w:sz="0" w:space="0" w:color="auto"/>
        <w:left w:val="none" w:sz="0" w:space="0" w:color="auto"/>
        <w:bottom w:val="none" w:sz="0" w:space="0" w:color="auto"/>
        <w:right w:val="none" w:sz="0" w:space="0" w:color="auto"/>
      </w:divBdr>
    </w:div>
    <w:div w:id="869296831">
      <w:bodyDiv w:val="1"/>
      <w:marLeft w:val="0"/>
      <w:marRight w:val="0"/>
      <w:marTop w:val="0"/>
      <w:marBottom w:val="0"/>
      <w:divBdr>
        <w:top w:val="none" w:sz="0" w:space="0" w:color="auto"/>
        <w:left w:val="none" w:sz="0" w:space="0" w:color="auto"/>
        <w:bottom w:val="none" w:sz="0" w:space="0" w:color="auto"/>
        <w:right w:val="none" w:sz="0" w:space="0" w:color="auto"/>
      </w:divBdr>
    </w:div>
    <w:div w:id="876115433">
      <w:bodyDiv w:val="1"/>
      <w:marLeft w:val="0"/>
      <w:marRight w:val="0"/>
      <w:marTop w:val="0"/>
      <w:marBottom w:val="0"/>
      <w:divBdr>
        <w:top w:val="none" w:sz="0" w:space="0" w:color="auto"/>
        <w:left w:val="none" w:sz="0" w:space="0" w:color="auto"/>
        <w:bottom w:val="none" w:sz="0" w:space="0" w:color="auto"/>
        <w:right w:val="none" w:sz="0" w:space="0" w:color="auto"/>
      </w:divBdr>
    </w:div>
    <w:div w:id="890187989">
      <w:bodyDiv w:val="1"/>
      <w:marLeft w:val="0"/>
      <w:marRight w:val="0"/>
      <w:marTop w:val="0"/>
      <w:marBottom w:val="0"/>
      <w:divBdr>
        <w:top w:val="none" w:sz="0" w:space="0" w:color="auto"/>
        <w:left w:val="none" w:sz="0" w:space="0" w:color="auto"/>
        <w:bottom w:val="none" w:sz="0" w:space="0" w:color="auto"/>
        <w:right w:val="none" w:sz="0" w:space="0" w:color="auto"/>
      </w:divBdr>
      <w:divsChild>
        <w:div w:id="868370719">
          <w:marLeft w:val="0"/>
          <w:marRight w:val="0"/>
          <w:marTop w:val="0"/>
          <w:marBottom w:val="0"/>
          <w:divBdr>
            <w:top w:val="none" w:sz="0" w:space="0" w:color="auto"/>
            <w:left w:val="none" w:sz="0" w:space="0" w:color="auto"/>
            <w:bottom w:val="none" w:sz="0" w:space="0" w:color="auto"/>
            <w:right w:val="none" w:sz="0" w:space="0" w:color="auto"/>
          </w:divBdr>
        </w:div>
        <w:div w:id="920793349">
          <w:marLeft w:val="0"/>
          <w:marRight w:val="0"/>
          <w:marTop w:val="0"/>
          <w:marBottom w:val="0"/>
          <w:divBdr>
            <w:top w:val="none" w:sz="0" w:space="0" w:color="auto"/>
            <w:left w:val="none" w:sz="0" w:space="0" w:color="auto"/>
            <w:bottom w:val="none" w:sz="0" w:space="0" w:color="auto"/>
            <w:right w:val="none" w:sz="0" w:space="0" w:color="auto"/>
          </w:divBdr>
        </w:div>
        <w:div w:id="1408382512">
          <w:marLeft w:val="0"/>
          <w:marRight w:val="0"/>
          <w:marTop w:val="0"/>
          <w:marBottom w:val="0"/>
          <w:divBdr>
            <w:top w:val="none" w:sz="0" w:space="0" w:color="auto"/>
            <w:left w:val="none" w:sz="0" w:space="0" w:color="auto"/>
            <w:bottom w:val="none" w:sz="0" w:space="0" w:color="auto"/>
            <w:right w:val="none" w:sz="0" w:space="0" w:color="auto"/>
          </w:divBdr>
        </w:div>
        <w:div w:id="1940868349">
          <w:marLeft w:val="0"/>
          <w:marRight w:val="0"/>
          <w:marTop w:val="0"/>
          <w:marBottom w:val="0"/>
          <w:divBdr>
            <w:top w:val="none" w:sz="0" w:space="0" w:color="auto"/>
            <w:left w:val="none" w:sz="0" w:space="0" w:color="auto"/>
            <w:bottom w:val="none" w:sz="0" w:space="0" w:color="auto"/>
            <w:right w:val="none" w:sz="0" w:space="0" w:color="auto"/>
          </w:divBdr>
        </w:div>
      </w:divsChild>
    </w:div>
    <w:div w:id="909969307">
      <w:bodyDiv w:val="1"/>
      <w:marLeft w:val="0"/>
      <w:marRight w:val="0"/>
      <w:marTop w:val="0"/>
      <w:marBottom w:val="0"/>
      <w:divBdr>
        <w:top w:val="none" w:sz="0" w:space="0" w:color="auto"/>
        <w:left w:val="none" w:sz="0" w:space="0" w:color="auto"/>
        <w:bottom w:val="none" w:sz="0" w:space="0" w:color="auto"/>
        <w:right w:val="none" w:sz="0" w:space="0" w:color="auto"/>
      </w:divBdr>
    </w:div>
    <w:div w:id="916329814">
      <w:bodyDiv w:val="1"/>
      <w:marLeft w:val="0"/>
      <w:marRight w:val="0"/>
      <w:marTop w:val="0"/>
      <w:marBottom w:val="0"/>
      <w:divBdr>
        <w:top w:val="none" w:sz="0" w:space="0" w:color="auto"/>
        <w:left w:val="none" w:sz="0" w:space="0" w:color="auto"/>
        <w:bottom w:val="none" w:sz="0" w:space="0" w:color="auto"/>
        <w:right w:val="none" w:sz="0" w:space="0" w:color="auto"/>
      </w:divBdr>
    </w:div>
    <w:div w:id="918557128">
      <w:bodyDiv w:val="1"/>
      <w:marLeft w:val="0"/>
      <w:marRight w:val="0"/>
      <w:marTop w:val="0"/>
      <w:marBottom w:val="0"/>
      <w:divBdr>
        <w:top w:val="none" w:sz="0" w:space="0" w:color="auto"/>
        <w:left w:val="none" w:sz="0" w:space="0" w:color="auto"/>
        <w:bottom w:val="none" w:sz="0" w:space="0" w:color="auto"/>
        <w:right w:val="none" w:sz="0" w:space="0" w:color="auto"/>
      </w:divBdr>
    </w:div>
    <w:div w:id="923685179">
      <w:bodyDiv w:val="1"/>
      <w:marLeft w:val="0"/>
      <w:marRight w:val="0"/>
      <w:marTop w:val="0"/>
      <w:marBottom w:val="0"/>
      <w:divBdr>
        <w:top w:val="none" w:sz="0" w:space="0" w:color="auto"/>
        <w:left w:val="none" w:sz="0" w:space="0" w:color="auto"/>
        <w:bottom w:val="none" w:sz="0" w:space="0" w:color="auto"/>
        <w:right w:val="none" w:sz="0" w:space="0" w:color="auto"/>
      </w:divBdr>
    </w:div>
    <w:div w:id="940844012">
      <w:bodyDiv w:val="1"/>
      <w:marLeft w:val="0"/>
      <w:marRight w:val="0"/>
      <w:marTop w:val="0"/>
      <w:marBottom w:val="0"/>
      <w:divBdr>
        <w:top w:val="none" w:sz="0" w:space="0" w:color="auto"/>
        <w:left w:val="none" w:sz="0" w:space="0" w:color="auto"/>
        <w:bottom w:val="none" w:sz="0" w:space="0" w:color="auto"/>
        <w:right w:val="none" w:sz="0" w:space="0" w:color="auto"/>
      </w:divBdr>
    </w:div>
    <w:div w:id="941255067">
      <w:bodyDiv w:val="1"/>
      <w:marLeft w:val="0"/>
      <w:marRight w:val="0"/>
      <w:marTop w:val="0"/>
      <w:marBottom w:val="0"/>
      <w:divBdr>
        <w:top w:val="none" w:sz="0" w:space="0" w:color="auto"/>
        <w:left w:val="none" w:sz="0" w:space="0" w:color="auto"/>
        <w:bottom w:val="none" w:sz="0" w:space="0" w:color="auto"/>
        <w:right w:val="none" w:sz="0" w:space="0" w:color="auto"/>
      </w:divBdr>
    </w:div>
    <w:div w:id="950940230">
      <w:bodyDiv w:val="1"/>
      <w:marLeft w:val="0"/>
      <w:marRight w:val="0"/>
      <w:marTop w:val="0"/>
      <w:marBottom w:val="0"/>
      <w:divBdr>
        <w:top w:val="none" w:sz="0" w:space="0" w:color="auto"/>
        <w:left w:val="none" w:sz="0" w:space="0" w:color="auto"/>
        <w:bottom w:val="none" w:sz="0" w:space="0" w:color="auto"/>
        <w:right w:val="none" w:sz="0" w:space="0" w:color="auto"/>
      </w:divBdr>
    </w:div>
    <w:div w:id="985548433">
      <w:bodyDiv w:val="1"/>
      <w:marLeft w:val="0"/>
      <w:marRight w:val="0"/>
      <w:marTop w:val="0"/>
      <w:marBottom w:val="0"/>
      <w:divBdr>
        <w:top w:val="none" w:sz="0" w:space="0" w:color="auto"/>
        <w:left w:val="none" w:sz="0" w:space="0" w:color="auto"/>
        <w:bottom w:val="none" w:sz="0" w:space="0" w:color="auto"/>
        <w:right w:val="none" w:sz="0" w:space="0" w:color="auto"/>
      </w:divBdr>
    </w:div>
    <w:div w:id="986975151">
      <w:bodyDiv w:val="1"/>
      <w:marLeft w:val="0"/>
      <w:marRight w:val="0"/>
      <w:marTop w:val="0"/>
      <w:marBottom w:val="0"/>
      <w:divBdr>
        <w:top w:val="none" w:sz="0" w:space="0" w:color="auto"/>
        <w:left w:val="none" w:sz="0" w:space="0" w:color="auto"/>
        <w:bottom w:val="none" w:sz="0" w:space="0" w:color="auto"/>
        <w:right w:val="none" w:sz="0" w:space="0" w:color="auto"/>
      </w:divBdr>
    </w:div>
    <w:div w:id="991911390">
      <w:bodyDiv w:val="1"/>
      <w:marLeft w:val="0"/>
      <w:marRight w:val="0"/>
      <w:marTop w:val="0"/>
      <w:marBottom w:val="0"/>
      <w:divBdr>
        <w:top w:val="none" w:sz="0" w:space="0" w:color="auto"/>
        <w:left w:val="none" w:sz="0" w:space="0" w:color="auto"/>
        <w:bottom w:val="none" w:sz="0" w:space="0" w:color="auto"/>
        <w:right w:val="none" w:sz="0" w:space="0" w:color="auto"/>
      </w:divBdr>
    </w:div>
    <w:div w:id="1013456649">
      <w:bodyDiv w:val="1"/>
      <w:marLeft w:val="0"/>
      <w:marRight w:val="0"/>
      <w:marTop w:val="0"/>
      <w:marBottom w:val="0"/>
      <w:divBdr>
        <w:top w:val="none" w:sz="0" w:space="0" w:color="auto"/>
        <w:left w:val="none" w:sz="0" w:space="0" w:color="auto"/>
        <w:bottom w:val="none" w:sz="0" w:space="0" w:color="auto"/>
        <w:right w:val="none" w:sz="0" w:space="0" w:color="auto"/>
      </w:divBdr>
    </w:div>
    <w:div w:id="1016272695">
      <w:bodyDiv w:val="1"/>
      <w:marLeft w:val="0"/>
      <w:marRight w:val="0"/>
      <w:marTop w:val="0"/>
      <w:marBottom w:val="0"/>
      <w:divBdr>
        <w:top w:val="none" w:sz="0" w:space="0" w:color="auto"/>
        <w:left w:val="none" w:sz="0" w:space="0" w:color="auto"/>
        <w:bottom w:val="none" w:sz="0" w:space="0" w:color="auto"/>
        <w:right w:val="none" w:sz="0" w:space="0" w:color="auto"/>
      </w:divBdr>
    </w:div>
    <w:div w:id="1018238317">
      <w:bodyDiv w:val="1"/>
      <w:marLeft w:val="0"/>
      <w:marRight w:val="0"/>
      <w:marTop w:val="0"/>
      <w:marBottom w:val="0"/>
      <w:divBdr>
        <w:top w:val="none" w:sz="0" w:space="0" w:color="auto"/>
        <w:left w:val="none" w:sz="0" w:space="0" w:color="auto"/>
        <w:bottom w:val="none" w:sz="0" w:space="0" w:color="auto"/>
        <w:right w:val="none" w:sz="0" w:space="0" w:color="auto"/>
      </w:divBdr>
    </w:div>
    <w:div w:id="1055082443">
      <w:bodyDiv w:val="1"/>
      <w:marLeft w:val="0"/>
      <w:marRight w:val="0"/>
      <w:marTop w:val="0"/>
      <w:marBottom w:val="0"/>
      <w:divBdr>
        <w:top w:val="none" w:sz="0" w:space="0" w:color="auto"/>
        <w:left w:val="none" w:sz="0" w:space="0" w:color="auto"/>
        <w:bottom w:val="none" w:sz="0" w:space="0" w:color="auto"/>
        <w:right w:val="none" w:sz="0" w:space="0" w:color="auto"/>
      </w:divBdr>
    </w:div>
    <w:div w:id="1075979154">
      <w:bodyDiv w:val="1"/>
      <w:marLeft w:val="0"/>
      <w:marRight w:val="0"/>
      <w:marTop w:val="0"/>
      <w:marBottom w:val="0"/>
      <w:divBdr>
        <w:top w:val="none" w:sz="0" w:space="0" w:color="auto"/>
        <w:left w:val="none" w:sz="0" w:space="0" w:color="auto"/>
        <w:bottom w:val="none" w:sz="0" w:space="0" w:color="auto"/>
        <w:right w:val="none" w:sz="0" w:space="0" w:color="auto"/>
      </w:divBdr>
    </w:div>
    <w:div w:id="1080178853">
      <w:bodyDiv w:val="1"/>
      <w:marLeft w:val="0"/>
      <w:marRight w:val="0"/>
      <w:marTop w:val="0"/>
      <w:marBottom w:val="0"/>
      <w:divBdr>
        <w:top w:val="none" w:sz="0" w:space="0" w:color="auto"/>
        <w:left w:val="none" w:sz="0" w:space="0" w:color="auto"/>
        <w:bottom w:val="none" w:sz="0" w:space="0" w:color="auto"/>
        <w:right w:val="none" w:sz="0" w:space="0" w:color="auto"/>
      </w:divBdr>
    </w:div>
    <w:div w:id="1081830541">
      <w:bodyDiv w:val="1"/>
      <w:marLeft w:val="0"/>
      <w:marRight w:val="0"/>
      <w:marTop w:val="0"/>
      <w:marBottom w:val="0"/>
      <w:divBdr>
        <w:top w:val="none" w:sz="0" w:space="0" w:color="auto"/>
        <w:left w:val="none" w:sz="0" w:space="0" w:color="auto"/>
        <w:bottom w:val="none" w:sz="0" w:space="0" w:color="auto"/>
        <w:right w:val="none" w:sz="0" w:space="0" w:color="auto"/>
      </w:divBdr>
    </w:div>
    <w:div w:id="1087309741">
      <w:bodyDiv w:val="1"/>
      <w:marLeft w:val="0"/>
      <w:marRight w:val="0"/>
      <w:marTop w:val="0"/>
      <w:marBottom w:val="0"/>
      <w:divBdr>
        <w:top w:val="none" w:sz="0" w:space="0" w:color="auto"/>
        <w:left w:val="none" w:sz="0" w:space="0" w:color="auto"/>
        <w:bottom w:val="none" w:sz="0" w:space="0" w:color="auto"/>
        <w:right w:val="none" w:sz="0" w:space="0" w:color="auto"/>
      </w:divBdr>
    </w:div>
    <w:div w:id="1122113052">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142698992">
      <w:bodyDiv w:val="1"/>
      <w:marLeft w:val="0"/>
      <w:marRight w:val="0"/>
      <w:marTop w:val="0"/>
      <w:marBottom w:val="0"/>
      <w:divBdr>
        <w:top w:val="none" w:sz="0" w:space="0" w:color="auto"/>
        <w:left w:val="none" w:sz="0" w:space="0" w:color="auto"/>
        <w:bottom w:val="none" w:sz="0" w:space="0" w:color="auto"/>
        <w:right w:val="none" w:sz="0" w:space="0" w:color="auto"/>
      </w:divBdr>
    </w:div>
    <w:div w:id="1154027550">
      <w:bodyDiv w:val="1"/>
      <w:marLeft w:val="0"/>
      <w:marRight w:val="0"/>
      <w:marTop w:val="0"/>
      <w:marBottom w:val="0"/>
      <w:divBdr>
        <w:top w:val="none" w:sz="0" w:space="0" w:color="auto"/>
        <w:left w:val="none" w:sz="0" w:space="0" w:color="auto"/>
        <w:bottom w:val="none" w:sz="0" w:space="0" w:color="auto"/>
        <w:right w:val="none" w:sz="0" w:space="0" w:color="auto"/>
      </w:divBdr>
    </w:div>
    <w:div w:id="1156917758">
      <w:bodyDiv w:val="1"/>
      <w:marLeft w:val="0"/>
      <w:marRight w:val="0"/>
      <w:marTop w:val="0"/>
      <w:marBottom w:val="0"/>
      <w:divBdr>
        <w:top w:val="none" w:sz="0" w:space="0" w:color="auto"/>
        <w:left w:val="none" w:sz="0" w:space="0" w:color="auto"/>
        <w:bottom w:val="none" w:sz="0" w:space="0" w:color="auto"/>
        <w:right w:val="none" w:sz="0" w:space="0" w:color="auto"/>
      </w:divBdr>
    </w:div>
    <w:div w:id="1161890461">
      <w:bodyDiv w:val="1"/>
      <w:marLeft w:val="0"/>
      <w:marRight w:val="0"/>
      <w:marTop w:val="0"/>
      <w:marBottom w:val="0"/>
      <w:divBdr>
        <w:top w:val="none" w:sz="0" w:space="0" w:color="auto"/>
        <w:left w:val="none" w:sz="0" w:space="0" w:color="auto"/>
        <w:bottom w:val="none" w:sz="0" w:space="0" w:color="auto"/>
        <w:right w:val="none" w:sz="0" w:space="0" w:color="auto"/>
      </w:divBdr>
    </w:div>
    <w:div w:id="1163544970">
      <w:bodyDiv w:val="1"/>
      <w:marLeft w:val="0"/>
      <w:marRight w:val="0"/>
      <w:marTop w:val="0"/>
      <w:marBottom w:val="0"/>
      <w:divBdr>
        <w:top w:val="none" w:sz="0" w:space="0" w:color="auto"/>
        <w:left w:val="none" w:sz="0" w:space="0" w:color="auto"/>
        <w:bottom w:val="none" w:sz="0" w:space="0" w:color="auto"/>
        <w:right w:val="none" w:sz="0" w:space="0" w:color="auto"/>
      </w:divBdr>
    </w:div>
    <w:div w:id="1168252158">
      <w:bodyDiv w:val="1"/>
      <w:marLeft w:val="0"/>
      <w:marRight w:val="0"/>
      <w:marTop w:val="0"/>
      <w:marBottom w:val="0"/>
      <w:divBdr>
        <w:top w:val="none" w:sz="0" w:space="0" w:color="auto"/>
        <w:left w:val="none" w:sz="0" w:space="0" w:color="auto"/>
        <w:bottom w:val="none" w:sz="0" w:space="0" w:color="auto"/>
        <w:right w:val="none" w:sz="0" w:space="0" w:color="auto"/>
      </w:divBdr>
    </w:div>
    <w:div w:id="1169252424">
      <w:bodyDiv w:val="1"/>
      <w:marLeft w:val="0"/>
      <w:marRight w:val="0"/>
      <w:marTop w:val="0"/>
      <w:marBottom w:val="0"/>
      <w:divBdr>
        <w:top w:val="none" w:sz="0" w:space="0" w:color="auto"/>
        <w:left w:val="none" w:sz="0" w:space="0" w:color="auto"/>
        <w:bottom w:val="none" w:sz="0" w:space="0" w:color="auto"/>
        <w:right w:val="none" w:sz="0" w:space="0" w:color="auto"/>
      </w:divBdr>
    </w:div>
    <w:div w:id="1171677019">
      <w:bodyDiv w:val="1"/>
      <w:marLeft w:val="0"/>
      <w:marRight w:val="0"/>
      <w:marTop w:val="0"/>
      <w:marBottom w:val="0"/>
      <w:divBdr>
        <w:top w:val="none" w:sz="0" w:space="0" w:color="auto"/>
        <w:left w:val="none" w:sz="0" w:space="0" w:color="auto"/>
        <w:bottom w:val="none" w:sz="0" w:space="0" w:color="auto"/>
        <w:right w:val="none" w:sz="0" w:space="0" w:color="auto"/>
      </w:divBdr>
    </w:div>
    <w:div w:id="1172723340">
      <w:bodyDiv w:val="1"/>
      <w:marLeft w:val="0"/>
      <w:marRight w:val="0"/>
      <w:marTop w:val="0"/>
      <w:marBottom w:val="0"/>
      <w:divBdr>
        <w:top w:val="none" w:sz="0" w:space="0" w:color="auto"/>
        <w:left w:val="none" w:sz="0" w:space="0" w:color="auto"/>
        <w:bottom w:val="none" w:sz="0" w:space="0" w:color="auto"/>
        <w:right w:val="none" w:sz="0" w:space="0" w:color="auto"/>
      </w:divBdr>
    </w:div>
    <w:div w:id="1177114285">
      <w:bodyDiv w:val="1"/>
      <w:marLeft w:val="0"/>
      <w:marRight w:val="0"/>
      <w:marTop w:val="0"/>
      <w:marBottom w:val="0"/>
      <w:divBdr>
        <w:top w:val="none" w:sz="0" w:space="0" w:color="auto"/>
        <w:left w:val="none" w:sz="0" w:space="0" w:color="auto"/>
        <w:bottom w:val="none" w:sz="0" w:space="0" w:color="auto"/>
        <w:right w:val="none" w:sz="0" w:space="0" w:color="auto"/>
      </w:divBdr>
    </w:div>
    <w:div w:id="1181630384">
      <w:bodyDiv w:val="1"/>
      <w:marLeft w:val="0"/>
      <w:marRight w:val="0"/>
      <w:marTop w:val="0"/>
      <w:marBottom w:val="0"/>
      <w:divBdr>
        <w:top w:val="none" w:sz="0" w:space="0" w:color="auto"/>
        <w:left w:val="none" w:sz="0" w:space="0" w:color="auto"/>
        <w:bottom w:val="none" w:sz="0" w:space="0" w:color="auto"/>
        <w:right w:val="none" w:sz="0" w:space="0" w:color="auto"/>
      </w:divBdr>
    </w:div>
    <w:div w:id="1192035429">
      <w:bodyDiv w:val="1"/>
      <w:marLeft w:val="0"/>
      <w:marRight w:val="0"/>
      <w:marTop w:val="0"/>
      <w:marBottom w:val="0"/>
      <w:divBdr>
        <w:top w:val="none" w:sz="0" w:space="0" w:color="auto"/>
        <w:left w:val="none" w:sz="0" w:space="0" w:color="auto"/>
        <w:bottom w:val="none" w:sz="0" w:space="0" w:color="auto"/>
        <w:right w:val="none" w:sz="0" w:space="0" w:color="auto"/>
      </w:divBdr>
    </w:div>
    <w:div w:id="1219515729">
      <w:bodyDiv w:val="1"/>
      <w:marLeft w:val="0"/>
      <w:marRight w:val="0"/>
      <w:marTop w:val="0"/>
      <w:marBottom w:val="0"/>
      <w:divBdr>
        <w:top w:val="none" w:sz="0" w:space="0" w:color="auto"/>
        <w:left w:val="none" w:sz="0" w:space="0" w:color="auto"/>
        <w:bottom w:val="none" w:sz="0" w:space="0" w:color="auto"/>
        <w:right w:val="none" w:sz="0" w:space="0" w:color="auto"/>
      </w:divBdr>
      <w:divsChild>
        <w:div w:id="426272467">
          <w:marLeft w:val="0"/>
          <w:marRight w:val="0"/>
          <w:marTop w:val="0"/>
          <w:marBottom w:val="0"/>
          <w:divBdr>
            <w:top w:val="none" w:sz="0" w:space="0" w:color="auto"/>
            <w:left w:val="none" w:sz="0" w:space="0" w:color="auto"/>
            <w:bottom w:val="none" w:sz="0" w:space="0" w:color="auto"/>
            <w:right w:val="none" w:sz="0" w:space="0" w:color="auto"/>
          </w:divBdr>
          <w:divsChild>
            <w:div w:id="730467823">
              <w:marLeft w:val="0"/>
              <w:marRight w:val="0"/>
              <w:marTop w:val="0"/>
              <w:marBottom w:val="0"/>
              <w:divBdr>
                <w:top w:val="none" w:sz="0" w:space="0" w:color="auto"/>
                <w:left w:val="none" w:sz="0" w:space="0" w:color="auto"/>
                <w:bottom w:val="none" w:sz="0" w:space="0" w:color="auto"/>
                <w:right w:val="none" w:sz="0" w:space="0" w:color="auto"/>
              </w:divBdr>
              <w:divsChild>
                <w:div w:id="11959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2945">
      <w:bodyDiv w:val="1"/>
      <w:marLeft w:val="0"/>
      <w:marRight w:val="0"/>
      <w:marTop w:val="0"/>
      <w:marBottom w:val="0"/>
      <w:divBdr>
        <w:top w:val="none" w:sz="0" w:space="0" w:color="auto"/>
        <w:left w:val="none" w:sz="0" w:space="0" w:color="auto"/>
        <w:bottom w:val="none" w:sz="0" w:space="0" w:color="auto"/>
        <w:right w:val="none" w:sz="0" w:space="0" w:color="auto"/>
      </w:divBdr>
    </w:div>
    <w:div w:id="1242371016">
      <w:bodyDiv w:val="1"/>
      <w:marLeft w:val="0"/>
      <w:marRight w:val="0"/>
      <w:marTop w:val="0"/>
      <w:marBottom w:val="0"/>
      <w:divBdr>
        <w:top w:val="none" w:sz="0" w:space="0" w:color="auto"/>
        <w:left w:val="none" w:sz="0" w:space="0" w:color="auto"/>
        <w:bottom w:val="none" w:sz="0" w:space="0" w:color="auto"/>
        <w:right w:val="none" w:sz="0" w:space="0" w:color="auto"/>
      </w:divBdr>
    </w:div>
    <w:div w:id="1252005246">
      <w:bodyDiv w:val="1"/>
      <w:marLeft w:val="0"/>
      <w:marRight w:val="0"/>
      <w:marTop w:val="0"/>
      <w:marBottom w:val="0"/>
      <w:divBdr>
        <w:top w:val="none" w:sz="0" w:space="0" w:color="auto"/>
        <w:left w:val="none" w:sz="0" w:space="0" w:color="auto"/>
        <w:bottom w:val="none" w:sz="0" w:space="0" w:color="auto"/>
        <w:right w:val="none" w:sz="0" w:space="0" w:color="auto"/>
      </w:divBdr>
    </w:div>
    <w:div w:id="1253658480">
      <w:bodyDiv w:val="1"/>
      <w:marLeft w:val="0"/>
      <w:marRight w:val="0"/>
      <w:marTop w:val="0"/>
      <w:marBottom w:val="0"/>
      <w:divBdr>
        <w:top w:val="none" w:sz="0" w:space="0" w:color="auto"/>
        <w:left w:val="none" w:sz="0" w:space="0" w:color="auto"/>
        <w:bottom w:val="none" w:sz="0" w:space="0" w:color="auto"/>
        <w:right w:val="none" w:sz="0" w:space="0" w:color="auto"/>
      </w:divBdr>
      <w:divsChild>
        <w:div w:id="1849325942">
          <w:marLeft w:val="0"/>
          <w:marRight w:val="0"/>
          <w:marTop w:val="0"/>
          <w:marBottom w:val="0"/>
          <w:divBdr>
            <w:top w:val="none" w:sz="0" w:space="0" w:color="auto"/>
            <w:left w:val="none" w:sz="0" w:space="0" w:color="auto"/>
            <w:bottom w:val="none" w:sz="0" w:space="0" w:color="auto"/>
            <w:right w:val="none" w:sz="0" w:space="0" w:color="auto"/>
          </w:divBdr>
          <w:divsChild>
            <w:div w:id="1426149768">
              <w:marLeft w:val="0"/>
              <w:marRight w:val="0"/>
              <w:marTop w:val="0"/>
              <w:marBottom w:val="0"/>
              <w:divBdr>
                <w:top w:val="none" w:sz="0" w:space="0" w:color="auto"/>
                <w:left w:val="none" w:sz="0" w:space="0" w:color="auto"/>
                <w:bottom w:val="none" w:sz="0" w:space="0" w:color="auto"/>
                <w:right w:val="none" w:sz="0" w:space="0" w:color="auto"/>
              </w:divBdr>
              <w:divsChild>
                <w:div w:id="1496218415">
                  <w:marLeft w:val="0"/>
                  <w:marRight w:val="0"/>
                  <w:marTop w:val="0"/>
                  <w:marBottom w:val="0"/>
                  <w:divBdr>
                    <w:top w:val="none" w:sz="0" w:space="0" w:color="auto"/>
                    <w:left w:val="none" w:sz="0" w:space="0" w:color="auto"/>
                    <w:bottom w:val="none" w:sz="0" w:space="0" w:color="auto"/>
                    <w:right w:val="none" w:sz="0" w:space="0" w:color="auto"/>
                  </w:divBdr>
                  <w:divsChild>
                    <w:div w:id="1225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76687">
      <w:bodyDiv w:val="1"/>
      <w:marLeft w:val="0"/>
      <w:marRight w:val="0"/>
      <w:marTop w:val="0"/>
      <w:marBottom w:val="0"/>
      <w:divBdr>
        <w:top w:val="none" w:sz="0" w:space="0" w:color="auto"/>
        <w:left w:val="none" w:sz="0" w:space="0" w:color="auto"/>
        <w:bottom w:val="none" w:sz="0" w:space="0" w:color="auto"/>
        <w:right w:val="none" w:sz="0" w:space="0" w:color="auto"/>
      </w:divBdr>
    </w:div>
    <w:div w:id="1262910696">
      <w:bodyDiv w:val="1"/>
      <w:marLeft w:val="0"/>
      <w:marRight w:val="0"/>
      <w:marTop w:val="0"/>
      <w:marBottom w:val="0"/>
      <w:divBdr>
        <w:top w:val="none" w:sz="0" w:space="0" w:color="auto"/>
        <w:left w:val="none" w:sz="0" w:space="0" w:color="auto"/>
        <w:bottom w:val="none" w:sz="0" w:space="0" w:color="auto"/>
        <w:right w:val="none" w:sz="0" w:space="0" w:color="auto"/>
      </w:divBdr>
    </w:div>
    <w:div w:id="1293097029">
      <w:bodyDiv w:val="1"/>
      <w:marLeft w:val="0"/>
      <w:marRight w:val="0"/>
      <w:marTop w:val="0"/>
      <w:marBottom w:val="0"/>
      <w:divBdr>
        <w:top w:val="none" w:sz="0" w:space="0" w:color="auto"/>
        <w:left w:val="none" w:sz="0" w:space="0" w:color="auto"/>
        <w:bottom w:val="none" w:sz="0" w:space="0" w:color="auto"/>
        <w:right w:val="none" w:sz="0" w:space="0" w:color="auto"/>
      </w:divBdr>
    </w:div>
    <w:div w:id="1294867703">
      <w:bodyDiv w:val="1"/>
      <w:marLeft w:val="0"/>
      <w:marRight w:val="0"/>
      <w:marTop w:val="0"/>
      <w:marBottom w:val="0"/>
      <w:divBdr>
        <w:top w:val="none" w:sz="0" w:space="0" w:color="auto"/>
        <w:left w:val="none" w:sz="0" w:space="0" w:color="auto"/>
        <w:bottom w:val="none" w:sz="0" w:space="0" w:color="auto"/>
        <w:right w:val="none" w:sz="0" w:space="0" w:color="auto"/>
      </w:divBdr>
    </w:div>
    <w:div w:id="1295139586">
      <w:bodyDiv w:val="1"/>
      <w:marLeft w:val="0"/>
      <w:marRight w:val="0"/>
      <w:marTop w:val="0"/>
      <w:marBottom w:val="0"/>
      <w:divBdr>
        <w:top w:val="none" w:sz="0" w:space="0" w:color="auto"/>
        <w:left w:val="none" w:sz="0" w:space="0" w:color="auto"/>
        <w:bottom w:val="none" w:sz="0" w:space="0" w:color="auto"/>
        <w:right w:val="none" w:sz="0" w:space="0" w:color="auto"/>
      </w:divBdr>
    </w:div>
    <w:div w:id="1347517566">
      <w:bodyDiv w:val="1"/>
      <w:marLeft w:val="0"/>
      <w:marRight w:val="0"/>
      <w:marTop w:val="0"/>
      <w:marBottom w:val="0"/>
      <w:divBdr>
        <w:top w:val="none" w:sz="0" w:space="0" w:color="auto"/>
        <w:left w:val="none" w:sz="0" w:space="0" w:color="auto"/>
        <w:bottom w:val="none" w:sz="0" w:space="0" w:color="auto"/>
        <w:right w:val="none" w:sz="0" w:space="0" w:color="auto"/>
      </w:divBdr>
    </w:div>
    <w:div w:id="1352026390">
      <w:bodyDiv w:val="1"/>
      <w:marLeft w:val="0"/>
      <w:marRight w:val="0"/>
      <w:marTop w:val="0"/>
      <w:marBottom w:val="0"/>
      <w:divBdr>
        <w:top w:val="none" w:sz="0" w:space="0" w:color="auto"/>
        <w:left w:val="none" w:sz="0" w:space="0" w:color="auto"/>
        <w:bottom w:val="none" w:sz="0" w:space="0" w:color="auto"/>
        <w:right w:val="none" w:sz="0" w:space="0" w:color="auto"/>
      </w:divBdr>
    </w:div>
    <w:div w:id="1366439581">
      <w:bodyDiv w:val="1"/>
      <w:marLeft w:val="0"/>
      <w:marRight w:val="0"/>
      <w:marTop w:val="0"/>
      <w:marBottom w:val="0"/>
      <w:divBdr>
        <w:top w:val="none" w:sz="0" w:space="0" w:color="auto"/>
        <w:left w:val="none" w:sz="0" w:space="0" w:color="auto"/>
        <w:bottom w:val="none" w:sz="0" w:space="0" w:color="auto"/>
        <w:right w:val="none" w:sz="0" w:space="0" w:color="auto"/>
      </w:divBdr>
    </w:div>
    <w:div w:id="1381132174">
      <w:bodyDiv w:val="1"/>
      <w:marLeft w:val="0"/>
      <w:marRight w:val="0"/>
      <w:marTop w:val="0"/>
      <w:marBottom w:val="0"/>
      <w:divBdr>
        <w:top w:val="none" w:sz="0" w:space="0" w:color="auto"/>
        <w:left w:val="none" w:sz="0" w:space="0" w:color="auto"/>
        <w:bottom w:val="none" w:sz="0" w:space="0" w:color="auto"/>
        <w:right w:val="none" w:sz="0" w:space="0" w:color="auto"/>
      </w:divBdr>
    </w:div>
    <w:div w:id="1404178505">
      <w:bodyDiv w:val="1"/>
      <w:marLeft w:val="0"/>
      <w:marRight w:val="0"/>
      <w:marTop w:val="0"/>
      <w:marBottom w:val="0"/>
      <w:divBdr>
        <w:top w:val="none" w:sz="0" w:space="0" w:color="auto"/>
        <w:left w:val="none" w:sz="0" w:space="0" w:color="auto"/>
        <w:bottom w:val="none" w:sz="0" w:space="0" w:color="auto"/>
        <w:right w:val="none" w:sz="0" w:space="0" w:color="auto"/>
      </w:divBdr>
    </w:div>
    <w:div w:id="1414471552">
      <w:bodyDiv w:val="1"/>
      <w:marLeft w:val="0"/>
      <w:marRight w:val="0"/>
      <w:marTop w:val="0"/>
      <w:marBottom w:val="0"/>
      <w:divBdr>
        <w:top w:val="none" w:sz="0" w:space="0" w:color="auto"/>
        <w:left w:val="none" w:sz="0" w:space="0" w:color="auto"/>
        <w:bottom w:val="none" w:sz="0" w:space="0" w:color="auto"/>
        <w:right w:val="none" w:sz="0" w:space="0" w:color="auto"/>
      </w:divBdr>
      <w:divsChild>
        <w:div w:id="1754818336">
          <w:marLeft w:val="0"/>
          <w:marRight w:val="0"/>
          <w:marTop w:val="0"/>
          <w:marBottom w:val="0"/>
          <w:divBdr>
            <w:top w:val="none" w:sz="0" w:space="0" w:color="auto"/>
            <w:left w:val="none" w:sz="0" w:space="0" w:color="auto"/>
            <w:bottom w:val="none" w:sz="0" w:space="0" w:color="auto"/>
            <w:right w:val="none" w:sz="0" w:space="0" w:color="auto"/>
          </w:divBdr>
          <w:divsChild>
            <w:div w:id="1125468785">
              <w:marLeft w:val="0"/>
              <w:marRight w:val="0"/>
              <w:marTop w:val="0"/>
              <w:marBottom w:val="0"/>
              <w:divBdr>
                <w:top w:val="none" w:sz="0" w:space="0" w:color="auto"/>
                <w:left w:val="none" w:sz="0" w:space="0" w:color="auto"/>
                <w:bottom w:val="none" w:sz="0" w:space="0" w:color="auto"/>
                <w:right w:val="none" w:sz="0" w:space="0" w:color="auto"/>
              </w:divBdr>
              <w:divsChild>
                <w:div w:id="1313169953">
                  <w:marLeft w:val="0"/>
                  <w:marRight w:val="0"/>
                  <w:marTop w:val="105"/>
                  <w:marBottom w:val="0"/>
                  <w:divBdr>
                    <w:top w:val="none" w:sz="0" w:space="0" w:color="auto"/>
                    <w:left w:val="none" w:sz="0" w:space="0" w:color="auto"/>
                    <w:bottom w:val="none" w:sz="0" w:space="0" w:color="auto"/>
                    <w:right w:val="none" w:sz="0" w:space="0" w:color="auto"/>
                  </w:divBdr>
                  <w:divsChild>
                    <w:div w:id="545724940">
                      <w:marLeft w:val="450"/>
                      <w:marRight w:val="225"/>
                      <w:marTop w:val="0"/>
                      <w:marBottom w:val="0"/>
                      <w:divBdr>
                        <w:top w:val="none" w:sz="0" w:space="0" w:color="auto"/>
                        <w:left w:val="none" w:sz="0" w:space="0" w:color="auto"/>
                        <w:bottom w:val="none" w:sz="0" w:space="0" w:color="auto"/>
                        <w:right w:val="none" w:sz="0" w:space="0" w:color="auto"/>
                      </w:divBdr>
                      <w:divsChild>
                        <w:div w:id="1694306446">
                          <w:marLeft w:val="0"/>
                          <w:marRight w:val="0"/>
                          <w:marTop w:val="0"/>
                          <w:marBottom w:val="600"/>
                          <w:divBdr>
                            <w:top w:val="single" w:sz="6" w:space="0" w:color="314664"/>
                            <w:left w:val="single" w:sz="6" w:space="0" w:color="314664"/>
                            <w:bottom w:val="single" w:sz="6" w:space="0" w:color="314664"/>
                            <w:right w:val="single" w:sz="6" w:space="0" w:color="314664"/>
                          </w:divBdr>
                          <w:divsChild>
                            <w:div w:id="816800124">
                              <w:marLeft w:val="0"/>
                              <w:marRight w:val="0"/>
                              <w:marTop w:val="0"/>
                              <w:marBottom w:val="0"/>
                              <w:divBdr>
                                <w:top w:val="none" w:sz="0" w:space="0" w:color="auto"/>
                                <w:left w:val="none" w:sz="0" w:space="0" w:color="auto"/>
                                <w:bottom w:val="none" w:sz="0" w:space="0" w:color="auto"/>
                                <w:right w:val="none" w:sz="0" w:space="0" w:color="auto"/>
                              </w:divBdr>
                              <w:divsChild>
                                <w:div w:id="1776362533">
                                  <w:marLeft w:val="0"/>
                                  <w:marRight w:val="0"/>
                                  <w:marTop w:val="0"/>
                                  <w:marBottom w:val="0"/>
                                  <w:divBdr>
                                    <w:top w:val="none" w:sz="0" w:space="0" w:color="auto"/>
                                    <w:left w:val="none" w:sz="0" w:space="0" w:color="auto"/>
                                    <w:bottom w:val="none" w:sz="0" w:space="0" w:color="auto"/>
                                    <w:right w:val="none" w:sz="0" w:space="0" w:color="auto"/>
                                  </w:divBdr>
                                  <w:divsChild>
                                    <w:div w:id="1402486404">
                                      <w:marLeft w:val="0"/>
                                      <w:marRight w:val="0"/>
                                      <w:marTop w:val="0"/>
                                      <w:marBottom w:val="0"/>
                                      <w:divBdr>
                                        <w:top w:val="none" w:sz="0" w:space="0" w:color="auto"/>
                                        <w:left w:val="none" w:sz="0" w:space="0" w:color="auto"/>
                                        <w:bottom w:val="none" w:sz="0" w:space="0" w:color="auto"/>
                                        <w:right w:val="none" w:sz="0" w:space="0" w:color="auto"/>
                                      </w:divBdr>
                                      <w:divsChild>
                                        <w:div w:id="769397700">
                                          <w:marLeft w:val="0"/>
                                          <w:marRight w:val="0"/>
                                          <w:marTop w:val="0"/>
                                          <w:marBottom w:val="0"/>
                                          <w:divBdr>
                                            <w:top w:val="none" w:sz="0" w:space="0" w:color="auto"/>
                                            <w:left w:val="none" w:sz="0" w:space="0" w:color="auto"/>
                                            <w:bottom w:val="none" w:sz="0" w:space="0" w:color="auto"/>
                                            <w:right w:val="none" w:sz="0" w:space="0" w:color="auto"/>
                                          </w:divBdr>
                                          <w:divsChild>
                                            <w:div w:id="174926835">
                                              <w:marLeft w:val="0"/>
                                              <w:marRight w:val="0"/>
                                              <w:marTop w:val="0"/>
                                              <w:marBottom w:val="0"/>
                                              <w:divBdr>
                                                <w:top w:val="none" w:sz="0" w:space="0" w:color="auto"/>
                                                <w:left w:val="none" w:sz="0" w:space="0" w:color="auto"/>
                                                <w:bottom w:val="none" w:sz="0" w:space="0" w:color="auto"/>
                                                <w:right w:val="none" w:sz="0" w:space="0" w:color="auto"/>
                                              </w:divBdr>
                                              <w:divsChild>
                                                <w:div w:id="169683357">
                                                  <w:marLeft w:val="0"/>
                                                  <w:marRight w:val="0"/>
                                                  <w:marTop w:val="0"/>
                                                  <w:marBottom w:val="0"/>
                                                  <w:divBdr>
                                                    <w:top w:val="none" w:sz="0" w:space="0" w:color="auto"/>
                                                    <w:left w:val="none" w:sz="0" w:space="0" w:color="auto"/>
                                                    <w:bottom w:val="none" w:sz="0" w:space="0" w:color="auto"/>
                                                    <w:right w:val="none" w:sz="0" w:space="0" w:color="auto"/>
                                                  </w:divBdr>
                                                  <w:divsChild>
                                                    <w:div w:id="20969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725392">
      <w:bodyDiv w:val="1"/>
      <w:marLeft w:val="0"/>
      <w:marRight w:val="0"/>
      <w:marTop w:val="0"/>
      <w:marBottom w:val="0"/>
      <w:divBdr>
        <w:top w:val="none" w:sz="0" w:space="0" w:color="auto"/>
        <w:left w:val="none" w:sz="0" w:space="0" w:color="auto"/>
        <w:bottom w:val="none" w:sz="0" w:space="0" w:color="auto"/>
        <w:right w:val="none" w:sz="0" w:space="0" w:color="auto"/>
      </w:divBdr>
    </w:div>
    <w:div w:id="1429230120">
      <w:bodyDiv w:val="1"/>
      <w:marLeft w:val="0"/>
      <w:marRight w:val="0"/>
      <w:marTop w:val="0"/>
      <w:marBottom w:val="0"/>
      <w:divBdr>
        <w:top w:val="none" w:sz="0" w:space="0" w:color="auto"/>
        <w:left w:val="none" w:sz="0" w:space="0" w:color="auto"/>
        <w:bottom w:val="none" w:sz="0" w:space="0" w:color="auto"/>
        <w:right w:val="none" w:sz="0" w:space="0" w:color="auto"/>
      </w:divBdr>
    </w:div>
    <w:div w:id="1441561522">
      <w:bodyDiv w:val="1"/>
      <w:marLeft w:val="0"/>
      <w:marRight w:val="0"/>
      <w:marTop w:val="0"/>
      <w:marBottom w:val="0"/>
      <w:divBdr>
        <w:top w:val="none" w:sz="0" w:space="0" w:color="auto"/>
        <w:left w:val="none" w:sz="0" w:space="0" w:color="auto"/>
        <w:bottom w:val="none" w:sz="0" w:space="0" w:color="auto"/>
        <w:right w:val="none" w:sz="0" w:space="0" w:color="auto"/>
      </w:divBdr>
    </w:div>
    <w:div w:id="1478300637">
      <w:bodyDiv w:val="1"/>
      <w:marLeft w:val="0"/>
      <w:marRight w:val="0"/>
      <w:marTop w:val="0"/>
      <w:marBottom w:val="0"/>
      <w:divBdr>
        <w:top w:val="none" w:sz="0" w:space="0" w:color="auto"/>
        <w:left w:val="none" w:sz="0" w:space="0" w:color="auto"/>
        <w:bottom w:val="none" w:sz="0" w:space="0" w:color="auto"/>
        <w:right w:val="none" w:sz="0" w:space="0" w:color="auto"/>
      </w:divBdr>
    </w:div>
    <w:div w:id="1493793966">
      <w:bodyDiv w:val="1"/>
      <w:marLeft w:val="0"/>
      <w:marRight w:val="0"/>
      <w:marTop w:val="0"/>
      <w:marBottom w:val="0"/>
      <w:divBdr>
        <w:top w:val="none" w:sz="0" w:space="0" w:color="auto"/>
        <w:left w:val="none" w:sz="0" w:space="0" w:color="auto"/>
        <w:bottom w:val="none" w:sz="0" w:space="0" w:color="auto"/>
        <w:right w:val="none" w:sz="0" w:space="0" w:color="auto"/>
      </w:divBdr>
    </w:div>
    <w:div w:id="1539470143">
      <w:bodyDiv w:val="1"/>
      <w:marLeft w:val="0"/>
      <w:marRight w:val="0"/>
      <w:marTop w:val="0"/>
      <w:marBottom w:val="0"/>
      <w:divBdr>
        <w:top w:val="none" w:sz="0" w:space="0" w:color="auto"/>
        <w:left w:val="none" w:sz="0" w:space="0" w:color="auto"/>
        <w:bottom w:val="none" w:sz="0" w:space="0" w:color="auto"/>
        <w:right w:val="none" w:sz="0" w:space="0" w:color="auto"/>
      </w:divBdr>
    </w:div>
    <w:div w:id="1543710592">
      <w:bodyDiv w:val="1"/>
      <w:marLeft w:val="0"/>
      <w:marRight w:val="0"/>
      <w:marTop w:val="0"/>
      <w:marBottom w:val="0"/>
      <w:divBdr>
        <w:top w:val="none" w:sz="0" w:space="0" w:color="auto"/>
        <w:left w:val="none" w:sz="0" w:space="0" w:color="auto"/>
        <w:bottom w:val="none" w:sz="0" w:space="0" w:color="auto"/>
        <w:right w:val="none" w:sz="0" w:space="0" w:color="auto"/>
      </w:divBdr>
      <w:divsChild>
        <w:div w:id="1619218089">
          <w:marLeft w:val="0"/>
          <w:marRight w:val="0"/>
          <w:marTop w:val="0"/>
          <w:marBottom w:val="0"/>
          <w:divBdr>
            <w:top w:val="none" w:sz="0" w:space="0" w:color="auto"/>
            <w:left w:val="none" w:sz="0" w:space="0" w:color="auto"/>
            <w:bottom w:val="none" w:sz="0" w:space="0" w:color="auto"/>
            <w:right w:val="none" w:sz="0" w:space="0" w:color="auto"/>
          </w:divBdr>
          <w:divsChild>
            <w:div w:id="1456632189">
              <w:marLeft w:val="0"/>
              <w:marRight w:val="0"/>
              <w:marTop w:val="0"/>
              <w:marBottom w:val="0"/>
              <w:divBdr>
                <w:top w:val="none" w:sz="0" w:space="0" w:color="auto"/>
                <w:left w:val="none" w:sz="0" w:space="0" w:color="auto"/>
                <w:bottom w:val="none" w:sz="0" w:space="0" w:color="auto"/>
                <w:right w:val="none" w:sz="0" w:space="0" w:color="auto"/>
              </w:divBdr>
              <w:divsChild>
                <w:div w:id="14854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8651">
      <w:bodyDiv w:val="1"/>
      <w:marLeft w:val="0"/>
      <w:marRight w:val="0"/>
      <w:marTop w:val="0"/>
      <w:marBottom w:val="0"/>
      <w:divBdr>
        <w:top w:val="none" w:sz="0" w:space="0" w:color="auto"/>
        <w:left w:val="none" w:sz="0" w:space="0" w:color="auto"/>
        <w:bottom w:val="none" w:sz="0" w:space="0" w:color="auto"/>
        <w:right w:val="none" w:sz="0" w:space="0" w:color="auto"/>
      </w:divBdr>
    </w:div>
    <w:div w:id="1603024800">
      <w:bodyDiv w:val="1"/>
      <w:marLeft w:val="0"/>
      <w:marRight w:val="0"/>
      <w:marTop w:val="0"/>
      <w:marBottom w:val="0"/>
      <w:divBdr>
        <w:top w:val="none" w:sz="0" w:space="0" w:color="auto"/>
        <w:left w:val="none" w:sz="0" w:space="0" w:color="auto"/>
        <w:bottom w:val="none" w:sz="0" w:space="0" w:color="auto"/>
        <w:right w:val="none" w:sz="0" w:space="0" w:color="auto"/>
      </w:divBdr>
    </w:div>
    <w:div w:id="1622414974">
      <w:bodyDiv w:val="1"/>
      <w:marLeft w:val="0"/>
      <w:marRight w:val="0"/>
      <w:marTop w:val="0"/>
      <w:marBottom w:val="0"/>
      <w:divBdr>
        <w:top w:val="none" w:sz="0" w:space="0" w:color="auto"/>
        <w:left w:val="none" w:sz="0" w:space="0" w:color="auto"/>
        <w:bottom w:val="none" w:sz="0" w:space="0" w:color="auto"/>
        <w:right w:val="none" w:sz="0" w:space="0" w:color="auto"/>
      </w:divBdr>
    </w:div>
    <w:div w:id="1628272706">
      <w:bodyDiv w:val="1"/>
      <w:marLeft w:val="0"/>
      <w:marRight w:val="0"/>
      <w:marTop w:val="0"/>
      <w:marBottom w:val="0"/>
      <w:divBdr>
        <w:top w:val="none" w:sz="0" w:space="0" w:color="auto"/>
        <w:left w:val="none" w:sz="0" w:space="0" w:color="auto"/>
        <w:bottom w:val="none" w:sz="0" w:space="0" w:color="auto"/>
        <w:right w:val="none" w:sz="0" w:space="0" w:color="auto"/>
      </w:divBdr>
    </w:div>
    <w:div w:id="1633444120">
      <w:bodyDiv w:val="1"/>
      <w:marLeft w:val="0"/>
      <w:marRight w:val="0"/>
      <w:marTop w:val="0"/>
      <w:marBottom w:val="0"/>
      <w:divBdr>
        <w:top w:val="none" w:sz="0" w:space="0" w:color="auto"/>
        <w:left w:val="none" w:sz="0" w:space="0" w:color="auto"/>
        <w:bottom w:val="none" w:sz="0" w:space="0" w:color="auto"/>
        <w:right w:val="none" w:sz="0" w:space="0" w:color="auto"/>
      </w:divBdr>
    </w:div>
    <w:div w:id="1634217790">
      <w:bodyDiv w:val="1"/>
      <w:marLeft w:val="0"/>
      <w:marRight w:val="0"/>
      <w:marTop w:val="0"/>
      <w:marBottom w:val="0"/>
      <w:divBdr>
        <w:top w:val="none" w:sz="0" w:space="0" w:color="auto"/>
        <w:left w:val="none" w:sz="0" w:space="0" w:color="auto"/>
        <w:bottom w:val="none" w:sz="0" w:space="0" w:color="auto"/>
        <w:right w:val="none" w:sz="0" w:space="0" w:color="auto"/>
      </w:divBdr>
    </w:div>
    <w:div w:id="1649434529">
      <w:bodyDiv w:val="1"/>
      <w:marLeft w:val="0"/>
      <w:marRight w:val="0"/>
      <w:marTop w:val="0"/>
      <w:marBottom w:val="0"/>
      <w:divBdr>
        <w:top w:val="none" w:sz="0" w:space="0" w:color="auto"/>
        <w:left w:val="none" w:sz="0" w:space="0" w:color="auto"/>
        <w:bottom w:val="none" w:sz="0" w:space="0" w:color="auto"/>
        <w:right w:val="none" w:sz="0" w:space="0" w:color="auto"/>
      </w:divBdr>
    </w:div>
    <w:div w:id="1651713758">
      <w:bodyDiv w:val="1"/>
      <w:marLeft w:val="0"/>
      <w:marRight w:val="0"/>
      <w:marTop w:val="0"/>
      <w:marBottom w:val="0"/>
      <w:divBdr>
        <w:top w:val="none" w:sz="0" w:space="0" w:color="auto"/>
        <w:left w:val="none" w:sz="0" w:space="0" w:color="auto"/>
        <w:bottom w:val="none" w:sz="0" w:space="0" w:color="auto"/>
        <w:right w:val="none" w:sz="0" w:space="0" w:color="auto"/>
      </w:divBdr>
    </w:div>
    <w:div w:id="1666325781">
      <w:bodyDiv w:val="1"/>
      <w:marLeft w:val="0"/>
      <w:marRight w:val="0"/>
      <w:marTop w:val="0"/>
      <w:marBottom w:val="0"/>
      <w:divBdr>
        <w:top w:val="none" w:sz="0" w:space="0" w:color="auto"/>
        <w:left w:val="none" w:sz="0" w:space="0" w:color="auto"/>
        <w:bottom w:val="none" w:sz="0" w:space="0" w:color="auto"/>
        <w:right w:val="none" w:sz="0" w:space="0" w:color="auto"/>
      </w:divBdr>
    </w:div>
    <w:div w:id="1690983587">
      <w:bodyDiv w:val="1"/>
      <w:marLeft w:val="0"/>
      <w:marRight w:val="0"/>
      <w:marTop w:val="0"/>
      <w:marBottom w:val="0"/>
      <w:divBdr>
        <w:top w:val="none" w:sz="0" w:space="0" w:color="auto"/>
        <w:left w:val="none" w:sz="0" w:space="0" w:color="auto"/>
        <w:bottom w:val="none" w:sz="0" w:space="0" w:color="auto"/>
        <w:right w:val="none" w:sz="0" w:space="0" w:color="auto"/>
      </w:divBdr>
    </w:div>
    <w:div w:id="1695307312">
      <w:bodyDiv w:val="1"/>
      <w:marLeft w:val="0"/>
      <w:marRight w:val="0"/>
      <w:marTop w:val="0"/>
      <w:marBottom w:val="0"/>
      <w:divBdr>
        <w:top w:val="none" w:sz="0" w:space="0" w:color="auto"/>
        <w:left w:val="none" w:sz="0" w:space="0" w:color="auto"/>
        <w:bottom w:val="none" w:sz="0" w:space="0" w:color="auto"/>
        <w:right w:val="none" w:sz="0" w:space="0" w:color="auto"/>
      </w:divBdr>
    </w:div>
    <w:div w:id="1697074234">
      <w:bodyDiv w:val="1"/>
      <w:marLeft w:val="0"/>
      <w:marRight w:val="0"/>
      <w:marTop w:val="0"/>
      <w:marBottom w:val="0"/>
      <w:divBdr>
        <w:top w:val="none" w:sz="0" w:space="0" w:color="auto"/>
        <w:left w:val="none" w:sz="0" w:space="0" w:color="auto"/>
        <w:bottom w:val="none" w:sz="0" w:space="0" w:color="auto"/>
        <w:right w:val="none" w:sz="0" w:space="0" w:color="auto"/>
      </w:divBdr>
    </w:div>
    <w:div w:id="1707564704">
      <w:bodyDiv w:val="1"/>
      <w:marLeft w:val="0"/>
      <w:marRight w:val="0"/>
      <w:marTop w:val="0"/>
      <w:marBottom w:val="0"/>
      <w:divBdr>
        <w:top w:val="none" w:sz="0" w:space="0" w:color="auto"/>
        <w:left w:val="none" w:sz="0" w:space="0" w:color="auto"/>
        <w:bottom w:val="none" w:sz="0" w:space="0" w:color="auto"/>
        <w:right w:val="none" w:sz="0" w:space="0" w:color="auto"/>
      </w:divBdr>
    </w:div>
    <w:div w:id="1714889697">
      <w:bodyDiv w:val="1"/>
      <w:marLeft w:val="0"/>
      <w:marRight w:val="0"/>
      <w:marTop w:val="0"/>
      <w:marBottom w:val="0"/>
      <w:divBdr>
        <w:top w:val="none" w:sz="0" w:space="0" w:color="auto"/>
        <w:left w:val="none" w:sz="0" w:space="0" w:color="auto"/>
        <w:bottom w:val="none" w:sz="0" w:space="0" w:color="auto"/>
        <w:right w:val="none" w:sz="0" w:space="0" w:color="auto"/>
      </w:divBdr>
    </w:div>
    <w:div w:id="1723016693">
      <w:bodyDiv w:val="1"/>
      <w:marLeft w:val="0"/>
      <w:marRight w:val="0"/>
      <w:marTop w:val="0"/>
      <w:marBottom w:val="0"/>
      <w:divBdr>
        <w:top w:val="none" w:sz="0" w:space="0" w:color="auto"/>
        <w:left w:val="none" w:sz="0" w:space="0" w:color="auto"/>
        <w:bottom w:val="none" w:sz="0" w:space="0" w:color="auto"/>
        <w:right w:val="none" w:sz="0" w:space="0" w:color="auto"/>
      </w:divBdr>
    </w:div>
    <w:div w:id="1746142661">
      <w:bodyDiv w:val="1"/>
      <w:marLeft w:val="0"/>
      <w:marRight w:val="0"/>
      <w:marTop w:val="0"/>
      <w:marBottom w:val="0"/>
      <w:divBdr>
        <w:top w:val="none" w:sz="0" w:space="0" w:color="auto"/>
        <w:left w:val="none" w:sz="0" w:space="0" w:color="auto"/>
        <w:bottom w:val="none" w:sz="0" w:space="0" w:color="auto"/>
        <w:right w:val="none" w:sz="0" w:space="0" w:color="auto"/>
      </w:divBdr>
    </w:div>
    <w:div w:id="1749568814">
      <w:bodyDiv w:val="1"/>
      <w:marLeft w:val="0"/>
      <w:marRight w:val="0"/>
      <w:marTop w:val="0"/>
      <w:marBottom w:val="0"/>
      <w:divBdr>
        <w:top w:val="none" w:sz="0" w:space="0" w:color="auto"/>
        <w:left w:val="none" w:sz="0" w:space="0" w:color="auto"/>
        <w:bottom w:val="none" w:sz="0" w:space="0" w:color="auto"/>
        <w:right w:val="none" w:sz="0" w:space="0" w:color="auto"/>
      </w:divBdr>
    </w:div>
    <w:div w:id="1753743385">
      <w:bodyDiv w:val="1"/>
      <w:marLeft w:val="0"/>
      <w:marRight w:val="0"/>
      <w:marTop w:val="0"/>
      <w:marBottom w:val="0"/>
      <w:divBdr>
        <w:top w:val="none" w:sz="0" w:space="0" w:color="auto"/>
        <w:left w:val="none" w:sz="0" w:space="0" w:color="auto"/>
        <w:bottom w:val="none" w:sz="0" w:space="0" w:color="auto"/>
        <w:right w:val="none" w:sz="0" w:space="0" w:color="auto"/>
      </w:divBdr>
    </w:div>
    <w:div w:id="1757483004">
      <w:bodyDiv w:val="1"/>
      <w:marLeft w:val="0"/>
      <w:marRight w:val="0"/>
      <w:marTop w:val="0"/>
      <w:marBottom w:val="0"/>
      <w:divBdr>
        <w:top w:val="none" w:sz="0" w:space="0" w:color="auto"/>
        <w:left w:val="none" w:sz="0" w:space="0" w:color="auto"/>
        <w:bottom w:val="none" w:sz="0" w:space="0" w:color="auto"/>
        <w:right w:val="none" w:sz="0" w:space="0" w:color="auto"/>
      </w:divBdr>
    </w:div>
    <w:div w:id="1789007354">
      <w:bodyDiv w:val="1"/>
      <w:marLeft w:val="0"/>
      <w:marRight w:val="0"/>
      <w:marTop w:val="0"/>
      <w:marBottom w:val="0"/>
      <w:divBdr>
        <w:top w:val="none" w:sz="0" w:space="0" w:color="auto"/>
        <w:left w:val="none" w:sz="0" w:space="0" w:color="auto"/>
        <w:bottom w:val="none" w:sz="0" w:space="0" w:color="auto"/>
        <w:right w:val="none" w:sz="0" w:space="0" w:color="auto"/>
      </w:divBdr>
    </w:div>
    <w:div w:id="1802453972">
      <w:bodyDiv w:val="1"/>
      <w:marLeft w:val="0"/>
      <w:marRight w:val="0"/>
      <w:marTop w:val="0"/>
      <w:marBottom w:val="0"/>
      <w:divBdr>
        <w:top w:val="none" w:sz="0" w:space="0" w:color="auto"/>
        <w:left w:val="none" w:sz="0" w:space="0" w:color="auto"/>
        <w:bottom w:val="none" w:sz="0" w:space="0" w:color="auto"/>
        <w:right w:val="none" w:sz="0" w:space="0" w:color="auto"/>
      </w:divBdr>
    </w:div>
    <w:div w:id="1808666846">
      <w:bodyDiv w:val="1"/>
      <w:marLeft w:val="0"/>
      <w:marRight w:val="0"/>
      <w:marTop w:val="0"/>
      <w:marBottom w:val="0"/>
      <w:divBdr>
        <w:top w:val="none" w:sz="0" w:space="0" w:color="auto"/>
        <w:left w:val="none" w:sz="0" w:space="0" w:color="auto"/>
        <w:bottom w:val="none" w:sz="0" w:space="0" w:color="auto"/>
        <w:right w:val="none" w:sz="0" w:space="0" w:color="auto"/>
      </w:divBdr>
    </w:div>
    <w:div w:id="1833132760">
      <w:bodyDiv w:val="1"/>
      <w:marLeft w:val="0"/>
      <w:marRight w:val="0"/>
      <w:marTop w:val="0"/>
      <w:marBottom w:val="0"/>
      <w:divBdr>
        <w:top w:val="none" w:sz="0" w:space="0" w:color="auto"/>
        <w:left w:val="none" w:sz="0" w:space="0" w:color="auto"/>
        <w:bottom w:val="none" w:sz="0" w:space="0" w:color="auto"/>
        <w:right w:val="none" w:sz="0" w:space="0" w:color="auto"/>
      </w:divBdr>
    </w:div>
    <w:div w:id="1840384340">
      <w:bodyDiv w:val="1"/>
      <w:marLeft w:val="0"/>
      <w:marRight w:val="0"/>
      <w:marTop w:val="0"/>
      <w:marBottom w:val="0"/>
      <w:divBdr>
        <w:top w:val="none" w:sz="0" w:space="0" w:color="auto"/>
        <w:left w:val="none" w:sz="0" w:space="0" w:color="auto"/>
        <w:bottom w:val="none" w:sz="0" w:space="0" w:color="auto"/>
        <w:right w:val="none" w:sz="0" w:space="0" w:color="auto"/>
      </w:divBdr>
    </w:div>
    <w:div w:id="1892499625">
      <w:bodyDiv w:val="1"/>
      <w:marLeft w:val="0"/>
      <w:marRight w:val="0"/>
      <w:marTop w:val="0"/>
      <w:marBottom w:val="0"/>
      <w:divBdr>
        <w:top w:val="none" w:sz="0" w:space="0" w:color="auto"/>
        <w:left w:val="none" w:sz="0" w:space="0" w:color="auto"/>
        <w:bottom w:val="none" w:sz="0" w:space="0" w:color="auto"/>
        <w:right w:val="none" w:sz="0" w:space="0" w:color="auto"/>
      </w:divBdr>
    </w:div>
    <w:div w:id="1907260154">
      <w:bodyDiv w:val="1"/>
      <w:marLeft w:val="0"/>
      <w:marRight w:val="0"/>
      <w:marTop w:val="0"/>
      <w:marBottom w:val="0"/>
      <w:divBdr>
        <w:top w:val="none" w:sz="0" w:space="0" w:color="auto"/>
        <w:left w:val="none" w:sz="0" w:space="0" w:color="auto"/>
        <w:bottom w:val="none" w:sz="0" w:space="0" w:color="auto"/>
        <w:right w:val="none" w:sz="0" w:space="0" w:color="auto"/>
      </w:divBdr>
    </w:div>
    <w:div w:id="1964845857">
      <w:bodyDiv w:val="1"/>
      <w:marLeft w:val="0"/>
      <w:marRight w:val="0"/>
      <w:marTop w:val="0"/>
      <w:marBottom w:val="0"/>
      <w:divBdr>
        <w:top w:val="none" w:sz="0" w:space="0" w:color="auto"/>
        <w:left w:val="none" w:sz="0" w:space="0" w:color="auto"/>
        <w:bottom w:val="none" w:sz="0" w:space="0" w:color="auto"/>
        <w:right w:val="none" w:sz="0" w:space="0" w:color="auto"/>
      </w:divBdr>
    </w:div>
    <w:div w:id="1980571030">
      <w:bodyDiv w:val="1"/>
      <w:marLeft w:val="0"/>
      <w:marRight w:val="0"/>
      <w:marTop w:val="0"/>
      <w:marBottom w:val="0"/>
      <w:divBdr>
        <w:top w:val="none" w:sz="0" w:space="0" w:color="auto"/>
        <w:left w:val="none" w:sz="0" w:space="0" w:color="auto"/>
        <w:bottom w:val="none" w:sz="0" w:space="0" w:color="auto"/>
        <w:right w:val="none" w:sz="0" w:space="0" w:color="auto"/>
      </w:divBdr>
    </w:div>
    <w:div w:id="1983074107">
      <w:bodyDiv w:val="1"/>
      <w:marLeft w:val="0"/>
      <w:marRight w:val="0"/>
      <w:marTop w:val="0"/>
      <w:marBottom w:val="0"/>
      <w:divBdr>
        <w:top w:val="none" w:sz="0" w:space="0" w:color="auto"/>
        <w:left w:val="none" w:sz="0" w:space="0" w:color="auto"/>
        <w:bottom w:val="none" w:sz="0" w:space="0" w:color="auto"/>
        <w:right w:val="none" w:sz="0" w:space="0" w:color="auto"/>
      </w:divBdr>
    </w:div>
    <w:div w:id="2013531650">
      <w:bodyDiv w:val="1"/>
      <w:marLeft w:val="0"/>
      <w:marRight w:val="0"/>
      <w:marTop w:val="0"/>
      <w:marBottom w:val="0"/>
      <w:divBdr>
        <w:top w:val="none" w:sz="0" w:space="0" w:color="auto"/>
        <w:left w:val="none" w:sz="0" w:space="0" w:color="auto"/>
        <w:bottom w:val="none" w:sz="0" w:space="0" w:color="auto"/>
        <w:right w:val="none" w:sz="0" w:space="0" w:color="auto"/>
      </w:divBdr>
    </w:div>
    <w:div w:id="2022777247">
      <w:bodyDiv w:val="1"/>
      <w:marLeft w:val="0"/>
      <w:marRight w:val="0"/>
      <w:marTop w:val="0"/>
      <w:marBottom w:val="0"/>
      <w:divBdr>
        <w:top w:val="none" w:sz="0" w:space="0" w:color="auto"/>
        <w:left w:val="none" w:sz="0" w:space="0" w:color="auto"/>
        <w:bottom w:val="none" w:sz="0" w:space="0" w:color="auto"/>
        <w:right w:val="none" w:sz="0" w:space="0" w:color="auto"/>
      </w:divBdr>
    </w:div>
    <w:div w:id="2027441793">
      <w:bodyDiv w:val="1"/>
      <w:marLeft w:val="0"/>
      <w:marRight w:val="0"/>
      <w:marTop w:val="0"/>
      <w:marBottom w:val="0"/>
      <w:divBdr>
        <w:top w:val="none" w:sz="0" w:space="0" w:color="auto"/>
        <w:left w:val="none" w:sz="0" w:space="0" w:color="auto"/>
        <w:bottom w:val="none" w:sz="0" w:space="0" w:color="auto"/>
        <w:right w:val="none" w:sz="0" w:space="0" w:color="auto"/>
      </w:divBdr>
    </w:div>
    <w:div w:id="2045598538">
      <w:bodyDiv w:val="1"/>
      <w:marLeft w:val="0"/>
      <w:marRight w:val="0"/>
      <w:marTop w:val="0"/>
      <w:marBottom w:val="0"/>
      <w:divBdr>
        <w:top w:val="none" w:sz="0" w:space="0" w:color="auto"/>
        <w:left w:val="none" w:sz="0" w:space="0" w:color="auto"/>
        <w:bottom w:val="none" w:sz="0" w:space="0" w:color="auto"/>
        <w:right w:val="none" w:sz="0" w:space="0" w:color="auto"/>
      </w:divBdr>
    </w:div>
    <w:div w:id="2090690168">
      <w:bodyDiv w:val="1"/>
      <w:marLeft w:val="0"/>
      <w:marRight w:val="0"/>
      <w:marTop w:val="0"/>
      <w:marBottom w:val="0"/>
      <w:divBdr>
        <w:top w:val="none" w:sz="0" w:space="0" w:color="auto"/>
        <w:left w:val="none" w:sz="0" w:space="0" w:color="auto"/>
        <w:bottom w:val="none" w:sz="0" w:space="0" w:color="auto"/>
        <w:right w:val="none" w:sz="0" w:space="0" w:color="auto"/>
      </w:divBdr>
    </w:div>
    <w:div w:id="2102989211">
      <w:bodyDiv w:val="1"/>
      <w:marLeft w:val="0"/>
      <w:marRight w:val="0"/>
      <w:marTop w:val="0"/>
      <w:marBottom w:val="0"/>
      <w:divBdr>
        <w:top w:val="none" w:sz="0" w:space="0" w:color="auto"/>
        <w:left w:val="none" w:sz="0" w:space="0" w:color="auto"/>
        <w:bottom w:val="none" w:sz="0" w:space="0" w:color="auto"/>
        <w:right w:val="none" w:sz="0" w:space="0" w:color="auto"/>
      </w:divBdr>
    </w:div>
    <w:div w:id="2104570201">
      <w:bodyDiv w:val="1"/>
      <w:marLeft w:val="0"/>
      <w:marRight w:val="0"/>
      <w:marTop w:val="0"/>
      <w:marBottom w:val="0"/>
      <w:divBdr>
        <w:top w:val="none" w:sz="0" w:space="0" w:color="auto"/>
        <w:left w:val="none" w:sz="0" w:space="0" w:color="auto"/>
        <w:bottom w:val="none" w:sz="0" w:space="0" w:color="auto"/>
        <w:right w:val="none" w:sz="0" w:space="0" w:color="auto"/>
      </w:divBdr>
    </w:div>
    <w:div w:id="2120833202">
      <w:bodyDiv w:val="1"/>
      <w:marLeft w:val="0"/>
      <w:marRight w:val="0"/>
      <w:marTop w:val="0"/>
      <w:marBottom w:val="0"/>
      <w:divBdr>
        <w:top w:val="none" w:sz="0" w:space="0" w:color="auto"/>
        <w:left w:val="none" w:sz="0" w:space="0" w:color="auto"/>
        <w:bottom w:val="none" w:sz="0" w:space="0" w:color="auto"/>
        <w:right w:val="none" w:sz="0" w:space="0" w:color="auto"/>
      </w:divBdr>
    </w:div>
    <w:div w:id="2129203750">
      <w:bodyDiv w:val="1"/>
      <w:marLeft w:val="0"/>
      <w:marRight w:val="0"/>
      <w:marTop w:val="0"/>
      <w:marBottom w:val="0"/>
      <w:divBdr>
        <w:top w:val="none" w:sz="0" w:space="0" w:color="auto"/>
        <w:left w:val="none" w:sz="0" w:space="0" w:color="auto"/>
        <w:bottom w:val="none" w:sz="0" w:space="0" w:color="auto"/>
        <w:right w:val="none" w:sz="0" w:space="0" w:color="auto"/>
      </w:divBdr>
    </w:div>
    <w:div w:id="21437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image" Target="media/image1.wmf"/><Relationship Id="rId39" Type="http://schemas.openxmlformats.org/officeDocument/2006/relationships/header" Target="header9.xml"/><Relationship Id="rId21" Type="http://schemas.openxmlformats.org/officeDocument/2006/relationships/chart" Target="charts/chart4.xml"/><Relationship Id="rId34" Type="http://schemas.openxmlformats.org/officeDocument/2006/relationships/chart" Target="charts/chart8.xm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epa.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chart" Target="charts/chart6.xml"/><Relationship Id="rId37" Type="http://schemas.openxmlformats.org/officeDocument/2006/relationships/header" Target="header8.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foodsafety.govt.nz/industry/acvm/registers-lists.htm"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chart" Target="charts/chart5.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epa.govt.nz" TargetMode="External"/><Relationship Id="rId30" Type="http://schemas.openxmlformats.org/officeDocument/2006/relationships/hyperlink" Target="http://www.foodsafety.govt.nz/-industry/acvm/registers-lists.htm" TargetMode="External"/><Relationship Id="rId35" Type="http://schemas.openxmlformats.org/officeDocument/2006/relationships/image" Target="media/image2.png"/><Relationship Id="rId43" Type="http://schemas.openxmlformats.org/officeDocument/2006/relationships/footer" Target="footer7.xml"/><Relationship Id="rId48"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chart" Target="charts/chart7.xml"/><Relationship Id="rId38" Type="http://schemas.openxmlformats.org/officeDocument/2006/relationships/footer" Target="footer5.xml"/><Relationship Id="rId46" Type="http://schemas.openxmlformats.org/officeDocument/2006/relationships/glossaryDocument" Target="glossary/document.xml"/><Relationship Id="rId20" Type="http://schemas.openxmlformats.org/officeDocument/2006/relationships/chart" Target="charts/chart3.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C%20Letterhea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ster%20Data%20August%207%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ster%20Data%20August%207%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judithbingham\Desktop\Business\AGB%20Business\Active%20Work\Ministry%20for%20Environment\MfE%202022%20Dioxins\Charts%20and%20Data\Main%20Chart%20and%20Multi%20year%20Chart%20for%202020%20Inven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Annual Dioxin Releases 2020</a:t>
            </a:r>
          </a:p>
        </c:rich>
      </c:tx>
      <c:overlay val="0"/>
    </c:title>
    <c:autoTitleDeleted val="0"/>
    <c:plotArea>
      <c:layout>
        <c:manualLayout>
          <c:layoutTarget val="inner"/>
          <c:xMode val="edge"/>
          <c:yMode val="edge"/>
          <c:x val="0.43344712667495511"/>
          <c:y val="6.1893144712843101E-2"/>
          <c:w val="0.52854296173504622"/>
          <c:h val="0.88228515503358695"/>
        </c:manualLayout>
      </c:layout>
      <c:barChart>
        <c:barDir val="bar"/>
        <c:grouping val="clustered"/>
        <c:varyColors val="0"/>
        <c:ser>
          <c:idx val="0"/>
          <c:order val="0"/>
          <c:invertIfNegative val="0"/>
          <c:cat>
            <c:strRef>
              <c:f>'2020 Data Vertical plot'!$J$5:$J$53</c:f>
              <c:strCache>
                <c:ptCount val="49"/>
                <c:pt idx="0">
                  <c:v>Secondary iron &amp; steel production</c:v>
                </c:pt>
                <c:pt idx="1">
                  <c:v>Lead production</c:v>
                </c:pt>
                <c:pt idx="2">
                  <c:v>Hazardous waste incineration</c:v>
                </c:pt>
                <c:pt idx="3">
                  <c:v>Use of 2,4-D</c:v>
                </c:pt>
                <c:pt idx="4">
                  <c:v>Tobacco smoking</c:v>
                </c:pt>
                <c:pt idx="5">
                  <c:v>Brick production</c:v>
                </c:pt>
                <c:pt idx="6">
                  <c:v>Pottery and ceramics</c:v>
                </c:pt>
                <c:pt idx="7">
                  <c:v>Household heating &amp; cooking  with oil</c:v>
                </c:pt>
                <c:pt idx="8">
                  <c:v>Sewage sludge incineration</c:v>
                </c:pt>
                <c:pt idx="9">
                  <c:v>Heavy fuel oil-fired power plants</c:v>
                </c:pt>
                <c:pt idx="10">
                  <c:v>Glass production</c:v>
                </c:pt>
                <c:pt idx="11">
                  <c:v>4-stroke engines</c:v>
                </c:pt>
                <c:pt idx="12">
                  <c:v>Wood and biomass incineration</c:v>
                </c:pt>
                <c:pt idx="13">
                  <c:v>Household heating &amp; cooking  with gas</c:v>
                </c:pt>
                <c:pt idx="14">
                  <c:v>Petroleum production</c:v>
                </c:pt>
                <c:pt idx="15">
                  <c:v>Fuel oil/gas-fired electricity generation</c:v>
                </c:pt>
                <c:pt idx="16">
                  <c:v>Iron foundries</c:v>
                </c:pt>
                <c:pt idx="17">
                  <c:v>Household heating &amp; cooking  with coal</c:v>
                </c:pt>
                <c:pt idx="18">
                  <c:v>Landfill gas/biogas combustion</c:v>
                </c:pt>
                <c:pt idx="19">
                  <c:v>Black liquor combustion</c:v>
                </c:pt>
                <c:pt idx="20">
                  <c:v>Fuel oil and gas-fired power plants</c:v>
                </c:pt>
                <c:pt idx="21">
                  <c:v>Cement production</c:v>
                </c:pt>
                <c:pt idx="22">
                  <c:v>Lime production</c:v>
                </c:pt>
                <c:pt idx="23">
                  <c:v>Asphalt production</c:v>
                </c:pt>
                <c:pt idx="24">
                  <c:v>Agricultural residue burning</c:v>
                </c:pt>
                <c:pt idx="25">
                  <c:v>Pulp &amp; paper</c:v>
                </c:pt>
                <c:pt idx="26">
                  <c:v>Brass and bronze production</c:v>
                </c:pt>
                <c:pt idx="27">
                  <c:v>2-stroke engines</c:v>
                </c:pt>
                <c:pt idx="28">
                  <c:v>Primary iron &amp; steel production</c:v>
                </c:pt>
                <c:pt idx="29">
                  <c:v>Crematoria</c:v>
                </c:pt>
                <c:pt idx="30">
                  <c:v>Grassland and savannah fires</c:v>
                </c:pt>
                <c:pt idx="31">
                  <c:v>Medical waste incineration</c:v>
                </c:pt>
                <c:pt idx="32">
                  <c:v>Destruction of animal carcasses</c:v>
                </c:pt>
                <c:pt idx="33">
                  <c:v>Galvanising</c:v>
                </c:pt>
                <c:pt idx="34">
                  <c:v>Diesel engines</c:v>
                </c:pt>
                <c:pt idx="35">
                  <c:v>Vehicle fires</c:v>
                </c:pt>
                <c:pt idx="36">
                  <c:v>Heavy oil-fired engines</c:v>
                </c:pt>
                <c:pt idx="37">
                  <c:v>Forest fires</c:v>
                </c:pt>
                <c:pt idx="38">
                  <c:v>Structure fires</c:v>
                </c:pt>
                <c:pt idx="39">
                  <c:v>Coal-fired electricity generation</c:v>
                </c:pt>
                <c:pt idx="40">
                  <c:v>Open burning of domestic wastes</c:v>
                </c:pt>
                <c:pt idx="41">
                  <c:v>Household heating &amp; cooking  with biomass</c:v>
                </c:pt>
                <c:pt idx="42">
                  <c:v>Fires at waste dumps</c:v>
                </c:pt>
                <c:pt idx="43">
                  <c:v>Industrial/commercial coal use</c:v>
                </c:pt>
                <c:pt idx="44">
                  <c:v>Metal shredding</c:v>
                </c:pt>
                <c:pt idx="45">
                  <c:v>Biomass power plants</c:v>
                </c:pt>
                <c:pt idx="46">
                  <c:v>Secondary aluminium production</c:v>
                </c:pt>
                <c:pt idx="47">
                  <c:v>Sewage/sewage treatment</c:v>
                </c:pt>
                <c:pt idx="48">
                  <c:v>Landfills, waste dumps and landfill mining</c:v>
                </c:pt>
              </c:strCache>
            </c:strRef>
          </c:cat>
          <c:val>
            <c:numRef>
              <c:f>'2020 Data Vertical plot'!$K$5:$K$53</c:f>
              <c:numCache>
                <c:formatCode>General</c:formatCode>
                <c:ptCount val="49"/>
                <c:pt idx="0">
                  <c:v>0</c:v>
                </c:pt>
                <c:pt idx="1">
                  <c:v>0</c:v>
                </c:pt>
                <c:pt idx="2">
                  <c:v>6.0000000000000002E-6</c:v>
                </c:pt>
                <c:pt idx="3">
                  <c:v>5.0000000000000002E-5</c:v>
                </c:pt>
                <c:pt idx="4">
                  <c:v>9.7999999999999997E-5</c:v>
                </c:pt>
                <c:pt idx="5">
                  <c:v>2.9E-4</c:v>
                </c:pt>
                <c:pt idx="6">
                  <c:v>8.0000000000000004E-4</c:v>
                </c:pt>
                <c:pt idx="7">
                  <c:v>1E-3</c:v>
                </c:pt>
                <c:pt idx="8">
                  <c:v>1.17E-3</c:v>
                </c:pt>
                <c:pt idx="9">
                  <c:v>1.6000000000000001E-3</c:v>
                </c:pt>
                <c:pt idx="10">
                  <c:v>3.0999999999999999E-3</c:v>
                </c:pt>
                <c:pt idx="11">
                  <c:v>1.2E-2</c:v>
                </c:pt>
                <c:pt idx="12">
                  <c:v>1.2E-2</c:v>
                </c:pt>
                <c:pt idx="13">
                  <c:v>1.6E-2</c:v>
                </c:pt>
                <c:pt idx="14">
                  <c:v>1.6E-2</c:v>
                </c:pt>
                <c:pt idx="15">
                  <c:v>2.1000000000000001E-2</c:v>
                </c:pt>
                <c:pt idx="16">
                  <c:v>2.1000000000000001E-2</c:v>
                </c:pt>
                <c:pt idx="17">
                  <c:v>2.7099999999999999E-2</c:v>
                </c:pt>
                <c:pt idx="18">
                  <c:v>0.03</c:v>
                </c:pt>
                <c:pt idx="19">
                  <c:v>3.04E-2</c:v>
                </c:pt>
                <c:pt idx="20">
                  <c:v>3.7999999999999999E-2</c:v>
                </c:pt>
                <c:pt idx="21">
                  <c:v>0.04</c:v>
                </c:pt>
                <c:pt idx="22">
                  <c:v>4.5999999999999999E-2</c:v>
                </c:pt>
                <c:pt idx="23">
                  <c:v>5.8000000000000003E-2</c:v>
                </c:pt>
                <c:pt idx="24">
                  <c:v>0.14399999999999999</c:v>
                </c:pt>
                <c:pt idx="25">
                  <c:v>0.16900000000000001</c:v>
                </c:pt>
                <c:pt idx="26">
                  <c:v>0.185</c:v>
                </c:pt>
                <c:pt idx="27">
                  <c:v>0.188</c:v>
                </c:pt>
                <c:pt idx="28">
                  <c:v>0.20499999999999999</c:v>
                </c:pt>
                <c:pt idx="29">
                  <c:v>0.221</c:v>
                </c:pt>
                <c:pt idx="30">
                  <c:v>0.2223</c:v>
                </c:pt>
                <c:pt idx="31">
                  <c:v>0.23599999999999999</c:v>
                </c:pt>
                <c:pt idx="32">
                  <c:v>0.255</c:v>
                </c:pt>
                <c:pt idx="33">
                  <c:v>0.26700000000000002</c:v>
                </c:pt>
                <c:pt idx="34">
                  <c:v>0.28499999999999998</c:v>
                </c:pt>
                <c:pt idx="35">
                  <c:v>0.29210000000000003</c:v>
                </c:pt>
                <c:pt idx="36">
                  <c:v>0.34300000000000003</c:v>
                </c:pt>
                <c:pt idx="37">
                  <c:v>0.42730000000000001</c:v>
                </c:pt>
                <c:pt idx="38">
                  <c:v>0.52539999999999998</c:v>
                </c:pt>
                <c:pt idx="39">
                  <c:v>0.46800000000000003</c:v>
                </c:pt>
                <c:pt idx="40">
                  <c:v>0.47799999999999998</c:v>
                </c:pt>
                <c:pt idx="41">
                  <c:v>0.90500000000000003</c:v>
                </c:pt>
                <c:pt idx="42">
                  <c:v>1.1299999999999999</c:v>
                </c:pt>
                <c:pt idx="43">
                  <c:v>1.3320000000000001</c:v>
                </c:pt>
                <c:pt idx="44">
                  <c:v>1.82</c:v>
                </c:pt>
                <c:pt idx="45">
                  <c:v>2.0590000000000002</c:v>
                </c:pt>
                <c:pt idx="46">
                  <c:v>2.1949999999999998</c:v>
                </c:pt>
                <c:pt idx="47">
                  <c:v>2.9140000000000001</c:v>
                </c:pt>
                <c:pt idx="48">
                  <c:v>18.97</c:v>
                </c:pt>
              </c:numCache>
            </c:numRef>
          </c:val>
          <c:extLst>
            <c:ext xmlns:c16="http://schemas.microsoft.com/office/drawing/2014/chart" uri="{C3380CC4-5D6E-409C-BE32-E72D297353CC}">
              <c16:uniqueId val="{00000000-36EE-FB4C-9E05-D2F72D453C79}"/>
            </c:ext>
          </c:extLst>
        </c:ser>
        <c:dLbls>
          <c:showLegendKey val="0"/>
          <c:showVal val="0"/>
          <c:showCatName val="0"/>
          <c:showSerName val="0"/>
          <c:showPercent val="0"/>
          <c:showBubbleSize val="0"/>
        </c:dLbls>
        <c:gapWidth val="150"/>
        <c:axId val="259267584"/>
        <c:axId val="259298048"/>
      </c:barChart>
      <c:catAx>
        <c:axId val="259267584"/>
        <c:scaling>
          <c:orientation val="minMax"/>
        </c:scaling>
        <c:delete val="0"/>
        <c:axPos val="l"/>
        <c:numFmt formatCode="General" sourceLinked="1"/>
        <c:majorTickMark val="out"/>
        <c:minorTickMark val="none"/>
        <c:tickLblPos val="nextTo"/>
        <c:txPr>
          <a:bodyPr/>
          <a:lstStyle/>
          <a:p>
            <a:pPr>
              <a:defRPr sz="800" b="1" baseline="0"/>
            </a:pPr>
            <a:endParaRPr lang="en-US"/>
          </a:p>
        </c:txPr>
        <c:crossAx val="259298048"/>
        <c:crosses val="autoZero"/>
        <c:auto val="1"/>
        <c:lblAlgn val="ctr"/>
        <c:lblOffset val="100"/>
        <c:noMultiLvlLbl val="0"/>
      </c:catAx>
      <c:valAx>
        <c:axId val="259298048"/>
        <c:scaling>
          <c:orientation val="minMax"/>
        </c:scaling>
        <c:delete val="0"/>
        <c:axPos val="b"/>
        <c:majorGridlines/>
        <c:title>
          <c:tx>
            <c:rich>
              <a:bodyPr/>
              <a:lstStyle/>
              <a:p>
                <a:pPr>
                  <a:defRPr/>
                </a:pPr>
                <a:r>
                  <a:rPr lang="en-US"/>
                  <a:t>Annual Releases, g TEQ/year</a:t>
                </a:r>
              </a:p>
            </c:rich>
          </c:tx>
          <c:overlay val="0"/>
        </c:title>
        <c:numFmt formatCode="General" sourceLinked="1"/>
        <c:majorTickMark val="out"/>
        <c:minorTickMark val="none"/>
        <c:tickLblPos val="nextTo"/>
        <c:crossAx val="259267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170336323042871E-2"/>
          <c:y val="2.1181547450453583E-2"/>
          <c:w val="0.61464385695666579"/>
          <c:h val="0.93263771435045439"/>
        </c:manualLayout>
      </c:layout>
      <c:ofPieChart>
        <c:ofPieType val="pie"/>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'Pie of Pie'!$C$3:$C$12</c:f>
              <c:strCache>
                <c:ptCount val="10"/>
                <c:pt idx="0">
                  <c:v>Landfills </c:v>
                </c:pt>
                <c:pt idx="1">
                  <c:v>Sewage Treatment</c:v>
                </c:pt>
                <c:pt idx="2">
                  <c:v>Remaining 40 Sources</c:v>
                </c:pt>
                <c:pt idx="3">
                  <c:v>Secondary Aluminium</c:v>
                </c:pt>
                <c:pt idx="4">
                  <c:v>Industrial Wood Combustion</c:v>
                </c:pt>
                <c:pt idx="5">
                  <c:v>Industrial Coal Combustion</c:v>
                </c:pt>
                <c:pt idx="6">
                  <c:v>Metal Shredding</c:v>
                </c:pt>
                <c:pt idx="7">
                  <c:v>Landfill fires</c:v>
                </c:pt>
                <c:pt idx="8">
                  <c:v>Heating and Cooking with Wood</c:v>
                </c:pt>
                <c:pt idx="9">
                  <c:v>Structure Fires</c:v>
                </c:pt>
              </c:strCache>
            </c:strRef>
          </c:cat>
          <c:val>
            <c:numRef>
              <c:f>'Pie of Pie'!$D$3:$D$12</c:f>
              <c:numCache>
                <c:formatCode>0%</c:formatCode>
                <c:ptCount val="10"/>
                <c:pt idx="0">
                  <c:v>0.52</c:v>
                </c:pt>
                <c:pt idx="1">
                  <c:v>8.1000000000000003E-2</c:v>
                </c:pt>
                <c:pt idx="2">
                  <c:v>0.13</c:v>
                </c:pt>
                <c:pt idx="3">
                  <c:v>6.2E-2</c:v>
                </c:pt>
                <c:pt idx="4">
                  <c:v>5.8000000000000003E-2</c:v>
                </c:pt>
                <c:pt idx="5">
                  <c:v>3.7999999999999999E-2</c:v>
                </c:pt>
                <c:pt idx="6">
                  <c:v>0.05</c:v>
                </c:pt>
                <c:pt idx="7">
                  <c:v>3.2000000000000001E-2</c:v>
                </c:pt>
                <c:pt idx="8">
                  <c:v>2.5999999999999999E-2</c:v>
                </c:pt>
                <c:pt idx="9">
                  <c:v>1.4E-2</c:v>
                </c:pt>
              </c:numCache>
            </c:numRef>
          </c:val>
          <c:extLst>
            <c:ext xmlns:c16="http://schemas.microsoft.com/office/drawing/2014/chart" uri="{C3380CC4-5D6E-409C-BE32-E72D297353CC}">
              <c16:uniqueId val="{00000000-FB3D-5448-9B07-607DCB931265}"/>
            </c:ext>
          </c:extLst>
        </c:ser>
        <c:dLbls>
          <c:showLegendKey val="0"/>
          <c:showVal val="0"/>
          <c:showCatName val="0"/>
          <c:showSerName val="0"/>
          <c:showPercent val="0"/>
          <c:showBubbleSize val="0"/>
          <c:showLeaderLines val="1"/>
        </c:dLbls>
        <c:gapWidth val="100"/>
        <c:splitType val="pos"/>
        <c:splitPos val="5"/>
        <c:secondPieSize val="75"/>
        <c:serLines/>
      </c:ofPieChart>
    </c:plotArea>
    <c:legend>
      <c:legendPos val="r"/>
      <c:layout>
        <c:manualLayout>
          <c:xMode val="edge"/>
          <c:yMode val="edge"/>
          <c:x val="0.63602853796369918"/>
          <c:y val="4.9616825063749308E-2"/>
          <c:w val="0.36397146203630076"/>
          <c:h val="0.9503831749362506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Comparison of Major</a:t>
            </a:r>
            <a:r>
              <a:rPr lang="en-NZ" baseline="0"/>
              <a:t> Dioxin Releases for 2012, 2016 and 2020</a:t>
            </a:r>
            <a:endParaRPr lang="en-NZ"/>
          </a:p>
        </c:rich>
      </c:tx>
      <c:overlay val="0"/>
    </c:title>
    <c:autoTitleDeleted val="0"/>
    <c:plotArea>
      <c:layout/>
      <c:barChart>
        <c:barDir val="bar"/>
        <c:grouping val="clustered"/>
        <c:varyColors val="0"/>
        <c:ser>
          <c:idx val="0"/>
          <c:order val="0"/>
          <c:tx>
            <c:strRef>
              <c:f>'2020 Multi_year plot'!$G$57</c:f>
              <c:strCache>
                <c:ptCount val="1"/>
                <c:pt idx="0">
                  <c:v>2020</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plot'!$G$58:$G$77</c:f>
              <c:numCache>
                <c:formatCode>General</c:formatCode>
                <c:ptCount val="20"/>
                <c:pt idx="0">
                  <c:v>0.2223</c:v>
                </c:pt>
                <c:pt idx="1">
                  <c:v>0.23599999999999999</c:v>
                </c:pt>
                <c:pt idx="2">
                  <c:v>0.43730000000000002</c:v>
                </c:pt>
                <c:pt idx="3">
                  <c:v>0.29210000000000003</c:v>
                </c:pt>
                <c:pt idx="4">
                  <c:v>0.28499999999999998</c:v>
                </c:pt>
                <c:pt idx="5">
                  <c:v>0.26700000000000002</c:v>
                </c:pt>
                <c:pt idx="6">
                  <c:v>0.185</c:v>
                </c:pt>
                <c:pt idx="7">
                  <c:v>0.1845</c:v>
                </c:pt>
                <c:pt idx="8">
                  <c:v>0.34300000000000003</c:v>
                </c:pt>
                <c:pt idx="9">
                  <c:v>1.1299999999999999</c:v>
                </c:pt>
                <c:pt idx="10">
                  <c:v>0.47799999999999998</c:v>
                </c:pt>
                <c:pt idx="11">
                  <c:v>0.90500000000000003</c:v>
                </c:pt>
                <c:pt idx="12">
                  <c:v>1.82</c:v>
                </c:pt>
                <c:pt idx="13">
                  <c:v>2.0590000000000002</c:v>
                </c:pt>
                <c:pt idx="14">
                  <c:v>0.52400000000000002</c:v>
                </c:pt>
                <c:pt idx="15">
                  <c:v>1.3320000000000001</c:v>
                </c:pt>
                <c:pt idx="16">
                  <c:v>0</c:v>
                </c:pt>
                <c:pt idx="17">
                  <c:v>2.1949999999999998</c:v>
                </c:pt>
                <c:pt idx="18">
                  <c:v>2.9140000000000001</c:v>
                </c:pt>
                <c:pt idx="19">
                  <c:v>18.97</c:v>
                </c:pt>
              </c:numCache>
            </c:numRef>
          </c:val>
          <c:extLst>
            <c:ext xmlns:c16="http://schemas.microsoft.com/office/drawing/2014/chart" uri="{C3380CC4-5D6E-409C-BE32-E72D297353CC}">
              <c16:uniqueId val="{00000000-14FD-D54C-A2B4-D1A508D71496}"/>
            </c:ext>
          </c:extLst>
        </c:ser>
        <c:ser>
          <c:idx val="1"/>
          <c:order val="1"/>
          <c:tx>
            <c:strRef>
              <c:f>'2020 Multi_year plot'!$H$57</c:f>
              <c:strCache>
                <c:ptCount val="1"/>
                <c:pt idx="0">
                  <c:v>2016</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plot'!$H$58:$H$77</c:f>
              <c:numCache>
                <c:formatCode>General</c:formatCode>
                <c:ptCount val="20"/>
                <c:pt idx="0">
                  <c:v>0.21329999999999999</c:v>
                </c:pt>
                <c:pt idx="1">
                  <c:v>0.2356</c:v>
                </c:pt>
                <c:pt idx="2">
                  <c:v>0.23569999999999999</c:v>
                </c:pt>
                <c:pt idx="3">
                  <c:v>0.247</c:v>
                </c:pt>
                <c:pt idx="4">
                  <c:v>0.26600000000000001</c:v>
                </c:pt>
                <c:pt idx="5">
                  <c:v>0.27527000000000001</c:v>
                </c:pt>
                <c:pt idx="6">
                  <c:v>0.33700000000000002</c:v>
                </c:pt>
                <c:pt idx="7">
                  <c:v>0.3669</c:v>
                </c:pt>
                <c:pt idx="8">
                  <c:v>0.377</c:v>
                </c:pt>
                <c:pt idx="9">
                  <c:v>0.377</c:v>
                </c:pt>
                <c:pt idx="10">
                  <c:v>0.82720000000000005</c:v>
                </c:pt>
                <c:pt idx="11">
                  <c:v>0.97399999999999998</c:v>
                </c:pt>
                <c:pt idx="12">
                  <c:v>1.3</c:v>
                </c:pt>
                <c:pt idx="13">
                  <c:v>1.3</c:v>
                </c:pt>
                <c:pt idx="14">
                  <c:v>1.3959999999999999</c:v>
                </c:pt>
                <c:pt idx="15">
                  <c:v>1.5589999999999999</c:v>
                </c:pt>
                <c:pt idx="16">
                  <c:v>0</c:v>
                </c:pt>
                <c:pt idx="17">
                  <c:v>3.6589999999999998</c:v>
                </c:pt>
                <c:pt idx="18">
                  <c:v>2.6949999999999998</c:v>
                </c:pt>
                <c:pt idx="19">
                  <c:v>18.733000000000001</c:v>
                </c:pt>
              </c:numCache>
            </c:numRef>
          </c:val>
          <c:extLst>
            <c:ext xmlns:c16="http://schemas.microsoft.com/office/drawing/2014/chart" uri="{C3380CC4-5D6E-409C-BE32-E72D297353CC}">
              <c16:uniqueId val="{00000001-14FD-D54C-A2B4-D1A508D71496}"/>
            </c:ext>
          </c:extLst>
        </c:ser>
        <c:ser>
          <c:idx val="2"/>
          <c:order val="2"/>
          <c:tx>
            <c:strRef>
              <c:f>'2020 Multi_year plot'!$I$57</c:f>
              <c:strCache>
                <c:ptCount val="1"/>
                <c:pt idx="0">
                  <c:v>2012</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plot'!$I$58:$I$77</c:f>
              <c:numCache>
                <c:formatCode>General</c:formatCode>
                <c:ptCount val="20"/>
                <c:pt idx="0">
                  <c:v>0.246</c:v>
                </c:pt>
                <c:pt idx="1">
                  <c:v>0.66139999999999999</c:v>
                </c:pt>
                <c:pt idx="2">
                  <c:v>0.17399999999999999</c:v>
                </c:pt>
                <c:pt idx="3">
                  <c:v>0.20200000000000001</c:v>
                </c:pt>
                <c:pt idx="4">
                  <c:v>0.23799999999999999</c:v>
                </c:pt>
                <c:pt idx="5">
                  <c:v>0.251</c:v>
                </c:pt>
                <c:pt idx="6">
                  <c:v>1.0349999999999999</c:v>
                </c:pt>
                <c:pt idx="7">
                  <c:v>0.30199999999999999</c:v>
                </c:pt>
                <c:pt idx="8">
                  <c:v>0.36799999999999999</c:v>
                </c:pt>
                <c:pt idx="9">
                  <c:v>0.3906</c:v>
                </c:pt>
                <c:pt idx="10">
                  <c:v>0.8</c:v>
                </c:pt>
                <c:pt idx="11">
                  <c:v>0.98399999999999999</c:v>
                </c:pt>
                <c:pt idx="12">
                  <c:v>1.82</c:v>
                </c:pt>
                <c:pt idx="13">
                  <c:v>1.3</c:v>
                </c:pt>
                <c:pt idx="14">
                  <c:v>1.25</c:v>
                </c:pt>
                <c:pt idx="15">
                  <c:v>1.34</c:v>
                </c:pt>
                <c:pt idx="16">
                  <c:v>2.84</c:v>
                </c:pt>
                <c:pt idx="17">
                  <c:v>4.09</c:v>
                </c:pt>
                <c:pt idx="18">
                  <c:v>2.5649999999999999</c:v>
                </c:pt>
                <c:pt idx="19">
                  <c:v>13.83</c:v>
                </c:pt>
              </c:numCache>
            </c:numRef>
          </c:val>
          <c:extLst>
            <c:ext xmlns:c16="http://schemas.microsoft.com/office/drawing/2014/chart" uri="{C3380CC4-5D6E-409C-BE32-E72D297353CC}">
              <c16:uniqueId val="{00000002-14FD-D54C-A2B4-D1A508D71496}"/>
            </c:ext>
          </c:extLst>
        </c:ser>
        <c:dLbls>
          <c:showLegendKey val="0"/>
          <c:showVal val="0"/>
          <c:showCatName val="0"/>
          <c:showSerName val="0"/>
          <c:showPercent val="0"/>
          <c:showBubbleSize val="0"/>
        </c:dLbls>
        <c:gapWidth val="150"/>
        <c:axId val="260425600"/>
        <c:axId val="260427136"/>
      </c:barChart>
      <c:catAx>
        <c:axId val="260425600"/>
        <c:scaling>
          <c:orientation val="minMax"/>
        </c:scaling>
        <c:delete val="0"/>
        <c:axPos val="l"/>
        <c:numFmt formatCode="General" sourceLinked="0"/>
        <c:majorTickMark val="out"/>
        <c:minorTickMark val="none"/>
        <c:tickLblPos val="nextTo"/>
        <c:crossAx val="260427136"/>
        <c:crosses val="autoZero"/>
        <c:auto val="1"/>
        <c:lblAlgn val="ctr"/>
        <c:lblOffset val="100"/>
        <c:noMultiLvlLbl val="0"/>
      </c:catAx>
      <c:valAx>
        <c:axId val="260427136"/>
        <c:scaling>
          <c:orientation val="minMax"/>
        </c:scaling>
        <c:delete val="0"/>
        <c:axPos val="b"/>
        <c:majorGridlines/>
        <c:title>
          <c:tx>
            <c:rich>
              <a:bodyPr/>
              <a:lstStyle/>
              <a:p>
                <a:pPr>
                  <a:defRPr/>
                </a:pPr>
                <a:r>
                  <a:rPr lang="en-NZ"/>
                  <a:t>g TEQ/ annum</a:t>
                </a:r>
              </a:p>
            </c:rich>
          </c:tx>
          <c:overlay val="0"/>
        </c:title>
        <c:numFmt formatCode="General" sourceLinked="1"/>
        <c:majorTickMark val="out"/>
        <c:minorTickMark val="none"/>
        <c:tickLblPos val="nextTo"/>
        <c:crossAx val="260425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Comparison of Minor Dioxin Releases for 2012, 2016 and 2020</a:t>
            </a:r>
          </a:p>
        </c:rich>
      </c:tx>
      <c:overlay val="0"/>
    </c:title>
    <c:autoTitleDeleted val="0"/>
    <c:plotArea>
      <c:layout/>
      <c:barChart>
        <c:barDir val="bar"/>
        <c:grouping val="clustered"/>
        <c:varyColors val="0"/>
        <c:ser>
          <c:idx val="0"/>
          <c:order val="0"/>
          <c:tx>
            <c:strRef>
              <c:f>'2020 Multi_year plot'!$G$106</c:f>
              <c:strCache>
                <c:ptCount val="1"/>
                <c:pt idx="0">
                  <c:v>2020</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plot'!$G$107:$G$134</c:f>
              <c:numCache>
                <c:formatCode>General</c:formatCode>
                <c:ptCount val="28"/>
                <c:pt idx="0">
                  <c:v>5.0000000000000002E-5</c:v>
                </c:pt>
                <c:pt idx="1">
                  <c:v>9.7999999999999997E-5</c:v>
                </c:pt>
                <c:pt idx="2">
                  <c:v>2.9E-4</c:v>
                </c:pt>
                <c:pt idx="3">
                  <c:v>6.0000000000000002E-6</c:v>
                </c:pt>
                <c:pt idx="4">
                  <c:v>7.9000000000000001E-4</c:v>
                </c:pt>
                <c:pt idx="5">
                  <c:v>1.17E-3</c:v>
                </c:pt>
                <c:pt idx="6">
                  <c:v>1E-3</c:v>
                </c:pt>
                <c:pt idx="7">
                  <c:v>1.6000000000000001E-3</c:v>
                </c:pt>
                <c:pt idx="8">
                  <c:v>3.0999999999999999E-3</c:v>
                </c:pt>
                <c:pt idx="9">
                  <c:v>0.188</c:v>
                </c:pt>
                <c:pt idx="10">
                  <c:v>1.2E-2</c:v>
                </c:pt>
                <c:pt idx="11">
                  <c:v>1.6E-2</c:v>
                </c:pt>
                <c:pt idx="12">
                  <c:v>1.6E-2</c:v>
                </c:pt>
                <c:pt idx="13">
                  <c:v>2.1000000000000001E-2</c:v>
                </c:pt>
                <c:pt idx="14">
                  <c:v>0.03</c:v>
                </c:pt>
                <c:pt idx="15">
                  <c:v>5.8000000000000003E-2</c:v>
                </c:pt>
                <c:pt idx="16">
                  <c:v>2.7099999999999999E-2</c:v>
                </c:pt>
                <c:pt idx="17">
                  <c:v>3.7999999999999999E-2</c:v>
                </c:pt>
                <c:pt idx="18">
                  <c:v>0.04</c:v>
                </c:pt>
                <c:pt idx="19">
                  <c:v>1.2E-2</c:v>
                </c:pt>
                <c:pt idx="20">
                  <c:v>3.04E-2</c:v>
                </c:pt>
                <c:pt idx="21">
                  <c:v>2.1000000000000001E-2</c:v>
                </c:pt>
                <c:pt idx="22">
                  <c:v>4.5999999999999999E-2</c:v>
                </c:pt>
                <c:pt idx="23">
                  <c:v>0.255</c:v>
                </c:pt>
                <c:pt idx="24">
                  <c:v>0.46800000000000003</c:v>
                </c:pt>
                <c:pt idx="25">
                  <c:v>0.16900000000000001</c:v>
                </c:pt>
                <c:pt idx="26">
                  <c:v>0.14399999999999999</c:v>
                </c:pt>
                <c:pt idx="27">
                  <c:v>0.221</c:v>
                </c:pt>
              </c:numCache>
            </c:numRef>
          </c:val>
          <c:extLst>
            <c:ext xmlns:c16="http://schemas.microsoft.com/office/drawing/2014/chart" uri="{C3380CC4-5D6E-409C-BE32-E72D297353CC}">
              <c16:uniqueId val="{00000000-8DFB-2C40-976E-FBA0366CBBD6}"/>
            </c:ext>
          </c:extLst>
        </c:ser>
        <c:ser>
          <c:idx val="1"/>
          <c:order val="1"/>
          <c:tx>
            <c:strRef>
              <c:f>'2020 Multi_year plot'!$H$106</c:f>
              <c:strCache>
                <c:ptCount val="1"/>
                <c:pt idx="0">
                  <c:v>2016</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plot'!$H$107:$H$134</c:f>
              <c:numCache>
                <c:formatCode>General</c:formatCode>
                <c:ptCount val="28"/>
                <c:pt idx="0">
                  <c:v>5.0000000000000002E-5</c:v>
                </c:pt>
                <c:pt idx="1">
                  <c:v>2.1000000000000001E-4</c:v>
                </c:pt>
                <c:pt idx="2">
                  <c:v>2.5999999999999998E-4</c:v>
                </c:pt>
                <c:pt idx="3">
                  <c:v>3.4699999999999998E-4</c:v>
                </c:pt>
                <c:pt idx="4">
                  <c:v>7.5000000000000002E-4</c:v>
                </c:pt>
                <c:pt idx="5">
                  <c:v>9.3999999999999997E-4</c:v>
                </c:pt>
                <c:pt idx="6">
                  <c:v>1.1999999999999999E-3</c:v>
                </c:pt>
                <c:pt idx="7">
                  <c:v>2.5999999999999999E-3</c:v>
                </c:pt>
                <c:pt idx="8">
                  <c:v>3.0999999999999999E-3</c:v>
                </c:pt>
                <c:pt idx="9">
                  <c:v>1.4E-2</c:v>
                </c:pt>
                <c:pt idx="10">
                  <c:v>1.4200000000000001E-2</c:v>
                </c:pt>
                <c:pt idx="11">
                  <c:v>1.44E-2</c:v>
                </c:pt>
                <c:pt idx="12">
                  <c:v>2.7417E-2</c:v>
                </c:pt>
                <c:pt idx="13">
                  <c:v>2.8000000000000001E-2</c:v>
                </c:pt>
                <c:pt idx="14">
                  <c:v>2.58E-2</c:v>
                </c:pt>
                <c:pt idx="15">
                  <c:v>5.1799999999999999E-2</c:v>
                </c:pt>
                <c:pt idx="16">
                  <c:v>3.4180000000000002E-2</c:v>
                </c:pt>
                <c:pt idx="17">
                  <c:v>4.1000000000000002E-2</c:v>
                </c:pt>
                <c:pt idx="18">
                  <c:v>4.3999999999999997E-2</c:v>
                </c:pt>
                <c:pt idx="19">
                  <c:v>4.4999999999999998E-2</c:v>
                </c:pt>
                <c:pt idx="20">
                  <c:v>4.8300000000000003E-2</c:v>
                </c:pt>
                <c:pt idx="21">
                  <c:v>0.14199999999999999</c:v>
                </c:pt>
                <c:pt idx="22">
                  <c:v>7.4899999999999994E-2</c:v>
                </c:pt>
                <c:pt idx="23">
                  <c:v>0.11600000000000001</c:v>
                </c:pt>
                <c:pt idx="24">
                  <c:v>0.1162</c:v>
                </c:pt>
                <c:pt idx="25">
                  <c:v>0.51200000000000001</c:v>
                </c:pt>
                <c:pt idx="26">
                  <c:v>0.1595</c:v>
                </c:pt>
                <c:pt idx="27">
                  <c:v>0.20100000000000001</c:v>
                </c:pt>
              </c:numCache>
            </c:numRef>
          </c:val>
          <c:extLst>
            <c:ext xmlns:c16="http://schemas.microsoft.com/office/drawing/2014/chart" uri="{C3380CC4-5D6E-409C-BE32-E72D297353CC}">
              <c16:uniqueId val="{00000001-8DFB-2C40-976E-FBA0366CBBD6}"/>
            </c:ext>
          </c:extLst>
        </c:ser>
        <c:ser>
          <c:idx val="2"/>
          <c:order val="2"/>
          <c:tx>
            <c:strRef>
              <c:f>'2020 Multi_year plot'!$I$106</c:f>
              <c:strCache>
                <c:ptCount val="1"/>
                <c:pt idx="0">
                  <c:v>2012</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plot'!$I$107:$I$134</c:f>
              <c:numCache>
                <c:formatCode>General</c:formatCode>
                <c:ptCount val="28"/>
                <c:pt idx="0">
                  <c:v>3.4E-5</c:v>
                </c:pt>
                <c:pt idx="1">
                  <c:v>2.7999999999999998E-4</c:v>
                </c:pt>
                <c:pt idx="2">
                  <c:v>1.16E-3</c:v>
                </c:pt>
                <c:pt idx="3">
                  <c:v>1.01E-4</c:v>
                </c:pt>
                <c:pt idx="4">
                  <c:v>7.5000000000000002E-4</c:v>
                </c:pt>
                <c:pt idx="5">
                  <c:v>9.4700000000000003E-4</c:v>
                </c:pt>
                <c:pt idx="6">
                  <c:v>2.8999999999999998E-3</c:v>
                </c:pt>
                <c:pt idx="7">
                  <c:v>8.3000000000000001E-3</c:v>
                </c:pt>
                <c:pt idx="8">
                  <c:v>3.5000000000000001E-3</c:v>
                </c:pt>
                <c:pt idx="9">
                  <c:v>1.4E-2</c:v>
                </c:pt>
                <c:pt idx="10">
                  <c:v>0.04</c:v>
                </c:pt>
                <c:pt idx="11">
                  <c:v>1.35E-2</c:v>
                </c:pt>
                <c:pt idx="12">
                  <c:v>2.58E-2</c:v>
                </c:pt>
                <c:pt idx="13">
                  <c:v>3.5999999999999997E-2</c:v>
                </c:pt>
                <c:pt idx="14">
                  <c:v>2.5000000000000001E-2</c:v>
                </c:pt>
                <c:pt idx="15">
                  <c:v>3.2000000000000001E-2</c:v>
                </c:pt>
                <c:pt idx="16">
                  <c:v>4.4200000000000003E-2</c:v>
                </c:pt>
                <c:pt idx="17">
                  <c:v>2.7E-2</c:v>
                </c:pt>
                <c:pt idx="18">
                  <c:v>0.17699999999999999</c:v>
                </c:pt>
                <c:pt idx="19">
                  <c:v>6.3E-2</c:v>
                </c:pt>
                <c:pt idx="20">
                  <c:v>3.5999999999999997E-2</c:v>
                </c:pt>
                <c:pt idx="21">
                  <c:v>0.214</c:v>
                </c:pt>
                <c:pt idx="22">
                  <c:v>5.45E-2</c:v>
                </c:pt>
                <c:pt idx="23">
                  <c:v>0.11600000000000001</c:v>
                </c:pt>
                <c:pt idx="24">
                  <c:v>0.69799999999999995</c:v>
                </c:pt>
                <c:pt idx="25">
                  <c:v>0.32500000000000001</c:v>
                </c:pt>
                <c:pt idx="26">
                  <c:v>0.158</c:v>
                </c:pt>
                <c:pt idx="27">
                  <c:v>0.191</c:v>
                </c:pt>
              </c:numCache>
            </c:numRef>
          </c:val>
          <c:extLst>
            <c:ext xmlns:c16="http://schemas.microsoft.com/office/drawing/2014/chart" uri="{C3380CC4-5D6E-409C-BE32-E72D297353CC}">
              <c16:uniqueId val="{00000002-8DFB-2C40-976E-FBA0366CBBD6}"/>
            </c:ext>
          </c:extLst>
        </c:ser>
        <c:dLbls>
          <c:showLegendKey val="0"/>
          <c:showVal val="0"/>
          <c:showCatName val="0"/>
          <c:showSerName val="0"/>
          <c:showPercent val="0"/>
          <c:showBubbleSize val="0"/>
        </c:dLbls>
        <c:gapWidth val="150"/>
        <c:axId val="260545152"/>
        <c:axId val="260551040"/>
      </c:barChart>
      <c:catAx>
        <c:axId val="260545152"/>
        <c:scaling>
          <c:orientation val="minMax"/>
        </c:scaling>
        <c:delete val="0"/>
        <c:axPos val="l"/>
        <c:numFmt formatCode="General" sourceLinked="0"/>
        <c:majorTickMark val="out"/>
        <c:minorTickMark val="none"/>
        <c:tickLblPos val="nextTo"/>
        <c:crossAx val="260551040"/>
        <c:crosses val="autoZero"/>
        <c:auto val="1"/>
        <c:lblAlgn val="ctr"/>
        <c:lblOffset val="100"/>
        <c:noMultiLvlLbl val="0"/>
      </c:catAx>
      <c:valAx>
        <c:axId val="260551040"/>
        <c:scaling>
          <c:orientation val="minMax"/>
        </c:scaling>
        <c:delete val="0"/>
        <c:axPos val="b"/>
        <c:majorGridlines/>
        <c:title>
          <c:tx>
            <c:rich>
              <a:bodyPr/>
              <a:lstStyle/>
              <a:p>
                <a:pPr>
                  <a:defRPr/>
                </a:pPr>
                <a:r>
                  <a:rPr lang="en-NZ"/>
                  <a:t>g TEQ / annum</a:t>
                </a:r>
              </a:p>
            </c:rich>
          </c:tx>
          <c:overlay val="0"/>
        </c:title>
        <c:numFmt formatCode="General" sourceLinked="1"/>
        <c:majorTickMark val="out"/>
        <c:minorTickMark val="none"/>
        <c:tickLblPos val="nextTo"/>
        <c:crossAx val="2605451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ofPieChart>
        <c:ofPieType val="pie"/>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'Pie of Pie'!$C$3:$C$12</c:f>
              <c:strCache>
                <c:ptCount val="10"/>
                <c:pt idx="0">
                  <c:v>Landfills </c:v>
                </c:pt>
                <c:pt idx="1">
                  <c:v>Sewage Treatment</c:v>
                </c:pt>
                <c:pt idx="2">
                  <c:v>Remaining 40 Sources</c:v>
                </c:pt>
                <c:pt idx="3">
                  <c:v>Secondary Aluminium</c:v>
                </c:pt>
                <c:pt idx="4">
                  <c:v>Industrial Wood Combustion</c:v>
                </c:pt>
                <c:pt idx="5">
                  <c:v>Industrial Coal Combustion</c:v>
                </c:pt>
                <c:pt idx="6">
                  <c:v>Metal Shredding</c:v>
                </c:pt>
                <c:pt idx="7">
                  <c:v>Landfill fires</c:v>
                </c:pt>
                <c:pt idx="8">
                  <c:v>Heating and Cooking with Wood</c:v>
                </c:pt>
                <c:pt idx="9">
                  <c:v>Structure Fires</c:v>
                </c:pt>
              </c:strCache>
            </c:strRef>
          </c:cat>
          <c:val>
            <c:numRef>
              <c:f>'Pie of Pie'!$D$3:$D$12</c:f>
              <c:numCache>
                <c:formatCode>0%</c:formatCode>
                <c:ptCount val="10"/>
                <c:pt idx="0">
                  <c:v>0.52</c:v>
                </c:pt>
                <c:pt idx="1">
                  <c:v>8.1000000000000003E-2</c:v>
                </c:pt>
                <c:pt idx="2">
                  <c:v>0.13</c:v>
                </c:pt>
                <c:pt idx="3">
                  <c:v>6.2E-2</c:v>
                </c:pt>
                <c:pt idx="4">
                  <c:v>5.8000000000000003E-2</c:v>
                </c:pt>
                <c:pt idx="5">
                  <c:v>3.7999999999999999E-2</c:v>
                </c:pt>
                <c:pt idx="6">
                  <c:v>0.05</c:v>
                </c:pt>
                <c:pt idx="7">
                  <c:v>3.2000000000000001E-2</c:v>
                </c:pt>
                <c:pt idx="8">
                  <c:v>2.5999999999999999E-2</c:v>
                </c:pt>
                <c:pt idx="9">
                  <c:v>1.4E-2</c:v>
                </c:pt>
              </c:numCache>
            </c:numRef>
          </c:val>
          <c:extLst>
            <c:ext xmlns:c16="http://schemas.microsoft.com/office/drawing/2014/chart" uri="{C3380CC4-5D6E-409C-BE32-E72D297353CC}">
              <c16:uniqueId val="{00000000-D672-4049-B352-FFF56910819A}"/>
            </c:ext>
          </c:extLst>
        </c:ser>
        <c:dLbls>
          <c:showLegendKey val="0"/>
          <c:showVal val="0"/>
          <c:showCatName val="0"/>
          <c:showSerName val="0"/>
          <c:showPercent val="0"/>
          <c:showBubbleSize val="0"/>
          <c:showLeaderLines val="1"/>
        </c:dLbls>
        <c:gapWidth val="100"/>
        <c:splitType val="pos"/>
        <c:splitPos val="5"/>
        <c:secondPieSize val="75"/>
        <c:serLines/>
      </c:ofPieChart>
    </c:plotArea>
    <c:legend>
      <c:legendPos val="r"/>
      <c:layout>
        <c:manualLayout>
          <c:xMode val="edge"/>
          <c:yMode val="edge"/>
          <c:x val="0.63602853796369918"/>
          <c:y val="4.9616825063749308E-2"/>
          <c:w val="0.36397146203630076"/>
          <c:h val="0.9503831749362506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Annual Dioxin Releases 2020</a:t>
            </a:r>
          </a:p>
        </c:rich>
      </c:tx>
      <c:overlay val="0"/>
    </c:title>
    <c:autoTitleDeleted val="0"/>
    <c:plotArea>
      <c:layout>
        <c:manualLayout>
          <c:layoutTarget val="inner"/>
          <c:xMode val="edge"/>
          <c:yMode val="edge"/>
          <c:x val="0.43344712667495511"/>
          <c:y val="6.1893144712843101E-2"/>
          <c:w val="0.52854296173504622"/>
          <c:h val="0.88228515503358695"/>
        </c:manualLayout>
      </c:layout>
      <c:barChart>
        <c:barDir val="bar"/>
        <c:grouping val="clustered"/>
        <c:varyColors val="0"/>
        <c:ser>
          <c:idx val="0"/>
          <c:order val="0"/>
          <c:invertIfNegative val="0"/>
          <c:cat>
            <c:strRef>
              <c:f>'2020 Data Vertical plot'!$J$5:$J$53</c:f>
              <c:strCache>
                <c:ptCount val="49"/>
                <c:pt idx="0">
                  <c:v>Secondary iron &amp; steel production</c:v>
                </c:pt>
                <c:pt idx="1">
                  <c:v>Lead production</c:v>
                </c:pt>
                <c:pt idx="2">
                  <c:v>Hazardous waste incineration</c:v>
                </c:pt>
                <c:pt idx="3">
                  <c:v>Use of 2,4-D</c:v>
                </c:pt>
                <c:pt idx="4">
                  <c:v>Tobacco smoking</c:v>
                </c:pt>
                <c:pt idx="5">
                  <c:v>Brick production</c:v>
                </c:pt>
                <c:pt idx="6">
                  <c:v>Pottery and ceramics</c:v>
                </c:pt>
                <c:pt idx="7">
                  <c:v>Household heating &amp; cooking  with oil</c:v>
                </c:pt>
                <c:pt idx="8">
                  <c:v>Sewage sludge incineration</c:v>
                </c:pt>
                <c:pt idx="9">
                  <c:v>Heavy fuel oil-fired power plants</c:v>
                </c:pt>
                <c:pt idx="10">
                  <c:v>Glass production</c:v>
                </c:pt>
                <c:pt idx="11">
                  <c:v>4-stroke engines</c:v>
                </c:pt>
                <c:pt idx="12">
                  <c:v>Wood and biomass incineration</c:v>
                </c:pt>
                <c:pt idx="13">
                  <c:v>Household heating &amp; cooking  with gas</c:v>
                </c:pt>
                <c:pt idx="14">
                  <c:v>Petroleum production</c:v>
                </c:pt>
                <c:pt idx="15">
                  <c:v>Fuel oil/gas-fired electricity generation</c:v>
                </c:pt>
                <c:pt idx="16">
                  <c:v>Iron foundries</c:v>
                </c:pt>
                <c:pt idx="17">
                  <c:v>Household heating &amp; cooking  with coal</c:v>
                </c:pt>
                <c:pt idx="18">
                  <c:v>Landfill gas/biogas combustion</c:v>
                </c:pt>
                <c:pt idx="19">
                  <c:v>Black liquor combustion</c:v>
                </c:pt>
                <c:pt idx="20">
                  <c:v>Fuel oil and gas-fired power plants</c:v>
                </c:pt>
                <c:pt idx="21">
                  <c:v>Cement production</c:v>
                </c:pt>
                <c:pt idx="22">
                  <c:v>Lime production</c:v>
                </c:pt>
                <c:pt idx="23">
                  <c:v>Asphalt production</c:v>
                </c:pt>
                <c:pt idx="24">
                  <c:v>Agricultural residue burning</c:v>
                </c:pt>
                <c:pt idx="25">
                  <c:v>Pulp &amp; paper</c:v>
                </c:pt>
                <c:pt idx="26">
                  <c:v>Brass and bronze production</c:v>
                </c:pt>
                <c:pt idx="27">
                  <c:v>2-stroke engines</c:v>
                </c:pt>
                <c:pt idx="28">
                  <c:v>Primary iron &amp; steel production</c:v>
                </c:pt>
                <c:pt idx="29">
                  <c:v>Crematoria</c:v>
                </c:pt>
                <c:pt idx="30">
                  <c:v>Grassland and savannah fires</c:v>
                </c:pt>
                <c:pt idx="31">
                  <c:v>Medical waste incineration</c:v>
                </c:pt>
                <c:pt idx="32">
                  <c:v>Destruction of animal carcasses</c:v>
                </c:pt>
                <c:pt idx="33">
                  <c:v>Galvanising</c:v>
                </c:pt>
                <c:pt idx="34">
                  <c:v>Diesel engines</c:v>
                </c:pt>
                <c:pt idx="35">
                  <c:v>Vehicle fires</c:v>
                </c:pt>
                <c:pt idx="36">
                  <c:v>Heavy oil-fired engines</c:v>
                </c:pt>
                <c:pt idx="37">
                  <c:v>Forest fires</c:v>
                </c:pt>
                <c:pt idx="38">
                  <c:v>Structure fires</c:v>
                </c:pt>
                <c:pt idx="39">
                  <c:v>Coal-fired electricity generation</c:v>
                </c:pt>
                <c:pt idx="40">
                  <c:v>Open burning of domestic wastes</c:v>
                </c:pt>
                <c:pt idx="41">
                  <c:v>Household heating &amp; cooking  with biomass</c:v>
                </c:pt>
                <c:pt idx="42">
                  <c:v>Fires at waste dumps</c:v>
                </c:pt>
                <c:pt idx="43">
                  <c:v>Industrial/commercial coal use</c:v>
                </c:pt>
                <c:pt idx="44">
                  <c:v>Metal shredding</c:v>
                </c:pt>
                <c:pt idx="45">
                  <c:v>Biomass power plants</c:v>
                </c:pt>
                <c:pt idx="46">
                  <c:v>Secondary aluminium production</c:v>
                </c:pt>
                <c:pt idx="47">
                  <c:v>Sewage/sewage treatment</c:v>
                </c:pt>
                <c:pt idx="48">
                  <c:v>Landfills, waste dumps and landfill mining</c:v>
                </c:pt>
              </c:strCache>
            </c:strRef>
          </c:cat>
          <c:val>
            <c:numRef>
              <c:f>'2020 Data Vertical plot'!$K$5:$K$53</c:f>
              <c:numCache>
                <c:formatCode>General</c:formatCode>
                <c:ptCount val="49"/>
                <c:pt idx="0">
                  <c:v>0</c:v>
                </c:pt>
                <c:pt idx="1">
                  <c:v>0</c:v>
                </c:pt>
                <c:pt idx="2">
                  <c:v>6.0000000000000002E-6</c:v>
                </c:pt>
                <c:pt idx="3">
                  <c:v>5.0000000000000002E-5</c:v>
                </c:pt>
                <c:pt idx="4">
                  <c:v>9.7999999999999997E-5</c:v>
                </c:pt>
                <c:pt idx="5">
                  <c:v>2.9E-4</c:v>
                </c:pt>
                <c:pt idx="6">
                  <c:v>8.0000000000000004E-4</c:v>
                </c:pt>
                <c:pt idx="7">
                  <c:v>1E-3</c:v>
                </c:pt>
                <c:pt idx="8">
                  <c:v>1.17E-3</c:v>
                </c:pt>
                <c:pt idx="9">
                  <c:v>1.6000000000000001E-3</c:v>
                </c:pt>
                <c:pt idx="10">
                  <c:v>3.0999999999999999E-3</c:v>
                </c:pt>
                <c:pt idx="11">
                  <c:v>1.2E-2</c:v>
                </c:pt>
                <c:pt idx="12">
                  <c:v>1.2E-2</c:v>
                </c:pt>
                <c:pt idx="13">
                  <c:v>1.6E-2</c:v>
                </c:pt>
                <c:pt idx="14">
                  <c:v>1.6E-2</c:v>
                </c:pt>
                <c:pt idx="15">
                  <c:v>2.1000000000000001E-2</c:v>
                </c:pt>
                <c:pt idx="16">
                  <c:v>2.1000000000000001E-2</c:v>
                </c:pt>
                <c:pt idx="17">
                  <c:v>2.7099999999999999E-2</c:v>
                </c:pt>
                <c:pt idx="18">
                  <c:v>0.03</c:v>
                </c:pt>
                <c:pt idx="19">
                  <c:v>3.04E-2</c:v>
                </c:pt>
                <c:pt idx="20">
                  <c:v>3.7999999999999999E-2</c:v>
                </c:pt>
                <c:pt idx="21">
                  <c:v>0.04</c:v>
                </c:pt>
                <c:pt idx="22">
                  <c:v>4.5999999999999999E-2</c:v>
                </c:pt>
                <c:pt idx="23">
                  <c:v>5.8000000000000003E-2</c:v>
                </c:pt>
                <c:pt idx="24">
                  <c:v>0.14399999999999999</c:v>
                </c:pt>
                <c:pt idx="25">
                  <c:v>0.16900000000000001</c:v>
                </c:pt>
                <c:pt idx="26">
                  <c:v>0.185</c:v>
                </c:pt>
                <c:pt idx="27">
                  <c:v>0.188</c:v>
                </c:pt>
                <c:pt idx="28">
                  <c:v>0.20499999999999999</c:v>
                </c:pt>
                <c:pt idx="29">
                  <c:v>0.221</c:v>
                </c:pt>
                <c:pt idx="30">
                  <c:v>0.2223</c:v>
                </c:pt>
                <c:pt idx="31">
                  <c:v>0.23599999999999999</c:v>
                </c:pt>
                <c:pt idx="32">
                  <c:v>0.255</c:v>
                </c:pt>
                <c:pt idx="33">
                  <c:v>0.26700000000000002</c:v>
                </c:pt>
                <c:pt idx="34">
                  <c:v>0.28499999999999998</c:v>
                </c:pt>
                <c:pt idx="35">
                  <c:v>0.29210000000000003</c:v>
                </c:pt>
                <c:pt idx="36">
                  <c:v>0.34300000000000003</c:v>
                </c:pt>
                <c:pt idx="37">
                  <c:v>0.42730000000000001</c:v>
                </c:pt>
                <c:pt idx="38">
                  <c:v>0.52539999999999998</c:v>
                </c:pt>
                <c:pt idx="39">
                  <c:v>0.46800000000000003</c:v>
                </c:pt>
                <c:pt idx="40">
                  <c:v>0.47799999999999998</c:v>
                </c:pt>
                <c:pt idx="41">
                  <c:v>0.90500000000000003</c:v>
                </c:pt>
                <c:pt idx="42">
                  <c:v>1.1299999999999999</c:v>
                </c:pt>
                <c:pt idx="43">
                  <c:v>1.3320000000000001</c:v>
                </c:pt>
                <c:pt idx="44">
                  <c:v>1.82</c:v>
                </c:pt>
                <c:pt idx="45">
                  <c:v>2.0590000000000002</c:v>
                </c:pt>
                <c:pt idx="46">
                  <c:v>2.1949999999999998</c:v>
                </c:pt>
                <c:pt idx="47">
                  <c:v>2.9140000000000001</c:v>
                </c:pt>
                <c:pt idx="48">
                  <c:v>18.97</c:v>
                </c:pt>
              </c:numCache>
            </c:numRef>
          </c:val>
          <c:extLst>
            <c:ext xmlns:c16="http://schemas.microsoft.com/office/drawing/2014/chart" uri="{C3380CC4-5D6E-409C-BE32-E72D297353CC}">
              <c16:uniqueId val="{00000000-04A9-F640-8B43-6012C5C5FD34}"/>
            </c:ext>
          </c:extLst>
        </c:ser>
        <c:dLbls>
          <c:showLegendKey val="0"/>
          <c:showVal val="0"/>
          <c:showCatName val="0"/>
          <c:showSerName val="0"/>
          <c:showPercent val="0"/>
          <c:showBubbleSize val="0"/>
        </c:dLbls>
        <c:gapWidth val="150"/>
        <c:axId val="259267584"/>
        <c:axId val="259298048"/>
      </c:barChart>
      <c:catAx>
        <c:axId val="259267584"/>
        <c:scaling>
          <c:orientation val="minMax"/>
        </c:scaling>
        <c:delete val="0"/>
        <c:axPos val="l"/>
        <c:numFmt formatCode="General" sourceLinked="1"/>
        <c:majorTickMark val="out"/>
        <c:minorTickMark val="none"/>
        <c:tickLblPos val="nextTo"/>
        <c:txPr>
          <a:bodyPr/>
          <a:lstStyle/>
          <a:p>
            <a:pPr>
              <a:defRPr sz="800" b="1" baseline="0"/>
            </a:pPr>
            <a:endParaRPr lang="en-US"/>
          </a:p>
        </c:txPr>
        <c:crossAx val="259298048"/>
        <c:crosses val="autoZero"/>
        <c:auto val="1"/>
        <c:lblAlgn val="ctr"/>
        <c:lblOffset val="100"/>
        <c:noMultiLvlLbl val="0"/>
      </c:catAx>
      <c:valAx>
        <c:axId val="259298048"/>
        <c:scaling>
          <c:orientation val="minMax"/>
        </c:scaling>
        <c:delete val="0"/>
        <c:axPos val="b"/>
        <c:majorGridlines/>
        <c:title>
          <c:tx>
            <c:rich>
              <a:bodyPr/>
              <a:lstStyle/>
              <a:p>
                <a:pPr>
                  <a:defRPr/>
                </a:pPr>
                <a:r>
                  <a:rPr lang="en-US"/>
                  <a:t>Annual Releases, g TEQ/year</a:t>
                </a:r>
              </a:p>
            </c:rich>
          </c:tx>
          <c:overlay val="0"/>
        </c:title>
        <c:numFmt formatCode="General" sourceLinked="1"/>
        <c:majorTickMark val="out"/>
        <c:minorTickMark val="none"/>
        <c:tickLblPos val="nextTo"/>
        <c:crossAx val="2592675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Comparison of Major</a:t>
            </a:r>
            <a:r>
              <a:rPr lang="en-NZ" baseline="0"/>
              <a:t> Dioxin Releases for 2012, 2016 and 2020*</a:t>
            </a:r>
            <a:endParaRPr lang="en-NZ"/>
          </a:p>
        </c:rich>
      </c:tx>
      <c:overlay val="0"/>
    </c:title>
    <c:autoTitleDeleted val="0"/>
    <c:plotArea>
      <c:layout/>
      <c:barChart>
        <c:barDir val="bar"/>
        <c:grouping val="clustered"/>
        <c:varyColors val="0"/>
        <c:ser>
          <c:idx val="0"/>
          <c:order val="0"/>
          <c:tx>
            <c:strRef>
              <c:f>'2020 Multi_year plot'!$G$57</c:f>
              <c:strCache>
                <c:ptCount val="1"/>
                <c:pt idx="0">
                  <c:v>2020</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plot'!$G$58:$G$77</c:f>
              <c:numCache>
                <c:formatCode>General</c:formatCode>
                <c:ptCount val="20"/>
                <c:pt idx="0">
                  <c:v>0.2223</c:v>
                </c:pt>
                <c:pt idx="1">
                  <c:v>0.23599999999999999</c:v>
                </c:pt>
                <c:pt idx="2">
                  <c:v>0.43730000000000002</c:v>
                </c:pt>
                <c:pt idx="3">
                  <c:v>0.29210000000000003</c:v>
                </c:pt>
                <c:pt idx="4">
                  <c:v>0.28499999999999998</c:v>
                </c:pt>
                <c:pt idx="5">
                  <c:v>0.26700000000000002</c:v>
                </c:pt>
                <c:pt idx="6">
                  <c:v>0.185</c:v>
                </c:pt>
                <c:pt idx="7">
                  <c:v>0.1845</c:v>
                </c:pt>
                <c:pt idx="8">
                  <c:v>0.34300000000000003</c:v>
                </c:pt>
                <c:pt idx="9">
                  <c:v>1.1299999999999999</c:v>
                </c:pt>
                <c:pt idx="10">
                  <c:v>0.47799999999999998</c:v>
                </c:pt>
                <c:pt idx="11">
                  <c:v>0.90500000000000003</c:v>
                </c:pt>
                <c:pt idx="12">
                  <c:v>1.82</c:v>
                </c:pt>
                <c:pt idx="13">
                  <c:v>2.0590000000000002</c:v>
                </c:pt>
                <c:pt idx="14">
                  <c:v>0.52400000000000002</c:v>
                </c:pt>
                <c:pt idx="15">
                  <c:v>1.3320000000000001</c:v>
                </c:pt>
                <c:pt idx="16">
                  <c:v>0</c:v>
                </c:pt>
                <c:pt idx="17">
                  <c:v>2.1949999999999998</c:v>
                </c:pt>
                <c:pt idx="18">
                  <c:v>2.9140000000000001</c:v>
                </c:pt>
                <c:pt idx="19">
                  <c:v>18.97</c:v>
                </c:pt>
              </c:numCache>
            </c:numRef>
          </c:val>
          <c:extLst>
            <c:ext xmlns:c16="http://schemas.microsoft.com/office/drawing/2014/chart" uri="{C3380CC4-5D6E-409C-BE32-E72D297353CC}">
              <c16:uniqueId val="{00000000-3712-4148-A980-AF5735B7C524}"/>
            </c:ext>
          </c:extLst>
        </c:ser>
        <c:ser>
          <c:idx val="1"/>
          <c:order val="1"/>
          <c:tx>
            <c:strRef>
              <c:f>'2020 Multi_year plot'!$H$57</c:f>
              <c:strCache>
                <c:ptCount val="1"/>
                <c:pt idx="0">
                  <c:v>2016</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plot'!$H$58:$H$77</c:f>
              <c:numCache>
                <c:formatCode>General</c:formatCode>
                <c:ptCount val="20"/>
                <c:pt idx="0">
                  <c:v>0.21329999999999999</c:v>
                </c:pt>
                <c:pt idx="1">
                  <c:v>0.2356</c:v>
                </c:pt>
                <c:pt idx="2">
                  <c:v>0.23569999999999999</c:v>
                </c:pt>
                <c:pt idx="3">
                  <c:v>0.247</c:v>
                </c:pt>
                <c:pt idx="4">
                  <c:v>0.26600000000000001</c:v>
                </c:pt>
                <c:pt idx="5">
                  <c:v>0.27527000000000001</c:v>
                </c:pt>
                <c:pt idx="6">
                  <c:v>0.33700000000000002</c:v>
                </c:pt>
                <c:pt idx="7">
                  <c:v>0.3669</c:v>
                </c:pt>
                <c:pt idx="8">
                  <c:v>0.377</c:v>
                </c:pt>
                <c:pt idx="9">
                  <c:v>0.377</c:v>
                </c:pt>
                <c:pt idx="10">
                  <c:v>0.82720000000000005</c:v>
                </c:pt>
                <c:pt idx="11">
                  <c:v>0.97399999999999998</c:v>
                </c:pt>
                <c:pt idx="12">
                  <c:v>1.3</c:v>
                </c:pt>
                <c:pt idx="13">
                  <c:v>1.3</c:v>
                </c:pt>
                <c:pt idx="14">
                  <c:v>1.3959999999999999</c:v>
                </c:pt>
                <c:pt idx="15">
                  <c:v>1.5589999999999999</c:v>
                </c:pt>
                <c:pt idx="16">
                  <c:v>0</c:v>
                </c:pt>
                <c:pt idx="17">
                  <c:v>3.6589999999999998</c:v>
                </c:pt>
                <c:pt idx="18">
                  <c:v>2.6949999999999998</c:v>
                </c:pt>
                <c:pt idx="19">
                  <c:v>18.733000000000001</c:v>
                </c:pt>
              </c:numCache>
            </c:numRef>
          </c:val>
          <c:extLst>
            <c:ext xmlns:c16="http://schemas.microsoft.com/office/drawing/2014/chart" uri="{C3380CC4-5D6E-409C-BE32-E72D297353CC}">
              <c16:uniqueId val="{00000001-3712-4148-A980-AF5735B7C524}"/>
            </c:ext>
          </c:extLst>
        </c:ser>
        <c:ser>
          <c:idx val="2"/>
          <c:order val="2"/>
          <c:tx>
            <c:strRef>
              <c:f>'2020 Multi_year plot'!$I$57</c:f>
              <c:strCache>
                <c:ptCount val="1"/>
                <c:pt idx="0">
                  <c:v>2012</c:v>
                </c:pt>
              </c:strCache>
            </c:strRef>
          </c:tx>
          <c:invertIfNegative val="0"/>
          <c:cat>
            <c:strRef>
              <c:f>'2020 Multi_year plot'!$F$58:$F$77</c:f>
              <c:strCache>
                <c:ptCount val="20"/>
                <c:pt idx="0">
                  <c:v>Grassland and savannah fires</c:v>
                </c:pt>
                <c:pt idx="1">
                  <c:v>Medical waste incineration</c:v>
                </c:pt>
                <c:pt idx="2">
                  <c:v>Forest fires</c:v>
                </c:pt>
                <c:pt idx="3">
                  <c:v>Vehicle fires</c:v>
                </c:pt>
                <c:pt idx="4">
                  <c:v>Diesel engines</c:v>
                </c:pt>
                <c:pt idx="5">
                  <c:v>Galvanising</c:v>
                </c:pt>
                <c:pt idx="6">
                  <c:v>Brass and bronze production</c:v>
                </c:pt>
                <c:pt idx="7">
                  <c:v>Primary iron &amp; steel production</c:v>
                </c:pt>
                <c:pt idx="8">
                  <c:v>Heavy oil-fired engines</c:v>
                </c:pt>
                <c:pt idx="9">
                  <c:v>Landfill fires</c:v>
                </c:pt>
                <c:pt idx="10">
                  <c:v>Open burning of domestic wastes</c:v>
                </c:pt>
                <c:pt idx="11">
                  <c:v>Household heating &amp; cooking  with biomass</c:v>
                </c:pt>
                <c:pt idx="12">
                  <c:v>Metal shredding</c:v>
                </c:pt>
                <c:pt idx="13">
                  <c:v>Biomass power plants</c:v>
                </c:pt>
                <c:pt idx="14">
                  <c:v>Structure fires</c:v>
                </c:pt>
                <c:pt idx="15">
                  <c:v>Industrial/commercial coal use</c:v>
                </c:pt>
                <c:pt idx="16">
                  <c:v>Secondary iron &amp; steel production</c:v>
                </c:pt>
                <c:pt idx="17">
                  <c:v>Secondary aluminium production</c:v>
                </c:pt>
                <c:pt idx="18">
                  <c:v>Sewage/sewage treatment</c:v>
                </c:pt>
                <c:pt idx="19">
                  <c:v>Landfills, waste dumps and landfill mining</c:v>
                </c:pt>
              </c:strCache>
            </c:strRef>
          </c:cat>
          <c:val>
            <c:numRef>
              <c:f>'2020 Multi_year plot'!$I$58:$I$77</c:f>
              <c:numCache>
                <c:formatCode>General</c:formatCode>
                <c:ptCount val="20"/>
                <c:pt idx="0">
                  <c:v>0.246</c:v>
                </c:pt>
                <c:pt idx="1">
                  <c:v>0.66139999999999999</c:v>
                </c:pt>
                <c:pt idx="2">
                  <c:v>0.17399999999999999</c:v>
                </c:pt>
                <c:pt idx="3">
                  <c:v>0.20200000000000001</c:v>
                </c:pt>
                <c:pt idx="4">
                  <c:v>0.23799999999999999</c:v>
                </c:pt>
                <c:pt idx="5">
                  <c:v>0.251</c:v>
                </c:pt>
                <c:pt idx="6">
                  <c:v>1.0349999999999999</c:v>
                </c:pt>
                <c:pt idx="7">
                  <c:v>0.30199999999999999</c:v>
                </c:pt>
                <c:pt idx="8">
                  <c:v>0.36799999999999999</c:v>
                </c:pt>
                <c:pt idx="9">
                  <c:v>0.3906</c:v>
                </c:pt>
                <c:pt idx="10">
                  <c:v>0.8</c:v>
                </c:pt>
                <c:pt idx="11">
                  <c:v>0.98399999999999999</c:v>
                </c:pt>
                <c:pt idx="12">
                  <c:v>1.82</c:v>
                </c:pt>
                <c:pt idx="13">
                  <c:v>1.3</c:v>
                </c:pt>
                <c:pt idx="14">
                  <c:v>1.25</c:v>
                </c:pt>
                <c:pt idx="15">
                  <c:v>1.34</c:v>
                </c:pt>
                <c:pt idx="16">
                  <c:v>2.84</c:v>
                </c:pt>
                <c:pt idx="17">
                  <c:v>4.09</c:v>
                </c:pt>
                <c:pt idx="18">
                  <c:v>2.5649999999999999</c:v>
                </c:pt>
                <c:pt idx="19">
                  <c:v>13.83</c:v>
                </c:pt>
              </c:numCache>
            </c:numRef>
          </c:val>
          <c:extLst>
            <c:ext xmlns:c16="http://schemas.microsoft.com/office/drawing/2014/chart" uri="{C3380CC4-5D6E-409C-BE32-E72D297353CC}">
              <c16:uniqueId val="{00000002-3712-4148-A980-AF5735B7C524}"/>
            </c:ext>
          </c:extLst>
        </c:ser>
        <c:dLbls>
          <c:showLegendKey val="0"/>
          <c:showVal val="0"/>
          <c:showCatName val="0"/>
          <c:showSerName val="0"/>
          <c:showPercent val="0"/>
          <c:showBubbleSize val="0"/>
        </c:dLbls>
        <c:gapWidth val="150"/>
        <c:axId val="260425600"/>
        <c:axId val="260427136"/>
      </c:barChart>
      <c:catAx>
        <c:axId val="260425600"/>
        <c:scaling>
          <c:orientation val="minMax"/>
        </c:scaling>
        <c:delete val="0"/>
        <c:axPos val="l"/>
        <c:numFmt formatCode="General" sourceLinked="0"/>
        <c:majorTickMark val="out"/>
        <c:minorTickMark val="none"/>
        <c:tickLblPos val="nextTo"/>
        <c:crossAx val="260427136"/>
        <c:crosses val="autoZero"/>
        <c:auto val="1"/>
        <c:lblAlgn val="ctr"/>
        <c:lblOffset val="100"/>
        <c:noMultiLvlLbl val="0"/>
      </c:catAx>
      <c:valAx>
        <c:axId val="260427136"/>
        <c:scaling>
          <c:orientation val="minMax"/>
        </c:scaling>
        <c:delete val="0"/>
        <c:axPos val="b"/>
        <c:majorGridlines/>
        <c:title>
          <c:tx>
            <c:rich>
              <a:bodyPr/>
              <a:lstStyle/>
              <a:p>
                <a:pPr>
                  <a:defRPr/>
                </a:pPr>
                <a:r>
                  <a:rPr lang="en-NZ"/>
                  <a:t>g TEQ/ annum</a:t>
                </a:r>
              </a:p>
            </c:rich>
          </c:tx>
          <c:overlay val="0"/>
        </c:title>
        <c:numFmt formatCode="General" sourceLinked="1"/>
        <c:majorTickMark val="out"/>
        <c:minorTickMark val="none"/>
        <c:tickLblPos val="nextTo"/>
        <c:crossAx val="2604256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Comparison of Minor Dioxin Releases for 2012, 2016 and 2020</a:t>
            </a:r>
          </a:p>
        </c:rich>
      </c:tx>
      <c:overlay val="0"/>
    </c:title>
    <c:autoTitleDeleted val="0"/>
    <c:plotArea>
      <c:layout/>
      <c:barChart>
        <c:barDir val="bar"/>
        <c:grouping val="clustered"/>
        <c:varyColors val="0"/>
        <c:ser>
          <c:idx val="0"/>
          <c:order val="0"/>
          <c:tx>
            <c:strRef>
              <c:f>'2020 Multi_year plot'!$G$106</c:f>
              <c:strCache>
                <c:ptCount val="1"/>
                <c:pt idx="0">
                  <c:v>2020</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plot'!$G$107:$G$134</c:f>
              <c:numCache>
                <c:formatCode>General</c:formatCode>
                <c:ptCount val="28"/>
                <c:pt idx="0">
                  <c:v>5.0000000000000002E-5</c:v>
                </c:pt>
                <c:pt idx="1">
                  <c:v>9.7999999999999997E-5</c:v>
                </c:pt>
                <c:pt idx="2">
                  <c:v>2.9E-4</c:v>
                </c:pt>
                <c:pt idx="3">
                  <c:v>6.0000000000000002E-6</c:v>
                </c:pt>
                <c:pt idx="4">
                  <c:v>7.9000000000000001E-4</c:v>
                </c:pt>
                <c:pt idx="5">
                  <c:v>1.17E-3</c:v>
                </c:pt>
                <c:pt idx="6">
                  <c:v>1E-3</c:v>
                </c:pt>
                <c:pt idx="7">
                  <c:v>1.6000000000000001E-3</c:v>
                </c:pt>
                <c:pt idx="8">
                  <c:v>3.0999999999999999E-3</c:v>
                </c:pt>
                <c:pt idx="9">
                  <c:v>0.188</c:v>
                </c:pt>
                <c:pt idx="10">
                  <c:v>1.2E-2</c:v>
                </c:pt>
                <c:pt idx="11">
                  <c:v>1.6E-2</c:v>
                </c:pt>
                <c:pt idx="12">
                  <c:v>1.6E-2</c:v>
                </c:pt>
                <c:pt idx="13">
                  <c:v>2.1000000000000001E-2</c:v>
                </c:pt>
                <c:pt idx="14">
                  <c:v>0.03</c:v>
                </c:pt>
                <c:pt idx="15">
                  <c:v>5.8000000000000003E-2</c:v>
                </c:pt>
                <c:pt idx="16">
                  <c:v>2.7099999999999999E-2</c:v>
                </c:pt>
                <c:pt idx="17">
                  <c:v>3.7999999999999999E-2</c:v>
                </c:pt>
                <c:pt idx="18">
                  <c:v>0.04</c:v>
                </c:pt>
                <c:pt idx="19">
                  <c:v>1.2E-2</c:v>
                </c:pt>
                <c:pt idx="20">
                  <c:v>3.04E-2</c:v>
                </c:pt>
                <c:pt idx="21">
                  <c:v>2.1000000000000001E-2</c:v>
                </c:pt>
                <c:pt idx="22">
                  <c:v>4.5999999999999999E-2</c:v>
                </c:pt>
                <c:pt idx="23">
                  <c:v>0.255</c:v>
                </c:pt>
                <c:pt idx="24">
                  <c:v>0.46800000000000003</c:v>
                </c:pt>
                <c:pt idx="25">
                  <c:v>0.16900000000000001</c:v>
                </c:pt>
                <c:pt idx="26">
                  <c:v>0.14399999999999999</c:v>
                </c:pt>
                <c:pt idx="27">
                  <c:v>0.221</c:v>
                </c:pt>
              </c:numCache>
            </c:numRef>
          </c:val>
          <c:extLst>
            <c:ext xmlns:c16="http://schemas.microsoft.com/office/drawing/2014/chart" uri="{C3380CC4-5D6E-409C-BE32-E72D297353CC}">
              <c16:uniqueId val="{00000000-12A3-5B44-AF36-7992B9DD8D6D}"/>
            </c:ext>
          </c:extLst>
        </c:ser>
        <c:ser>
          <c:idx val="1"/>
          <c:order val="1"/>
          <c:tx>
            <c:strRef>
              <c:f>'2020 Multi_year plot'!$H$106</c:f>
              <c:strCache>
                <c:ptCount val="1"/>
                <c:pt idx="0">
                  <c:v>2016</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plot'!$H$107:$H$134</c:f>
              <c:numCache>
                <c:formatCode>General</c:formatCode>
                <c:ptCount val="28"/>
                <c:pt idx="0">
                  <c:v>5.0000000000000002E-5</c:v>
                </c:pt>
                <c:pt idx="1">
                  <c:v>2.1000000000000001E-4</c:v>
                </c:pt>
                <c:pt idx="2">
                  <c:v>2.5999999999999998E-4</c:v>
                </c:pt>
                <c:pt idx="3">
                  <c:v>3.4699999999999998E-4</c:v>
                </c:pt>
                <c:pt idx="4">
                  <c:v>7.5000000000000002E-4</c:v>
                </c:pt>
                <c:pt idx="5">
                  <c:v>9.3999999999999997E-4</c:v>
                </c:pt>
                <c:pt idx="6">
                  <c:v>1.1999999999999999E-3</c:v>
                </c:pt>
                <c:pt idx="7">
                  <c:v>2.5999999999999999E-3</c:v>
                </c:pt>
                <c:pt idx="8">
                  <c:v>3.0999999999999999E-3</c:v>
                </c:pt>
                <c:pt idx="9">
                  <c:v>1.4E-2</c:v>
                </c:pt>
                <c:pt idx="10">
                  <c:v>1.4200000000000001E-2</c:v>
                </c:pt>
                <c:pt idx="11">
                  <c:v>1.44E-2</c:v>
                </c:pt>
                <c:pt idx="12">
                  <c:v>2.7417E-2</c:v>
                </c:pt>
                <c:pt idx="13">
                  <c:v>2.8000000000000001E-2</c:v>
                </c:pt>
                <c:pt idx="14">
                  <c:v>2.58E-2</c:v>
                </c:pt>
                <c:pt idx="15">
                  <c:v>5.1799999999999999E-2</c:v>
                </c:pt>
                <c:pt idx="16">
                  <c:v>3.4180000000000002E-2</c:v>
                </c:pt>
                <c:pt idx="17">
                  <c:v>4.1000000000000002E-2</c:v>
                </c:pt>
                <c:pt idx="18">
                  <c:v>4.3999999999999997E-2</c:v>
                </c:pt>
                <c:pt idx="19">
                  <c:v>4.4999999999999998E-2</c:v>
                </c:pt>
                <c:pt idx="20">
                  <c:v>4.8300000000000003E-2</c:v>
                </c:pt>
                <c:pt idx="21">
                  <c:v>0.14199999999999999</c:v>
                </c:pt>
                <c:pt idx="22">
                  <c:v>7.4899999999999994E-2</c:v>
                </c:pt>
                <c:pt idx="23">
                  <c:v>0.11600000000000001</c:v>
                </c:pt>
                <c:pt idx="24">
                  <c:v>0.1162</c:v>
                </c:pt>
                <c:pt idx="25">
                  <c:v>0.51200000000000001</c:v>
                </c:pt>
                <c:pt idx="26">
                  <c:v>0.1595</c:v>
                </c:pt>
                <c:pt idx="27">
                  <c:v>0.20100000000000001</c:v>
                </c:pt>
              </c:numCache>
            </c:numRef>
          </c:val>
          <c:extLst>
            <c:ext xmlns:c16="http://schemas.microsoft.com/office/drawing/2014/chart" uri="{C3380CC4-5D6E-409C-BE32-E72D297353CC}">
              <c16:uniqueId val="{00000001-12A3-5B44-AF36-7992B9DD8D6D}"/>
            </c:ext>
          </c:extLst>
        </c:ser>
        <c:ser>
          <c:idx val="2"/>
          <c:order val="2"/>
          <c:tx>
            <c:strRef>
              <c:f>'2020 Multi_year plot'!$I$106</c:f>
              <c:strCache>
                <c:ptCount val="1"/>
                <c:pt idx="0">
                  <c:v>2012</c:v>
                </c:pt>
              </c:strCache>
            </c:strRef>
          </c:tx>
          <c:invertIfNegative val="0"/>
          <c:cat>
            <c:strRef>
              <c:f>'2020 Multi_year plot'!$F$107:$F$134</c:f>
              <c:strCache>
                <c:ptCount val="28"/>
                <c:pt idx="0">
                  <c:v>Use of 2,4-D</c:v>
                </c:pt>
                <c:pt idx="1">
                  <c:v>Tobacco smoking</c:v>
                </c:pt>
                <c:pt idx="2">
                  <c:v>Brick production</c:v>
                </c:pt>
                <c:pt idx="3">
                  <c:v>Hazardous waste incineration</c:v>
                </c:pt>
                <c:pt idx="4">
                  <c:v>Pottery and ceramics</c:v>
                </c:pt>
                <c:pt idx="5">
                  <c:v>Sewage sludge incineration</c:v>
                </c:pt>
                <c:pt idx="6">
                  <c:v>Household heating &amp; cooking  with oil</c:v>
                </c:pt>
                <c:pt idx="7">
                  <c:v>Heavy fuel oil-fired power plants</c:v>
                </c:pt>
                <c:pt idx="8">
                  <c:v>Glass production</c:v>
                </c:pt>
                <c:pt idx="9">
                  <c:v>2-stroke engines</c:v>
                </c:pt>
                <c:pt idx="10">
                  <c:v>4-stroke engines</c:v>
                </c:pt>
                <c:pt idx="11">
                  <c:v>Household heating &amp; cooking  with gas</c:v>
                </c:pt>
                <c:pt idx="12">
                  <c:v>Petroleum production</c:v>
                </c:pt>
                <c:pt idx="13">
                  <c:v>Fuel oil/gas-fired electricity generation</c:v>
                </c:pt>
                <c:pt idx="14">
                  <c:v>Landfill gas/biogas combustion</c:v>
                </c:pt>
                <c:pt idx="15">
                  <c:v>Asphalt production</c:v>
                </c:pt>
                <c:pt idx="16">
                  <c:v>Household heating &amp; cooking  with coal</c:v>
                </c:pt>
                <c:pt idx="17">
                  <c:v>Fuel oil and gas-fired power plants</c:v>
                </c:pt>
                <c:pt idx="18">
                  <c:v>Cement production</c:v>
                </c:pt>
                <c:pt idx="19">
                  <c:v>Wood and biomass incineration</c:v>
                </c:pt>
                <c:pt idx="20">
                  <c:v>Black liquor combustion</c:v>
                </c:pt>
                <c:pt idx="21">
                  <c:v>Iron foundries</c:v>
                </c:pt>
                <c:pt idx="22">
                  <c:v>Lime production</c:v>
                </c:pt>
                <c:pt idx="23">
                  <c:v>Destruction of animal carcasses</c:v>
                </c:pt>
                <c:pt idx="24">
                  <c:v>Coal-fired electricity generation</c:v>
                </c:pt>
                <c:pt idx="25">
                  <c:v>Pulp &amp; paper</c:v>
                </c:pt>
                <c:pt idx="26">
                  <c:v>Agricultural residue burning</c:v>
                </c:pt>
                <c:pt idx="27">
                  <c:v>Crematoria</c:v>
                </c:pt>
              </c:strCache>
            </c:strRef>
          </c:cat>
          <c:val>
            <c:numRef>
              <c:f>'2020 Multi_year plot'!$I$107:$I$134</c:f>
              <c:numCache>
                <c:formatCode>General</c:formatCode>
                <c:ptCount val="28"/>
                <c:pt idx="0">
                  <c:v>3.4E-5</c:v>
                </c:pt>
                <c:pt idx="1">
                  <c:v>2.7999999999999998E-4</c:v>
                </c:pt>
                <c:pt idx="2">
                  <c:v>1.16E-3</c:v>
                </c:pt>
                <c:pt idx="3">
                  <c:v>1.01E-4</c:v>
                </c:pt>
                <c:pt idx="4">
                  <c:v>7.5000000000000002E-4</c:v>
                </c:pt>
                <c:pt idx="5">
                  <c:v>9.4700000000000003E-4</c:v>
                </c:pt>
                <c:pt idx="6">
                  <c:v>2.8999999999999998E-3</c:v>
                </c:pt>
                <c:pt idx="7">
                  <c:v>8.3000000000000001E-3</c:v>
                </c:pt>
                <c:pt idx="8">
                  <c:v>3.5000000000000001E-3</c:v>
                </c:pt>
                <c:pt idx="9">
                  <c:v>1.4E-2</c:v>
                </c:pt>
                <c:pt idx="10">
                  <c:v>0.04</c:v>
                </c:pt>
                <c:pt idx="11">
                  <c:v>1.35E-2</c:v>
                </c:pt>
                <c:pt idx="12">
                  <c:v>2.58E-2</c:v>
                </c:pt>
                <c:pt idx="13">
                  <c:v>3.5999999999999997E-2</c:v>
                </c:pt>
                <c:pt idx="14">
                  <c:v>2.5000000000000001E-2</c:v>
                </c:pt>
                <c:pt idx="15">
                  <c:v>3.2000000000000001E-2</c:v>
                </c:pt>
                <c:pt idx="16">
                  <c:v>4.4200000000000003E-2</c:v>
                </c:pt>
                <c:pt idx="17">
                  <c:v>2.7E-2</c:v>
                </c:pt>
                <c:pt idx="18">
                  <c:v>0.17699999999999999</c:v>
                </c:pt>
                <c:pt idx="19">
                  <c:v>6.3E-2</c:v>
                </c:pt>
                <c:pt idx="20">
                  <c:v>3.5999999999999997E-2</c:v>
                </c:pt>
                <c:pt idx="21">
                  <c:v>0.214</c:v>
                </c:pt>
                <c:pt idx="22">
                  <c:v>5.45E-2</c:v>
                </c:pt>
                <c:pt idx="23">
                  <c:v>0.11600000000000001</c:v>
                </c:pt>
                <c:pt idx="24">
                  <c:v>0.69799999999999995</c:v>
                </c:pt>
                <c:pt idx="25">
                  <c:v>0.32500000000000001</c:v>
                </c:pt>
                <c:pt idx="26">
                  <c:v>0.158</c:v>
                </c:pt>
                <c:pt idx="27">
                  <c:v>0.191</c:v>
                </c:pt>
              </c:numCache>
            </c:numRef>
          </c:val>
          <c:extLst>
            <c:ext xmlns:c16="http://schemas.microsoft.com/office/drawing/2014/chart" uri="{C3380CC4-5D6E-409C-BE32-E72D297353CC}">
              <c16:uniqueId val="{00000002-12A3-5B44-AF36-7992B9DD8D6D}"/>
            </c:ext>
          </c:extLst>
        </c:ser>
        <c:dLbls>
          <c:showLegendKey val="0"/>
          <c:showVal val="0"/>
          <c:showCatName val="0"/>
          <c:showSerName val="0"/>
          <c:showPercent val="0"/>
          <c:showBubbleSize val="0"/>
        </c:dLbls>
        <c:gapWidth val="150"/>
        <c:axId val="260545152"/>
        <c:axId val="260551040"/>
      </c:barChart>
      <c:catAx>
        <c:axId val="260545152"/>
        <c:scaling>
          <c:orientation val="minMax"/>
        </c:scaling>
        <c:delete val="0"/>
        <c:axPos val="l"/>
        <c:numFmt formatCode="General" sourceLinked="0"/>
        <c:majorTickMark val="out"/>
        <c:minorTickMark val="none"/>
        <c:tickLblPos val="nextTo"/>
        <c:crossAx val="260551040"/>
        <c:crosses val="autoZero"/>
        <c:auto val="1"/>
        <c:lblAlgn val="ctr"/>
        <c:lblOffset val="100"/>
        <c:noMultiLvlLbl val="0"/>
      </c:catAx>
      <c:valAx>
        <c:axId val="260551040"/>
        <c:scaling>
          <c:orientation val="minMax"/>
        </c:scaling>
        <c:delete val="0"/>
        <c:axPos val="b"/>
        <c:majorGridlines/>
        <c:title>
          <c:tx>
            <c:rich>
              <a:bodyPr/>
              <a:lstStyle/>
              <a:p>
                <a:pPr>
                  <a:defRPr/>
                </a:pPr>
                <a:r>
                  <a:rPr lang="en-NZ"/>
                  <a:t>g TEQ / annum</a:t>
                </a:r>
              </a:p>
            </c:rich>
          </c:tx>
          <c:overlay val="0"/>
        </c:title>
        <c:numFmt formatCode="General" sourceLinked="1"/>
        <c:majorTickMark val="out"/>
        <c:minorTickMark val="none"/>
        <c:tickLblPos val="nextTo"/>
        <c:crossAx val="260545152"/>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6793BD6-2CEE-4494-8A23-E80F05CD9B62}"/>
      </w:docPartPr>
      <w:docPartBody>
        <w:p w:rsidR="008B462D" w:rsidRDefault="008B4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462D"/>
    <w:rsid w:val="0000051B"/>
    <w:rsid w:val="000F20EA"/>
    <w:rsid w:val="00125598"/>
    <w:rsid w:val="00297103"/>
    <w:rsid w:val="00321CFC"/>
    <w:rsid w:val="004A4916"/>
    <w:rsid w:val="005617A5"/>
    <w:rsid w:val="00673654"/>
    <w:rsid w:val="00710891"/>
    <w:rsid w:val="00794D29"/>
    <w:rsid w:val="008B462D"/>
    <w:rsid w:val="009E14B2"/>
    <w:rsid w:val="00AA6500"/>
    <w:rsid w:val="00C10430"/>
    <w:rsid w:val="00C51FFD"/>
    <w:rsid w:val="00D619AD"/>
    <w:rsid w:val="00E71DB9"/>
    <w:rsid w:val="00F24BE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MfE05a</b:Tag>
    <b:SourceType>Book</b:SourceType>
    <b:Guid>{EA270045-2F91-4261-991C-32471299DF89}</b:Guid>
    <b:Author>
      <b:Author>
        <b:Corporate>Ministry for the Environment</b:Corporate>
      </b:Author>
    </b:Author>
    <b:Title>Waste Management in New Zealand: A Decade of Progress</b:Title>
    <b:Year>2005</b:Year>
    <b:City>Wellington</b:City>
    <b:Publisher>Ministry for the Environment</b:Publisher>
    <b:RefOrder>6</b:RefOrder>
  </b:Source>
  <b:Source>
    <b:Tag>UNEP13</b:Tag>
    <b:SourceType>Book</b:SourceType>
    <b:Guid>{259C48DD-5340-495B-B95C-89198672CA4C}</b:Guid>
    <b:Author>
      <b:Author>
        <b:Corporate>United Nations Environment Programme</b:Corporate>
      </b:Author>
    </b:Author>
    <b:Title>Standardised Toolkit for Identification and Quantification of Dioxin and Furan Releases</b:Title>
    <b:Year>2013</b:Year>
    <b:City>Geneva</b:City>
    <b:Publisher>UNEP Chemicals, UNited Nations Environment Programme</b:Publisher>
    <b:RefOrder>4</b:RefOrder>
  </b:Source>
  <b:Source>
    <b:Tag>UNEP05</b:Tag>
    <b:SourceType>Book</b:SourceType>
    <b:Guid>{26A245E3-E4CB-4BC6-9D6B-4585B98A690D}</b:Guid>
    <b:Author>
      <b:Author>
        <b:Corporate>United Nations Environment Programme</b:Corporate>
      </b:Author>
    </b:Author>
    <b:Title>Standardised Toolkit for Identification and Quantification of Dioxin and Furan Releases</b:Title>
    <b:Year>2005</b:Year>
    <b:City>Geneva</b:City>
    <b:Publisher>UNEP Chemicals, United Nations Environment Programme</b:Publisher>
    <b:RefOrder>5</b:RefOrder>
  </b:Source>
  <b:Source>
    <b:Tag>TRC2012</b:Tag>
    <b:SourceType>Book</b:SourceType>
    <b:Guid>{6ED21B48-8C6A-437A-B9CC-62BA42F111C8}</b:Guid>
    <b:Author>
      <b:Author>
        <b:Corporate>Taranaki Regional  Council</b:Corporate>
      </b:Author>
    </b:Author>
    <b:Title>Dow AgroSciences (NZ) Ltd Monitoring Programme: Annual  Report 2011-2012</b:Title>
    <b:Year>2012</b:Year>
    <b:City>Stratford</b:City>
    <b:Publisher>Taranaki Regional Council, Technical report 2012-46</b:Publisher>
    <b:RefOrder>61</b:RefOrder>
  </b:Source>
  <b:Source>
    <b:Tag>NZIC1998</b:Tag>
    <b:SourceType>Book</b:SourceType>
    <b:Guid>{C3BDFA71-033A-439D-9BEE-4B400A3CC665}</b:Guid>
    <b:Author>
      <b:Author>
        <b:Corporate>NZ Institute of Chemistry</b:Corporate>
      </b:Author>
    </b:Author>
    <b:Title>Steel Making, in Chemical Processes in New Zealand, 2nd Edition, volume 2</b:Title>
    <b:Year>1998</b:Year>
    <b:City>Auckland</b:City>
    <b:Publisher> NZ Institute of Chemistry</b:Publisher>
    <b:RefOrder>11</b:RefOrder>
  </b:Source>
  <b:Source>
    <b:Tag>CRL2011</b:Tag>
    <b:SourceType>Book</b:SourceType>
    <b:Guid>{D86D1710-3F10-43E0-B834-DD355F457BE9}</b:Guid>
    <b:Author>
      <b:Author>
        <b:Corporate>CRL Energy</b:Corporate>
      </b:Author>
    </b:Author>
    <b:Title>Heat Plant in New Zealand: Heat Plant Sized Greater than 100 Kilowattt Thermal Segmented by Industry Sector as at August 2011</b:Title>
    <b:Year>2011</b:Year>
    <b:City>Wellington</b:City>
    <b:Publisher>CRL Energy Ltd on behalf of the Energy Efficiency and Conservation Authority</b:Publisher>
    <b:RefOrder>21</b:RefOrder>
  </b:Source>
  <b:Source>
    <b:Tag>StatNZ2009</b:Tag>
    <b:SourceType>Book</b:SourceType>
    <b:Guid>{126B41C3-0A31-4F64-A751-F66B28283541}</b:Guid>
    <b:Author>
      <b:Author>
        <b:Corporate>Statistics New Zealand</b:Corporate>
      </b:Author>
    </b:Author>
    <b:Title>Update of the Manufacturing Energy Use Survey: Year Ended March 2006 - Revised 3 March 2009</b:Title>
    <b:Year>2009</b:Year>
    <b:City>Wellington</b:City>
    <b:Publisher>Statistics New Zealand</b:Publisher>
    <b:RefOrder>22</b:RefOrder>
  </b:Source>
  <b:Source>
    <b:Tag>TylerAnderson2011</b:Tag>
    <b:SourceType>JournalArticle</b:SourceType>
    <b:Guid>{2CFC2A1A-E9C9-477F-89BB-14ADED3F472E}</b:Guid>
    <b:Author>
      <b:Author>
        <b:NameList>
          <b:Person>
            <b:Last>Tyler</b:Last>
            <b:First>H</b:First>
          </b:Person>
          <b:Person>
            <b:Last>Anderson</b:Last>
            <b:First>G</b:First>
          </b:Person>
        </b:NameList>
      </b:Author>
    </b:Author>
    <b:Title>Making Good Use of Cement Kiln Dust</b:Title>
    <b:JournalName>Waste Awareness</b:JournalName>
    <b:Year>2011</b:Year>
    <b:Pages>p20-21 and 25, November/December</b:Pages>
    <b:RefOrder>62</b:RefOrder>
  </b:Source>
  <b:Source>
    <b:Tag>Beca2006</b:Tag>
    <b:SourceType>Book</b:SourceType>
    <b:Guid>{275F0ADB-8C52-43C2-90CE-B332CC5B46A3}</b:Guid>
    <b:Author>
      <b:Author>
        <b:Corporate>Beca Amec</b:Corporate>
      </b:Author>
    </b:Author>
    <b:Title>Air Permit Technical Review on the Carter Holt Harvey Tasman Kraft Pulp Mill. Report prepared for the Bay of Plenty Regional Council</b:Title>
    <b:Year>2006</b:Year>
    <b:City>Auckland</b:City>
    <b:Publisher>Beca Amec</b:Publisher>
    <b:RefOrder>25</b:RefOrder>
  </b:Source>
  <b:Source>
    <b:Tag>Beca2009</b:Tag>
    <b:SourceType>Book</b:SourceType>
    <b:Guid>{D2FE7537-8304-49FF-9E78-F12F1A897841}</b:Guid>
    <b:Author>
      <b:Author>
        <b:Corporate>Beca Amec</b:Corporate>
      </b:Author>
    </b:Author>
    <b:Title>Technical Air Discharges Report - Tasman Pulp Mill. Report prepared for Carter Holt Harvey in support of an air discharge consent application</b:Title>
    <b:Year>2009</b:Year>
    <b:City>Christchurch</b:City>
    <b:Publisher>Beca Amec</b:Publisher>
    <b:RefOrder>26</b:RefOrder>
  </b:Source>
  <b:Source>
    <b:Tag>MPI2013</b:Tag>
    <b:SourceType>Book</b:SourceType>
    <b:Guid>{2BA0242E-8AFC-45B5-9F1B-3E8FC2A39E52}</b:Guid>
    <b:Author>
      <b:Author>
        <b:Corporate>Ministry for Primary Industries</b:Corporate>
      </b:Author>
    </b:Author>
    <b:Title>Forestry Production and Trade Statistics, Quarterly Statistics obtained from the MPI web site</b:Title>
    <b:Year>2013</b:Year>
    <b:City>Wellington</b:City>
    <b:Publisher>Ministry for Primary Industries</b:Publisher>
    <b:RefOrder>63</b:RefOrder>
  </b:Source>
  <b:Source>
    <b:Tag>AucklandC2010</b:Tag>
    <b:SourceType>Book</b:SourceType>
    <b:Guid>{86963A37-A18C-45D9-B5A3-31FC3BD89708}</b:Guid>
    <b:Author>
      <b:Author>
        <b:Corporate>Auckland Regional Council</b:Corporate>
      </b:Author>
    </b:Author>
    <b:Title>Decision Report on the application for resource consent for the discharges to air from the Sims Pacific Metals Limited operation at 193 James Fletcher Drive</b:Title>
    <b:Year>2010</b:Year>
    <b:City>Auckland</b:City>
    <b:Publisher>Auckland Regional Council</b:Publisher>
    <b:RefOrder>14</b:RefOrder>
  </b:Source>
  <b:Source>
    <b:Tag>SKM2011</b:Tag>
    <b:SourceType>Book</b:SourceType>
    <b:Guid>{8D256358-A60D-4CC9-BBAE-71C7AD7350C7}</b:Guid>
    <b:Author>
      <b:Author>
        <b:Corporate>Sinclair Knight Merz</b:Corporate>
      </b:Author>
    </b:Author>
    <b:Title>Genesis Energy Limited, Huntly Re-Consenting of Thermal Power Stations: Technical Report – Discharges to Air</b:Title>
    <b:Year>2011</b:Year>
    <b:City>Wellington</b:City>
    <b:Publisher>Sinclair Knight Merz</b:Publisher>
    <b:RefOrder>17</b:RefOrder>
  </b:Source>
  <b:Source>
    <b:Tag>MED2008</b:Tag>
    <b:SourceType>Book</b:SourceType>
    <b:Guid>{93E70F1D-54E1-40A9-B2DD-5E00E0F6F9B9}</b:Guid>
    <b:Author>
      <b:Author>
        <b:Corporate>Ministry of Economic Development</b:Corporate>
      </b:Author>
    </b:Author>
    <b:Title>Oil: An Introduction for New Zealanders</b:Title>
    <b:Year>2008</b:Year>
    <b:City>Wellington</b:City>
    <b:Publisher>Ministry of Economic Development</b:Publisher>
    <b:RefOrder>27</b:RefOrder>
  </b:Source>
  <b:Source>
    <b:Tag>NZSugar2010</b:Tag>
    <b:SourceType>Book</b:SourceType>
    <b:Guid>{F500A8D8-2EFF-456D-9DFE-702D34B5DF39}</b:Guid>
    <b:Author>
      <b:Author>
        <b:Corporate>NZ Sugar Company</b:Corporate>
      </b:Author>
    </b:Author>
    <b:Title>Fact Sheet 5: from Canefield to Crystal and Beyond</b:Title>
    <b:Year>2010</b:Year>
    <b:City>Auckland</b:City>
    <b:Publisher>New Zealand Sugar Company Ltd</b:Publisher>
    <b:RefOrder>31</b:RefOrder>
  </b:Source>
  <b:Source>
    <b:Tag>NZWWA2003</b:Tag>
    <b:SourceType>Book</b:SourceType>
    <b:Guid>{D3985CFB-A7B8-42DD-AC26-6981F28F121D}</b:Guid>
    <b:Author>
      <b:Author>
        <b:Corporate>New Zealand Water and Wastes Assn</b:Corporate>
      </b:Author>
    </b:Author>
    <b:Title>Guidelines for the Safe Application of Biosolids to Land in New Zealand</b:Title>
    <b:Year>2003</b:Year>
    <b:City>Wellington</b:City>
    <b:Publisher>New Zealand Water and Wastes Association</b:Publisher>
    <b:RefOrder>52</b:RefOrder>
  </b:Source>
  <b:Source>
    <b:Tag>Wal2012</b:Tag>
    <b:SourceType>Book</b:SourceType>
    <b:Guid>{A2F654C1-B9F3-4F54-80D3-5FB7A64624FA}</b:Guid>
    <b:Title>New Zealand Biosolids - Lost opportunity or Just Lost?</b:Title>
    <b:Year>2012</b:Year>
    <b:City>Rotorua</b:City>
    <b:Publisher>Paper presented to the Water New Zealand Annual Conference</b:Publisher>
    <b:Author>
      <b:Author>
        <b:NameList>
          <b:Person>
            <b:Last>Walmsley</b:Last>
            <b:First>N</b:First>
          </b:Person>
        </b:NameList>
      </b:Author>
    </b:Author>
    <b:RefOrder>53</b:RefOrder>
  </b:Source>
  <b:Source>
    <b:Tag>MfE2008</b:Tag>
    <b:SourceType>Book</b:SourceType>
    <b:Guid>{68968FFE-00C6-4E58-9289-1488EC889FC1}</b:Guid>
    <b:Author>
      <b:Author>
        <b:Corporate>Ministry for the Environment</b:Corporate>
      </b:Author>
    </b:Author>
    <b:Title>Proposed National Environmental Standard for On-Site Wastewater Systems: Discussion Document</b:Title>
    <b:Year>2008</b:Year>
    <b:City>Wellington</b:City>
    <b:Publisher>Ministry for the Environment</b:Publisher>
    <b:RefOrder>64</b:RefOrder>
  </b:Source>
  <b:Source>
    <b:Tag>MfE2009</b:Tag>
    <b:SourceType>Book</b:SourceType>
    <b:Guid>{FFC99548-0151-4009-ADDE-E6559DC05A8E}</b:Guid>
    <b:Author>
      <b:Author>
        <b:Corporate>Ministry for the Environment</b:Corporate>
      </b:Author>
    </b:Author>
    <b:Title>Proposed National Environmental Standard for On-Site Wastewater Systems: Report on submissions</b:Title>
    <b:Year>2009</b:Year>
    <b:City>Wellington</b:City>
    <b:Publisher>Ministry for the Environment</b:Publisher>
    <b:RefOrder>65</b:RefOrder>
  </b:Source>
  <b:Source>
    <b:Tag>Mar2001</b:Tag>
    <b:SourceType>Book</b:SourceType>
    <b:Guid>{9E11BFC1-4540-40DF-8E26-4C5201045D8C}</b:Guid>
    <b:Title>National Policy on the Sea Disposal of Waste</b:Title>
    <b:Year>2001</b:Year>
    <b:City>Wellington</b:City>
    <b:Publisher>Maritime New  Zealand</b:Publisher>
    <b:Author>
      <b:Author>
        <b:Corporate>Maritime New Zealand</b:Corporate>
      </b:Author>
    </b:Author>
    <b:RefOrder>55</b:RefOrder>
  </b:Source>
  <b:Source>
    <b:Tag>MfE2011a</b:Tag>
    <b:SourceType>Book</b:SourceType>
    <b:Guid>{0E8DB69D-8539-4034-B30C-C8C406A0AC7F}</b:Guid>
    <b:Title>New Zealand’s Greenhouse Gas Inventory 1990–2009</b:Title>
    <b:Year>2011</b:Year>
    <b:Author>
      <b:Author>
        <b:Corporate>Ministry for the Environment</b:Corporate>
      </b:Author>
    </b:Author>
    <b:City>Wellington</b:City>
    <b:Publisher>Ministry for the Environment, report no ME113</b:Publisher>
    <b:RefOrder>66</b:RefOrder>
  </b:Source>
  <b:Source>
    <b:Tag>StatNZ2013</b:Tag>
    <b:SourceType>Book</b:SourceType>
    <b:Guid>{56F500BD-85E1-429F-8593-ADC0E971FFB7}</b:Guid>
    <b:Author>
      <b:Author>
        <b:Corporate>Statistics New Zealand</b:Corporate>
      </b:Author>
    </b:Author>
    <b:Title>2013 Census: Totals by Topics (Excel spreadsheets)</b:Title>
    <b:Year>2013</b:Year>
    <b:City>Wellington</b:City>
    <b:Publisher>Statistics New Zealand</b:Publisher>
    <b:RefOrder>67</b:RefOrder>
  </b:Source>
  <b:Source>
    <b:Tag>MED2009</b:Tag>
    <b:SourceType>Book</b:SourceType>
    <b:Guid>{B0BD9F62-6784-44B8-B8DD-508DDB621C3C}</b:Guid>
    <b:Author>
      <b:Author>
        <b:Corporate>Ministry of Economic Development</b:Corporate>
      </b:Author>
    </b:Author>
    <b:Title>New Zealand Energy Data File 2009</b:Title>
    <b:Year>2009</b:Year>
    <b:City>Wellington</b:City>
    <b:Publisher>Ministry of Economic Development</b:Publisher>
    <b:RefOrder>68</b:RefOrder>
  </b:Source>
  <b:Source>
    <b:Tag>Cam06</b:Tag>
    <b:SourceType>Book</b:SourceType>
    <b:Guid>{2EC491B1-648B-4921-94CD-6F2C4540D28F}</b:Guid>
    <b:Author>
      <b:Author>
        <b:NameList>
          <b:Person>
            <b:Last>Camilleri</b:Last>
            <b:First>M</b:First>
          </b:Person>
          <b:Person>
            <b:Last>Fraser</b:Last>
            <b:First>R</b:First>
          </b:Person>
          <b:Person>
            <b:Last>French</b:Last>
            <b:First>L</b:First>
          </b:Person>
          <b:Person>
            <b:Last>Isaacs</b:Last>
            <b:First>N</b:First>
          </b:Person>
          <b:Person>
            <b:Last>Pollard</b:Last>
            <b:First>A</b:First>
          </b:Person>
          <b:Person>
            <b:Last>Saville-Smith</b:Last>
            <b:First>K</b:First>
          </b:Person>
          <b:Person>
            <b:Last>et al.</b:Last>
          </b:Person>
        </b:NameList>
      </b:Author>
    </b:Author>
    <b:Title>Energy Use in New Zealand Households: Report on the Year 10 Analysis for the Household End-use Energy Project (HEEP). Study Report No. SR 155.</b:Title>
    <b:Year>2006</b:Year>
    <b:City>Welliington</b:City>
    <b:Publisher>BRANZ</b:Publisher>
    <b:RefOrder>69</b:RefOrder>
  </b:Source>
  <b:Source>
    <b:Tag>Witon2010a</b:Tag>
    <b:SourceType>Book</b:SourceType>
    <b:Guid>{565FD084-87BA-46AC-AC75-95D1888D0307}</b:Guid>
    <b:Title>Air Emissions inventory - Taumaranui and Taihape 2010</b:Title>
    <b:Year>2010a</b:Year>
    <b:City>Palmerston North</b:City>
    <b:Publisher>Horizons Regional Council</b:Publisher>
    <b:Author>
      <b:Author>
        <b:NameList>
          <b:Person>
            <b:Last>Wilton</b:Last>
            <b:First>E</b:First>
          </b:Person>
          <b:Person>
            <b:Last>Baynes</b:Last>
            <b:First>M</b:First>
          </b:Person>
        </b:NameList>
      </b:Author>
    </b:Author>
    <b:RefOrder>70</b:RefOrder>
  </b:Source>
  <b:Source>
    <b:Tag>Wilton2010</b:Tag>
    <b:SourceType>Book</b:SourceType>
    <b:Guid>{B94C703B-C0E5-41E7-BAEB-6A22788B6604}</b:Guid>
    <b:Author>
      <b:Author>
        <b:NameList>
          <b:Person>
            <b:Last>Wilton</b:Last>
            <b:First>E</b:First>
          </b:Person>
          <b:Person>
            <b:Last>Baynes</b:Last>
            <b:First>M</b:First>
          </b:Person>
        </b:NameList>
      </b:Author>
    </b:Author>
    <b:Title>Air Emission Inventory - Napier, Hastings and Havelock North 2010</b:Title>
    <b:Year>2010</b:Year>
    <b:City>Christchurch</b:City>
    <b:Publisher>Environet Limited</b:Publisher>
    <b:RefOrder>71</b:RefOrder>
  </b:Source>
  <b:Source>
    <b:Tag>Wilton2012</b:Tag>
    <b:SourceType>Book</b:SourceType>
    <b:Guid>{E76D2688-F308-4DCC-9955-C7D78B4B974C}</b:Guid>
    <b:Author>
      <b:Author>
        <b:NameList>
          <b:Person>
            <b:Last>Wilton</b:Last>
            <b:First>E</b:First>
          </b:Person>
        </b:NameList>
      </b:Author>
    </b:Author>
    <b:Title>Air Emission Inventory - Hamilton and Tokoroa 2012</b:Title>
    <b:Year>2012</b:Year>
    <b:City>Hamilton</b:City>
    <b:Publisher>Waikato Regional Council</b:Publisher>
    <b:RefOrder>72</b:RefOrder>
  </b:Source>
  <b:Source>
    <b:Tag>Wilton2011</b:Tag>
    <b:SourceType>Book</b:SourceType>
    <b:Guid>{67D11E8F-E1E8-47FD-9D94-3F61CDD778F5}</b:Guid>
    <b:Title>Emission Inventory for Invercargill and Gore - 2011</b:Title>
    <b:Year>2011</b:Year>
    <b:City>Christchurch</b:City>
    <b:Publisher>Environet Ltd</b:Publisher>
    <b:Author>
      <b:Author>
        <b:NameList>
          <b:Person>
            <b:Last>Wilton</b:Last>
            <b:First>E</b:First>
          </b:Person>
        </b:NameList>
      </b:Author>
    </b:Author>
    <b:RefOrder>73</b:RefOrder>
  </b:Source>
  <b:Source>
    <b:Tag>Wilton2013</b:Tag>
    <b:SourceType>Book</b:SourceType>
    <b:Guid>{F68DC804-2121-4AF9-B25B-5783073E98B3}</b:Guid>
    <b:Title>Reefton Air Emission Inventory - 2012</b:Title>
    <b:Year>2013</b:Year>
    <b:City>Christchurch</b:City>
    <b:Publisher>Environet Ltd</b:Publisher>
    <b:Author>
      <b:Author>
        <b:NameList>
          <b:Person>
            <b:Last>Wilton</b:Last>
            <b:First>E</b:First>
          </b:Person>
        </b:NameList>
      </b:Author>
    </b:Author>
    <b:RefOrder>74</b:RefOrder>
  </b:Source>
  <b:Source>
    <b:Tag>APR2012</b:Tag>
    <b:SourceType>Book</b:SourceType>
    <b:Guid>{6B215C17-D877-4ED6-A916-3F0ED5130088}</b:Guid>
    <b:Author>
      <b:Author>
        <b:Corporate>APR Consultants</b:Corporate>
      </b:Author>
    </b:Author>
    <b:Title>Rotorua Heating Survey 2012</b:Title>
    <b:Year>2012</b:Year>
    <b:City>Rotorua</b:City>
    <b:Publisher>APR Consultants Ltd</b:Publisher>
    <b:RefOrder>75</b:RefOrder>
  </b:Source>
  <b:Source>
    <b:Tag>MfE2008b</b:Tag>
    <b:SourceType>Book</b:SourceType>
    <b:Guid>{DCFEEC83-3BCB-483F-A0C3-BB0DF50F0B25}</b:Guid>
    <b:Title>Water (Chapter 10) in Environment New Zealand 2007</b:Title>
    <b:Year>2008a</b:Year>
    <b:City>Wellington</b:City>
    <b:Publisher>Ministry for the Environment</b:Publisher>
    <b:Author>
      <b:BookAuthor>
        <b:NameList>
          <b:Person>
            <b:Last>Ministry for the Environment</b:Last>
          </b:Person>
        </b:NameList>
      </b:BookAuthor>
      <b:Author>
        <b:Corporate>Ministry for the Environment</b:Corporate>
      </b:Author>
    </b:Author>
    <b:BookTitle>Environment New Zealand 2007</b:BookTitle>
    <b:RefOrder>54</b:RefOrder>
  </b:Source>
  <b:Source>
    <b:Tag>MfE2011</b:Tag>
    <b:SourceType>Book</b:SourceType>
    <b:Guid>{AAE165C8-C627-4B4E-A59F-3B0CF1279F53}</b:Guid>
    <b:Author>
      <b:Author>
        <b:Corporate>Ministry for the Environment</b:Corporate>
      </b:Author>
    </b:Author>
    <b:Title>New Zealand Inventory of Dioxin Emissions to Air, Land and Water, and Reservoir Source, 2011</b:Title>
    <b:Year>2011a</b:Year>
    <b:City>Wellington</b:City>
    <b:Publisher>Ministry for the Environment</b:Publisher>
    <b:RefOrder>3</b:RefOrder>
  </b:Source>
  <b:Source>
    <b:Tag>MfE2011b</b:Tag>
    <b:SourceType>Book</b:SourceType>
    <b:Guid>{819696B6-188C-4248-BF86-7F5835034A72}</b:Guid>
    <b:Author>
      <b:Author>
        <b:Corporate>Ministry for the Environment</b:Corporate>
      </b:Author>
    </b:Author>
    <b:Title>Review of the effectiveness of the waste disposal levy, 2011: In accordance with section 39 of the Waste Minimisation Act 2008</b:Title>
    <b:Year>2011b</b:Year>
    <b:City>Wellington</b:City>
    <b:Publisher>Ministry for the Environment</b:Publisher>
    <b:RefOrder>76</b:RefOrder>
  </b:Source>
  <b:Source>
    <b:Tag>Bell1988</b:Tag>
    <b:SourceType>JournalArticle</b:SourceType>
    <b:Guid>{CB4B2E94-8F0E-4CBA-ACB7-CC0F28413A8E}</b:Guid>
    <b:Title>Hazardous Waste Disposal in New Zealand</b:Title>
    <b:JournalName>Bulletin of the Unternational Association of Engineering Geology</b:JournalName>
    <b:Year>1988</b:Year>
    <b:Pages>15-26</b:Pages>
    <b:Author>
      <b:Author>
        <b:NameList>
          <b:Person>
            <b:Last>Bell</b:Last>
            <b:Middle>H</b:Middle>
            <b:First>D</b:First>
          </b:Person>
          <b:Person>
            <b:Last>Wilson</b:Last>
            <b:First>D</b:First>
          </b:Person>
        </b:NameList>
      </b:Author>
    </b:Author>
    <b:Volume>37</b:Volume>
    <b:RefOrder>50</b:RefOrder>
  </b:Source>
  <b:Source>
    <b:Tag>Stats2008</b:Tag>
    <b:SourceType>Report</b:SourceType>
    <b:Guid>{B4E22225-79DF-4794-8859-DC86097447F8}</b:Guid>
    <b:Title>Subnational population estimates: 30 June 2008. http://www.stats.govt.nz/browse_for_stats/population/estimates_and_projections/SubnationalPopulationEstimates_HOTP30Jun08/Commentary.aspx</b:Title>
    <b:Year>2008</b:Year>
    <b:City>Wellington</b:City>
    <b:Publisher>Statistics New Zealand</b:Publisher>
    <b:Author>
      <b:Author>
        <b:Corporate>Statistics New Zealand</b:Corporate>
      </b:Author>
    </b:Author>
    <b:RefOrder>77</b:RefOrder>
  </b:Source>
  <b:Source>
    <b:Tag>MoT2013</b:Tag>
    <b:SourceType>Report</b:SourceType>
    <b:Guid>{8E92F9B0-5748-4D74-9552-CEBE52737618}</b:Guid>
    <b:Author>
      <b:Author>
        <b:Corporate>Ministry of Transport</b:Corporate>
      </b:Author>
    </b:Author>
    <b:Title>Annual Fleet Statistics 2012</b:Title>
    <b:Year>2013</b:Year>
    <b:Publisher>Ministry of Transport</b:Publisher>
    <b:City>Wellington</b:City>
    <b:RefOrder>78</b:RefOrder>
  </b:Source>
  <b:Source>
    <b:Tag>MaritimeNZ2</b:Tag>
    <b:SourceType>Report</b:SourceType>
    <b:Guid>{CDBE1E9F-41D7-4A30-8E3C-DAA99C7AF401}</b:Guid>
    <b:Author>
      <b:Author>
        <b:Corporate>Maritime New Zealand</b:Corporate>
      </b:Author>
    </b:Author>
    <b:Title>Oil Spill Prevention in Recreational Boating: Two-Stroke vs. Four Stroke Engines</b:Title>
    <b:Year>undated-2</b:Year>
    <b:Publisher>Maritime New Zealand</b:Publisher>
    <b:City>Wellington</b:City>
    <b:RefOrder>29</b:RefOrder>
  </b:Source>
  <b:Source>
    <b:Tag>PlasNZ2013</b:Tag>
    <b:SourceType>Report</b:SourceType>
    <b:Guid>{D97C7BF4-DF47-4D47-9E57-467CAF04F000}</b:Guid>
    <b:Author>
      <b:Author>
        <b:Corporate>Plastics New Zealand</b:Corporate>
      </b:Author>
    </b:Author>
    <b:Title>Annual Production Statistics</b:Title>
    <b:Year>2011</b:Year>
    <b:Publisher>Plastics New Zealand</b:Publisher>
    <b:City>Auckland</b:City>
    <b:RefOrder>39</b:RefOrder>
  </b:Source>
  <b:Source>
    <b:Tag>MoH2008</b:Tag>
    <b:SourceType>Report</b:SourceType>
    <b:Guid>{D035E625-AB29-424B-AAF7-0C3840213D81}</b:Guid>
    <b:Author>
      <b:Author>
        <b:Corporate>Ministry of Health</b:Corporate>
      </b:Author>
    </b:Author>
    <b:Title>Safe Management of PCBs; Code of Practice</b:Title>
    <b:Year>2008</b:Year>
    <b:Publisher>Ministry of Health</b:Publisher>
    <b:City>Wellington</b:City>
    <b:RefOrder>40</b:RefOrder>
  </b:Source>
  <b:Source>
    <b:Tag>ERMA2011</b:Tag>
    <b:SourceType>Report</b:SourceType>
    <b:Guid>{07F311D9-A7D0-45EF-8F6E-E84B6E380826}</b:Guid>
    <b:Author>
      <b:Author>
        <b:Corporate>ERMA New Zealand</b:Corporate>
      </b:Author>
    </b:Author>
    <b:Title>Application for the Reassessment of a Hazardous Substance under Section 63 of the Hazardous Substances and New Organisms Act 1996; No. HS200692</b:Title>
    <b:Year>2011</b:Year>
    <b:Publisher>New Zealand Environmental Risk Management Authority</b:Publisher>
    <b:City>Wellington</b:City>
    <b:RefOrder>41</b:RefOrder>
  </b:Source>
  <b:Source>
    <b:Tag>ERMA2008</b:Tag>
    <b:SourceType>Report</b:SourceType>
    <b:Guid>{F8D150D8-9205-4DDB-852B-AA441D0CD8AD}</b:Guid>
    <b:Author>
      <b:Author>
        <b:Corporate>Environmental Risk Management Authority</b:Corporate>
      </b:Author>
    </b:Author>
    <b:Title>Decision Report on Application HRC07004</b:Title>
    <b:Year>2008</b:Year>
    <b:Publisher>ERMA New Zealand</b:Publisher>
    <b:City>Wellington</b:City>
    <b:RefOrder>45</b:RefOrder>
  </b:Source>
  <b:Source>
    <b:Tag>PIC2014</b:Tag>
    <b:SourceType>Report</b:SourceType>
    <b:Guid>{07824238-7371-4C5D-BEE9-18C03111905F}</b:Guid>
    <b:Author>
      <b:Author>
        <b:Corporate>Secretariat of the Rotterdam Convention</b:Corporate>
      </b:Author>
    </b:Author>
    <b:Title>PIC Circular XXXVIII</b:Title>
    <b:Year>2013</b:Year>
    <b:Publisher>Secretariat of the Rotterdam Convention on the Prior Informed Consent Procedure for Certain Hazardous Chemicals and Pesticides in International Trade</b:Publisher>
    <b:City>Rome</b:City>
    <b:RefOrder>46</b:RefOrder>
  </b:Source>
  <b:Source>
    <b:Tag>RNZ2013</b:Tag>
    <b:SourceType>Report</b:SourceType>
    <b:Guid>{531970B8-C49A-40A7-B907-9460F0DA1A68}</b:Guid>
    <b:Author>
      <b:Author>
        <b:Corporate>Radio New Zealand</b:Corporate>
      </b:Author>
    </b:Author>
    <b:Title>Pet Cremation. Podcast of This Way Up, Saturday June 8 2013</b:Title>
    <b:Year>2013</b:Year>
    <b:Publisher>Radio New Zealand</b:Publisher>
    <b:City>Wellington</b:City>
    <b:RefOrder>79</b:RefOrder>
  </b:Source>
  <b:Source>
    <b:Tag>NZSteel2010</b:Tag>
    <b:SourceType>Report</b:SourceType>
    <b:Guid>{6ABBFF9D-6BE5-45A4-836F-27F9A64909FE}</b:Guid>
    <b:Author>
      <b:Author>
        <b:Corporate>New Zealand Steel</b:Corporate>
      </b:Author>
    </b:Author>
    <b:Title>Submission to the Ministry of Economic Development in respect of its discussion paper entitled “Reviewing the Crown Minerals Act 1991”</b:Title>
    <b:Year>2010</b:Year>
    <b:Publisher>New Zealand Steel</b:Publisher>
    <b:City>Auckland</b:City>
    <b:RefOrder>8</b:RefOrder>
  </b:Source>
  <b:Source>
    <b:Tag>Jaq02</b:Tag>
    <b:SourceType>Report</b:SourceType>
    <b:Guid>{73D3A373-EC72-451D-97CD-61D45651D259}</b:Guid>
    <b:Author>
      <b:Author>
        <b:NameList>
          <b:Person>
            <b:Last>Jaques</b:Last>
            <b:First>R</b:First>
          </b:Person>
        </b:NameList>
      </b:Author>
    </b:Author>
    <b:Title>Environmental Impacts Associated with New Zealand Structural Steel Manufacture – Preliminary Study.  Study Report No. 113</b:Title>
    <b:Year>2002</b:Year>
    <b:Publisher>BRANZ</b:Publisher>
    <b:City>Wellington</b:City>
    <b:RefOrder>9</b:RefOrder>
  </b:Source>
  <b:Source>
    <b:Tag>NZP14</b:Tag>
    <b:SourceType>Report</b:SourceType>
    <b:Guid>{CC4E50D7-42AC-45E4-B527-41803FCF65AB}</b:Guid>
    <b:Author>
      <b:Author>
        <b:Corporate>NZ Petroleum and Minerals</b:Corporate>
      </b:Author>
    </b:Author>
    <b:Title>Industrial Minerals Production Data; 2012 Mining Production Statistics</b:Title>
    <b:Year>2014</b:Year>
    <b:Publisher>Ministry of Business, Innovation and Employment</b:Publisher>
    <b:City>Wellington</b:City>
    <b:RefOrder>80</b:RefOrder>
  </b:Source>
  <b:Source>
    <b:Tag>ARC1999</b:Tag>
    <b:SourceType>Report</b:SourceType>
    <b:Guid>{B4688677-7DB2-49B5-BABB-4EB1F1775BA4}</b:Guid>
    <b:Author>
      <b:Author>
        <b:Corporate>Auckland Regional Council</b:Corporate>
      </b:Author>
    </b:Author>
    <b:Title>Oil Refining and Recovery. Information Sheet 11</b:Title>
    <b:Year>1999</b:Year>
    <b:Publisher>Auckland Regional Council</b:Publisher>
    <b:City>Auckland</b:City>
    <b:RefOrder>81</b:RefOrder>
  </b:Source>
  <b:Source>
    <b:Tag>Sla2008</b:Tag>
    <b:SourceType>Report</b:SourceType>
    <b:Guid>{493B3C60-5C9D-4D9D-A2F4-C07C3159EDC8}</b:Guid>
    <b:Author>
      <b:Author>
        <b:NameList>
          <b:Person>
            <b:Last>Slaughter</b:Last>
            <b:First>G</b:First>
          </b:Person>
          <b:Person>
            <b:Last>Halliday</b:Last>
            <b:First>L</b:First>
          </b:Person>
        </b:NameList>
      </b:Author>
    </b:Author>
    <b:Title>Disposal of New Zealand’s Used Oil. Paper presented to the Annual Conference</b:Title>
    <b:Year>2008</b:Year>
    <b:Publisher>Waste Management Institute of New Zealand</b:Publisher>
    <b:City>Auckland</b:City>
    <b:RefOrder>82</b:RefOrder>
  </b:Source>
  <b:Source>
    <b:Tag>Hal07</b:Tag>
    <b:SourceType>Report</b:SourceType>
    <b:Guid>{5945003B-0E41-4F56-B723-9880229035D5}</b:Guid>
    <b:Title>Ten Years of the New Zealand Used Oil Recovery Programme. Paper presented at the Annual Conference</b:Title>
    <b:Year>2007</b:Year>
    <b:Publisher>Waste Management Institute of New Zealand</b:Publisher>
    <b:City>Auckland</b:City>
    <b:Author>
      <b:Author>
        <b:NameList>
          <b:Person>
            <b:Last>Halliday</b:Last>
            <b:First>L</b:First>
          </b:Person>
          <b:Person>
            <b:Last>Slaughter</b:Last>
            <b:First>G</b:First>
          </b:Person>
          <b:Person>
            <b:Last>Rynne</b:Last>
            <b:First>M</b:First>
          </b:Person>
          <b:Person>
            <b:Last>Totty</b:Last>
            <b:First>B</b:First>
          </b:Person>
        </b:NameList>
      </b:Author>
    </b:Author>
    <b:RefOrder>83</b:RefOrder>
  </b:Source>
  <b:Source>
    <b:Tag>MfE1997</b:Tag>
    <b:SourceType>Report</b:SourceType>
    <b:Guid>{96C940FB-570C-4F04-8E9F-E0BF138E7A71}</b:Guid>
    <b:Author>
      <b:Author>
        <b:Corporate>Ministry for the Environment</b:Corporate>
      </b:Author>
    </b:Author>
    <b:Title>National Waste Data Report</b:Title>
    <b:Year>1997</b:Year>
    <b:Publisher>Ministry for the Environment</b:Publisher>
    <b:City>Wellingtom</b:City>
    <b:RefOrder>84</b:RefOrder>
  </b:Source>
  <b:Source>
    <b:Tag>Lub91</b:Tag>
    <b:SourceType>Report</b:SourceType>
    <b:Guid>{FC5C9B3E-E125-4198-89A6-F94C834F09CA}</b:Guid>
    <b:Author>
      <b:Author>
        <b:Corporate>Lubrication Engineers</b:Corporate>
      </b:Author>
    </b:Author>
    <b:Title>Notes on Oil Consumption</b:Title>
    <b:Year>1991</b:Year>
    <b:Publisher>Lubrication Engineers Inc</b:Publisher>
    <b:City>Kansas</b:City>
    <b:RefOrder>85</b:RefOrder>
  </b:Source>
  <b:Source>
    <b:Tag>MED2008b</b:Tag>
    <b:SourceType>Report</b:SourceType>
    <b:Guid>{9B7593C2-ADD2-4142-97F5-E403075D2F2D}</b:Guid>
    <b:Author>
      <b:Author>
        <b:Corporate>Ministry of Economic Development</b:Corporate>
      </b:Author>
    </b:Author>
    <b:Title>Liquid Fuel Use in New Zealand. report prepared by Outcome Management Services Ltd</b:Title>
    <b:Year>2008b</b:Year>
    <b:Publisher>Ministry of Economic Development</b:Publisher>
    <b:City>Welllington</b:City>
    <b:RefOrder>86</b:RefOrder>
  </b:Source>
  <b:Source>
    <b:Tag>EPA2013</b:Tag>
    <b:SourceType>Report</b:SourceType>
    <b:Guid>{6C0C9D5F-BF1E-4133-B3E6-BDFFAFD70487}</b:Guid>
    <b:Author>
      <b:Author>
        <b:Corporate>Environmental Protection Authority</b:Corporate>
      </b:Author>
    </b:Author>
    <b:Title>Management and Handling of Used Oil.  HSNO COP 63</b:Title>
    <b:Year>2013</b:Year>
    <b:Publisher>Environmental Protection Authority</b:Publisher>
    <b:City>Wellington</b:City>
    <b:RefOrder>87</b:RefOrder>
  </b:Source>
  <b:Source>
    <b:Tag>Was13</b:Tag>
    <b:SourceType>Report</b:SourceType>
    <b:Guid>{5F35DDA4-F093-49EC-8F19-98EA25F158EB}</b:Guid>
    <b:Author>
      <b:Author>
        <b:Corporate>Waste Management Institute of New Zealand</b:Corporate>
      </b:Author>
    </b:Author>
    <b:Title>Technical Guidelines for the Disposal to Land of Residual Waste and Other Material (Land Disposal Technical Guidelines: Draft for Consultation)</b:Title>
    <b:Year>2013</b:Year>
    <b:Publisher>Waste Management Institute of New Zealand</b:Publisher>
    <b:City>Auckland</b:City>
    <b:RefOrder>88</b:RefOrder>
  </b:Source>
  <b:Source>
    <b:Tag>ES2013</b:Tag>
    <b:SourceType>Report</b:SourceType>
    <b:Guid>{08B71808-10CB-4346-AD5F-D48A14C7ED4B}</b:Guid>
    <b:Author>
      <b:Author>
        <b:Corporate>Environment Southland</b:Corporate>
      </b:Author>
    </b:Author>
    <b:Title>Dust Suppression- Keeping Your Air Clean! </b:Title>
    <b:Year>2013</b:Year>
    <b:Publisher>Environment Southland</b:Publisher>
    <b:City>Invercargill</b:City>
    <b:RefOrder>89</b:RefOrder>
  </b:Source>
  <b:Source>
    <b:Tag>EPA11and12</b:Tag>
    <b:SourceType>Report</b:SourceType>
    <b:Guid>{7F4FE4F2-73E2-4995-917C-0F13852CFB59}</b:Guid>
    <b:Author>
      <b:Author>
        <b:Corporate>Environmental Protection Authority</b:Corporate>
      </b:Author>
    </b:Author>
    <b:Title>Climate Change Response Act 2002; 2011 and 2012 Annual Reports</b:Title>
    <b:Year>2012 and 2013</b:Year>
    <b:Publisher>Environmental Protection Authority</b:Publisher>
    <b:City>Wellington</b:City>
    <b:RefOrder>90</b:RefOrder>
  </b:Source>
  <b:Source>
    <b:Tag>NIC09</b:Tag>
    <b:SourceType>Report</b:SourceType>
    <b:Guid>{6DCF5637-9BFA-4098-BDD4-A3425D2772DC}</b:Guid>
    <b:Title>Priority Existing Chemical Assessment Report No 30</b:Title>
    <b:Year>2009</b:Year>
    <b:City>Canberra</b:City>
    <b:Publisher>Department of Health and Aging, Australian Government</b:Publisher>
    <b:Author>
      <b:Author>
        <b:NameList>
          <b:Person>
            <b:Last>NICNAS</b:Last>
          </b:Person>
        </b:NameList>
      </b:Author>
    </b:Author>
    <b:RefOrder>42</b:RefOrder>
  </b:Source>
  <b:Source>
    <b:Tag>Mfe07</b:Tag>
    <b:SourceType>Report</b:SourceType>
    <b:Guid>{F62A3A8E-1EDF-4507-9B70-AA525495C9B6}</b:Guid>
    <b:Author>
      <b:Author>
        <b:Corporate>Ministry for the Environment</b:Corporate>
      </b:Author>
    </b:Author>
    <b:Title>Targets in the New Zealand Waste Strategy: 2006 Review of Progress</b:Title>
    <b:Year>2007</b:Year>
    <b:Publisher>Ministry for the Environment</b:Publisher>
    <b:City>Wellington</b:City>
    <b:RefOrder>37</b:RefOrder>
  </b:Source>
  <b:Source>
    <b:Tag>Mfe2014</b:Tag>
    <b:SourceType>Book</b:SourceType>
    <b:Guid>{C16D0040-E59A-47AF-9946-D1AB061AA49B}</b:Guid>
    <b:Author>
      <b:Author>
        <b:Corporate>Ministry for the Environment</b:Corporate>
      </b:Author>
    </b:Author>
    <b:Title>New Zealand’s Greenhouse Gas Inventory 1990-2012</b:Title>
    <b:Year>2014</b:Year>
    <b:City>Wellington</b:City>
    <b:Publisher>Ministry for the Environment</b:Publisher>
    <b:RefOrder>91</b:RefOrder>
  </b:Source>
  <b:Source>
    <b:Tag>MfE00</b:Tag>
    <b:SourceType>Book</b:SourceType>
    <b:Guid>{567C089A-329A-4206-A1EA-8A6F8082356C}</b:Guid>
    <b:Author>
      <b:Author>
        <b:Corporate>Ministry for the Environment</b:Corporate>
      </b:Author>
    </b:Author>
    <b:Title>New Zealand Inventory of Dioxin Emissions to Air, Land and  Water, and Reservoir Sources, 2000</b:Title>
    <b:Year>2000</b:Year>
    <b:City>Wellington</b:City>
    <b:Publisher>Ministry for  the Environment</b:Publisher>
    <b:RefOrder>2</b:RefOrder>
  </b:Source>
  <b:Source>
    <b:Tag>CrownMin1</b:Tag>
    <b:SourceType>Report</b:SourceType>
    <b:Guid>{81305BEA-6DF5-469A-A5E7-494F8A5D056B}</b:Guid>
    <b:Author>
      <b:Author>
        <b:Corporate>Crown Minerals</b:Corporate>
      </b:Author>
    </b:Author>
    <b:Title>Fact Sheet: Metallic Mineral  Occurrences</b:Title>
    <b:Year>undated</b:Year>
    <b:Publisher>Ministry of Economic Development</b:Publisher>
    <b:City>Wellington</b:City>
    <b:RefOrder>13</b:RefOrder>
  </b:Source>
  <b:Source>
    <b:Tag>Ref13</b:Tag>
    <b:SourceType>Report</b:SourceType>
    <b:Guid>{3C0C57FD-F370-4DF9-8ABB-375905A636E8}</b:Guid>
    <b:Author>
      <b:Author>
        <b:Corporate>Refining NZ</b:Corporate>
      </b:Author>
    </b:Author>
    <b:Title>Annual Report 2012</b:Title>
    <b:Year>2013</b:Year>
    <b:Publisher>Refining NZ</b:Publisher>
    <b:City>Whangarei</b:City>
    <b:RefOrder>92</b:RefOrder>
  </b:Source>
  <b:Source>
    <b:Tag>NZR09</b:Tag>
    <b:SourceType>Report</b:SourceType>
    <b:Guid>{C0BFC76B-1BFE-4A9D-89A7-F08AE0E31411}</b:Guid>
    <b:Author>
      <b:Author>
        <b:Corporate>NZ Refining Company</b:Corporate>
      </b:Author>
    </b:Author>
    <b:Title>Annual Report, 2008</b:Title>
    <b:Year>2009</b:Year>
    <b:Publisher>NZ Refining Company</b:Publisher>
    <b:City>Whangarei</b:City>
    <b:RefOrder>93</b:RefOrder>
  </b:Source>
  <b:Source>
    <b:Tag>Man13</b:Tag>
    <b:SourceType>Report</b:SourceType>
    <b:Guid>{3C6363D2-4236-44CD-B623-375CD2A55908}</b:Guid>
    <b:Title>Concentrations of Selected Persistent Organic Pollutants in the Serum of New Zealanders</b:Title>
    <b:Year>2013</b:Year>
    <b:Publisher>Report prepared by the Centre for Public Health Research for the Ministry of Health</b:Publisher>
    <b:City>Wellington</b:City>
    <b:Author>
      <b:Author>
        <b:NameList>
          <b:Person>
            <b:Last>Mannetje</b:Last>
            <b:First>A</b:First>
          </b:Person>
          <b:Person>
            <b:Last>Coakley</b:Last>
            <b:First>J</b:First>
          </b:Person>
          <b:Person>
            <b:Last>Bates</b:Last>
            <b:First>M</b:First>
          </b:Person>
          <b:Person>
            <b:Last>Borman</b:Last>
            <b:First>B</b:First>
          </b:Person>
          <b:Person>
            <b:Last>Douwes</b:Last>
            <b:First>J</b:First>
          </b:Person>
        </b:NameList>
      </b:Author>
    </b:Author>
    <b:RefOrder>60</b:RefOrder>
  </b:Source>
  <b:Source>
    <b:Tag>Man10</b:Tag>
    <b:SourceType>Report</b:SourceType>
    <b:Guid>{D9C8C945-0F6D-46E0-BDC2-736B19B29F37}</b:Guid>
    <b:Author>
      <b:Author>
        <b:NameList>
          <b:Person>
            <b:Last>Mannetje</b:Last>
            <b:First>A</b:First>
          </b:Person>
          <b:Person>
            <b:Last>Douwes</b:Last>
            <b:First>J</b:First>
          </b:Person>
          <b:Person>
            <b:Last>Duckett</b:Last>
            <b:First>H</b:First>
          </b:Person>
        </b:NameList>
      </b:Author>
    </b:Author>
    <b:Title>Concentrations of Persistent Organic Pollutants in the Milk of New Zealand Women</b:Title>
    <b:Year>2010</b:Year>
    <b:Publisher>Ministry of Health, Public Health Research Centre, Massey University</b:Publisher>
    <b:City>Wellington</b:City>
    <b:RefOrder>59</b:RefOrder>
  </b:Source>
  <b:Source>
    <b:Tag>Mfe2004</b:Tag>
    <b:SourceType>Report</b:SourceType>
    <b:Guid>{9F59716D-2BE3-48F2-96F2-74B587D15C57}</b:Guid>
    <b:Author>
      <b:Author>
        <b:Corporate>Ministry  for the Environment</b:Corporate>
      </b:Author>
    </b:Author>
    <b:Title>Dioxin and Furan Emissions to Air from Secondary Metallurgical Processes in New Zealand.</b:Title>
    <b:Year>2004</b:Year>
    <b:Publisher>Prepared by Sinclair Knight Merz Ltd for Ministry for the Environment</b:Publisher>
    <b:City>Wellington</b:City>
    <b:RefOrder>12</b:RefOrder>
  </b:Source>
  <b:Source xmlns:b="http://schemas.openxmlformats.org/officeDocument/2006/bibliography">
    <b:Tag>MBIE2013</b:Tag>
    <b:SourceType>Book</b:SourceType>
    <b:Guid>{0A9AAE63-8125-417F-AD57-C1C3C47BA763}</b:Guid>
    <b:Author>
      <b:Author>
        <b:Corporate>Ministry of Business, Innovation and Employment</b:Corporate>
      </b:Author>
    </b:Author>
    <b:Title>Energy in New Zealand 2013</b:Title>
    <b:Year>2013</b:Year>
    <b:City>Wellington</b:City>
    <b:Publisher>Ministry of Business, Innovation and Employment</b:Publisher>
    <b:RefOrder>15</b:RefOrder>
  </b:Source>
  <b:Source>
    <b:Tag>Min17</b:Tag>
    <b:SourceType>Book</b:SourceType>
    <b:Guid>{AEF96B94-F8C7-4DE5-A998-42B308BD9BAA}</b:Guid>
    <b:Title>Energy in New Zealand 2017</b:Title>
    <b:Year>2017</b:Year>
    <b:Publisher>Ministry of Business Innovatiion and Employment</b:Publisher>
    <b:City>Wellington</b:City>
    <b:Author>
      <b:Author>
        <b:Corporate>Ministry of Business Innovation and Employment</b:Corporate>
      </b:Author>
    </b:Author>
    <b:RefOrder>16</b:RefOrder>
  </b:Source>
  <b:Source>
    <b:Tag>Min18</b:Tag>
    <b:SourceType>Book</b:SourceType>
    <b:Guid>{E9BA4828-48AC-461D-9536-78F6C80D059B}</b:Guid>
    <b:Author>
      <b:Author>
        <b:Corporate>Ministry for the Environment</b:Corporate>
      </b:Author>
    </b:Author>
    <b:Title>New Zealand's Greenhouse Gas Inventory 1990-2016</b:Title>
    <b:Year>2018</b:Year>
    <b:City>Wellington</b:City>
    <b:Publisher>Ministry for the Environment report ME 1351</b:Publisher>
    <b:RefOrder>10</b:RefOrder>
  </b:Source>
  <b:Source>
    <b:Tag>Ene18</b:Tag>
    <b:SourceType>Book</b:SourceType>
    <b:Guid>{2E222CC2-B8BD-4F28-9FCB-61E66524B2D3}</b:Guid>
    <b:Author>
      <b:Author>
        <b:Corporate>Energy Efficiency and Conservation Authority</b:Corporate>
      </b:Author>
    </b:Author>
    <b:Title>Energy End Use Database</b:Title>
    <b:Year>2018</b:Year>
    <b:City>Wellington</b:City>
    <b:Publisher>Energy Efficiency and Conservation Authority</b:Publisher>
    <b:RefOrder>24</b:RefOrder>
  </b:Source>
  <b:Source>
    <b:Tag>Min181</b:Tag>
    <b:SourceType>Book</b:SourceType>
    <b:Guid>{FA8822D4-625A-4F30-97A5-FC6382E1E234}</b:Guid>
    <b:Author>
      <b:Author>
        <b:Corporate>Ministry of Primary Industries</b:Corporate>
      </b:Author>
    </b:Author>
    <b:Title>Production of Pulp In New Zealand 1951 - 2017</b:Title>
    <b:Year>2018</b:Year>
    <b:City>Wellington</b:City>
    <b:Publisher>Ministry of Primary Industries - https://www.mpi.govt.nz/dmsdocument/788-production-of-wood-pulp-1951-2016/sitemap</b:Publisher>
    <b:RefOrder>94</b:RefOrder>
  </b:Source>
  <b:Source>
    <b:Tag>Min182</b:Tag>
    <b:SourceType>Book</b:SourceType>
    <b:Guid>{602BA6CC-8DB4-48BB-9FD2-26E8ABF11605}</b:Guid>
    <b:Author>
      <b:Author>
        <b:Corporate>Ministry for Primary Industries</b:Corporate>
      </b:Author>
    </b:Author>
    <b:Title>Production of pulp in New Zealand, 1951 to 2017</b:Title>
    <b:Year>2018</b:Year>
    <b:City>Wellington</b:City>
    <b:Publisher>Ministry for Primary Industries -https://www.mpi.govt.nz/dmsdocument/788-production-of-wood-pulp-1951-2016/sitemap</b:Publisher>
    <b:RefOrder>38</b:RefOrder>
  </b:Source>
  <b:Source>
    <b:Tag>New13</b:Tag>
    <b:SourceType>Book</b:SourceType>
    <b:Guid>{3C72B0FA-265C-4D23-9159-8F0992CBF49B}</b:Guid>
    <b:Author>
      <b:Author>
        <b:Corporate>New Zealand Law Commission</b:Corporate>
      </b:Author>
    </b:Author>
    <b:Title>The legal framework for burial and cremation in New Zealand - a first principles review</b:Title>
    <b:Year>2013</b:Year>
    <b:City>Wellington</b:City>
    <b:Publisher>NZ Law Commission - issues paper 34.</b:Publisher>
    <b:RefOrder>47</b:RefOrder>
  </b:Source>
  <b:Source>
    <b:Tag>Min16</b:Tag>
    <b:SourceType>Book</b:SourceType>
    <b:Guid>{0EA50438-A5D1-4326-A3DF-690D30C8F0AB}</b:Guid>
    <b:Author>
      <b:Author>
        <b:Corporate>Ministry of Health</b:Corporate>
      </b:Author>
    </b:Author>
    <b:Title>Report Back on New Zealand's Tobacco Control Programme</b:Title>
    <b:Year>2016</b:Year>
    <b:City>Wellington</b:City>
    <b:Publisher>Ministry of Health - www.health.govt.nz/systemfiles/documents/pages/cabinet-paper-8-april-2016</b:Publisher>
    <b:RefOrder>48</b:RefOrder>
  </b:Source>
  <b:Source>
    <b:Tag>Blu16</b:Tag>
    <b:SourceType>Report</b:SourceType>
    <b:Guid>{D67C58FC-B6CD-4488-B18E-E8C9C443F81C}</b:Guid>
    <b:Title>Understanding Trends in Roadside Air Quality</b:Title>
    <b:Year>2016</b:Year>
    <b:City>Wellington</b:City>
    <b:Publisher>Ministry of Transport</b:Publisher>
    <b:Author>
      <b:Author>
        <b:NameList>
          <b:Person>
            <b:Last>Bluett</b:Last>
            <b:First>J</b:First>
          </b:Person>
          <b:Person>
            <b:Last>Aguiar</b:Last>
            <b:First>M</b:First>
          </b:Person>
          <b:Person>
            <b:Last>Smit</b:Last>
            <b:First>R</b:First>
          </b:Person>
        </b:NameList>
      </b:Author>
    </b:Author>
    <b:RefOrder>28</b:RefOrder>
  </b:Source>
  <b:Source>
    <b:Tag>Ref17</b:Tag>
    <b:SourceType>Report</b:SourceType>
    <b:Guid>{27A90C68-8634-4400-9204-A76423986392}</b:Guid>
    <b:Author>
      <b:Author>
        <b:Corporate>Refining NZ</b:Corporate>
      </b:Author>
    </b:Author>
    <b:Title>Annual Report 2017</b:Title>
    <b:Year>2017</b:Year>
    <b:Publisher>Refining NZ</b:Publisher>
    <b:City>Whangarei</b:City>
    <b:RefOrder>44</b:RefOrder>
  </b:Source>
  <b:Source>
    <b:Tag>Ref16</b:Tag>
    <b:SourceType>Report</b:SourceType>
    <b:Guid>{FE6A5D9A-B9C1-4139-AA04-D246DDD0E0DF}</b:Guid>
    <b:Author>
      <b:Author>
        <b:Corporate>Refining NZ</b:Corporate>
      </b:Author>
    </b:Author>
    <b:Title>Annual Report 2016</b:Title>
    <b:Year>2016</b:Year>
    <b:Publisher>Refining NZ</b:Publisher>
    <b:City>Whangarei</b:City>
    <b:RefOrder>43</b:RefOrder>
  </b:Source>
  <b:Source>
    <b:Tag>New17</b:Tag>
    <b:SourceType>Report</b:SourceType>
    <b:Guid>{9FE6B67D-FE1A-4778-BB6F-566B709C1C42}</b:Guid>
    <b:Author>
      <b:Author>
        <b:Corporate>New Zealand Fire Service </b:Corporate>
      </b:Author>
    </b:Author>
    <b:Title>Annual Report for the Year Ended 30 June 2017 </b:Title>
    <b:Year>2017</b:Year>
    <b:Publisher>New Zealand Fire Service</b:Publisher>
    <b:City>Wellington</b:City>
    <b:RefOrder>34</b:RefOrder>
  </b:Source>
  <b:Source>
    <b:Tag>Min172</b:Tag>
    <b:SourceType>Report</b:SourceType>
    <b:Guid>{EFB681A3-C89C-41E3-B8EB-F01404837430}</b:Guid>
    <b:Author>
      <b:Author>
        <b:Corporate>Ministry for the Environment</b:Corporate>
      </b:Author>
    </b:Author>
    <b:Title>Review of the Effectiveness of the Waste Disposal Levy 2017</b:Title>
    <b:Year>2017</b:Year>
    <b:Publisher>Ministry for the Environment</b:Publisher>
    <b:City>Wellington</b:City>
    <b:RefOrder>49</b:RefOrder>
  </b:Source>
  <b:Source>
    <b:Tag>Min183</b:Tag>
    <b:SourceType>Report</b:SourceType>
    <b:Guid>{2A03FD54-7B51-46F7-BD49-7791E09B740D}</b:Guid>
    <b:Author>
      <b:Author>
        <b:Corporate>Ministry for the Environment and Stats NZ</b:Corporate>
      </b:Author>
    </b:Author>
    <b:Title>New Zealands Environmental Reporting Series: Our Air 2018</b:Title>
    <b:Year>2018</b:Year>
    <b:Publisher>Ministry for the Environment and Stats NZ</b:Publisher>
    <b:City>Wellington</b:City>
    <b:RefOrder>23</b:RefOrder>
  </b:Source>
  <b:Source>
    <b:Tag>Min184</b:Tag>
    <b:SourceType>Report</b:SourceType>
    <b:Guid>{32586708-C153-4B42-A090-FDEB6676F3CE}</b:Guid>
    <b:Author>
      <b:Author>
        <b:Corporate>Ministry of Transport</b:Corporate>
      </b:Author>
    </b:Author>
    <b:Title>The New Zealand 2017 Vehicle Fleet: Data Spreadsheet version 4, 2018</b:Title>
    <b:Year>2018</b:Year>
    <b:Publisher>Ministry of Transport</b:Publisher>
    <b:City>Wellington</b:City>
    <b:RefOrder>30</b:RefOrder>
  </b:Source>
  <b:Source>
    <b:Tag>Dop15</b:Tag>
    <b:SourceType>JournalArticle</b:SourceType>
    <b:Guid>{EC479562-05AF-4818-B357-A84AAC9F3537}</b:Guid>
    <b:Title>Review of the Current State and Main Sources of Dioxins Around the World</b:Title>
    <b:Year>2015</b:Year>
    <b:Author>
      <b:Author>
        <b:NameList>
          <b:Person>
            <b:Last>Dopico</b:Last>
            <b:First>M</b:First>
          </b:Person>
          <b:Person>
            <b:Last>Gomez</b:Last>
            <b:First>D</b:First>
          </b:Person>
        </b:NameList>
      </b:Author>
    </b:Author>
    <b:JournalName>Journal of the Air and Waste Management Association</b:JournalName>
    <b:Pages>1033-1049</b:Pages>
    <b:RefOrder>35</b:RefOrder>
  </b:Source>
  <b:Source>
    <b:Tag>Pop16</b:Tag>
    <b:SourceType>Book</b:SourceType>
    <b:Guid>{EEC39A1C-A0BF-4BBD-B7E5-33AC970375F2}</b:Guid>
    <b:Title>2016 World Population Datasheet</b:Title>
    <b:Year>2016</b:Year>
    <b:Author>
      <b:Author>
        <b:Corporate>Population Reference Bureau</b:Corporate>
      </b:Author>
    </b:Author>
    <b:Publisher>Population Reference Bureau</b:Publisher>
    <b:RefOrder>58</b:RefOrder>
  </b:Source>
  <b:Source>
    <b:Tag>Bio15</b:Tag>
    <b:SourceType>Book</b:SourceType>
    <b:Guid>{961E0E34-9205-4FB8-9152-9D79F4376A09}</b:Guid>
    <b:Author>
      <b:Author>
        <b:Corporate>Bioenergy in the News</b:Corporate>
      </b:Author>
    </b:Author>
    <b:Title>Fonterra Clean Energy Shift Not so Simple</b:Title>
    <b:Year>2015</b:Year>
    <b:Publisher>Bioenergy association of New Zealand</b:Publisher>
    <b:RefOrder>95</b:RefOrder>
  </b:Source>
  <b:Source>
    <b:Tag>Min19</b:Tag>
    <b:SourceType>Book</b:SourceType>
    <b:Guid>{B0B70453-9FAB-4072-8905-6F98341F6CF1}</b:Guid>
    <b:Author>
      <b:Author>
        <b:Corporate>Ministry for the Environment </b:Corporate>
      </b:Author>
    </b:Author>
    <b:Title>Road Map to Transition to a Low Emission Future - a Fonterra and Ministry for the Environment Initiative</b:Title>
    <b:Year>2019</b:Year>
    <b:City>Wellington</b:City>
    <b:Publisher>Ministry for the Environment</b:Publisher>
    <b:RefOrder>19</b:RefOrder>
  </b:Source>
  <b:Source>
    <b:Tag>Fon18</b:Tag>
    <b:SourceType>Book</b:SourceType>
    <b:Guid>{36E1DC46-5CA2-48E8-96DE-E7F540AE49D5}</b:Guid>
    <b:Author>
      <b:Author>
        <b:Corporate>Fonterra</b:Corporate>
      </b:Author>
    </b:Author>
    <b:Title>Co-firing on all Cylinders - Fonterra Brightwater Site to Reduce Emissions by 25 per cent. </b:Title>
    <b:Year>2018</b:Year>
    <b:Publisher>Fonterra New Zealand Ltd</b:Publisher>
    <b:RefOrder>20</b:RefOrder>
  </b:Source>
  <b:Source>
    <b:Tag>Min173</b:Tag>
    <b:SourceType>Book</b:SourceType>
    <b:Guid>{6FEF944F-D020-4745-8138-879EF10A7129}</b:Guid>
    <b:Author>
      <b:Author>
        <b:Corporate>Ministry for the Environment</b:Corporate>
      </b:Author>
    </b:Author>
    <b:Title>Review of the Effectiveness of the Waste Disposal Levy 2017</b:Title>
    <b:Year>2017</b:Year>
    <b:City>Wellington</b:City>
    <b:Publisher>Ministry for the Environment</b:Publisher>
    <b:RefOrder>51</b:RefOrder>
  </b:Source>
  <b:Source>
    <b:Tag>Dep18</b:Tag>
    <b:SourceType>Book</b:SourceType>
    <b:Guid>{34D137E5-C4FB-4608-AD0C-DF21391C6C69}</b:Guid>
    <b:Author>
      <b:Author>
        <b:Corporate>Department of Internal Affairs</b:Corporate>
      </b:Author>
    </b:Author>
    <b:Title>National Dog Database</b:Title>
    <b:Year>2018</b:Year>
    <b:City>Wellington</b:City>
    <b:Publisher>Department of Internal Affairs</b:Publisher>
    <b:RefOrder>7</b:RefOrder>
  </b:Source>
  <b:Source>
    <b:Tag>Bay16</b:Tag>
    <b:SourceType>Book</b:SourceType>
    <b:Guid>{72792335-F384-4706-8C51-60F27139CE1C}</b:Guid>
    <b:Author>
      <b:Author>
        <b:Corporate>Bay of Plenty Regional Council</b:Corporate>
      </b:Author>
    </b:Author>
    <b:Title>Draft New Regional Air Plan 26 April 2016</b:Title>
    <b:Year>2016</b:Year>
    <b:City>Whakatane</b:City>
    <b:Publisher>Bay of Plenty Regional Council</b:Publisher>
    <b:RefOrder>57</b:RefOrder>
  </b:Source>
  <b:Source>
    <b:Tag>Wil15</b:Tag>
    <b:SourceType>Report</b:SourceType>
    <b:Guid>{EB5949E4-6C7C-4839-9A2E-9345CEAE9F97}</b:Guid>
    <b:Title>Air Emission Inventory for Invercargill and Gore - 2011 (2015 update)</b:Title>
    <b:Year>2015</b:Year>
    <b:City>Christchurch</b:City>
    <b:Publisher>Environet Ltd</b:Publisher>
    <b:Author>
      <b:Author>
        <b:NameList>
          <b:Person>
            <b:Last>Wilton</b:Last>
            <b:First>E</b:First>
          </b:Person>
        </b:NameList>
      </b:Author>
    </b:Author>
    <b:RefOrder>96</b:RefOrder>
  </b:Source>
  <b:Source>
    <b:Tag>Wil16</b:Tag>
    <b:SourceType>Book</b:SourceType>
    <b:Guid>{2E3FB193-7DB3-4069-A0F8-832B0F2AA877}</b:Guid>
    <b:Author>
      <b:Author>
        <b:Corporate>Wilton, E</b:Corporate>
      </b:Author>
    </b:Author>
    <b:Title>Air Emission Inventory - Tokoroa and Morrinsville 2016 (Waikato Regional Council Technical Report 2016/31</b:Title>
    <b:Year>2016</b:Year>
    <b:Publisher>Waikato Regional Council</b:Publisher>
    <b:City>Hamilton</b:City>
    <b:RefOrder>36</b:RefOrder>
  </b:Source>
  <b:Source>
    <b:Tag>Ota16</b:Tag>
    <b:SourceType>Book</b:SourceType>
    <b:Guid>{500BBAB7-0DDA-48B6-AFF9-8EB2F0728D25}</b:Guid>
    <b:Author>
      <b:Author>
        <b:Corporate>Otago Daily Times</b:Corporate>
      </b:Author>
    </b:Author>
    <b:Title>Toxic Smoke Fears in Landfill Fire by Rhys Chamberlain</b:Title>
    <b:Year>2016</b:Year>
    <b:City>Dunedin</b:City>
    <b:Publisher>Otago Daily Times</b:Publisher>
    <b:RefOrder>33</b:RefOrder>
  </b:Source>
  <b:Source>
    <b:Tag>Haw16</b:Tag>
    <b:SourceType>Book</b:SourceType>
    <b:Guid>{F56E7BBD-DACB-48FC-9C6C-06B6C535166E}</b:Guid>
    <b:Author>
      <b:Author>
        <b:Corporate>Hawkes Bay Today</b:Corporate>
      </b:Author>
    </b:Author>
    <b:Title>Landfill Fire May Cause $50,000 by Victoria White</b:Title>
    <b:Year>2016</b:Year>
    <b:City>Napier</b:City>
    <b:Publisher>Hawkes Bay Today</b:Publisher>
    <b:RefOrder>32</b:RefOrder>
  </b:Source>
  <b:Source>
    <b:Tag>Eva17</b:Tag>
    <b:SourceType>JournalArticle</b:SourceType>
    <b:Guid>{227B611D-5A26-4BF2-9AB4-6EBA2C9BC828}</b:Guid>
    <b:Title>Why Electricity Will Replace Coal in Dairy Plants</b:Title>
    <b:Year>2017</b:Year>
    <b:Author>
      <b:Author>
        <b:NameList>
          <b:Person>
            <b:Last>Evans</b:Last>
            <b:First>G</b:First>
          </b:Person>
        </b:NameList>
      </b:Author>
    </b:Author>
    <b:JournalName>Newsroom</b:JournalName>
    <b:RefOrder>18</b:RefOrder>
  </b:Source>
  <b:Source>
    <b:Tag>Wan16</b:Tag>
    <b:SourceType>JournalArticle</b:SourceType>
    <b:Guid>{11DFA990-F702-4776-982E-671B3B7A38C5}</b:Guid>
    <b:Title>A primary estimate of global PCDD/F release based on the quantity and quality of national economic and social activities </b:Title>
    <b:Year>2016</b:Year>
    <b:Author>
      <b:Author>
        <b:NameList>
          <b:Person>
            <b:Last>Wang</b:Last>
            <b:First>B</b:First>
          </b:Person>
          <b:Person>
            <b:Last>H</b:Last>
            <b:First>Fiedler</b:First>
          </b:Person>
          <b:Person>
            <b:Last>J</b:Last>
            <b:First>Huang</b:First>
          </b:Person>
          <b:Person>
            <b:Last>D</b:Last>
            <b:First>Shubo</b:First>
          </b:Person>
          <b:Person>
            <b:Last>W</b:Last>
            <b:First>Yujue</b:First>
          </b:Person>
          <b:Person>
            <b:Last>Y</b:Last>
            <b:First>Gang</b:First>
          </b:Person>
        </b:NameList>
      </b:Author>
    </b:Author>
    <b:JournalName>Chemosphere</b:JournalName>
    <b:Pages>303 - 309</b:Pages>
    <b:RefOrder>97</b:RefOrder>
  </b:Source>
  <b:Source>
    <b:Tag>Oji17</b:Tag>
    <b:SourceType>Book</b:SourceType>
    <b:Guid>{843FD75D-DEB1-42E9-A895-A542FDB4062A}</b:Guid>
    <b:Title>Sustainability Report 2017</b:Title>
    <b:Year>2017</b:Year>
    <b:Author>
      <b:Author>
        <b:Corporate>Oji Fibre Solutions</b:Corporate>
      </b:Author>
    </b:Author>
    <b:City>Auckland</b:City>
    <b:Publisher>Oji Fibre Solutions (NZ) Ltd</b:Publisher>
    <b:RefOrder>56</b:RefOrder>
  </b:Source>
  <b:Source>
    <b:Tag>Min14</b:Tag>
    <b:SourceType>Book</b:SourceType>
    <b:Guid>{52B758AC-92F0-D24B-B7E7-BD8C1810B3DF}</b:Guid>
    <b:Author>
      <b:Author>
        <b:Corporate>Ministry for the Environment</b:Corporate>
      </b:Author>
    </b:Author>
    <b:Title>New Zealand Inventory of Dioxin Emissions to Air, Land and Water, and Reservoir Sources 2018</b:Title>
    <b:Year>2019</b:Year>
    <b:City>Wellington</b:City>
    <b:Publisher>Ministry for the Environment</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cb4ab68550168c1657715066464b1af5">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targetNamespace="http://schemas.microsoft.com/office/2006/metadata/properties" ma:root="true" ma:fieldsID="be68f85b425287be31bc19719974dc7e" ns1:_="" ns2:_="" ns3:_="" ns4:_="">
    <xsd:import namespace="http://schemas.microsoft.com/sharepoint/v3"/>
    <xsd:import namespace="58a6f171-52cb-4404-b47d-af1c8daf8fd1"/>
    <xsd:import namespace="4a94300e-a927-4b92-9d3a-682523035cb6"/>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TS_x0020_Type" minOccurs="0"/>
                <xsd:element ref="ns3:MTS_x0020_ID" minOccurs="0"/>
                <xsd:element ref="ns3:Other_x0020_Details_4" minOccurs="0"/>
                <xsd:element ref="ns3:Contract_x0020_Number" minOccurs="0"/>
                <xsd:element ref="ns1:_ip_UnifiedCompliancePolicyProperties" minOccurs="0"/>
                <xsd:element ref="ns1:_ip_UnifiedCompliancePolicyUIAction" minOccurs="0"/>
                <xsd:element ref="ns4:SharedWithUsers" minOccurs="0"/>
                <xsd:element ref="ns4: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3" nillable="true" ma:displayName="Taxonomy Catch All Column" ma:hidden="true" ma:list="{d0cdddb6-5cfb-45b6-8fe0-da02a32629e8}"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ibrary" ma:index="28" nillable="true" ma:displayName="Library" ma:default="" ma:description="" ma:internalName="Library">
      <xsd:simpleType>
        <xsd:restriction base="dms:Text">
          <xsd:maxLength value="255"/>
        </xsd:restriction>
      </xsd:simpleType>
    </xsd:element>
    <xsd:element name="Legacy_x0020_DocID" ma:index="29" nillable="true" ma:displayName="Legacy DocID" ma:decimals="-1" ma:default="" ma:description="" ma:internalName="Legacy_x0020_DocID">
      <xsd:simpleType>
        <xsd:restriction base="dms:Number"/>
      </xsd:simpleType>
    </xsd:element>
    <xsd:element name="Legacy_x0020_Version" ma:index="30" nillable="true" ma:displayName="Legacy Version" ma:default="" ma:description="" ma:internalName="Legacy_x0020_Version">
      <xsd:simpleType>
        <xsd:restriction base="dms:Text">
          <xsd:maxLength value="255"/>
        </xsd:restriction>
      </xsd:simpleType>
    </xsd:element>
    <xsd:element name="Class" ma:index="31" nillable="true" ma:displayName="Class" ma:default="" ma:description="" ma:internalName="Class">
      <xsd:simpleType>
        <xsd:restriction base="dms:Text">
          <xsd:maxLength value="255"/>
        </xsd:restriction>
      </xsd:simpleType>
    </xsd:element>
    <xsd:element name="Author0" ma:index="32" nillable="true" ma:displayName="Author" ma:default="" ma:description="" ma:internalName="Author0">
      <xsd:simpleType>
        <xsd:restriction base="dms:Text">
          <xsd:maxLength value="255"/>
        </xsd:restriction>
      </xsd:simpleType>
    </xsd:element>
    <xsd:element name="Status" ma:index="33" nillable="true" ma:displayName="Status" ma:default="" ma:description="" ma:internalName="Status">
      <xsd:simpleType>
        <xsd:restriction base="dms:Text">
          <xsd:maxLength value="255"/>
        </xsd:restriction>
      </xsd:simpleType>
    </xsd:element>
    <xsd:element name="Year" ma:index="34" nillable="true" ma:displayName="Year" ma:default="" ma:description="" ma:internalName="Year">
      <xsd:simpleType>
        <xsd:restriction base="dms:Text">
          <xsd:maxLength value="255"/>
        </xsd:restriction>
      </xsd:simpleType>
    </xsd:element>
    <xsd:element name="Other_x0020_Details" ma:index="35" nillable="true" ma:displayName="Other Details" ma:default="" ma:description="" ma:internalName="Other_x0020_Details">
      <xsd:simpleType>
        <xsd:restriction base="dms:Text">
          <xsd:maxLength value="255"/>
        </xsd:restriction>
      </xsd:simpleType>
    </xsd:element>
    <xsd:element name="Other_x0020_Details_2" ma:index="36" nillable="true" ma:displayName="Other Details_2" ma:description="" ma:internalName="Other_x0020_Details_2">
      <xsd:simpleType>
        <xsd:restriction base="dms:Text">
          <xsd:maxLength value="255"/>
        </xsd:restriction>
      </xsd:simpleType>
    </xsd:element>
    <xsd:element name="Other_x0020_Details_3" ma:index="37" nillable="true" ma:displayName="Other Details_3" ma:description="" ma:internalName="Other_x0020_Details_3">
      <xsd:simpleType>
        <xsd:restriction base="dms:Text">
          <xsd:maxLength value="255"/>
        </xsd:restriction>
      </xsd:simpleType>
    </xsd:element>
    <xsd:element name="To" ma:index="38" nillable="true" ma:displayName="To" ma:default="" ma:description="" ma:internalName="To">
      <xsd:simpleType>
        <xsd:restriction base="dms:Note">
          <xsd:maxLength value="255"/>
        </xsd:restriction>
      </xsd:simpleType>
    </xsd:element>
    <xsd:element name="From" ma:index="39" nillable="true" ma:displayName="From" ma:default="" ma:description="" ma:internalName="From">
      <xsd:simpleType>
        <xsd:restriction base="dms:Text">
          <xsd:maxLength value="255"/>
        </xsd:restriction>
      </xsd:simpleType>
    </xsd:element>
    <xsd:element name="Sent_x002f_Received" ma:index="40" nillable="true" ma:displayName="Sent/Received" ma:default="" ma:description="" ma:internalName="Sent_x002f_Received">
      <xsd:simpleType>
        <xsd:restriction base="dms:Text">
          <xsd:maxLength value="255"/>
        </xsd:restriction>
      </xsd:simpleType>
    </xsd:element>
    <xsd:element name="MTS_x0020_Type" ma:index="41" nillable="true" ma:displayName="MTS Type" ma:default="" ma:description="" ma:internalName="MTS_x0020_Type">
      <xsd:simpleType>
        <xsd:restriction base="dms:Note">
          <xsd:maxLength value="255"/>
        </xsd:restriction>
      </xsd:simpleType>
    </xsd:element>
    <xsd:element name="MTS_x0020_ID" ma:index="42" nillable="true" ma:displayName="MTS ID" ma:default="" ma:description="" ma:internalName="MTS_x0020_ID">
      <xsd:simpleType>
        <xsd:restriction base="dms:Text">
          <xsd:maxLength value="255"/>
        </xsd:restriction>
      </xsd:simpleType>
    </xsd:element>
    <xsd:element name="Other_x0020_Details_4" ma:index="43" nillable="true" ma:displayName="Other Details_4" ma:description="" ma:internalName="Other_x0020_Details_4">
      <xsd:simpleType>
        <xsd:restriction base="dms:Text">
          <xsd:maxLength value="255"/>
        </xsd:restriction>
      </xsd:simpleType>
    </xsd:element>
    <xsd:element name="Contract_x0020_Number" ma:index="44" nillable="true" ma:displayName="Contract Number" ma:default="" ma:description="" ma:internalName="Contract_x0020_Number">
      <xsd:simpleType>
        <xsd:restriction base="dms:Text">
          <xsd:maxLength value="255"/>
        </xsd:restriction>
      </xsd:simpleType>
    </xsd:element>
    <xsd:element name="MediaServiceLocation" ma:index="49" nillable="true" ma:displayName="Location"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Other_x0020_Details_4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ECM-1620197338-80677</_dlc_DocId>
    <_dlc_DocIdUrl xmlns="58a6f171-52cb-4404-b47d-af1c8daf8fd1">
      <Url>https://ministryforenvironment.sharepoint.com/sites/ECM-Pol-AcrDom/_layouts/15/DocIdRedir.aspx?ID=ECM-1620197338-80677</Url>
      <Description>ECM-1620197338-80677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FC61BA-6BD6-0A48-8119-7BDCA976FED5}">
  <ds:schemaRefs>
    <ds:schemaRef ds:uri="http://schemas.openxmlformats.org/officeDocument/2006/bibliography"/>
  </ds:schemaRefs>
</ds:datastoreItem>
</file>

<file path=customXml/itemProps2.xml><?xml version="1.0" encoding="utf-8"?>
<ds:datastoreItem xmlns:ds="http://schemas.openxmlformats.org/officeDocument/2006/customXml" ds:itemID="{0B77ECD5-5E78-4C51-BB80-EC935DD3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83CE1-DE66-412B-B2CF-D4E78C7B5543}">
  <ds:schemaRefs>
    <ds:schemaRef ds:uri="http://schemas.microsoft.com/sharepoint/v3/contenttype/forms"/>
  </ds:schemaRefs>
</ds:datastoreItem>
</file>

<file path=customXml/itemProps4.xml><?xml version="1.0" encoding="utf-8"?>
<ds:datastoreItem xmlns:ds="http://schemas.openxmlformats.org/officeDocument/2006/customXml" ds:itemID="{FED98ADB-B3F6-44A7-BC5C-336111345558}">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s>
</ds:datastoreItem>
</file>

<file path=customXml/itemProps5.xml><?xml version="1.0" encoding="utf-8"?>
<ds:datastoreItem xmlns:ds="http://schemas.openxmlformats.org/officeDocument/2006/customXml" ds:itemID="{E1638BD9-9682-4C91-8412-752F80DA9C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GEC Letterhead</Template>
  <TotalTime>61</TotalTime>
  <Pages>107</Pages>
  <Words>37150</Words>
  <Characters>211454</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248108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Bruce Graham</dc:creator>
  <cp:keywords/>
  <cp:lastModifiedBy>Daisy Smith</cp:lastModifiedBy>
  <cp:revision>3</cp:revision>
  <cp:lastPrinted>2022-08-28T21:33:00Z</cp:lastPrinted>
  <dcterms:created xsi:type="dcterms:W3CDTF">2022-08-28T21:35:00Z</dcterms:created>
  <dcterms:modified xsi:type="dcterms:W3CDTF">2022-08-30T05:19:00Z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0x010100EA5FB0BEBF7DE54D9F252D8A06C053F7</vt:lpwstr>
  </property>
  <property fmtid="{D5CDD505-2E9C-101B-9397-08002B2CF9AE}" pid="4" name="_dlc_DocIdItemGuid">
    <vt:lpwstr>dd2e311b-3cad-48d0-addd-a399811f63f3</vt:lpwstr>
  </property>
  <property fmtid="{D5CDD505-2E9C-101B-9397-08002B2CF9AE}" pid="5" name="MSIP_Label_52dda6cc-d61d-4fd2-bf18-9b3017d931cc_Enabled">
    <vt:lpwstr>true</vt:lpwstr>
  </property>
  <property fmtid="{D5CDD505-2E9C-101B-9397-08002B2CF9AE}" pid="6" name="MSIP_Label_52dda6cc-d61d-4fd2-bf18-9b3017d931cc_SetDate">
    <vt:lpwstr>2022-08-17T02:54:08Z</vt:lpwstr>
  </property>
  <property fmtid="{D5CDD505-2E9C-101B-9397-08002B2CF9AE}" pid="7" name="MSIP_Label_52dda6cc-d61d-4fd2-bf18-9b3017d931cc_Method">
    <vt:lpwstr>Privileged</vt:lpwstr>
  </property>
  <property fmtid="{D5CDD505-2E9C-101B-9397-08002B2CF9AE}" pid="8" name="MSIP_Label_52dda6cc-d61d-4fd2-bf18-9b3017d931cc_Name">
    <vt:lpwstr>[UNCLASSIFIED]</vt:lpwstr>
  </property>
  <property fmtid="{D5CDD505-2E9C-101B-9397-08002B2CF9AE}" pid="9" name="MSIP_Label_52dda6cc-d61d-4fd2-bf18-9b3017d931cc_SiteId">
    <vt:lpwstr>761dd003-d4ff-4049-8a72-8549b20fcbb1</vt:lpwstr>
  </property>
  <property fmtid="{D5CDD505-2E9C-101B-9397-08002B2CF9AE}" pid="10" name="MSIP_Label_52dda6cc-d61d-4fd2-bf18-9b3017d931cc_ActionId">
    <vt:lpwstr>ae7a6d77-240c-40ed-9a76-7052f522adda</vt:lpwstr>
  </property>
  <property fmtid="{D5CDD505-2E9C-101B-9397-08002B2CF9AE}" pid="11" name="MSIP_Label_52dda6cc-d61d-4fd2-bf18-9b3017d931cc_ContentBits">
    <vt:lpwstr>0</vt:lpwstr>
  </property>
  <property fmtid="{D5CDD505-2E9C-101B-9397-08002B2CF9AE}" pid="12" name="MediaServiceImageTags">
    <vt:lpwstr/>
  </property>
</Properties>
</file>