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C30" w:rsidRPr="00EA22F8" w:rsidRDefault="00035C30" w:rsidP="00035C30">
      <w:pPr>
        <w:tabs>
          <w:tab w:val="left" w:pos="3780"/>
        </w:tabs>
        <w:spacing w:before="240" w:after="360"/>
        <w:jc w:val="right"/>
        <w:rPr>
          <w:rFonts w:ascii="Arial" w:hAnsi="Arial" w:cs="Arial"/>
          <w:b/>
          <w:szCs w:val="20"/>
        </w:rPr>
      </w:pPr>
      <w:r w:rsidRPr="00C26734">
        <w:rPr>
          <w:rFonts w:ascii="Arial" w:hAnsi="Arial" w:cs="Arial"/>
          <w:szCs w:val="20"/>
        </w:rPr>
        <w:t>In Confidence</w:t>
      </w:r>
    </w:p>
    <w:p w:rsidR="00035C30" w:rsidRPr="00DC08D3" w:rsidRDefault="00035C30" w:rsidP="00035C30">
      <w:pPr>
        <w:tabs>
          <w:tab w:val="left" w:pos="3780"/>
        </w:tabs>
        <w:spacing w:before="120" w:after="120"/>
        <w:jc w:val="right"/>
        <w:rPr>
          <w:rFonts w:ascii="Arial" w:hAnsi="Arial" w:cs="Arial"/>
          <w:b/>
          <w:szCs w:val="20"/>
          <w:highlight w:val="yellow"/>
        </w:rPr>
      </w:pPr>
    </w:p>
    <w:p w:rsidR="00035C30" w:rsidRDefault="00035C30" w:rsidP="00035C30">
      <w:pPr>
        <w:tabs>
          <w:tab w:val="left" w:pos="3780"/>
        </w:tabs>
        <w:spacing w:before="120" w:after="120"/>
        <w:jc w:val="right"/>
        <w:rPr>
          <w:rFonts w:ascii="Arial" w:hAnsi="Arial" w:cs="Arial"/>
          <w:b/>
          <w:szCs w:val="20"/>
        </w:rPr>
      </w:pPr>
      <w:r w:rsidRPr="00DC08D3">
        <w:rPr>
          <w:rFonts w:ascii="Arial" w:hAnsi="Arial" w:cs="Arial"/>
          <w:b/>
          <w:szCs w:val="20"/>
        </w:rPr>
        <w:t xml:space="preserve">Office of the Minister </w:t>
      </w:r>
      <w:r w:rsidRPr="00DC08D3">
        <w:rPr>
          <w:rFonts w:ascii="Arial" w:hAnsi="Arial" w:cs="Arial"/>
          <w:b/>
          <w:szCs w:val="20"/>
        </w:rPr>
        <w:fldChar w:fldCharType="begin"/>
      </w:r>
      <w:r w:rsidRPr="00DC08D3">
        <w:rPr>
          <w:rFonts w:ascii="Arial" w:hAnsi="Arial" w:cs="Arial"/>
          <w:b/>
          <w:szCs w:val="20"/>
        </w:rPr>
        <w:instrText xml:space="preserve"> MACROBUTTON  AcceptAllChangesInDoc for the Environment</w:instrText>
      </w:r>
      <w:r w:rsidRPr="00DC08D3">
        <w:rPr>
          <w:rFonts w:ascii="Arial" w:hAnsi="Arial" w:cs="Arial"/>
          <w:b/>
          <w:szCs w:val="20"/>
        </w:rPr>
        <w:fldChar w:fldCharType="end"/>
      </w:r>
    </w:p>
    <w:p w:rsidR="00035C30" w:rsidRPr="00EA22F8" w:rsidRDefault="00035C30" w:rsidP="00035C30">
      <w:pPr>
        <w:tabs>
          <w:tab w:val="left" w:pos="3780"/>
        </w:tabs>
        <w:spacing w:before="120" w:after="120"/>
        <w:jc w:val="right"/>
        <w:rPr>
          <w:rFonts w:ascii="Arial" w:hAnsi="Arial" w:cs="Arial"/>
          <w:b/>
          <w:szCs w:val="20"/>
        </w:rPr>
      </w:pPr>
    </w:p>
    <w:p w:rsidR="00035C30" w:rsidRPr="00EA22F8" w:rsidRDefault="00035C30" w:rsidP="00035C30">
      <w:pPr>
        <w:tabs>
          <w:tab w:val="left" w:pos="3780"/>
        </w:tabs>
        <w:spacing w:before="120" w:after="120"/>
        <w:jc w:val="left"/>
        <w:rPr>
          <w:rFonts w:ascii="Arial" w:hAnsi="Arial" w:cs="Arial"/>
          <w:b/>
          <w:szCs w:val="20"/>
        </w:rPr>
      </w:pPr>
      <w:r w:rsidRPr="00EA22F8">
        <w:rPr>
          <w:rFonts w:ascii="Arial" w:hAnsi="Arial" w:cs="Arial"/>
          <w:b/>
          <w:szCs w:val="20"/>
        </w:rPr>
        <w:t>Chair</w:t>
      </w:r>
    </w:p>
    <w:p w:rsidR="00035C30" w:rsidRPr="00EA22F8" w:rsidRDefault="00035C30" w:rsidP="00035C30">
      <w:pPr>
        <w:tabs>
          <w:tab w:val="left" w:pos="3780"/>
        </w:tabs>
        <w:spacing w:before="240" w:after="360"/>
        <w:jc w:val="left"/>
        <w:rPr>
          <w:rFonts w:ascii="Arial" w:hAnsi="Arial" w:cs="Arial"/>
          <w:b/>
          <w:szCs w:val="20"/>
        </w:rPr>
      </w:pPr>
      <w:r>
        <w:rPr>
          <w:rFonts w:ascii="Arial" w:hAnsi="Arial" w:cs="Arial"/>
          <w:b/>
          <w:szCs w:val="20"/>
        </w:rPr>
        <w:t xml:space="preserve">Cabinet Legislation </w:t>
      </w:r>
      <w:r w:rsidRPr="00EA22F8">
        <w:rPr>
          <w:rFonts w:ascii="Arial" w:hAnsi="Arial" w:cs="Arial"/>
          <w:b/>
          <w:szCs w:val="20"/>
        </w:rPr>
        <w:t>Committee</w:t>
      </w:r>
    </w:p>
    <w:p w:rsidR="00035C30" w:rsidRPr="0093024A" w:rsidRDefault="00035C30" w:rsidP="00035C30">
      <w:pPr>
        <w:pStyle w:val="Heading1"/>
        <w:jc w:val="left"/>
        <w:rPr>
          <w:b w:val="0"/>
          <w:bCs w:val="0"/>
        </w:rPr>
      </w:pPr>
      <w:r w:rsidRPr="0093024A">
        <w:t>Resource Management (Exemption) Regulations 2017 – Pest Control</w:t>
      </w:r>
    </w:p>
    <w:p w:rsidR="00843D17" w:rsidRDefault="00843D17" w:rsidP="00035C30">
      <w:pPr>
        <w:pStyle w:val="Heading1"/>
        <w:spacing w:before="360" w:after="120"/>
        <w:jc w:val="left"/>
      </w:pPr>
    </w:p>
    <w:p w:rsidR="00035C30" w:rsidRPr="00EA22F8" w:rsidRDefault="00035C30" w:rsidP="00035C30">
      <w:pPr>
        <w:pStyle w:val="Heading1"/>
        <w:spacing w:before="360" w:after="120"/>
        <w:jc w:val="left"/>
      </w:pPr>
      <w:r w:rsidRPr="00EA22F8">
        <w:t>Proposal</w:t>
      </w:r>
    </w:p>
    <w:p w:rsidR="00035C30" w:rsidRDefault="00035C30" w:rsidP="00035C30">
      <w:pPr>
        <w:pStyle w:val="Paragraphbody"/>
        <w:numPr>
          <w:ilvl w:val="0"/>
          <w:numId w:val="1"/>
        </w:numPr>
        <w:jc w:val="left"/>
        <w:rPr>
          <w:rFonts w:ascii="Arial" w:hAnsi="Arial"/>
          <w:sz w:val="22"/>
        </w:rPr>
      </w:pPr>
      <w:bookmarkStart w:id="0" w:name="_GoBack"/>
      <w:r w:rsidRPr="002B708A">
        <w:rPr>
          <w:rFonts w:ascii="Arial" w:hAnsi="Arial"/>
          <w:sz w:val="22"/>
        </w:rPr>
        <w:t>This paper recommends that the Committee authorise submission to the Executive Council</w:t>
      </w:r>
      <w:r w:rsidR="00D02728">
        <w:rPr>
          <w:rFonts w:ascii="Arial" w:hAnsi="Arial"/>
          <w:sz w:val="22"/>
        </w:rPr>
        <w:t xml:space="preserve"> of</w:t>
      </w:r>
      <w:r w:rsidRPr="002B708A">
        <w:rPr>
          <w:rFonts w:ascii="Arial" w:hAnsi="Arial"/>
          <w:sz w:val="22"/>
        </w:rPr>
        <w:t xml:space="preserve"> the </w:t>
      </w:r>
      <w:r w:rsidRPr="003A0B82">
        <w:rPr>
          <w:rFonts w:ascii="Arial" w:hAnsi="Arial"/>
          <w:i/>
          <w:sz w:val="22"/>
        </w:rPr>
        <w:t>Resource Management (Exemptio</w:t>
      </w:r>
      <w:r w:rsidR="00537B2B">
        <w:rPr>
          <w:rFonts w:ascii="Arial" w:hAnsi="Arial"/>
          <w:i/>
          <w:sz w:val="22"/>
        </w:rPr>
        <w:t xml:space="preserve">n) Regulations </w:t>
      </w:r>
      <w:r w:rsidRPr="003A0B82">
        <w:rPr>
          <w:rFonts w:ascii="Arial" w:hAnsi="Arial"/>
          <w:i/>
          <w:sz w:val="22"/>
        </w:rPr>
        <w:t>2017</w:t>
      </w:r>
      <w:r w:rsidRPr="002B708A">
        <w:rPr>
          <w:rFonts w:ascii="Arial" w:hAnsi="Arial"/>
          <w:sz w:val="22"/>
        </w:rPr>
        <w:t xml:space="preserve">, made under section 360(1)(h) of the Resource Management Act (RMA). </w:t>
      </w:r>
    </w:p>
    <w:bookmarkEnd w:id="0"/>
    <w:p w:rsidR="00035C30" w:rsidRDefault="00035C30" w:rsidP="00035C30"/>
    <w:p w:rsidR="00035C30" w:rsidRPr="00EA22F8" w:rsidRDefault="00035C30" w:rsidP="00035C30">
      <w:pPr>
        <w:pStyle w:val="Heading1"/>
        <w:spacing w:before="360" w:after="120"/>
        <w:jc w:val="left"/>
      </w:pPr>
      <w:r w:rsidRPr="00AA258B">
        <w:t>Background</w:t>
      </w:r>
      <w:r>
        <w:t xml:space="preserve"> </w:t>
      </w:r>
    </w:p>
    <w:p w:rsidR="00B842C0" w:rsidRDefault="00B842C0" w:rsidP="00035C30">
      <w:pPr>
        <w:pStyle w:val="Paragraphbody"/>
        <w:numPr>
          <w:ilvl w:val="0"/>
          <w:numId w:val="1"/>
        </w:numPr>
        <w:jc w:val="left"/>
        <w:rPr>
          <w:rFonts w:ascii="Arial" w:hAnsi="Arial" w:cs="Arial"/>
          <w:sz w:val="22"/>
        </w:rPr>
      </w:pPr>
      <w:r>
        <w:rPr>
          <w:rFonts w:ascii="Arial" w:hAnsi="Arial" w:cs="Arial"/>
          <w:sz w:val="22"/>
        </w:rPr>
        <w:t>The pest control policy aims to simplify and streamline the regulatory regime for certain vertebrate toxic agents (</w:t>
      </w:r>
      <w:r w:rsidRPr="003E28DC">
        <w:rPr>
          <w:rFonts w:ascii="Arial" w:hAnsi="Arial" w:cs="Arial"/>
          <w:sz w:val="22"/>
        </w:rPr>
        <w:t>VTAs</w:t>
      </w:r>
      <w:r>
        <w:rPr>
          <w:rFonts w:ascii="Arial" w:hAnsi="Arial" w:cs="Arial"/>
          <w:sz w:val="22"/>
        </w:rPr>
        <w:t>) in New Zealand.</w:t>
      </w:r>
      <w:r w:rsidR="00D01BBA">
        <w:rPr>
          <w:rFonts w:ascii="Arial" w:hAnsi="Arial" w:cs="Arial"/>
          <w:sz w:val="22"/>
        </w:rPr>
        <w:t xml:space="preserve"> Regulation of certain VTAs under section 15 of the RMA has been found to duplicate the controls present under other legislation, notably </w:t>
      </w:r>
      <w:r w:rsidR="00D01BBA" w:rsidRPr="003B04B4">
        <w:rPr>
          <w:rFonts w:ascii="Arial" w:hAnsi="Arial" w:cs="Arial"/>
          <w:sz w:val="22"/>
        </w:rPr>
        <w:t xml:space="preserve">the </w:t>
      </w:r>
      <w:r w:rsidR="00D01BBA" w:rsidRPr="003B04B4">
        <w:rPr>
          <w:rFonts w:ascii="Arial" w:hAnsi="Arial" w:cs="Arial"/>
          <w:sz w:val="22"/>
          <w:bdr w:val="none" w:sz="0" w:space="0" w:color="auto" w:frame="1"/>
        </w:rPr>
        <w:t>Hazardous Substances and New Organisms Act 1996</w:t>
      </w:r>
      <w:r w:rsidR="0046490C">
        <w:rPr>
          <w:rFonts w:ascii="Arial" w:hAnsi="Arial" w:cs="Arial"/>
          <w:sz w:val="22"/>
          <w:bdr w:val="none" w:sz="0" w:space="0" w:color="auto" w:frame="1"/>
        </w:rPr>
        <w:t xml:space="preserve"> </w:t>
      </w:r>
      <w:r w:rsidR="00D01BBA" w:rsidRPr="003B04B4">
        <w:rPr>
          <w:rFonts w:ascii="Arial" w:hAnsi="Arial" w:cs="Arial"/>
          <w:sz w:val="22"/>
          <w:bdr w:val="none" w:sz="0" w:space="0" w:color="auto" w:frame="1"/>
        </w:rPr>
        <w:t>and the Agricultural Compounds and Veterinary Medicines Act 1997</w:t>
      </w:r>
      <w:r w:rsidR="00D01BBA">
        <w:rPr>
          <w:rFonts w:ascii="Arial" w:hAnsi="Arial" w:cs="Arial"/>
          <w:sz w:val="22"/>
          <w:bdr w:val="none" w:sz="0" w:space="0" w:color="auto" w:frame="1"/>
        </w:rPr>
        <w:t>.</w:t>
      </w:r>
    </w:p>
    <w:p w:rsidR="00A64B7E" w:rsidRDefault="00440AE8" w:rsidP="00035C30">
      <w:pPr>
        <w:pStyle w:val="Paragraphbody"/>
        <w:numPr>
          <w:ilvl w:val="0"/>
          <w:numId w:val="1"/>
        </w:numPr>
        <w:jc w:val="left"/>
        <w:rPr>
          <w:rFonts w:ascii="Arial" w:hAnsi="Arial" w:cs="Arial"/>
          <w:sz w:val="22"/>
        </w:rPr>
      </w:pPr>
      <w:r>
        <w:rPr>
          <w:rFonts w:ascii="Arial" w:hAnsi="Arial" w:cs="Arial"/>
          <w:sz w:val="22"/>
        </w:rPr>
        <w:t xml:space="preserve">A </w:t>
      </w:r>
      <w:r w:rsidR="00035C30" w:rsidRPr="00DE7D62">
        <w:rPr>
          <w:rFonts w:ascii="Arial" w:hAnsi="Arial" w:cs="Arial"/>
          <w:sz w:val="22"/>
        </w:rPr>
        <w:t>Parliamentary Commissioner for the Enviro</w:t>
      </w:r>
      <w:r>
        <w:rPr>
          <w:rFonts w:ascii="Arial" w:hAnsi="Arial" w:cs="Arial"/>
          <w:sz w:val="22"/>
        </w:rPr>
        <w:t>nment report of 2011</w:t>
      </w:r>
      <w:r w:rsidR="00C42167">
        <w:rPr>
          <w:rFonts w:ascii="Arial" w:hAnsi="Arial" w:cs="Arial"/>
          <w:sz w:val="22"/>
        </w:rPr>
        <w:t xml:space="preserve"> </w:t>
      </w:r>
      <w:r w:rsidR="00035C30">
        <w:rPr>
          <w:rFonts w:ascii="Arial" w:hAnsi="Arial" w:cs="Arial"/>
          <w:sz w:val="22"/>
        </w:rPr>
        <w:t xml:space="preserve">found that regulations controlling </w:t>
      </w:r>
      <w:r>
        <w:rPr>
          <w:rFonts w:ascii="Arial" w:hAnsi="Arial" w:cs="Arial"/>
          <w:sz w:val="22"/>
        </w:rPr>
        <w:t xml:space="preserve">the </w:t>
      </w:r>
      <w:r w:rsidR="00017C27">
        <w:rPr>
          <w:rFonts w:ascii="Arial" w:hAnsi="Arial" w:cs="Arial"/>
          <w:sz w:val="22"/>
        </w:rPr>
        <w:t>use of</w:t>
      </w:r>
      <w:r w:rsidR="00035C30" w:rsidRPr="00DE7D62">
        <w:rPr>
          <w:rFonts w:ascii="Arial" w:hAnsi="Arial" w:cs="Arial"/>
          <w:sz w:val="22"/>
        </w:rPr>
        <w:t xml:space="preserve"> </w:t>
      </w:r>
      <w:r w:rsidR="00035C30" w:rsidRPr="00C91D80">
        <w:rPr>
          <w:rFonts w:ascii="Arial" w:hAnsi="Arial" w:cs="Arial"/>
          <w:sz w:val="22"/>
        </w:rPr>
        <w:t>sodium fluoroacetate</w:t>
      </w:r>
      <w:r w:rsidR="00035C30">
        <w:rPr>
          <w:rFonts w:ascii="Arial" w:hAnsi="Arial" w:cs="Arial"/>
          <w:sz w:val="22"/>
        </w:rPr>
        <w:t xml:space="preserve"> (known in pesticide form as ‘</w:t>
      </w:r>
      <w:r w:rsidR="00035C30" w:rsidRPr="00DE7D62">
        <w:rPr>
          <w:rFonts w:ascii="Arial" w:hAnsi="Arial" w:cs="Arial"/>
          <w:sz w:val="22"/>
        </w:rPr>
        <w:t>1080</w:t>
      </w:r>
      <w:r w:rsidR="00035C30">
        <w:rPr>
          <w:rFonts w:ascii="Arial" w:hAnsi="Arial" w:cs="Arial"/>
          <w:sz w:val="22"/>
        </w:rPr>
        <w:t>’)</w:t>
      </w:r>
      <w:r w:rsidR="00035C30" w:rsidRPr="00DE7D62">
        <w:rPr>
          <w:rFonts w:ascii="Arial" w:hAnsi="Arial" w:cs="Arial"/>
          <w:sz w:val="22"/>
        </w:rPr>
        <w:t xml:space="preserve"> were overly complex</w:t>
      </w:r>
      <w:r w:rsidR="00931EB3">
        <w:rPr>
          <w:rFonts w:ascii="Arial" w:hAnsi="Arial" w:cs="Arial"/>
          <w:sz w:val="22"/>
        </w:rPr>
        <w:t xml:space="preserve"> and duplicative</w:t>
      </w:r>
      <w:r w:rsidR="00035C30" w:rsidRPr="00DE7D62">
        <w:rPr>
          <w:rFonts w:ascii="Arial" w:hAnsi="Arial" w:cs="Arial"/>
          <w:sz w:val="22"/>
        </w:rPr>
        <w:t xml:space="preserve">. </w:t>
      </w:r>
      <w:r w:rsidR="00035C30" w:rsidRPr="00EF2636">
        <w:rPr>
          <w:rFonts w:ascii="Arial" w:hAnsi="Arial" w:cs="Arial"/>
          <w:sz w:val="22"/>
        </w:rPr>
        <w:t xml:space="preserve">Officials’ </w:t>
      </w:r>
      <w:r>
        <w:rPr>
          <w:rFonts w:ascii="Arial" w:hAnsi="Arial" w:cs="Arial"/>
          <w:sz w:val="22"/>
        </w:rPr>
        <w:t xml:space="preserve">subsequent </w:t>
      </w:r>
      <w:r w:rsidR="001728D5">
        <w:rPr>
          <w:rFonts w:ascii="Arial" w:hAnsi="Arial" w:cs="Arial"/>
          <w:sz w:val="22"/>
        </w:rPr>
        <w:t xml:space="preserve">analysis </w:t>
      </w:r>
      <w:r w:rsidR="00035C30" w:rsidRPr="00EF2636">
        <w:rPr>
          <w:rFonts w:ascii="Arial" w:hAnsi="Arial" w:cs="Arial"/>
          <w:sz w:val="22"/>
        </w:rPr>
        <w:t>concluded that</w:t>
      </w:r>
      <w:r w:rsidR="00035C30">
        <w:rPr>
          <w:rFonts w:ascii="Arial" w:hAnsi="Arial" w:cs="Arial"/>
          <w:sz w:val="22"/>
        </w:rPr>
        <w:t xml:space="preserve"> </w:t>
      </w:r>
      <w:r w:rsidR="00931EB3">
        <w:rPr>
          <w:rFonts w:ascii="Arial" w:hAnsi="Arial" w:cs="Arial"/>
          <w:sz w:val="22"/>
        </w:rPr>
        <w:t xml:space="preserve">RMA </w:t>
      </w:r>
      <w:r w:rsidR="00035C30" w:rsidRPr="00EF2636">
        <w:rPr>
          <w:rFonts w:ascii="Arial" w:hAnsi="Arial" w:cs="Arial"/>
          <w:sz w:val="22"/>
        </w:rPr>
        <w:t xml:space="preserve">regulation of </w:t>
      </w:r>
      <w:r>
        <w:rPr>
          <w:rFonts w:ascii="Arial" w:hAnsi="Arial" w:cs="Arial"/>
          <w:sz w:val="22"/>
        </w:rPr>
        <w:t>two other vertebrate toxic agents (</w:t>
      </w:r>
      <w:r w:rsidR="00035C30" w:rsidRPr="003E28DC">
        <w:rPr>
          <w:rFonts w:ascii="Arial" w:hAnsi="Arial" w:cs="Arial"/>
          <w:sz w:val="22"/>
        </w:rPr>
        <w:t>VTAs</w:t>
      </w:r>
      <w:r>
        <w:rPr>
          <w:rFonts w:ascii="Arial" w:hAnsi="Arial" w:cs="Arial"/>
          <w:sz w:val="22"/>
        </w:rPr>
        <w:t>)</w:t>
      </w:r>
      <w:r w:rsidR="00A64B7E">
        <w:rPr>
          <w:rFonts w:ascii="Arial" w:hAnsi="Arial" w:cs="Arial"/>
          <w:sz w:val="22"/>
        </w:rPr>
        <w:t xml:space="preserve"> - brodifacoum and rotenone –</w:t>
      </w:r>
      <w:r w:rsidR="00931EB3">
        <w:rPr>
          <w:rFonts w:ascii="Arial" w:hAnsi="Arial" w:cs="Arial"/>
          <w:sz w:val="22"/>
        </w:rPr>
        <w:t xml:space="preserve"> does not </w:t>
      </w:r>
      <w:r w:rsidR="00931EB3" w:rsidRPr="003B04B4">
        <w:rPr>
          <w:rFonts w:ascii="Arial" w:hAnsi="Arial" w:cs="Arial"/>
          <w:sz w:val="22"/>
        </w:rPr>
        <w:t xml:space="preserve">provide additional protection to human health </w:t>
      </w:r>
      <w:r w:rsidR="00931EB3">
        <w:rPr>
          <w:rFonts w:ascii="Arial" w:hAnsi="Arial" w:cs="Arial"/>
          <w:sz w:val="22"/>
        </w:rPr>
        <w:t>n</w:t>
      </w:r>
      <w:r w:rsidR="00931EB3" w:rsidRPr="003B04B4">
        <w:rPr>
          <w:rFonts w:ascii="Arial" w:hAnsi="Arial" w:cs="Arial"/>
          <w:sz w:val="22"/>
        </w:rPr>
        <w:t>or the environment</w:t>
      </w:r>
      <w:r w:rsidR="00931EB3">
        <w:rPr>
          <w:rFonts w:ascii="Arial" w:hAnsi="Arial" w:cs="Arial"/>
          <w:sz w:val="22"/>
        </w:rPr>
        <w:t>, beyond that already provided through other legislation.</w:t>
      </w:r>
    </w:p>
    <w:p w:rsidR="00035C30" w:rsidRPr="001C1F8E" w:rsidRDefault="00035C30" w:rsidP="00035C30">
      <w:pPr>
        <w:numPr>
          <w:ilvl w:val="0"/>
          <w:numId w:val="1"/>
        </w:numPr>
        <w:rPr>
          <w:rFonts w:ascii="Arial" w:hAnsi="Arial" w:cs="Arial"/>
          <w:sz w:val="22"/>
        </w:rPr>
      </w:pPr>
      <w:r w:rsidRPr="000D41C5">
        <w:rPr>
          <w:rFonts w:ascii="Arial" w:hAnsi="Arial" w:cs="Arial"/>
          <w:sz w:val="22"/>
        </w:rPr>
        <w:t>Public consultation</w:t>
      </w:r>
      <w:r>
        <w:rPr>
          <w:rFonts w:ascii="Arial" w:hAnsi="Arial" w:cs="Arial"/>
          <w:sz w:val="22"/>
        </w:rPr>
        <w:t xml:space="preserve"> on a proposal</w:t>
      </w:r>
      <w:r w:rsidR="00BC124D">
        <w:rPr>
          <w:rFonts w:ascii="Arial" w:hAnsi="Arial" w:cs="Arial"/>
          <w:sz w:val="22"/>
        </w:rPr>
        <w:t xml:space="preserve"> to remove the </w:t>
      </w:r>
      <w:r w:rsidRPr="000D41C5">
        <w:rPr>
          <w:rFonts w:ascii="Arial" w:hAnsi="Arial" w:cs="Arial"/>
          <w:sz w:val="22"/>
        </w:rPr>
        <w:t>duplication</w:t>
      </w:r>
      <w:r w:rsidR="007B282B">
        <w:rPr>
          <w:rFonts w:ascii="Arial" w:hAnsi="Arial" w:cs="Arial"/>
          <w:sz w:val="22"/>
        </w:rPr>
        <w:t xml:space="preserve"> observed for these three VTAs</w:t>
      </w:r>
      <w:r w:rsidRPr="000D41C5">
        <w:rPr>
          <w:rFonts w:ascii="Arial" w:hAnsi="Arial" w:cs="Arial"/>
          <w:sz w:val="22"/>
        </w:rPr>
        <w:t xml:space="preserve"> was carried out in April-May </w:t>
      </w:r>
      <w:r>
        <w:rPr>
          <w:rFonts w:ascii="Arial" w:hAnsi="Arial" w:cs="Arial"/>
          <w:sz w:val="22"/>
        </w:rPr>
        <w:t>2016. The majority of respondents</w:t>
      </w:r>
      <w:r w:rsidRPr="000D41C5">
        <w:rPr>
          <w:rFonts w:ascii="Arial" w:hAnsi="Arial" w:cs="Arial"/>
          <w:sz w:val="22"/>
        </w:rPr>
        <w:t xml:space="preserve"> supported the proposal. </w:t>
      </w:r>
    </w:p>
    <w:p w:rsidR="00035C30" w:rsidRDefault="00035C30" w:rsidP="00035C30">
      <w:pPr>
        <w:pStyle w:val="Paragraphbody"/>
        <w:numPr>
          <w:ilvl w:val="0"/>
          <w:numId w:val="1"/>
        </w:numPr>
        <w:jc w:val="left"/>
        <w:rPr>
          <w:rFonts w:ascii="Arial" w:hAnsi="Arial" w:cs="Arial"/>
          <w:sz w:val="22"/>
        </w:rPr>
      </w:pPr>
      <w:r>
        <w:rPr>
          <w:rFonts w:ascii="Arial" w:hAnsi="Arial" w:cs="Arial"/>
          <w:sz w:val="22"/>
        </w:rPr>
        <w:t>Subsequently on 24 August 2016, the C</w:t>
      </w:r>
      <w:r w:rsidRPr="00575028">
        <w:rPr>
          <w:rFonts w:ascii="Arial" w:hAnsi="Arial" w:cs="Arial"/>
          <w:sz w:val="22"/>
        </w:rPr>
        <w:t>abinet Economic Growth and Infrastructure Committee</w:t>
      </w:r>
      <w:r w:rsidR="00E023F6">
        <w:rPr>
          <w:rFonts w:ascii="Arial" w:hAnsi="Arial" w:cs="Arial"/>
          <w:sz w:val="22"/>
        </w:rPr>
        <w:t xml:space="preserve"> [</w:t>
      </w:r>
      <w:r w:rsidRPr="00FB1C19">
        <w:rPr>
          <w:rFonts w:ascii="Arial" w:hAnsi="Arial" w:cs="Arial"/>
          <w:sz w:val="22"/>
        </w:rPr>
        <w:t>EGI-16-MIN-0211 refers</w:t>
      </w:r>
      <w:r w:rsidR="00E023F6">
        <w:rPr>
          <w:rFonts w:ascii="Arial" w:hAnsi="Arial" w:cs="Arial"/>
          <w:sz w:val="22"/>
        </w:rPr>
        <w:t>]</w:t>
      </w:r>
      <w:r>
        <w:rPr>
          <w:rFonts w:ascii="Arial" w:hAnsi="Arial" w:cs="Arial"/>
          <w:sz w:val="22"/>
        </w:rPr>
        <w:t>:</w:t>
      </w:r>
    </w:p>
    <w:p w:rsidR="00035C30" w:rsidRDefault="00035C30" w:rsidP="00035C30">
      <w:pPr>
        <w:pStyle w:val="Paragraphbody"/>
        <w:numPr>
          <w:ilvl w:val="1"/>
          <w:numId w:val="1"/>
        </w:numPr>
        <w:jc w:val="left"/>
        <w:rPr>
          <w:rFonts w:ascii="Arial" w:hAnsi="Arial" w:cs="Arial"/>
          <w:sz w:val="22"/>
        </w:rPr>
      </w:pPr>
      <w:r>
        <w:rPr>
          <w:rFonts w:ascii="Arial" w:hAnsi="Arial" w:cs="Arial"/>
          <w:sz w:val="22"/>
        </w:rPr>
        <w:t xml:space="preserve">agreed that regulations under section 360(1)(h) of the RMA should be developed to exempt certain VTAs (and other substances used as pre-feed or as repellent in association with VTAs) from being regulated under section 15 of the RMA; </w:t>
      </w:r>
    </w:p>
    <w:p w:rsidR="00035C30" w:rsidRPr="001C1F8E" w:rsidRDefault="00035C30" w:rsidP="00035C30">
      <w:pPr>
        <w:pStyle w:val="Paragraphbody"/>
        <w:numPr>
          <w:ilvl w:val="1"/>
          <w:numId w:val="1"/>
        </w:numPr>
        <w:jc w:val="left"/>
        <w:rPr>
          <w:rFonts w:ascii="Arial" w:hAnsi="Arial" w:cs="Arial"/>
          <w:sz w:val="22"/>
        </w:rPr>
      </w:pPr>
      <w:r w:rsidRPr="001C1F8E">
        <w:rPr>
          <w:rFonts w:ascii="Arial" w:hAnsi="Arial" w:cs="Arial"/>
          <w:sz w:val="22"/>
        </w:rPr>
        <w:t>authorised the issuing of drafting instructions to the Parliamentary Counsel Office (PCO)</w:t>
      </w:r>
      <w:r>
        <w:rPr>
          <w:rFonts w:ascii="Arial" w:hAnsi="Arial" w:cs="Arial"/>
          <w:sz w:val="22"/>
        </w:rPr>
        <w:t>; and</w:t>
      </w:r>
    </w:p>
    <w:p w:rsidR="00035C30" w:rsidRPr="004C219C" w:rsidRDefault="00035C30" w:rsidP="00035C30">
      <w:pPr>
        <w:pStyle w:val="Paragraphbody"/>
        <w:numPr>
          <w:ilvl w:val="1"/>
          <w:numId w:val="1"/>
        </w:numPr>
        <w:jc w:val="left"/>
        <w:rPr>
          <w:rFonts w:ascii="Arial" w:hAnsi="Arial" w:cs="Arial"/>
          <w:sz w:val="22"/>
        </w:rPr>
      </w:pPr>
      <w:r w:rsidRPr="001C1F8E">
        <w:rPr>
          <w:rFonts w:ascii="Arial" w:hAnsi="Arial" w:cs="Arial"/>
          <w:sz w:val="22"/>
        </w:rPr>
        <w:t xml:space="preserve">agreed that an exposure draft of the regulations </w:t>
      </w:r>
      <w:r>
        <w:rPr>
          <w:rFonts w:ascii="Arial" w:hAnsi="Arial" w:cs="Arial"/>
          <w:sz w:val="22"/>
        </w:rPr>
        <w:t xml:space="preserve">could be shared </w:t>
      </w:r>
      <w:r w:rsidRPr="001C1F8E">
        <w:rPr>
          <w:rFonts w:ascii="Arial" w:hAnsi="Arial" w:cs="Arial"/>
          <w:sz w:val="22"/>
        </w:rPr>
        <w:t>with central government agencies, TB Free NZ, local authorities</w:t>
      </w:r>
      <w:r w:rsidR="00913E8F">
        <w:rPr>
          <w:rFonts w:ascii="Arial" w:hAnsi="Arial" w:cs="Arial"/>
          <w:sz w:val="22"/>
        </w:rPr>
        <w:t>,</w:t>
      </w:r>
      <w:r w:rsidRPr="001C1F8E">
        <w:rPr>
          <w:rFonts w:ascii="Arial" w:hAnsi="Arial" w:cs="Arial"/>
          <w:sz w:val="22"/>
        </w:rPr>
        <w:t xml:space="preserve"> and any other non-Crown agency that the Minister for the Environment considers should be consulted</w:t>
      </w:r>
      <w:r w:rsidRPr="001C1F8E">
        <w:rPr>
          <w:rFonts w:ascii="TimesNewRomanPSMT" w:hAnsi="TimesNewRomanPSMT" w:cs="TimesNewRomanPSMT"/>
          <w:lang w:eastAsia="en-NZ"/>
        </w:rPr>
        <w:t>.</w:t>
      </w:r>
    </w:p>
    <w:p w:rsidR="004C219C" w:rsidRPr="001C1F8E" w:rsidRDefault="004C219C" w:rsidP="004C219C">
      <w:pPr>
        <w:pStyle w:val="Paragraphbody"/>
        <w:ind w:left="792"/>
        <w:jc w:val="left"/>
        <w:rPr>
          <w:rFonts w:ascii="Arial" w:hAnsi="Arial" w:cs="Arial"/>
          <w:sz w:val="22"/>
        </w:rPr>
      </w:pPr>
    </w:p>
    <w:p w:rsidR="00C8652D" w:rsidRPr="002475AC" w:rsidRDefault="00C8652D" w:rsidP="00C8652D">
      <w:pPr>
        <w:numPr>
          <w:ilvl w:val="0"/>
          <w:numId w:val="1"/>
        </w:numPr>
        <w:rPr>
          <w:rFonts w:ascii="Arial" w:hAnsi="Arial" w:cs="Arial"/>
          <w:sz w:val="22"/>
        </w:rPr>
      </w:pPr>
      <w:r>
        <w:rPr>
          <w:rFonts w:ascii="Arial" w:hAnsi="Arial" w:cs="Arial"/>
          <w:sz w:val="22"/>
        </w:rPr>
        <w:t xml:space="preserve">An exposure draft of the regulations was shared with select stakeholders in December 2016. There were not any matters raised that warrant substantive changes to the policy. The feedback we received has been incorporated through changes to wording of the draft regulations.  </w:t>
      </w:r>
    </w:p>
    <w:p w:rsidR="00035C30" w:rsidRDefault="00735476" w:rsidP="00035C30">
      <w:pPr>
        <w:pStyle w:val="Paragraphbody"/>
        <w:numPr>
          <w:ilvl w:val="0"/>
          <w:numId w:val="1"/>
        </w:numPr>
        <w:jc w:val="left"/>
        <w:rPr>
          <w:rFonts w:ascii="Arial" w:hAnsi="Arial" w:cs="Arial"/>
          <w:sz w:val="22"/>
        </w:rPr>
      </w:pPr>
      <w:r>
        <w:rPr>
          <w:rFonts w:ascii="Arial" w:hAnsi="Arial" w:cs="Arial"/>
          <w:sz w:val="22"/>
        </w:rPr>
        <w:t>This</w:t>
      </w:r>
      <w:r w:rsidR="00035C30" w:rsidRPr="00031B6D">
        <w:rPr>
          <w:rFonts w:ascii="Arial" w:hAnsi="Arial" w:cs="Arial"/>
          <w:sz w:val="22"/>
        </w:rPr>
        <w:t xml:space="preserve"> paper seeks the authorisat</w:t>
      </w:r>
      <w:r w:rsidR="00035C30">
        <w:rPr>
          <w:rFonts w:ascii="Arial" w:hAnsi="Arial" w:cs="Arial"/>
          <w:sz w:val="22"/>
        </w:rPr>
        <w:t xml:space="preserve">ion of the </w:t>
      </w:r>
      <w:r w:rsidR="00C8652D">
        <w:rPr>
          <w:rFonts w:ascii="Arial" w:hAnsi="Arial" w:cs="Arial"/>
          <w:sz w:val="22"/>
        </w:rPr>
        <w:t>Committee to submit the</w:t>
      </w:r>
      <w:r w:rsidR="00035C30">
        <w:rPr>
          <w:rFonts w:ascii="Arial" w:hAnsi="Arial" w:cs="Arial"/>
          <w:sz w:val="22"/>
        </w:rPr>
        <w:t xml:space="preserve"> </w:t>
      </w:r>
      <w:r w:rsidR="00757E20">
        <w:rPr>
          <w:rFonts w:ascii="Arial" w:hAnsi="Arial" w:cs="Arial"/>
          <w:sz w:val="22"/>
        </w:rPr>
        <w:t>r</w:t>
      </w:r>
      <w:r w:rsidR="00035C30" w:rsidRPr="00031B6D">
        <w:rPr>
          <w:rFonts w:ascii="Arial" w:hAnsi="Arial" w:cs="Arial"/>
          <w:sz w:val="22"/>
        </w:rPr>
        <w:t>egul</w:t>
      </w:r>
      <w:r w:rsidR="006A4361">
        <w:rPr>
          <w:rFonts w:ascii="Arial" w:hAnsi="Arial" w:cs="Arial"/>
          <w:sz w:val="22"/>
        </w:rPr>
        <w:t>ation</w:t>
      </w:r>
      <w:r w:rsidR="00035C30">
        <w:rPr>
          <w:rFonts w:ascii="Arial" w:hAnsi="Arial" w:cs="Arial"/>
          <w:sz w:val="22"/>
        </w:rPr>
        <w:t xml:space="preserve"> to the Executive Council.</w:t>
      </w:r>
    </w:p>
    <w:p w:rsidR="00035C30" w:rsidRPr="00B40EC9" w:rsidRDefault="00035C30" w:rsidP="00035C30">
      <w:pPr>
        <w:pStyle w:val="Heading1"/>
        <w:spacing w:before="360" w:after="120"/>
        <w:jc w:val="left"/>
      </w:pPr>
      <w:r w:rsidRPr="00B40EC9">
        <w:t>Policy</w:t>
      </w:r>
    </w:p>
    <w:p w:rsidR="00035C30" w:rsidRPr="00941252" w:rsidRDefault="00035C30" w:rsidP="00035C30">
      <w:pPr>
        <w:pStyle w:val="Paragraphbody"/>
        <w:numPr>
          <w:ilvl w:val="0"/>
          <w:numId w:val="1"/>
        </w:numPr>
        <w:jc w:val="left"/>
        <w:rPr>
          <w:rFonts w:ascii="Arial" w:hAnsi="Arial" w:cs="Arial"/>
          <w:sz w:val="22"/>
        </w:rPr>
      </w:pPr>
      <w:r w:rsidRPr="001636F8">
        <w:rPr>
          <w:rFonts w:ascii="Arial" w:hAnsi="Arial" w:cs="Arial"/>
          <w:sz w:val="22"/>
        </w:rPr>
        <w:t xml:space="preserve">The policy to be implemented through these regulations aims to simplify and standardise the regulatory regime for pest control. </w:t>
      </w:r>
      <w:r w:rsidRPr="001636F8">
        <w:rPr>
          <w:rFonts w:ascii="Arial" w:hAnsi="Arial" w:cs="Arial"/>
          <w:sz w:val="22"/>
          <w:bdr w:val="none" w:sz="0" w:space="0" w:color="auto" w:frame="1"/>
        </w:rPr>
        <w:t>Under the propo</w:t>
      </w:r>
      <w:r>
        <w:rPr>
          <w:rFonts w:ascii="Arial" w:hAnsi="Arial" w:cs="Arial"/>
          <w:sz w:val="22"/>
          <w:bdr w:val="none" w:sz="0" w:space="0" w:color="auto" w:frame="1"/>
        </w:rPr>
        <w:t>sal</w:t>
      </w:r>
      <w:r w:rsidRPr="001636F8">
        <w:rPr>
          <w:rFonts w:ascii="Arial" w:hAnsi="Arial" w:cs="Arial"/>
          <w:sz w:val="22"/>
          <w:bdr w:val="none" w:sz="0" w:space="0" w:color="auto" w:frame="1"/>
        </w:rPr>
        <w:t xml:space="preserve"> operators using 1080, brodifacoum </w:t>
      </w:r>
      <w:r>
        <w:rPr>
          <w:rFonts w:ascii="Arial" w:hAnsi="Arial" w:cs="Arial"/>
          <w:sz w:val="22"/>
          <w:bdr w:val="none" w:sz="0" w:space="0" w:color="auto" w:frame="1"/>
        </w:rPr>
        <w:t>or</w:t>
      </w:r>
      <w:r w:rsidRPr="001636F8">
        <w:rPr>
          <w:rFonts w:ascii="Arial" w:hAnsi="Arial" w:cs="Arial"/>
          <w:sz w:val="22"/>
          <w:bdr w:val="none" w:sz="0" w:space="0" w:color="auto" w:frame="1"/>
        </w:rPr>
        <w:t xml:space="preserve"> rotenone will not need resource consent for aerial or ground-based</w:t>
      </w:r>
      <w:r>
        <w:rPr>
          <w:rFonts w:ascii="Arial" w:hAnsi="Arial" w:cs="Arial"/>
          <w:sz w:val="22"/>
          <w:bdr w:val="none" w:sz="0" w:space="0" w:color="auto" w:frame="1"/>
        </w:rPr>
        <w:t xml:space="preserve"> application, and r</w:t>
      </w:r>
      <w:r w:rsidRPr="001636F8">
        <w:rPr>
          <w:rFonts w:ascii="Arial" w:hAnsi="Arial" w:cs="Arial"/>
          <w:sz w:val="22"/>
          <w:bdr w:val="none" w:sz="0" w:space="0" w:color="auto" w:frame="1"/>
        </w:rPr>
        <w:t xml:space="preserve">egional councils will not be required to include rules for </w:t>
      </w:r>
      <w:r>
        <w:rPr>
          <w:rFonts w:ascii="Arial" w:hAnsi="Arial" w:cs="Arial"/>
          <w:sz w:val="22"/>
          <w:bdr w:val="none" w:sz="0" w:space="0" w:color="auto" w:frame="1"/>
        </w:rPr>
        <w:t>the discharge of these three VTAs</w:t>
      </w:r>
      <w:r w:rsidRPr="001636F8">
        <w:rPr>
          <w:rFonts w:ascii="Arial" w:hAnsi="Arial" w:cs="Arial"/>
          <w:sz w:val="22"/>
          <w:bdr w:val="none" w:sz="0" w:space="0" w:color="auto" w:frame="1"/>
        </w:rPr>
        <w:t xml:space="preserve"> in their plans.  </w:t>
      </w:r>
    </w:p>
    <w:p w:rsidR="008C1C66" w:rsidRPr="008C1C66" w:rsidRDefault="00035C30" w:rsidP="00035C30">
      <w:pPr>
        <w:pStyle w:val="Paragraphbody"/>
        <w:numPr>
          <w:ilvl w:val="0"/>
          <w:numId w:val="1"/>
        </w:numPr>
        <w:jc w:val="left"/>
        <w:rPr>
          <w:rFonts w:ascii="Arial" w:hAnsi="Arial" w:cs="Arial"/>
          <w:sz w:val="22"/>
        </w:rPr>
      </w:pPr>
      <w:r w:rsidRPr="003B04B4">
        <w:rPr>
          <w:rFonts w:ascii="Arial" w:hAnsi="Arial" w:cs="Arial"/>
          <w:sz w:val="22"/>
        </w:rPr>
        <w:t xml:space="preserve">This policy arises from research which found that </w:t>
      </w:r>
      <w:r>
        <w:rPr>
          <w:rFonts w:ascii="Arial" w:hAnsi="Arial" w:cs="Arial"/>
          <w:sz w:val="22"/>
        </w:rPr>
        <w:t>section 15 of the</w:t>
      </w:r>
      <w:r w:rsidRPr="003B04B4">
        <w:rPr>
          <w:rFonts w:ascii="Arial" w:hAnsi="Arial" w:cs="Arial"/>
          <w:sz w:val="22"/>
        </w:rPr>
        <w:t xml:space="preserve"> Resource Management Act (RMA) does not provide additional protection to human health </w:t>
      </w:r>
      <w:r w:rsidR="0031070B">
        <w:rPr>
          <w:rFonts w:ascii="Arial" w:hAnsi="Arial" w:cs="Arial"/>
          <w:sz w:val="22"/>
        </w:rPr>
        <w:t>n</w:t>
      </w:r>
      <w:r w:rsidRPr="003B04B4">
        <w:rPr>
          <w:rFonts w:ascii="Arial" w:hAnsi="Arial" w:cs="Arial"/>
          <w:sz w:val="22"/>
        </w:rPr>
        <w:t xml:space="preserve">or the environment, beyond that already provided by other legislation (including but not limited to the </w:t>
      </w:r>
      <w:r w:rsidRPr="003B04B4">
        <w:rPr>
          <w:rFonts w:ascii="Arial" w:hAnsi="Arial" w:cs="Arial"/>
          <w:sz w:val="22"/>
          <w:bdr w:val="none" w:sz="0" w:space="0" w:color="auto" w:frame="1"/>
        </w:rPr>
        <w:t xml:space="preserve">Hazardous Substances and New Organisms Act 1996 and the Agricultural Compounds and Veterinary Medicines Act 1997). </w:t>
      </w:r>
    </w:p>
    <w:p w:rsidR="00420CE2" w:rsidRPr="003B04B4" w:rsidRDefault="00420CE2" w:rsidP="00420CE2">
      <w:pPr>
        <w:pStyle w:val="Paragraphbody"/>
        <w:numPr>
          <w:ilvl w:val="0"/>
          <w:numId w:val="1"/>
        </w:numPr>
        <w:jc w:val="left"/>
        <w:rPr>
          <w:rFonts w:ascii="Arial" w:hAnsi="Arial" w:cs="Arial"/>
          <w:sz w:val="22"/>
        </w:rPr>
      </w:pPr>
      <w:r w:rsidRPr="003B04B4">
        <w:rPr>
          <w:rFonts w:ascii="Arial" w:hAnsi="Arial" w:cs="Arial"/>
          <w:sz w:val="22"/>
          <w:bdr w:val="none" w:sz="0" w:space="0" w:color="auto" w:frame="1"/>
        </w:rPr>
        <w:t xml:space="preserve">The removal of RMA controls is intended to reduce the time and cost burden often faced by pest control operators, thereby creating a more efficient regulatory framework. </w:t>
      </w:r>
      <w:r>
        <w:rPr>
          <w:rFonts w:ascii="Arial" w:hAnsi="Arial" w:cs="Arial"/>
          <w:sz w:val="22"/>
          <w:bdr w:val="none" w:sz="0" w:space="0" w:color="auto" w:frame="1"/>
        </w:rPr>
        <w:t>It is also intended to improve the effectiveness of pest control by reducing the risk of errors in operations; the risk of operational delays leading to pest control operations being less effective i</w:t>
      </w:r>
      <w:r w:rsidR="00EB54A6">
        <w:rPr>
          <w:rFonts w:ascii="Arial" w:hAnsi="Arial" w:cs="Arial"/>
          <w:sz w:val="22"/>
          <w:bdr w:val="none" w:sz="0" w:space="0" w:color="auto" w:frame="1"/>
        </w:rPr>
        <w:t xml:space="preserve">n protecting biodiversity; and </w:t>
      </w:r>
      <w:r>
        <w:rPr>
          <w:rFonts w:ascii="Arial" w:hAnsi="Arial" w:cs="Arial"/>
          <w:sz w:val="22"/>
          <w:bdr w:val="none" w:sz="0" w:space="0" w:color="auto" w:frame="1"/>
        </w:rPr>
        <w:t>inconsistent rules between regions</w:t>
      </w:r>
      <w:r w:rsidR="00895444">
        <w:rPr>
          <w:rFonts w:ascii="Arial" w:hAnsi="Arial" w:cs="Arial"/>
          <w:sz w:val="22"/>
          <w:bdr w:val="none" w:sz="0" w:space="0" w:color="auto" w:frame="1"/>
        </w:rPr>
        <w:t xml:space="preserve"> impact</w:t>
      </w:r>
      <w:r>
        <w:rPr>
          <w:rFonts w:ascii="Arial" w:hAnsi="Arial" w:cs="Arial"/>
          <w:sz w:val="22"/>
          <w:bdr w:val="none" w:sz="0" w:space="0" w:color="auto" w:frame="1"/>
        </w:rPr>
        <w:t xml:space="preserve">ing the effectiveness of multi-region operations </w:t>
      </w:r>
      <w:r w:rsidR="00E756FE">
        <w:rPr>
          <w:rFonts w:ascii="Arial" w:hAnsi="Arial" w:cs="Arial"/>
          <w:sz w:val="22"/>
          <w:bdr w:val="none" w:sz="0" w:space="0" w:color="auto" w:frame="1"/>
        </w:rPr>
        <w:t>(</w:t>
      </w:r>
      <w:r>
        <w:rPr>
          <w:rFonts w:ascii="Arial" w:hAnsi="Arial" w:cs="Arial"/>
          <w:sz w:val="22"/>
          <w:bdr w:val="none" w:sz="0" w:space="0" w:color="auto" w:frame="1"/>
        </w:rPr>
        <w:t>by requiring operators to leave corridors of</w:t>
      </w:r>
      <w:r w:rsidRPr="007C4578">
        <w:rPr>
          <w:rFonts w:ascii="Arial" w:hAnsi="Arial" w:cs="Arial"/>
          <w:sz w:val="22"/>
          <w:bdr w:val="none" w:sz="0" w:space="0" w:color="auto" w:frame="1"/>
        </w:rPr>
        <w:t xml:space="preserve"> </w:t>
      </w:r>
      <w:r>
        <w:rPr>
          <w:rFonts w:ascii="Arial" w:hAnsi="Arial" w:cs="Arial"/>
          <w:sz w:val="22"/>
          <w:bdr w:val="none" w:sz="0" w:space="0" w:color="auto" w:frame="1"/>
        </w:rPr>
        <w:t>un-treated land at regional boundaries</w:t>
      </w:r>
      <w:r w:rsidR="00E756FE">
        <w:rPr>
          <w:rFonts w:ascii="Arial" w:hAnsi="Arial" w:cs="Arial"/>
          <w:sz w:val="22"/>
          <w:bdr w:val="none" w:sz="0" w:space="0" w:color="auto" w:frame="1"/>
        </w:rPr>
        <w:t>)</w:t>
      </w:r>
      <w:r>
        <w:rPr>
          <w:rFonts w:ascii="Arial" w:hAnsi="Arial" w:cs="Arial"/>
          <w:sz w:val="22"/>
          <w:bdr w:val="none" w:sz="0" w:space="0" w:color="auto" w:frame="1"/>
        </w:rPr>
        <w:t xml:space="preserve">.  </w:t>
      </w:r>
    </w:p>
    <w:p w:rsidR="0071693C" w:rsidRDefault="0071693C" w:rsidP="00035C30">
      <w:pPr>
        <w:pStyle w:val="Paragraphbody"/>
        <w:ind w:left="360"/>
        <w:jc w:val="left"/>
        <w:rPr>
          <w:rFonts w:ascii="Arial" w:hAnsi="Arial"/>
          <w:u w:val="single"/>
        </w:rPr>
      </w:pPr>
    </w:p>
    <w:p w:rsidR="005B6383" w:rsidRPr="00262190" w:rsidRDefault="005B6383" w:rsidP="005B6383">
      <w:pPr>
        <w:pStyle w:val="Paragraphbody"/>
        <w:jc w:val="left"/>
        <w:rPr>
          <w:rFonts w:ascii="Arial" w:hAnsi="Arial"/>
          <w:b/>
        </w:rPr>
      </w:pPr>
      <w:r>
        <w:rPr>
          <w:rFonts w:ascii="Arial" w:hAnsi="Arial"/>
          <w:b/>
        </w:rPr>
        <w:t>Drafting clarifications and minor changes</w:t>
      </w:r>
    </w:p>
    <w:p w:rsidR="005B6383" w:rsidRPr="00F1497F" w:rsidRDefault="00B209FB" w:rsidP="000A1A23">
      <w:pPr>
        <w:pStyle w:val="Paragraphbody"/>
        <w:numPr>
          <w:ilvl w:val="0"/>
          <w:numId w:val="1"/>
        </w:numPr>
        <w:jc w:val="left"/>
        <w:rPr>
          <w:rFonts w:ascii="Arial" w:hAnsi="Arial"/>
          <w:sz w:val="22"/>
        </w:rPr>
      </w:pPr>
      <w:r>
        <w:rPr>
          <w:rFonts w:ascii="Arial" w:hAnsi="Arial"/>
          <w:sz w:val="22"/>
        </w:rPr>
        <w:t>The following</w:t>
      </w:r>
      <w:r w:rsidR="005B6383">
        <w:rPr>
          <w:rFonts w:ascii="Arial" w:hAnsi="Arial"/>
          <w:sz w:val="22"/>
        </w:rPr>
        <w:t xml:space="preserve"> table describes where there are minor differences </w:t>
      </w:r>
      <w:r w:rsidR="001E5FE0">
        <w:rPr>
          <w:rFonts w:ascii="Arial" w:hAnsi="Arial"/>
          <w:sz w:val="22"/>
        </w:rPr>
        <w:t>from</w:t>
      </w:r>
      <w:r w:rsidR="00BC3C70">
        <w:rPr>
          <w:rFonts w:ascii="Arial" w:hAnsi="Arial"/>
          <w:sz w:val="22"/>
        </w:rPr>
        <w:t xml:space="preserve"> or additions to</w:t>
      </w:r>
      <w:r w:rsidR="001E5FE0">
        <w:rPr>
          <w:rFonts w:ascii="Arial" w:hAnsi="Arial"/>
          <w:sz w:val="22"/>
        </w:rPr>
        <w:t xml:space="preserve"> EGI decisions of 24 August</w:t>
      </w:r>
      <w:r w:rsidR="005B6383">
        <w:rPr>
          <w:rFonts w:ascii="Arial" w:hAnsi="Arial"/>
          <w:sz w:val="22"/>
        </w:rPr>
        <w:t xml:space="preserve"> 2016 [EGI-16-MIN-0211 refers], or where clarification of drafting is otherwise needed.</w:t>
      </w:r>
    </w:p>
    <w:p w:rsidR="00A502F5" w:rsidRDefault="00A502F5" w:rsidP="00035C30">
      <w:pPr>
        <w:pStyle w:val="Paragraphbody"/>
        <w:jc w:val="left"/>
        <w:rPr>
          <w:rFonts w:ascii="Arial" w:hAnsi="Arial"/>
          <w:sz w:val="22"/>
        </w:rPr>
      </w:pPr>
    </w:p>
    <w:tbl>
      <w:tblPr>
        <w:tblStyle w:val="TableGrid"/>
        <w:tblW w:w="0" w:type="auto"/>
        <w:tblLook w:val="04A0" w:firstRow="1" w:lastRow="0" w:firstColumn="1" w:lastColumn="0" w:noHBand="0" w:noVBand="1"/>
      </w:tblPr>
      <w:tblGrid>
        <w:gridCol w:w="4621"/>
        <w:gridCol w:w="4621"/>
      </w:tblGrid>
      <w:tr w:rsidR="00A502F5" w:rsidTr="00A502F5">
        <w:tc>
          <w:tcPr>
            <w:tcW w:w="4621" w:type="dxa"/>
          </w:tcPr>
          <w:p w:rsidR="00A502F5" w:rsidRDefault="00A502F5" w:rsidP="00C359A6">
            <w:pPr>
              <w:pStyle w:val="Paragraphbody"/>
              <w:jc w:val="left"/>
              <w:rPr>
                <w:rFonts w:ascii="Arial" w:hAnsi="Arial"/>
                <w:b/>
                <w:sz w:val="22"/>
              </w:rPr>
            </w:pPr>
            <w:r w:rsidRPr="00AC0EAB">
              <w:rPr>
                <w:rFonts w:ascii="Arial" w:hAnsi="Arial"/>
                <w:b/>
                <w:sz w:val="22"/>
              </w:rPr>
              <w:t>Exemption for Brodifacoum</w:t>
            </w:r>
          </w:p>
          <w:p w:rsidR="00B209FB" w:rsidRPr="00AC0EAB" w:rsidRDefault="00B209FB" w:rsidP="00C359A6">
            <w:pPr>
              <w:pStyle w:val="Paragraphbody"/>
              <w:jc w:val="left"/>
              <w:rPr>
                <w:rFonts w:ascii="Arial" w:hAnsi="Arial"/>
                <w:b/>
                <w:sz w:val="22"/>
              </w:rPr>
            </w:pPr>
          </w:p>
        </w:tc>
        <w:tc>
          <w:tcPr>
            <w:tcW w:w="4621" w:type="dxa"/>
          </w:tcPr>
          <w:p w:rsidR="00A502F5" w:rsidRDefault="00A502F5" w:rsidP="00C359A6">
            <w:pPr>
              <w:pStyle w:val="Paragraphbody"/>
              <w:jc w:val="left"/>
              <w:rPr>
                <w:rFonts w:ascii="Arial" w:hAnsi="Arial"/>
                <w:sz w:val="22"/>
              </w:rPr>
            </w:pPr>
          </w:p>
        </w:tc>
      </w:tr>
      <w:tr w:rsidR="00A502F5" w:rsidTr="00A502F5">
        <w:tc>
          <w:tcPr>
            <w:tcW w:w="4621" w:type="dxa"/>
          </w:tcPr>
          <w:p w:rsidR="00A502F5" w:rsidRPr="00BD302F" w:rsidRDefault="00A502F5" w:rsidP="00C359A6">
            <w:pPr>
              <w:pStyle w:val="Paragraphbody"/>
              <w:jc w:val="left"/>
              <w:rPr>
                <w:rFonts w:ascii="Arial" w:hAnsi="Arial"/>
                <w:b/>
                <w:i/>
                <w:sz w:val="22"/>
              </w:rPr>
            </w:pPr>
            <w:r>
              <w:rPr>
                <w:rFonts w:ascii="Arial" w:hAnsi="Arial"/>
                <w:b/>
                <w:i/>
                <w:sz w:val="22"/>
              </w:rPr>
              <w:t>EGI decision</w:t>
            </w:r>
          </w:p>
          <w:p w:rsidR="00A502F5" w:rsidRPr="00BD302F" w:rsidRDefault="00A502F5" w:rsidP="00C359A6">
            <w:pPr>
              <w:pStyle w:val="Paragraphbody"/>
              <w:jc w:val="left"/>
              <w:rPr>
                <w:rFonts w:ascii="Arial" w:hAnsi="Arial"/>
                <w:b/>
                <w:i/>
                <w:sz w:val="22"/>
              </w:rPr>
            </w:pPr>
          </w:p>
        </w:tc>
        <w:tc>
          <w:tcPr>
            <w:tcW w:w="4621" w:type="dxa"/>
          </w:tcPr>
          <w:p w:rsidR="00A502F5" w:rsidRPr="00BD302F" w:rsidRDefault="00BC3C70" w:rsidP="00C359A6">
            <w:pPr>
              <w:pStyle w:val="Paragraphbody"/>
              <w:jc w:val="left"/>
              <w:rPr>
                <w:rFonts w:ascii="Arial" w:hAnsi="Arial"/>
                <w:b/>
                <w:i/>
                <w:sz w:val="22"/>
              </w:rPr>
            </w:pPr>
            <w:r>
              <w:rPr>
                <w:rFonts w:ascii="Arial" w:hAnsi="Arial"/>
                <w:b/>
                <w:i/>
                <w:sz w:val="22"/>
              </w:rPr>
              <w:t>Drafting</w:t>
            </w:r>
          </w:p>
          <w:p w:rsidR="00A502F5" w:rsidRPr="00BD302F" w:rsidRDefault="00A502F5" w:rsidP="00C359A6">
            <w:pPr>
              <w:pStyle w:val="Paragraphbody"/>
              <w:jc w:val="left"/>
              <w:rPr>
                <w:rFonts w:ascii="Arial" w:hAnsi="Arial"/>
                <w:b/>
                <w:i/>
                <w:sz w:val="22"/>
              </w:rPr>
            </w:pPr>
          </w:p>
        </w:tc>
      </w:tr>
      <w:tr w:rsidR="00A502F5" w:rsidTr="00A502F5">
        <w:tc>
          <w:tcPr>
            <w:tcW w:w="4621" w:type="dxa"/>
          </w:tcPr>
          <w:p w:rsidR="00A502F5" w:rsidRDefault="00A502F5" w:rsidP="00C359A6">
            <w:pPr>
              <w:pStyle w:val="Paragraphbody"/>
              <w:jc w:val="left"/>
              <w:rPr>
                <w:rFonts w:ascii="Arial" w:hAnsi="Arial" w:cs="Arial"/>
                <w:sz w:val="22"/>
                <w:szCs w:val="22"/>
              </w:rPr>
            </w:pPr>
            <w:r>
              <w:rPr>
                <w:rFonts w:ascii="Arial" w:hAnsi="Arial"/>
                <w:sz w:val="22"/>
              </w:rPr>
              <w:t>EGI agreed that brodifcoum would be exempted from section 15 of the RMA</w:t>
            </w:r>
            <w:r w:rsidRPr="00351693">
              <w:rPr>
                <w:rFonts w:ascii="Arial" w:hAnsi="Arial" w:cs="Arial"/>
                <w:sz w:val="22"/>
                <w:szCs w:val="22"/>
              </w:rPr>
              <w:t xml:space="preserve"> </w:t>
            </w:r>
            <w:r>
              <w:rPr>
                <w:rFonts w:ascii="Arial" w:hAnsi="Arial" w:cs="Arial"/>
                <w:sz w:val="22"/>
                <w:szCs w:val="22"/>
              </w:rPr>
              <w:t>when discharged on “offshore islands”</w:t>
            </w:r>
            <w:r w:rsidR="00BB647B">
              <w:rPr>
                <w:rFonts w:ascii="Arial" w:hAnsi="Arial" w:cs="Arial"/>
                <w:sz w:val="22"/>
                <w:szCs w:val="22"/>
              </w:rPr>
              <w:t xml:space="preserve"> [paragraph 4.3 refers]</w:t>
            </w:r>
            <w:r>
              <w:rPr>
                <w:rFonts w:ascii="Arial" w:hAnsi="Arial" w:cs="Arial"/>
                <w:sz w:val="22"/>
                <w:szCs w:val="22"/>
              </w:rPr>
              <w:t>.</w:t>
            </w:r>
          </w:p>
          <w:p w:rsidR="00B209FB" w:rsidRPr="008476DC" w:rsidRDefault="00B209FB" w:rsidP="00C359A6">
            <w:pPr>
              <w:pStyle w:val="Paragraphbody"/>
              <w:jc w:val="left"/>
              <w:rPr>
                <w:rFonts w:ascii="Arial" w:hAnsi="Arial" w:cs="Arial"/>
                <w:sz w:val="22"/>
                <w:szCs w:val="22"/>
              </w:rPr>
            </w:pPr>
          </w:p>
        </w:tc>
        <w:tc>
          <w:tcPr>
            <w:tcW w:w="4621" w:type="dxa"/>
          </w:tcPr>
          <w:p w:rsidR="00A502F5" w:rsidRDefault="00A502F5" w:rsidP="00C359A6">
            <w:pPr>
              <w:pStyle w:val="Paragraphbody"/>
              <w:jc w:val="left"/>
              <w:rPr>
                <w:rFonts w:ascii="Arial" w:hAnsi="Arial"/>
                <w:sz w:val="22"/>
              </w:rPr>
            </w:pPr>
            <w:r>
              <w:rPr>
                <w:rFonts w:ascii="Arial" w:hAnsi="Arial"/>
                <w:sz w:val="22"/>
              </w:rPr>
              <w:t xml:space="preserve">The drafting clarifies that the exemption applies to brodifacoum discharged on islands other than the North and South Islands.  </w:t>
            </w:r>
          </w:p>
        </w:tc>
      </w:tr>
    </w:tbl>
    <w:p w:rsidR="00A502F5" w:rsidRDefault="00A502F5" w:rsidP="00035C30">
      <w:pPr>
        <w:pStyle w:val="Paragraphbody"/>
        <w:jc w:val="left"/>
        <w:rPr>
          <w:rFonts w:ascii="Arial" w:hAnsi="Arial"/>
          <w:sz w:val="22"/>
        </w:rPr>
      </w:pPr>
    </w:p>
    <w:p w:rsidR="00A502F5" w:rsidRDefault="00A502F5" w:rsidP="00035C30">
      <w:pPr>
        <w:pStyle w:val="Paragraphbody"/>
        <w:jc w:val="left"/>
        <w:rPr>
          <w:rFonts w:ascii="Arial" w:hAnsi="Arial"/>
          <w:sz w:val="22"/>
        </w:rPr>
      </w:pPr>
    </w:p>
    <w:p w:rsidR="00A502F5" w:rsidRDefault="00A502F5" w:rsidP="00035C30">
      <w:pPr>
        <w:pStyle w:val="Paragraphbody"/>
        <w:jc w:val="left"/>
        <w:rPr>
          <w:rFonts w:ascii="Arial" w:hAnsi="Arial"/>
          <w:sz w:val="22"/>
        </w:rPr>
      </w:pPr>
    </w:p>
    <w:p w:rsidR="00A502F5" w:rsidRPr="00765890" w:rsidRDefault="00A502F5" w:rsidP="00035C30">
      <w:pPr>
        <w:pStyle w:val="Paragraphbody"/>
        <w:jc w:val="left"/>
        <w:rPr>
          <w:rFonts w:ascii="Arial" w:hAnsi="Arial"/>
          <w:sz w:val="22"/>
        </w:rPr>
      </w:pPr>
    </w:p>
    <w:tbl>
      <w:tblPr>
        <w:tblStyle w:val="TableGrid"/>
        <w:tblW w:w="0" w:type="auto"/>
        <w:tblLook w:val="04A0" w:firstRow="1" w:lastRow="0" w:firstColumn="1" w:lastColumn="0" w:noHBand="0" w:noVBand="1"/>
      </w:tblPr>
      <w:tblGrid>
        <w:gridCol w:w="4621"/>
        <w:gridCol w:w="4621"/>
      </w:tblGrid>
      <w:tr w:rsidR="0007274F" w:rsidTr="00765890">
        <w:tc>
          <w:tcPr>
            <w:tcW w:w="4621" w:type="dxa"/>
          </w:tcPr>
          <w:p w:rsidR="00A502F5" w:rsidRPr="00595EC6" w:rsidRDefault="0007274F" w:rsidP="00035C30">
            <w:pPr>
              <w:pStyle w:val="Paragraphbody"/>
              <w:jc w:val="left"/>
              <w:rPr>
                <w:rFonts w:ascii="Arial" w:hAnsi="Arial"/>
                <w:b/>
                <w:sz w:val="22"/>
              </w:rPr>
            </w:pPr>
            <w:r w:rsidRPr="00595EC6">
              <w:rPr>
                <w:rFonts w:ascii="Arial" w:hAnsi="Arial"/>
                <w:b/>
                <w:sz w:val="22"/>
              </w:rPr>
              <w:t>Exemption for Rotenone</w:t>
            </w:r>
          </w:p>
        </w:tc>
        <w:tc>
          <w:tcPr>
            <w:tcW w:w="4621" w:type="dxa"/>
          </w:tcPr>
          <w:p w:rsidR="0007274F" w:rsidRDefault="0007274F" w:rsidP="00035C30">
            <w:pPr>
              <w:pStyle w:val="Paragraphbody"/>
              <w:jc w:val="left"/>
              <w:rPr>
                <w:rFonts w:ascii="Arial" w:hAnsi="Arial"/>
                <w:sz w:val="22"/>
              </w:rPr>
            </w:pPr>
          </w:p>
        </w:tc>
      </w:tr>
      <w:tr w:rsidR="00C21FD1" w:rsidTr="00765890">
        <w:tc>
          <w:tcPr>
            <w:tcW w:w="4621" w:type="dxa"/>
          </w:tcPr>
          <w:p w:rsidR="00C21FD1" w:rsidRPr="00BD302F" w:rsidRDefault="00C21FD1" w:rsidP="00DD0464">
            <w:pPr>
              <w:pStyle w:val="Paragraphbody"/>
              <w:jc w:val="left"/>
              <w:rPr>
                <w:rFonts w:ascii="Arial" w:hAnsi="Arial"/>
                <w:b/>
                <w:i/>
                <w:sz w:val="22"/>
              </w:rPr>
            </w:pPr>
            <w:r>
              <w:rPr>
                <w:rFonts w:ascii="Arial" w:hAnsi="Arial"/>
                <w:b/>
                <w:i/>
                <w:sz w:val="22"/>
              </w:rPr>
              <w:t>EGI decision</w:t>
            </w:r>
          </w:p>
          <w:p w:rsidR="00C21FD1" w:rsidRPr="00BD302F" w:rsidRDefault="00C21FD1" w:rsidP="00DD0464">
            <w:pPr>
              <w:pStyle w:val="Paragraphbody"/>
              <w:jc w:val="left"/>
              <w:rPr>
                <w:rFonts w:ascii="Arial" w:hAnsi="Arial"/>
                <w:b/>
                <w:i/>
                <w:sz w:val="22"/>
              </w:rPr>
            </w:pPr>
          </w:p>
        </w:tc>
        <w:tc>
          <w:tcPr>
            <w:tcW w:w="4621" w:type="dxa"/>
          </w:tcPr>
          <w:p w:rsidR="00C21FD1" w:rsidRPr="00BD302F" w:rsidRDefault="00BC3C70" w:rsidP="00DD0464">
            <w:pPr>
              <w:pStyle w:val="Paragraphbody"/>
              <w:jc w:val="left"/>
              <w:rPr>
                <w:rFonts w:ascii="Arial" w:hAnsi="Arial"/>
                <w:b/>
                <w:i/>
                <w:sz w:val="22"/>
              </w:rPr>
            </w:pPr>
            <w:r>
              <w:rPr>
                <w:rFonts w:ascii="Arial" w:hAnsi="Arial"/>
                <w:b/>
                <w:i/>
                <w:sz w:val="22"/>
              </w:rPr>
              <w:t>Drafting</w:t>
            </w:r>
          </w:p>
          <w:p w:rsidR="00C21FD1" w:rsidRPr="00BD302F" w:rsidRDefault="00C21FD1" w:rsidP="00DD0464">
            <w:pPr>
              <w:pStyle w:val="Paragraphbody"/>
              <w:jc w:val="left"/>
              <w:rPr>
                <w:rFonts w:ascii="Arial" w:hAnsi="Arial"/>
                <w:b/>
                <w:i/>
                <w:sz w:val="22"/>
              </w:rPr>
            </w:pPr>
          </w:p>
        </w:tc>
      </w:tr>
      <w:tr w:rsidR="007C24E1" w:rsidTr="00765890">
        <w:tc>
          <w:tcPr>
            <w:tcW w:w="4621" w:type="dxa"/>
          </w:tcPr>
          <w:p w:rsidR="007C24E1" w:rsidRDefault="007C24E1" w:rsidP="00DD0464">
            <w:pPr>
              <w:pStyle w:val="Paragraphbody"/>
              <w:jc w:val="left"/>
              <w:rPr>
                <w:rFonts w:ascii="Arial" w:hAnsi="Arial"/>
                <w:sz w:val="22"/>
              </w:rPr>
            </w:pPr>
            <w:r>
              <w:rPr>
                <w:rFonts w:ascii="Arial" w:hAnsi="Arial"/>
                <w:sz w:val="22"/>
              </w:rPr>
              <w:t>EGI agreed that rotenone would be exempt from section 15 if discharged for the purpose of eradicating ‘noxious fish’</w:t>
            </w:r>
            <w:r w:rsidR="00BB647B">
              <w:rPr>
                <w:rFonts w:ascii="Arial" w:hAnsi="Arial"/>
                <w:sz w:val="22"/>
              </w:rPr>
              <w:t xml:space="preserve"> [paragraph 5.4.2 refers]</w:t>
            </w:r>
            <w:r>
              <w:rPr>
                <w:rFonts w:ascii="Arial" w:hAnsi="Arial"/>
                <w:sz w:val="22"/>
              </w:rPr>
              <w:t>.</w:t>
            </w:r>
          </w:p>
          <w:p w:rsidR="007C24E1" w:rsidRPr="00595EC6" w:rsidRDefault="007C24E1" w:rsidP="00DD0464">
            <w:pPr>
              <w:pStyle w:val="Paragraphbody"/>
              <w:jc w:val="left"/>
              <w:rPr>
                <w:rFonts w:ascii="Arial" w:hAnsi="Arial"/>
                <w:b/>
                <w:sz w:val="22"/>
              </w:rPr>
            </w:pPr>
          </w:p>
        </w:tc>
        <w:tc>
          <w:tcPr>
            <w:tcW w:w="4621" w:type="dxa"/>
          </w:tcPr>
          <w:p w:rsidR="007C24E1" w:rsidRDefault="007C24E1" w:rsidP="00DD0464">
            <w:pPr>
              <w:pStyle w:val="Paragraphbody"/>
              <w:jc w:val="left"/>
              <w:rPr>
                <w:rFonts w:ascii="Arial" w:hAnsi="Arial"/>
                <w:sz w:val="22"/>
              </w:rPr>
            </w:pPr>
            <w:r>
              <w:rPr>
                <w:rFonts w:ascii="Arial" w:hAnsi="Arial"/>
                <w:sz w:val="22"/>
              </w:rPr>
              <w:t xml:space="preserve">The drafting now uses the term “introduced fish”, meaning all non-native fish. </w:t>
            </w:r>
          </w:p>
          <w:p w:rsidR="00A502F5" w:rsidRDefault="00A502F5" w:rsidP="00DD0464">
            <w:pPr>
              <w:pStyle w:val="Paragraphbody"/>
              <w:jc w:val="left"/>
              <w:rPr>
                <w:rFonts w:ascii="Arial" w:hAnsi="Arial"/>
                <w:sz w:val="22"/>
              </w:rPr>
            </w:pPr>
          </w:p>
          <w:p w:rsidR="007C24E1" w:rsidRDefault="007C24E1" w:rsidP="00DD0464">
            <w:pPr>
              <w:pStyle w:val="Paragraphbody"/>
              <w:jc w:val="left"/>
              <w:rPr>
                <w:rFonts w:ascii="Arial" w:hAnsi="Arial"/>
                <w:sz w:val="22"/>
              </w:rPr>
            </w:pPr>
            <w:r>
              <w:rPr>
                <w:rFonts w:ascii="Arial" w:hAnsi="Arial"/>
                <w:sz w:val="22"/>
              </w:rPr>
              <w:t>This is because the term ‘noxious fish’ appears in the Freshwater Fisheries Regulations 1983 (FFR 1983), but in that context refers to only a short list of species that is too limited to achieve the policy outcomes intended by these regulations.</w:t>
            </w:r>
          </w:p>
        </w:tc>
      </w:tr>
      <w:tr w:rsidR="00F35373" w:rsidTr="00765890">
        <w:tc>
          <w:tcPr>
            <w:tcW w:w="4621" w:type="dxa"/>
          </w:tcPr>
          <w:p w:rsidR="00F35373" w:rsidRDefault="00F35373" w:rsidP="00DD0464">
            <w:pPr>
              <w:pStyle w:val="Paragraphbody"/>
              <w:jc w:val="left"/>
              <w:rPr>
                <w:rFonts w:ascii="Arial" w:hAnsi="Arial"/>
                <w:sz w:val="22"/>
              </w:rPr>
            </w:pPr>
            <w:r>
              <w:rPr>
                <w:rFonts w:ascii="Arial" w:hAnsi="Arial"/>
                <w:sz w:val="22"/>
              </w:rPr>
              <w:t>EGI agreed that the regional Fish &amp; Game Council is to be consulted “when sports fish are targeted”</w:t>
            </w:r>
            <w:r w:rsidR="00BB647B">
              <w:rPr>
                <w:rFonts w:ascii="Arial" w:hAnsi="Arial"/>
                <w:sz w:val="22"/>
              </w:rPr>
              <w:t xml:space="preserve"> [paragraph 5.4.2 refers]</w:t>
            </w:r>
            <w:r>
              <w:rPr>
                <w:rFonts w:ascii="Arial" w:hAnsi="Arial"/>
                <w:sz w:val="22"/>
              </w:rPr>
              <w:t>.</w:t>
            </w:r>
          </w:p>
        </w:tc>
        <w:tc>
          <w:tcPr>
            <w:tcW w:w="4621" w:type="dxa"/>
          </w:tcPr>
          <w:p w:rsidR="00F35373" w:rsidRDefault="00F35373" w:rsidP="00DD0464">
            <w:pPr>
              <w:pStyle w:val="Paragraphbody"/>
              <w:jc w:val="left"/>
              <w:rPr>
                <w:rFonts w:ascii="Arial" w:hAnsi="Arial"/>
                <w:sz w:val="22"/>
              </w:rPr>
            </w:pPr>
            <w:r>
              <w:rPr>
                <w:rFonts w:ascii="Arial" w:hAnsi="Arial"/>
                <w:sz w:val="22"/>
              </w:rPr>
              <w:t xml:space="preserve">The regulation now requires consultation whenever rotenone is used, not only when sports fish are targeted. </w:t>
            </w:r>
          </w:p>
          <w:p w:rsidR="00F35373" w:rsidRDefault="004945FD" w:rsidP="00DD0464">
            <w:pPr>
              <w:pStyle w:val="Paragraphbody"/>
              <w:jc w:val="left"/>
              <w:rPr>
                <w:rFonts w:ascii="Arial" w:hAnsi="Arial"/>
                <w:sz w:val="22"/>
              </w:rPr>
            </w:pPr>
            <w:r>
              <w:rPr>
                <w:rFonts w:ascii="Arial" w:hAnsi="Arial"/>
                <w:sz w:val="22"/>
              </w:rPr>
              <w:t>This is to ensure alignment between this regulation made under the RMA, and the Agricultural Compounds and Veterinary Medicines (ACVM) Act 1997.</w:t>
            </w:r>
            <w:r w:rsidR="00FF6484">
              <w:rPr>
                <w:rFonts w:ascii="Arial" w:hAnsi="Arial"/>
                <w:sz w:val="22"/>
              </w:rPr>
              <w:t xml:space="preserve"> </w:t>
            </w:r>
            <w:r w:rsidR="00F35373">
              <w:rPr>
                <w:rFonts w:ascii="Arial" w:hAnsi="Arial"/>
                <w:sz w:val="22"/>
              </w:rPr>
              <w:t xml:space="preserve">Fish and Game Councils are already consulted on all rotenone </w:t>
            </w:r>
            <w:r>
              <w:rPr>
                <w:rFonts w:ascii="Arial" w:hAnsi="Arial"/>
                <w:sz w:val="22"/>
              </w:rPr>
              <w:t>operations</w:t>
            </w:r>
            <w:r w:rsidR="00F35373">
              <w:rPr>
                <w:rFonts w:ascii="Arial" w:hAnsi="Arial"/>
                <w:sz w:val="22"/>
              </w:rPr>
              <w:t xml:space="preserve"> under the rules for rotenone use established under the </w:t>
            </w:r>
            <w:r w:rsidR="00FF6484">
              <w:rPr>
                <w:rFonts w:ascii="Arial" w:hAnsi="Arial"/>
                <w:sz w:val="22"/>
              </w:rPr>
              <w:t>ACVM.</w:t>
            </w:r>
            <w:r w:rsidR="00F35373">
              <w:rPr>
                <w:rFonts w:ascii="Arial" w:hAnsi="Arial"/>
                <w:sz w:val="22"/>
              </w:rPr>
              <w:t xml:space="preserve"> </w:t>
            </w:r>
          </w:p>
          <w:p w:rsidR="00F35373" w:rsidRPr="001A39B3" w:rsidRDefault="00F35373" w:rsidP="00DD0464">
            <w:pPr>
              <w:pStyle w:val="Paragraphbody"/>
              <w:jc w:val="left"/>
              <w:rPr>
                <w:rFonts w:ascii="Arial" w:hAnsi="Arial"/>
                <w:sz w:val="22"/>
              </w:rPr>
            </w:pPr>
            <w:r>
              <w:rPr>
                <w:rFonts w:ascii="Arial" w:hAnsi="Arial"/>
                <w:sz w:val="22"/>
              </w:rPr>
              <w:t>The drafting therefore ensures that these regulations don’t conflict with the requirements that already exist under ACVM rules.</w:t>
            </w:r>
          </w:p>
        </w:tc>
      </w:tr>
      <w:tr w:rsidR="004300A2" w:rsidTr="00765890">
        <w:tc>
          <w:tcPr>
            <w:tcW w:w="4621" w:type="dxa"/>
          </w:tcPr>
          <w:p w:rsidR="004300A2" w:rsidRDefault="00F63256" w:rsidP="00AD130C">
            <w:pPr>
              <w:pStyle w:val="Paragraphbody"/>
              <w:jc w:val="left"/>
              <w:rPr>
                <w:rFonts w:ascii="Arial" w:hAnsi="Arial"/>
                <w:b/>
                <w:sz w:val="22"/>
              </w:rPr>
            </w:pPr>
            <w:r w:rsidRPr="00334D9C">
              <w:rPr>
                <w:rFonts w:ascii="Arial" w:hAnsi="Arial"/>
                <w:b/>
                <w:sz w:val="22"/>
              </w:rPr>
              <w:t>Schedule 2 –</w:t>
            </w:r>
            <w:r w:rsidR="00AD130C">
              <w:rPr>
                <w:rFonts w:ascii="Arial" w:hAnsi="Arial"/>
                <w:b/>
                <w:sz w:val="22"/>
              </w:rPr>
              <w:t xml:space="preserve"> </w:t>
            </w:r>
            <w:r w:rsidRPr="00334D9C">
              <w:rPr>
                <w:rFonts w:ascii="Arial" w:hAnsi="Arial"/>
                <w:b/>
                <w:sz w:val="22"/>
              </w:rPr>
              <w:t>Conditions on exemptions</w:t>
            </w:r>
          </w:p>
          <w:p w:rsidR="00AD130C" w:rsidRPr="00334D9C" w:rsidRDefault="00AD130C" w:rsidP="00AD130C">
            <w:pPr>
              <w:pStyle w:val="Paragraphbody"/>
              <w:jc w:val="left"/>
              <w:rPr>
                <w:rFonts w:ascii="Arial" w:hAnsi="Arial"/>
                <w:b/>
                <w:sz w:val="22"/>
              </w:rPr>
            </w:pPr>
            <w:r>
              <w:rPr>
                <w:rFonts w:ascii="Arial" w:hAnsi="Arial"/>
                <w:b/>
                <w:sz w:val="22"/>
              </w:rPr>
              <w:t>Clause 2: Notice of proposed discharge</w:t>
            </w:r>
          </w:p>
        </w:tc>
        <w:tc>
          <w:tcPr>
            <w:tcW w:w="4621" w:type="dxa"/>
          </w:tcPr>
          <w:p w:rsidR="004300A2" w:rsidRDefault="004300A2" w:rsidP="00035C30">
            <w:pPr>
              <w:pStyle w:val="Paragraphbody"/>
              <w:jc w:val="left"/>
              <w:rPr>
                <w:rFonts w:ascii="Arial" w:hAnsi="Arial"/>
                <w:sz w:val="22"/>
              </w:rPr>
            </w:pPr>
          </w:p>
        </w:tc>
      </w:tr>
      <w:tr w:rsidR="00C21FD1" w:rsidTr="00765890">
        <w:tc>
          <w:tcPr>
            <w:tcW w:w="4621" w:type="dxa"/>
          </w:tcPr>
          <w:p w:rsidR="00C21FD1" w:rsidRPr="00BD302F" w:rsidRDefault="00C21FD1" w:rsidP="00DD0464">
            <w:pPr>
              <w:pStyle w:val="Paragraphbody"/>
              <w:jc w:val="left"/>
              <w:rPr>
                <w:rFonts w:ascii="Arial" w:hAnsi="Arial"/>
                <w:b/>
                <w:i/>
                <w:sz w:val="22"/>
              </w:rPr>
            </w:pPr>
            <w:r>
              <w:rPr>
                <w:rFonts w:ascii="Arial" w:hAnsi="Arial"/>
                <w:b/>
                <w:i/>
                <w:sz w:val="22"/>
              </w:rPr>
              <w:t>EGI decision</w:t>
            </w:r>
          </w:p>
          <w:p w:rsidR="00C21FD1" w:rsidRPr="00BD302F" w:rsidRDefault="00C21FD1" w:rsidP="00DD0464">
            <w:pPr>
              <w:pStyle w:val="Paragraphbody"/>
              <w:jc w:val="left"/>
              <w:rPr>
                <w:rFonts w:ascii="Arial" w:hAnsi="Arial"/>
                <w:b/>
                <w:i/>
                <w:sz w:val="22"/>
              </w:rPr>
            </w:pPr>
          </w:p>
        </w:tc>
        <w:tc>
          <w:tcPr>
            <w:tcW w:w="4621" w:type="dxa"/>
          </w:tcPr>
          <w:p w:rsidR="00C21FD1" w:rsidRPr="00BD302F" w:rsidRDefault="00ED29A2" w:rsidP="00DD0464">
            <w:pPr>
              <w:pStyle w:val="Paragraphbody"/>
              <w:jc w:val="left"/>
              <w:rPr>
                <w:rFonts w:ascii="Arial" w:hAnsi="Arial"/>
                <w:b/>
                <w:i/>
                <w:sz w:val="22"/>
              </w:rPr>
            </w:pPr>
            <w:r>
              <w:rPr>
                <w:rFonts w:ascii="Arial" w:hAnsi="Arial"/>
                <w:b/>
                <w:i/>
                <w:sz w:val="22"/>
              </w:rPr>
              <w:t>Drafting</w:t>
            </w:r>
          </w:p>
          <w:p w:rsidR="00C21FD1" w:rsidRPr="00BD302F" w:rsidRDefault="00C21FD1" w:rsidP="00DD0464">
            <w:pPr>
              <w:pStyle w:val="Paragraphbody"/>
              <w:jc w:val="left"/>
              <w:rPr>
                <w:rFonts w:ascii="Arial" w:hAnsi="Arial"/>
                <w:b/>
                <w:i/>
                <w:sz w:val="22"/>
              </w:rPr>
            </w:pPr>
          </w:p>
        </w:tc>
      </w:tr>
      <w:tr w:rsidR="00F35373" w:rsidTr="00765890">
        <w:tc>
          <w:tcPr>
            <w:tcW w:w="4621" w:type="dxa"/>
          </w:tcPr>
          <w:p w:rsidR="00F35373" w:rsidRDefault="00F35373" w:rsidP="00DD0464">
            <w:pPr>
              <w:pStyle w:val="Paragraphbody"/>
              <w:jc w:val="left"/>
              <w:rPr>
                <w:rFonts w:ascii="Arial" w:hAnsi="Arial"/>
                <w:sz w:val="22"/>
              </w:rPr>
            </w:pPr>
            <w:r>
              <w:rPr>
                <w:rFonts w:ascii="Arial" w:hAnsi="Arial"/>
                <w:sz w:val="22"/>
              </w:rPr>
              <w:t xml:space="preserve">EGI agreed to a minimum period of “four weeks prior to the expected start of an operation” for operators to provide </w:t>
            </w:r>
            <w:r w:rsidR="006C4FD7">
              <w:rPr>
                <w:rFonts w:ascii="Arial" w:hAnsi="Arial"/>
                <w:sz w:val="22"/>
              </w:rPr>
              <w:t xml:space="preserve">certain information to regional councils </w:t>
            </w:r>
            <w:r>
              <w:rPr>
                <w:rFonts w:ascii="Arial" w:hAnsi="Arial"/>
                <w:sz w:val="22"/>
              </w:rPr>
              <w:t>information</w:t>
            </w:r>
            <w:r w:rsidR="006C4FD7">
              <w:rPr>
                <w:rFonts w:ascii="Arial" w:hAnsi="Arial"/>
                <w:sz w:val="22"/>
              </w:rPr>
              <w:t xml:space="preserve"> [paragraph 5.1 refers]</w:t>
            </w:r>
            <w:r>
              <w:rPr>
                <w:rFonts w:ascii="Arial" w:hAnsi="Arial"/>
                <w:sz w:val="22"/>
              </w:rPr>
              <w:t xml:space="preserve">. </w:t>
            </w:r>
          </w:p>
          <w:p w:rsidR="00F35373" w:rsidRDefault="00F35373" w:rsidP="00DD0464">
            <w:pPr>
              <w:pStyle w:val="Paragraphbody"/>
              <w:jc w:val="left"/>
              <w:rPr>
                <w:rFonts w:ascii="Arial" w:hAnsi="Arial"/>
                <w:sz w:val="22"/>
              </w:rPr>
            </w:pPr>
          </w:p>
          <w:p w:rsidR="00F35373" w:rsidRDefault="00F35373" w:rsidP="00DD0464">
            <w:pPr>
              <w:pStyle w:val="Paragraphbody"/>
              <w:jc w:val="left"/>
              <w:rPr>
                <w:rFonts w:ascii="Arial" w:hAnsi="Arial"/>
                <w:sz w:val="22"/>
              </w:rPr>
            </w:pPr>
          </w:p>
        </w:tc>
        <w:tc>
          <w:tcPr>
            <w:tcW w:w="4621" w:type="dxa"/>
          </w:tcPr>
          <w:p w:rsidR="00F35373" w:rsidRDefault="00F35373" w:rsidP="00DD0464">
            <w:pPr>
              <w:pStyle w:val="Paragraphbody"/>
              <w:jc w:val="left"/>
              <w:rPr>
                <w:rFonts w:ascii="Arial" w:hAnsi="Arial"/>
                <w:sz w:val="22"/>
              </w:rPr>
            </w:pPr>
            <w:r>
              <w:rPr>
                <w:rFonts w:ascii="Arial" w:hAnsi="Arial"/>
                <w:sz w:val="22"/>
              </w:rPr>
              <w:t>The regulations now provide that operators must provide such information “as soon as practicable, but in any case no later than 48 hours before the discharge is to start”.</w:t>
            </w:r>
          </w:p>
          <w:p w:rsidR="00F35373" w:rsidRDefault="00F35373" w:rsidP="00DD0464">
            <w:pPr>
              <w:pStyle w:val="Paragraphbody"/>
              <w:jc w:val="left"/>
              <w:rPr>
                <w:rFonts w:ascii="Arial" w:hAnsi="Arial"/>
                <w:sz w:val="22"/>
              </w:rPr>
            </w:pPr>
          </w:p>
          <w:p w:rsidR="00F35373" w:rsidRDefault="00F35373" w:rsidP="00DD0464">
            <w:pPr>
              <w:pStyle w:val="Paragraphbody"/>
              <w:jc w:val="left"/>
              <w:rPr>
                <w:rFonts w:ascii="Arial" w:hAnsi="Arial"/>
                <w:sz w:val="22"/>
              </w:rPr>
            </w:pPr>
            <w:r>
              <w:rPr>
                <w:rFonts w:ascii="Arial" w:hAnsi="Arial"/>
                <w:sz w:val="22"/>
              </w:rPr>
              <w:t xml:space="preserve">This approach was adopted following the circulation of a draft version of the regulations with select stakeholders. Some stakeholders said that giving notice of an operation’s timing and duration four weeks before an operation would not be possible in all cases because of variables such as weather conditions. The hard limit of “no later than 48 hours before the discharge” has been chosen as it suits the needs of councils, and the operational practicalities faced by VTA users. </w:t>
            </w:r>
          </w:p>
        </w:tc>
      </w:tr>
      <w:tr w:rsidR="00073D99" w:rsidTr="00765890">
        <w:tc>
          <w:tcPr>
            <w:tcW w:w="4621" w:type="dxa"/>
          </w:tcPr>
          <w:p w:rsidR="00073D99" w:rsidDel="006C4FD7" w:rsidRDefault="00073D99" w:rsidP="00DD0464">
            <w:pPr>
              <w:pStyle w:val="Paragraphbody"/>
              <w:jc w:val="left"/>
              <w:rPr>
                <w:rFonts w:ascii="Arial" w:hAnsi="Arial"/>
                <w:sz w:val="22"/>
              </w:rPr>
            </w:pPr>
            <w:r>
              <w:rPr>
                <w:rFonts w:ascii="Arial" w:hAnsi="Arial"/>
                <w:sz w:val="22"/>
              </w:rPr>
              <w:t>EGI agreed that operators would have to provide</w:t>
            </w:r>
            <w:r w:rsidR="004824FA">
              <w:rPr>
                <w:rFonts w:ascii="Arial" w:hAnsi="Arial"/>
                <w:sz w:val="22"/>
              </w:rPr>
              <w:t xml:space="preserve"> to regional councils</w:t>
            </w:r>
            <w:r>
              <w:rPr>
                <w:rFonts w:ascii="Arial" w:hAnsi="Arial"/>
                <w:sz w:val="22"/>
              </w:rPr>
              <w:t xml:space="preserve"> “the proposed location of signs that will be put out at the start of the operation and which will remain until the end of the required caution period”</w:t>
            </w:r>
            <w:r w:rsidR="00E56756">
              <w:rPr>
                <w:rFonts w:ascii="Arial" w:hAnsi="Arial"/>
                <w:sz w:val="22"/>
              </w:rPr>
              <w:t xml:space="preserve"> [paragraph 5.1.2 refers]</w:t>
            </w:r>
          </w:p>
        </w:tc>
        <w:tc>
          <w:tcPr>
            <w:tcW w:w="4621" w:type="dxa"/>
          </w:tcPr>
          <w:p w:rsidR="00073D99" w:rsidRDefault="00F934A2" w:rsidP="00F934A2">
            <w:pPr>
              <w:pStyle w:val="Paragraphbody"/>
              <w:jc w:val="left"/>
              <w:rPr>
                <w:rFonts w:ascii="Arial" w:hAnsi="Arial"/>
                <w:sz w:val="22"/>
              </w:rPr>
            </w:pPr>
            <w:r>
              <w:rPr>
                <w:rFonts w:ascii="Arial" w:hAnsi="Arial"/>
                <w:sz w:val="22"/>
              </w:rPr>
              <w:t>The drafting simply requires the operator to provide the location of any warning signage. The reference to “caution period” was determined to be unnecessary to achieve the policy intent.</w:t>
            </w:r>
          </w:p>
        </w:tc>
      </w:tr>
      <w:tr w:rsidR="00F20A90" w:rsidTr="003A58E8">
        <w:tc>
          <w:tcPr>
            <w:tcW w:w="4621" w:type="dxa"/>
          </w:tcPr>
          <w:p w:rsidR="00F20A90" w:rsidRDefault="004824FA" w:rsidP="003A58E8">
            <w:pPr>
              <w:pStyle w:val="Paragraphbody"/>
              <w:jc w:val="left"/>
              <w:rPr>
                <w:rFonts w:ascii="Arial" w:hAnsi="Arial"/>
                <w:sz w:val="22"/>
              </w:rPr>
            </w:pPr>
            <w:r>
              <w:rPr>
                <w:rFonts w:ascii="Arial" w:hAnsi="Arial"/>
                <w:sz w:val="22"/>
              </w:rPr>
              <w:t>EGI agreed that operators would have to provide to regional councils “the location of the areas that may be included in the operation” [paragraph 5.1.3 refers]</w:t>
            </w:r>
          </w:p>
        </w:tc>
        <w:tc>
          <w:tcPr>
            <w:tcW w:w="4621" w:type="dxa"/>
          </w:tcPr>
          <w:p w:rsidR="00F20A90" w:rsidRDefault="005C4591" w:rsidP="003A58E8">
            <w:pPr>
              <w:pStyle w:val="Paragraphbody"/>
              <w:jc w:val="left"/>
              <w:rPr>
                <w:rFonts w:ascii="Arial" w:hAnsi="Arial"/>
                <w:sz w:val="22"/>
              </w:rPr>
            </w:pPr>
            <w:r>
              <w:rPr>
                <w:rFonts w:ascii="Arial" w:hAnsi="Arial"/>
                <w:sz w:val="22"/>
              </w:rPr>
              <w:t>The drafting now requires “a map showing the boundaries of each proposed discharge area”. This drafting is more precise and will ensure that any inquiries about the discharge can be answered more accurately.</w:t>
            </w:r>
          </w:p>
        </w:tc>
      </w:tr>
      <w:tr w:rsidR="00F5780C" w:rsidTr="00765890">
        <w:tc>
          <w:tcPr>
            <w:tcW w:w="4621" w:type="dxa"/>
          </w:tcPr>
          <w:p w:rsidR="00F5780C" w:rsidRPr="00E51AFD" w:rsidRDefault="00F5780C" w:rsidP="00DD0464">
            <w:pPr>
              <w:pStyle w:val="Paragraphbody"/>
              <w:jc w:val="left"/>
              <w:rPr>
                <w:rFonts w:ascii="Arial" w:hAnsi="Arial"/>
                <w:b/>
                <w:i/>
                <w:sz w:val="22"/>
              </w:rPr>
            </w:pPr>
            <w:r>
              <w:rPr>
                <w:rFonts w:ascii="Arial" w:hAnsi="Arial"/>
                <w:b/>
                <w:i/>
                <w:sz w:val="22"/>
              </w:rPr>
              <w:t>Minor policy additions</w:t>
            </w:r>
          </w:p>
        </w:tc>
        <w:tc>
          <w:tcPr>
            <w:tcW w:w="4621" w:type="dxa"/>
          </w:tcPr>
          <w:p w:rsidR="00F5780C" w:rsidRDefault="00F5780C" w:rsidP="00DD0464">
            <w:pPr>
              <w:pStyle w:val="Paragraphbody"/>
              <w:jc w:val="left"/>
              <w:rPr>
                <w:rFonts w:ascii="Arial" w:hAnsi="Arial"/>
                <w:sz w:val="22"/>
              </w:rPr>
            </w:pPr>
          </w:p>
        </w:tc>
      </w:tr>
      <w:tr w:rsidR="00E55F70" w:rsidTr="00765890">
        <w:tc>
          <w:tcPr>
            <w:tcW w:w="4621" w:type="dxa"/>
          </w:tcPr>
          <w:p w:rsidR="00E55F70" w:rsidRDefault="00E55F70" w:rsidP="00F5780C">
            <w:pPr>
              <w:pStyle w:val="Paragraphbody"/>
              <w:jc w:val="left"/>
              <w:rPr>
                <w:rFonts w:ascii="Arial" w:hAnsi="Arial"/>
                <w:sz w:val="22"/>
              </w:rPr>
            </w:pPr>
            <w:r>
              <w:rPr>
                <w:rFonts w:ascii="Arial" w:hAnsi="Arial"/>
                <w:sz w:val="22"/>
              </w:rPr>
              <w:t>Schedule 2 – new notification requirement for operators (objectives of operation)</w:t>
            </w:r>
          </w:p>
        </w:tc>
        <w:tc>
          <w:tcPr>
            <w:tcW w:w="4621" w:type="dxa"/>
          </w:tcPr>
          <w:p w:rsidR="00E55F70" w:rsidRDefault="004E127E" w:rsidP="004E127E">
            <w:pPr>
              <w:pStyle w:val="Paragraphbody"/>
              <w:jc w:val="left"/>
              <w:rPr>
                <w:rFonts w:ascii="Arial" w:hAnsi="Arial"/>
                <w:sz w:val="22"/>
              </w:rPr>
            </w:pPr>
            <w:r>
              <w:rPr>
                <w:rFonts w:ascii="Arial" w:hAnsi="Arial"/>
                <w:sz w:val="22"/>
              </w:rPr>
              <w:t>The regulations exempt the discharge of VTAs if the discharge is “for the purpose of killing vertebrate pests</w:t>
            </w:r>
            <w:r w:rsidR="00062D13">
              <w:rPr>
                <w:rFonts w:ascii="Arial" w:hAnsi="Arial"/>
                <w:sz w:val="22"/>
              </w:rPr>
              <w:t>”</w:t>
            </w:r>
            <w:r>
              <w:rPr>
                <w:rFonts w:ascii="Arial" w:hAnsi="Arial"/>
                <w:sz w:val="22"/>
              </w:rPr>
              <w:t xml:space="preserve"> (in the case of sodium fluoroacetate and brodifacoum) or</w:t>
            </w:r>
            <w:r w:rsidR="00062D13">
              <w:rPr>
                <w:rFonts w:ascii="Arial" w:hAnsi="Arial"/>
                <w:sz w:val="22"/>
              </w:rPr>
              <w:t xml:space="preserve"> “for the purpose of</w:t>
            </w:r>
            <w:r>
              <w:rPr>
                <w:rFonts w:ascii="Arial" w:hAnsi="Arial"/>
                <w:sz w:val="22"/>
              </w:rPr>
              <w:t xml:space="preserve"> killing fish</w:t>
            </w:r>
            <w:r w:rsidR="00062D13">
              <w:rPr>
                <w:rFonts w:ascii="Arial" w:hAnsi="Arial"/>
                <w:sz w:val="22"/>
              </w:rPr>
              <w:t>”</w:t>
            </w:r>
            <w:r>
              <w:rPr>
                <w:rFonts w:ascii="Arial" w:hAnsi="Arial"/>
                <w:sz w:val="22"/>
              </w:rPr>
              <w:t xml:space="preserve"> (in the case of rotenone). </w:t>
            </w:r>
          </w:p>
          <w:p w:rsidR="004E127E" w:rsidRDefault="004E127E" w:rsidP="004E127E">
            <w:pPr>
              <w:pStyle w:val="Paragraphbody"/>
              <w:jc w:val="left"/>
              <w:rPr>
                <w:rFonts w:ascii="Arial" w:hAnsi="Arial"/>
                <w:sz w:val="22"/>
              </w:rPr>
            </w:pPr>
            <w:r>
              <w:rPr>
                <w:rFonts w:ascii="Arial" w:hAnsi="Arial"/>
                <w:sz w:val="22"/>
              </w:rPr>
              <w:t xml:space="preserve">To help </w:t>
            </w:r>
            <w:r w:rsidR="00062D13">
              <w:rPr>
                <w:rFonts w:ascii="Arial" w:hAnsi="Arial"/>
                <w:sz w:val="22"/>
              </w:rPr>
              <w:t>establish the</w:t>
            </w:r>
            <w:r>
              <w:rPr>
                <w:rFonts w:ascii="Arial" w:hAnsi="Arial"/>
                <w:sz w:val="22"/>
              </w:rPr>
              <w:t xml:space="preserve"> </w:t>
            </w:r>
            <w:r w:rsidR="00062D13">
              <w:rPr>
                <w:rFonts w:ascii="Arial" w:hAnsi="Arial"/>
                <w:sz w:val="22"/>
              </w:rPr>
              <w:t>“</w:t>
            </w:r>
            <w:r>
              <w:rPr>
                <w:rFonts w:ascii="Arial" w:hAnsi="Arial"/>
                <w:sz w:val="22"/>
              </w:rPr>
              <w:t>purpose</w:t>
            </w:r>
            <w:r w:rsidR="00062D13">
              <w:rPr>
                <w:rFonts w:ascii="Arial" w:hAnsi="Arial"/>
                <w:sz w:val="22"/>
              </w:rPr>
              <w:t>”</w:t>
            </w:r>
            <w:r>
              <w:rPr>
                <w:rFonts w:ascii="Arial" w:hAnsi="Arial"/>
                <w:sz w:val="22"/>
              </w:rPr>
              <w:t xml:space="preserve"> of the discharge</w:t>
            </w:r>
            <w:r w:rsidR="00062D13">
              <w:rPr>
                <w:rFonts w:ascii="Arial" w:hAnsi="Arial"/>
                <w:sz w:val="22"/>
              </w:rPr>
              <w:t xml:space="preserve"> in accordance with these regulations,</w:t>
            </w:r>
            <w:r>
              <w:rPr>
                <w:rFonts w:ascii="Arial" w:hAnsi="Arial"/>
                <w:sz w:val="22"/>
              </w:rPr>
              <w:t xml:space="preserve"> the drafting </w:t>
            </w:r>
            <w:r w:rsidR="00062D13">
              <w:rPr>
                <w:rFonts w:ascii="Arial" w:hAnsi="Arial"/>
                <w:sz w:val="22"/>
              </w:rPr>
              <w:t xml:space="preserve">now </w:t>
            </w:r>
            <w:r>
              <w:rPr>
                <w:rFonts w:ascii="Arial" w:hAnsi="Arial"/>
                <w:sz w:val="22"/>
              </w:rPr>
              <w:t>adds a requirement for operators to notify regional councils of the “objectives of the proposed discharge”.</w:t>
            </w:r>
          </w:p>
        </w:tc>
      </w:tr>
      <w:tr w:rsidR="00F35373" w:rsidTr="00765890">
        <w:tc>
          <w:tcPr>
            <w:tcW w:w="4621" w:type="dxa"/>
          </w:tcPr>
          <w:p w:rsidR="00F35373" w:rsidRDefault="00F5780C" w:rsidP="00F5780C">
            <w:pPr>
              <w:pStyle w:val="Paragraphbody"/>
              <w:jc w:val="left"/>
              <w:rPr>
                <w:rFonts w:ascii="Arial" w:hAnsi="Arial"/>
                <w:sz w:val="22"/>
              </w:rPr>
            </w:pPr>
            <w:r>
              <w:rPr>
                <w:rFonts w:ascii="Arial" w:hAnsi="Arial"/>
                <w:sz w:val="22"/>
              </w:rPr>
              <w:t>Schedule 2 –  new notification requirement for operators (provision of contact details)</w:t>
            </w:r>
          </w:p>
        </w:tc>
        <w:tc>
          <w:tcPr>
            <w:tcW w:w="4621" w:type="dxa"/>
          </w:tcPr>
          <w:p w:rsidR="00F35373" w:rsidRDefault="004E127E" w:rsidP="004E127E">
            <w:pPr>
              <w:pStyle w:val="Paragraphbody"/>
              <w:jc w:val="left"/>
              <w:rPr>
                <w:rFonts w:ascii="Arial" w:hAnsi="Arial"/>
                <w:sz w:val="22"/>
              </w:rPr>
            </w:pPr>
            <w:r>
              <w:rPr>
                <w:rFonts w:ascii="Arial" w:hAnsi="Arial"/>
                <w:sz w:val="22"/>
              </w:rPr>
              <w:t>In response to stakeholder comments t</w:t>
            </w:r>
            <w:r w:rsidR="00F35373">
              <w:rPr>
                <w:rFonts w:ascii="Arial" w:hAnsi="Arial"/>
                <w:sz w:val="22"/>
              </w:rPr>
              <w:t xml:space="preserve">he drafting </w:t>
            </w:r>
            <w:r>
              <w:rPr>
                <w:rFonts w:ascii="Arial" w:hAnsi="Arial"/>
                <w:sz w:val="22"/>
              </w:rPr>
              <w:t xml:space="preserve">now </w:t>
            </w:r>
            <w:r w:rsidR="00F35373">
              <w:rPr>
                <w:rFonts w:ascii="Arial" w:hAnsi="Arial"/>
                <w:sz w:val="22"/>
              </w:rPr>
              <w:t>adds a requirement for operators to provide their contact details (or, if the operator is acting as agent for another person, the details of that person). This is to ensure that councils can seek more information from operators if required.</w:t>
            </w:r>
          </w:p>
        </w:tc>
      </w:tr>
    </w:tbl>
    <w:p w:rsidR="007E32C3" w:rsidRPr="00765890" w:rsidRDefault="007E32C3" w:rsidP="00035C30">
      <w:pPr>
        <w:pStyle w:val="Paragraphbody"/>
        <w:jc w:val="left"/>
        <w:rPr>
          <w:rFonts w:ascii="Arial" w:hAnsi="Arial"/>
          <w:sz w:val="22"/>
        </w:rPr>
      </w:pPr>
    </w:p>
    <w:p w:rsidR="00035C30" w:rsidRPr="00E246BE" w:rsidRDefault="00035C30" w:rsidP="00035C30">
      <w:pPr>
        <w:pStyle w:val="Heading1"/>
        <w:spacing w:before="360" w:after="120"/>
        <w:jc w:val="left"/>
      </w:pPr>
      <w:r>
        <w:t>Timing and 28-day rule</w:t>
      </w:r>
    </w:p>
    <w:p w:rsidR="00035C30" w:rsidRPr="008E0463" w:rsidRDefault="00740BB2" w:rsidP="00035C30">
      <w:pPr>
        <w:pStyle w:val="Paragraphbody"/>
        <w:numPr>
          <w:ilvl w:val="0"/>
          <w:numId w:val="1"/>
        </w:numPr>
        <w:jc w:val="left"/>
        <w:rPr>
          <w:rFonts w:ascii="Arial" w:hAnsi="Arial" w:cs="Arial"/>
          <w:sz w:val="22"/>
        </w:rPr>
      </w:pPr>
      <w:r>
        <w:rPr>
          <w:rFonts w:ascii="Arial" w:hAnsi="Arial" w:cs="Arial"/>
          <w:sz w:val="22"/>
        </w:rPr>
        <w:t xml:space="preserve">Following usual procedures including the 28-day rule, I expect this regulation to take effect during April. </w:t>
      </w:r>
    </w:p>
    <w:p w:rsidR="00035C30" w:rsidRDefault="00035C30" w:rsidP="00035C30">
      <w:pPr>
        <w:pStyle w:val="Heading1"/>
        <w:spacing w:before="360" w:after="120"/>
        <w:jc w:val="left"/>
      </w:pPr>
      <w:r>
        <w:t>Compliance</w:t>
      </w:r>
    </w:p>
    <w:p w:rsidR="00035C30" w:rsidRDefault="00035C30" w:rsidP="00035C30">
      <w:pPr>
        <w:pStyle w:val="Paragraphbody"/>
        <w:numPr>
          <w:ilvl w:val="0"/>
          <w:numId w:val="1"/>
        </w:numPr>
        <w:jc w:val="left"/>
        <w:rPr>
          <w:rFonts w:ascii="Arial" w:hAnsi="Arial" w:cs="Arial"/>
          <w:sz w:val="22"/>
          <w:szCs w:val="22"/>
        </w:rPr>
      </w:pPr>
      <w:r w:rsidRPr="008E0463">
        <w:rPr>
          <w:rFonts w:ascii="Arial" w:hAnsi="Arial" w:cs="Arial"/>
          <w:sz w:val="22"/>
          <w:szCs w:val="22"/>
        </w:rPr>
        <w:t>These regulations comply with each of the following:</w:t>
      </w:r>
    </w:p>
    <w:p w:rsidR="000C257E" w:rsidRPr="00A342E2" w:rsidRDefault="000C257E" w:rsidP="000C257E">
      <w:pPr>
        <w:pStyle w:val="Heading1"/>
        <w:spacing w:before="360" w:after="120"/>
        <w:ind w:left="360"/>
        <w:jc w:val="left"/>
        <w:rPr>
          <w:b w:val="0"/>
          <w:sz w:val="22"/>
          <w:szCs w:val="22"/>
        </w:rPr>
      </w:pPr>
      <w:r>
        <w:rPr>
          <w:b w:val="0"/>
          <w:bCs w:val="0"/>
          <w:sz w:val="22"/>
          <w:szCs w:val="22"/>
          <w:lang w:val="en-NZ"/>
        </w:rPr>
        <w:t>13</w:t>
      </w:r>
      <w:r w:rsidRPr="00A342E2">
        <w:rPr>
          <w:b w:val="0"/>
          <w:sz w:val="22"/>
          <w:szCs w:val="22"/>
        </w:rPr>
        <w:t>.1 the principles of the Treaty of Waitangi;</w:t>
      </w:r>
    </w:p>
    <w:p w:rsidR="000C257E" w:rsidRPr="004B086F" w:rsidRDefault="000C257E" w:rsidP="000C257E">
      <w:pPr>
        <w:pStyle w:val="Heading1"/>
        <w:spacing w:before="360" w:after="120"/>
        <w:ind w:left="360"/>
        <w:jc w:val="left"/>
        <w:rPr>
          <w:b w:val="0"/>
          <w:sz w:val="22"/>
          <w:szCs w:val="22"/>
        </w:rPr>
      </w:pPr>
      <w:r>
        <w:rPr>
          <w:b w:val="0"/>
          <w:sz w:val="22"/>
          <w:szCs w:val="22"/>
        </w:rPr>
        <w:t>13</w:t>
      </w:r>
      <w:r w:rsidRPr="004B086F">
        <w:rPr>
          <w:b w:val="0"/>
          <w:sz w:val="22"/>
          <w:szCs w:val="22"/>
        </w:rPr>
        <w:t>.2 the rights and freedoms contained in the New Zealand Bill of Rights Act 1990 or the Human Rights Act 1993; </w:t>
      </w:r>
    </w:p>
    <w:p w:rsidR="000C257E" w:rsidRDefault="000C257E" w:rsidP="000C257E">
      <w:pPr>
        <w:pStyle w:val="Heading1"/>
        <w:spacing w:before="360" w:after="120"/>
        <w:ind w:left="360"/>
        <w:jc w:val="left"/>
        <w:rPr>
          <w:b w:val="0"/>
          <w:sz w:val="22"/>
          <w:szCs w:val="22"/>
        </w:rPr>
      </w:pPr>
      <w:r>
        <w:rPr>
          <w:b w:val="0"/>
          <w:sz w:val="22"/>
          <w:szCs w:val="22"/>
        </w:rPr>
        <w:t>13</w:t>
      </w:r>
      <w:r w:rsidRPr="004B086F">
        <w:rPr>
          <w:b w:val="0"/>
          <w:sz w:val="22"/>
          <w:szCs w:val="22"/>
        </w:rPr>
        <w:t>.3 the principles and guidelines set out in the Privacy Act 1993</w:t>
      </w:r>
      <w:r>
        <w:rPr>
          <w:b w:val="0"/>
          <w:sz w:val="22"/>
          <w:szCs w:val="22"/>
        </w:rPr>
        <w:t>;</w:t>
      </w:r>
      <w:r w:rsidRPr="004B086F">
        <w:rPr>
          <w:b w:val="0"/>
          <w:sz w:val="22"/>
          <w:szCs w:val="22"/>
        </w:rPr>
        <w:t xml:space="preserve"> </w:t>
      </w:r>
    </w:p>
    <w:p w:rsidR="000C257E" w:rsidRPr="004B086F" w:rsidRDefault="000C257E" w:rsidP="000C257E">
      <w:pPr>
        <w:pStyle w:val="Heading1"/>
        <w:spacing w:before="360" w:after="120"/>
        <w:ind w:left="360"/>
        <w:jc w:val="left"/>
        <w:rPr>
          <w:b w:val="0"/>
          <w:sz w:val="22"/>
          <w:szCs w:val="22"/>
        </w:rPr>
      </w:pPr>
      <w:r>
        <w:rPr>
          <w:b w:val="0"/>
          <w:sz w:val="22"/>
          <w:szCs w:val="22"/>
        </w:rPr>
        <w:t>13</w:t>
      </w:r>
      <w:r w:rsidRPr="004B086F">
        <w:rPr>
          <w:b w:val="0"/>
          <w:sz w:val="22"/>
          <w:szCs w:val="22"/>
        </w:rPr>
        <w:t>.4 relevant internati</w:t>
      </w:r>
      <w:r>
        <w:rPr>
          <w:b w:val="0"/>
          <w:sz w:val="22"/>
          <w:szCs w:val="22"/>
        </w:rPr>
        <w:t>onal standards and obligations; and</w:t>
      </w:r>
    </w:p>
    <w:p w:rsidR="000C257E" w:rsidRDefault="000C257E" w:rsidP="000C257E">
      <w:pPr>
        <w:pStyle w:val="Heading1"/>
        <w:spacing w:before="360" w:after="120"/>
        <w:ind w:left="360"/>
        <w:jc w:val="left"/>
        <w:rPr>
          <w:b w:val="0"/>
          <w:sz w:val="22"/>
          <w:szCs w:val="22"/>
        </w:rPr>
      </w:pPr>
      <w:r>
        <w:rPr>
          <w:b w:val="0"/>
          <w:sz w:val="22"/>
          <w:szCs w:val="22"/>
        </w:rPr>
        <w:t>13</w:t>
      </w:r>
      <w:r w:rsidRPr="004B086F">
        <w:rPr>
          <w:b w:val="0"/>
          <w:sz w:val="22"/>
          <w:szCs w:val="22"/>
        </w:rPr>
        <w:t xml:space="preserve">.5 the </w:t>
      </w:r>
      <w:r w:rsidRPr="004B086F">
        <w:rPr>
          <w:rStyle w:val="Emphasis"/>
          <w:b w:val="0"/>
          <w:sz w:val="22"/>
          <w:szCs w:val="22"/>
        </w:rPr>
        <w:t>LAC Guidelines on the Process and Content of Legislation</w:t>
      </w:r>
      <w:r w:rsidRPr="004B086F">
        <w:rPr>
          <w:b w:val="0"/>
          <w:sz w:val="22"/>
          <w:szCs w:val="22"/>
        </w:rPr>
        <w:t xml:space="preserve"> (2014 edition), which are maintained by the Legislation Design and Advisory Committee.</w:t>
      </w:r>
    </w:p>
    <w:p w:rsidR="000C257E" w:rsidRPr="00262301" w:rsidRDefault="00C2282D" w:rsidP="00262301">
      <w:pPr>
        <w:pStyle w:val="Heading1"/>
        <w:spacing w:before="360" w:after="120"/>
        <w:ind w:left="426" w:hanging="426"/>
        <w:jc w:val="left"/>
        <w:rPr>
          <w:b w:val="0"/>
          <w:sz w:val="22"/>
          <w:szCs w:val="22"/>
        </w:rPr>
      </w:pPr>
      <w:r>
        <w:rPr>
          <w:b w:val="0"/>
          <w:sz w:val="22"/>
          <w:szCs w:val="22"/>
        </w:rPr>
        <w:t>14</w:t>
      </w:r>
      <w:r w:rsidR="000C257E" w:rsidRPr="00442AB6">
        <w:rPr>
          <w:b w:val="0"/>
          <w:sz w:val="22"/>
          <w:szCs w:val="22"/>
        </w:rPr>
        <w:t xml:space="preserve">. </w:t>
      </w:r>
      <w:r w:rsidR="000C257E" w:rsidRPr="00442AB6">
        <w:rPr>
          <w:b w:val="0"/>
          <w:color w:val="000000"/>
          <w:sz w:val="22"/>
          <w:szCs w:val="22"/>
        </w:rPr>
        <w:t xml:space="preserve"> </w:t>
      </w:r>
      <w:r w:rsidR="000C257E">
        <w:rPr>
          <w:b w:val="0"/>
          <w:color w:val="000000"/>
          <w:sz w:val="22"/>
          <w:szCs w:val="22"/>
        </w:rPr>
        <w:t xml:space="preserve">There are no specific statutory prerequisites for the making of these regulations. The regulations are consistent with the purpose and principles of the RMA, and all other relevant legislation including the Waikato-Tainui Raupatu Claims (Waikato River) Settlement Act 2010. </w:t>
      </w:r>
    </w:p>
    <w:p w:rsidR="000C257E" w:rsidRPr="00EA22F8" w:rsidRDefault="000C257E" w:rsidP="000C257E">
      <w:pPr>
        <w:pStyle w:val="Heading1"/>
        <w:spacing w:before="360" w:after="120"/>
        <w:jc w:val="left"/>
      </w:pPr>
      <w:r>
        <w:t>Regulations Review Committee</w:t>
      </w:r>
    </w:p>
    <w:p w:rsidR="000C257E" w:rsidRDefault="00C2282D" w:rsidP="000C257E">
      <w:pPr>
        <w:pStyle w:val="Heading1"/>
        <w:spacing w:before="360" w:after="120"/>
        <w:ind w:left="426" w:hanging="426"/>
        <w:jc w:val="left"/>
        <w:rPr>
          <w:b w:val="0"/>
          <w:sz w:val="22"/>
          <w:szCs w:val="22"/>
        </w:rPr>
      </w:pPr>
      <w:r>
        <w:rPr>
          <w:b w:val="0"/>
          <w:sz w:val="22"/>
          <w:szCs w:val="22"/>
        </w:rPr>
        <w:t>15</w:t>
      </w:r>
      <w:r w:rsidR="000C257E" w:rsidRPr="008E0463">
        <w:rPr>
          <w:b w:val="0"/>
          <w:sz w:val="22"/>
          <w:szCs w:val="22"/>
        </w:rPr>
        <w:t xml:space="preserve">. </w:t>
      </w:r>
      <w:r w:rsidR="000C257E" w:rsidRPr="00442AB6">
        <w:rPr>
          <w:b w:val="0"/>
          <w:sz w:val="22"/>
          <w:szCs w:val="22"/>
        </w:rPr>
        <w:t xml:space="preserve"> </w:t>
      </w:r>
      <w:r w:rsidR="000C257E">
        <w:rPr>
          <w:b w:val="0"/>
          <w:sz w:val="22"/>
          <w:szCs w:val="22"/>
        </w:rPr>
        <w:t>I do not consider there are any grounds for the Regulations Review Committee to draw the regulations to the attention of the House of Representatives under Standing Order 319.</w:t>
      </w:r>
    </w:p>
    <w:p w:rsidR="00035C30" w:rsidRPr="00EA22F8" w:rsidRDefault="00035C30" w:rsidP="00035C30">
      <w:pPr>
        <w:pStyle w:val="Heading1"/>
        <w:spacing w:before="360" w:after="120"/>
        <w:jc w:val="left"/>
      </w:pPr>
      <w:r>
        <w:t>Certification by Parliamentary Counsel</w:t>
      </w:r>
    </w:p>
    <w:p w:rsidR="00035C30" w:rsidRPr="00CF376C" w:rsidRDefault="00C2282D" w:rsidP="00CF376C">
      <w:pPr>
        <w:pStyle w:val="Heading1"/>
        <w:spacing w:before="360" w:after="120"/>
        <w:ind w:left="426" w:hanging="426"/>
        <w:jc w:val="left"/>
        <w:rPr>
          <w:sz w:val="22"/>
          <w:szCs w:val="22"/>
          <w:lang w:val="en-NZ"/>
        </w:rPr>
      </w:pPr>
      <w:r>
        <w:rPr>
          <w:b w:val="0"/>
          <w:sz w:val="22"/>
          <w:szCs w:val="22"/>
        </w:rPr>
        <w:t>16</w:t>
      </w:r>
      <w:r w:rsidR="00035C30" w:rsidRPr="008E0463">
        <w:rPr>
          <w:b w:val="0"/>
          <w:sz w:val="22"/>
          <w:szCs w:val="22"/>
        </w:rPr>
        <w:t xml:space="preserve">. </w:t>
      </w:r>
      <w:r w:rsidR="00CF376C" w:rsidRPr="00CF376C">
        <w:rPr>
          <w:b w:val="0"/>
          <w:sz w:val="22"/>
          <w:szCs w:val="22"/>
        </w:rPr>
        <w:t>The amendment regulations have been certified by Parliamentary Counsel as being in order for submission to Cabinet.</w:t>
      </w:r>
    </w:p>
    <w:p w:rsidR="00035C30" w:rsidRDefault="00035C30" w:rsidP="00904215">
      <w:pPr>
        <w:pStyle w:val="Heading1"/>
        <w:spacing w:before="360" w:after="120"/>
        <w:jc w:val="left"/>
      </w:pPr>
      <w:r w:rsidRPr="00EA22F8">
        <w:t>Regulatory impact analysis</w:t>
      </w:r>
    </w:p>
    <w:p w:rsidR="00035C30" w:rsidRDefault="00C2282D" w:rsidP="00966829">
      <w:pPr>
        <w:pStyle w:val="Paragraphbody"/>
        <w:ind w:left="426" w:hanging="426"/>
        <w:jc w:val="left"/>
        <w:rPr>
          <w:rFonts w:ascii="Arial" w:hAnsi="Arial" w:cs="Arial"/>
          <w:sz w:val="22"/>
        </w:rPr>
      </w:pPr>
      <w:r>
        <w:rPr>
          <w:rFonts w:ascii="Arial" w:hAnsi="Arial" w:cs="Arial"/>
          <w:sz w:val="22"/>
        </w:rPr>
        <w:t>17</w:t>
      </w:r>
      <w:r w:rsidR="007E1B1E">
        <w:rPr>
          <w:rFonts w:ascii="Arial" w:hAnsi="Arial" w:cs="Arial"/>
          <w:sz w:val="22"/>
        </w:rPr>
        <w:t xml:space="preserve">. </w:t>
      </w:r>
      <w:r w:rsidR="00966829">
        <w:rPr>
          <w:rFonts w:ascii="Arial" w:hAnsi="Arial" w:cs="Arial"/>
          <w:sz w:val="22"/>
        </w:rPr>
        <w:t xml:space="preserve"> </w:t>
      </w:r>
      <w:r w:rsidR="00035C30" w:rsidRPr="00F86008">
        <w:rPr>
          <w:rFonts w:ascii="Arial" w:hAnsi="Arial" w:cs="Arial"/>
          <w:sz w:val="22"/>
        </w:rPr>
        <w:t>A Regulatory Impact Statement (RIS) was first submitted in March 2016, when Cabinet approved the policy proposal for consultation. The RIS was updated</w:t>
      </w:r>
      <w:r w:rsidR="00035C30">
        <w:rPr>
          <w:rFonts w:ascii="Arial" w:hAnsi="Arial" w:cs="Arial"/>
          <w:sz w:val="22"/>
        </w:rPr>
        <w:t xml:space="preserve"> following further policy analysis</w:t>
      </w:r>
      <w:r w:rsidR="00035C30" w:rsidRPr="00F86008">
        <w:rPr>
          <w:rFonts w:ascii="Arial" w:hAnsi="Arial" w:cs="Arial"/>
          <w:sz w:val="22"/>
        </w:rPr>
        <w:t xml:space="preserve">, and submitted when final policy decisions were made in August 2016. The Ministry for the Environment’s Regulatory Impact Analysis Panel reviewed the August 2016 RIS, and considered that it met the quality assessment criteria. No further changes to the RIS </w:t>
      </w:r>
      <w:r w:rsidR="00035C30">
        <w:rPr>
          <w:rFonts w:ascii="Arial" w:hAnsi="Arial" w:cs="Arial"/>
          <w:sz w:val="22"/>
        </w:rPr>
        <w:t>are</w:t>
      </w:r>
      <w:r w:rsidR="00035C30" w:rsidRPr="00F86008">
        <w:rPr>
          <w:rFonts w:ascii="Arial" w:hAnsi="Arial" w:cs="Arial"/>
          <w:sz w:val="22"/>
        </w:rPr>
        <w:t xml:space="preserve"> required following consultation</w:t>
      </w:r>
      <w:r w:rsidR="00035C30">
        <w:rPr>
          <w:rFonts w:ascii="Arial" w:hAnsi="Arial" w:cs="Arial"/>
          <w:sz w:val="22"/>
        </w:rPr>
        <w:t xml:space="preserve"> </w:t>
      </w:r>
      <w:r w:rsidR="00035C30" w:rsidRPr="00F86008">
        <w:rPr>
          <w:rFonts w:ascii="Arial" w:hAnsi="Arial" w:cs="Arial"/>
          <w:sz w:val="22"/>
        </w:rPr>
        <w:t xml:space="preserve">on </w:t>
      </w:r>
      <w:r w:rsidR="00035C30">
        <w:rPr>
          <w:rFonts w:ascii="Arial" w:hAnsi="Arial" w:cs="Arial"/>
          <w:sz w:val="22"/>
        </w:rPr>
        <w:t>exposure draft</w:t>
      </w:r>
      <w:r w:rsidR="00035C30" w:rsidRPr="00F86008">
        <w:rPr>
          <w:rFonts w:ascii="Arial" w:hAnsi="Arial" w:cs="Arial"/>
          <w:sz w:val="22"/>
        </w:rPr>
        <w:t xml:space="preserve"> regulations.  </w:t>
      </w:r>
    </w:p>
    <w:p w:rsidR="00035C30" w:rsidRDefault="00035C30" w:rsidP="00035C30">
      <w:pPr>
        <w:pStyle w:val="Heading1"/>
        <w:spacing w:before="360" w:after="120"/>
        <w:jc w:val="left"/>
      </w:pPr>
      <w:r w:rsidRPr="00EA22F8">
        <w:t>Publicity</w:t>
      </w:r>
    </w:p>
    <w:p w:rsidR="00C2282D" w:rsidRDefault="00C2282D" w:rsidP="00C2282D">
      <w:pPr>
        <w:pStyle w:val="Paragraphbody"/>
        <w:ind w:left="426" w:hanging="426"/>
        <w:jc w:val="left"/>
        <w:rPr>
          <w:rFonts w:ascii="Arial" w:hAnsi="Arial" w:cs="Arial"/>
          <w:sz w:val="22"/>
        </w:rPr>
      </w:pPr>
      <w:r>
        <w:rPr>
          <w:rFonts w:ascii="Arial" w:hAnsi="Arial" w:cs="Arial"/>
          <w:sz w:val="22"/>
        </w:rPr>
        <w:t>18</w:t>
      </w:r>
      <w:r w:rsidR="00DC6B36">
        <w:rPr>
          <w:rFonts w:ascii="Arial" w:hAnsi="Arial" w:cs="Arial"/>
          <w:sz w:val="22"/>
        </w:rPr>
        <w:t xml:space="preserve">. </w:t>
      </w:r>
      <w:r w:rsidR="00035C30" w:rsidRPr="00F86008">
        <w:rPr>
          <w:rFonts w:ascii="Arial" w:hAnsi="Arial" w:cs="Arial"/>
          <w:sz w:val="22"/>
        </w:rPr>
        <w:t xml:space="preserve">A press release will be issued to publicise the new regulations. </w:t>
      </w:r>
    </w:p>
    <w:p w:rsidR="007E1B1E" w:rsidRDefault="00C2282D" w:rsidP="000B3A52">
      <w:pPr>
        <w:pStyle w:val="Paragraphbody"/>
        <w:ind w:left="426" w:hanging="426"/>
        <w:jc w:val="left"/>
        <w:rPr>
          <w:rFonts w:ascii="Arial" w:hAnsi="Arial" w:cs="Arial"/>
          <w:sz w:val="22"/>
        </w:rPr>
      </w:pPr>
      <w:r>
        <w:rPr>
          <w:rFonts w:ascii="Arial" w:hAnsi="Arial" w:cs="Arial"/>
          <w:sz w:val="22"/>
        </w:rPr>
        <w:t>19</w:t>
      </w:r>
      <w:r w:rsidR="000F310E">
        <w:rPr>
          <w:rFonts w:ascii="Arial" w:hAnsi="Arial" w:cs="Arial"/>
          <w:sz w:val="22"/>
        </w:rPr>
        <w:t xml:space="preserve">. </w:t>
      </w:r>
      <w:r w:rsidR="007E1B1E" w:rsidRPr="00F86008">
        <w:rPr>
          <w:rFonts w:ascii="Arial" w:hAnsi="Arial" w:cs="Arial"/>
          <w:sz w:val="22"/>
        </w:rPr>
        <w:t>There may be reaction from anti-1080 (</w:t>
      </w:r>
      <w:r w:rsidR="007E1B1E" w:rsidRPr="00C91D80">
        <w:rPr>
          <w:rFonts w:ascii="Arial" w:hAnsi="Arial" w:cs="Arial"/>
          <w:sz w:val="22"/>
        </w:rPr>
        <w:t>sodium fluoroacetate</w:t>
      </w:r>
      <w:r w:rsidR="007E1B1E">
        <w:rPr>
          <w:rFonts w:ascii="Arial" w:hAnsi="Arial" w:cs="Arial"/>
          <w:sz w:val="22"/>
        </w:rPr>
        <w:t>)</w:t>
      </w:r>
      <w:r w:rsidR="007E1B1E" w:rsidRPr="00F86008">
        <w:rPr>
          <w:rFonts w:ascii="Arial" w:hAnsi="Arial" w:cs="Arial"/>
          <w:sz w:val="22"/>
        </w:rPr>
        <w:t xml:space="preserve"> groups. However as communicated throughout policy development, </w:t>
      </w:r>
      <w:r w:rsidR="007E1B1E" w:rsidRPr="005F44F8">
        <w:rPr>
          <w:rFonts w:ascii="Arial" w:hAnsi="Arial" w:cs="Arial"/>
          <w:sz w:val="22"/>
        </w:rPr>
        <w:t>this proposal is about simplifying the regulat</w:t>
      </w:r>
      <w:r w:rsidR="007E1B1E">
        <w:rPr>
          <w:rFonts w:ascii="Arial" w:hAnsi="Arial" w:cs="Arial"/>
          <w:sz w:val="22"/>
        </w:rPr>
        <w:t xml:space="preserve">ory framework applying to VTAs, </w:t>
      </w:r>
      <w:r w:rsidR="007E1B1E" w:rsidRPr="00F86008">
        <w:rPr>
          <w:rFonts w:ascii="Arial" w:hAnsi="Arial" w:cs="Arial"/>
          <w:sz w:val="22"/>
        </w:rPr>
        <w:t>rather than</w:t>
      </w:r>
      <w:r w:rsidR="007E1B1E">
        <w:rPr>
          <w:rFonts w:ascii="Arial" w:hAnsi="Arial" w:cs="Arial"/>
          <w:sz w:val="22"/>
        </w:rPr>
        <w:t xml:space="preserve"> focusing on</w:t>
      </w:r>
      <w:r w:rsidR="007E1B1E" w:rsidRPr="00F86008">
        <w:rPr>
          <w:rFonts w:ascii="Arial" w:hAnsi="Arial" w:cs="Arial"/>
          <w:sz w:val="22"/>
        </w:rPr>
        <w:t xml:space="preserve"> the use of VTAs </w:t>
      </w:r>
      <w:r w:rsidR="007E1B1E">
        <w:rPr>
          <w:rFonts w:ascii="Arial" w:hAnsi="Arial" w:cs="Arial"/>
          <w:sz w:val="22"/>
        </w:rPr>
        <w:t>themselves</w:t>
      </w:r>
      <w:r w:rsidR="007E1B1E" w:rsidRPr="00F86008">
        <w:rPr>
          <w:rFonts w:ascii="Arial" w:hAnsi="Arial" w:cs="Arial"/>
          <w:sz w:val="22"/>
        </w:rPr>
        <w:t xml:space="preserve">. </w:t>
      </w:r>
    </w:p>
    <w:p w:rsidR="008B43CA" w:rsidRDefault="00C2282D" w:rsidP="005620C3">
      <w:pPr>
        <w:pStyle w:val="Paragraphbody"/>
        <w:ind w:left="426" w:hanging="426"/>
        <w:jc w:val="left"/>
        <w:rPr>
          <w:rFonts w:ascii="Arial" w:hAnsi="Arial" w:cs="Arial"/>
          <w:sz w:val="22"/>
        </w:rPr>
      </w:pPr>
      <w:r>
        <w:rPr>
          <w:rFonts w:ascii="Arial" w:hAnsi="Arial" w:cs="Arial"/>
          <w:sz w:val="22"/>
        </w:rPr>
        <w:t>20</w:t>
      </w:r>
      <w:r w:rsidR="00DC6B36">
        <w:rPr>
          <w:rFonts w:ascii="Arial" w:hAnsi="Arial" w:cs="Arial"/>
          <w:sz w:val="22"/>
        </w:rPr>
        <w:t xml:space="preserve">. </w:t>
      </w:r>
      <w:r w:rsidR="005B026F">
        <w:rPr>
          <w:rFonts w:ascii="Arial" w:hAnsi="Arial" w:cs="Arial"/>
          <w:sz w:val="22"/>
        </w:rPr>
        <w:t>I propose that this paper, and the August 2016 Cabinet paper</w:t>
      </w:r>
      <w:r w:rsidR="00DF03E4">
        <w:rPr>
          <w:rFonts w:ascii="Arial" w:hAnsi="Arial" w:cs="Arial"/>
          <w:sz w:val="22"/>
        </w:rPr>
        <w:t xml:space="preserve"> [16-C-03489 refers]</w:t>
      </w:r>
      <w:r w:rsidR="005B026F">
        <w:rPr>
          <w:rFonts w:ascii="Arial" w:hAnsi="Arial" w:cs="Arial"/>
          <w:sz w:val="22"/>
        </w:rPr>
        <w:t xml:space="preserve"> which describes policy decisions, are proactively released at the same time as the regulations are publicised. </w:t>
      </w:r>
    </w:p>
    <w:p w:rsidR="005620C3" w:rsidRPr="005620C3" w:rsidRDefault="005620C3" w:rsidP="005620C3">
      <w:pPr>
        <w:pStyle w:val="Paragraphbody"/>
        <w:ind w:left="426" w:hanging="426"/>
        <w:jc w:val="left"/>
        <w:rPr>
          <w:rFonts w:ascii="Arial" w:hAnsi="Arial" w:cs="Arial"/>
          <w:sz w:val="22"/>
        </w:rPr>
      </w:pPr>
    </w:p>
    <w:p w:rsidR="00035C30" w:rsidRPr="00904215" w:rsidRDefault="00035C30" w:rsidP="00904215">
      <w:pPr>
        <w:pStyle w:val="Heading1"/>
        <w:spacing w:before="360" w:after="120"/>
        <w:jc w:val="left"/>
      </w:pPr>
      <w:r>
        <w:t>Consultation</w:t>
      </w:r>
    </w:p>
    <w:p w:rsidR="006E4F48" w:rsidRDefault="00C2282D" w:rsidP="006E4F48">
      <w:pPr>
        <w:pStyle w:val="Paragraphbody"/>
        <w:ind w:left="426" w:hanging="426"/>
        <w:jc w:val="left"/>
        <w:rPr>
          <w:rFonts w:ascii="Arial" w:hAnsi="Arial" w:cs="Arial"/>
          <w:sz w:val="22"/>
        </w:rPr>
      </w:pPr>
      <w:r>
        <w:rPr>
          <w:rFonts w:ascii="Arial" w:hAnsi="Arial" w:cs="Arial"/>
          <w:sz w:val="22"/>
        </w:rPr>
        <w:t xml:space="preserve">21.  </w:t>
      </w:r>
      <w:r w:rsidR="00715118" w:rsidRPr="00F86008">
        <w:rPr>
          <w:rFonts w:ascii="Arial" w:hAnsi="Arial" w:cs="Arial"/>
          <w:sz w:val="22"/>
        </w:rPr>
        <w:t>An Exposure Draft regulation was sent to select stakeholders in December 2016.</w:t>
      </w:r>
      <w:r w:rsidR="00715118">
        <w:rPr>
          <w:rFonts w:ascii="Arial" w:hAnsi="Arial" w:cs="Arial"/>
          <w:sz w:val="22"/>
        </w:rPr>
        <w:t xml:space="preserve"> These stakeholders included several regional councils, OSPRI (which operates the TBfreeNZ progra</w:t>
      </w:r>
      <w:r w:rsidR="00637237">
        <w:rPr>
          <w:rFonts w:ascii="Arial" w:hAnsi="Arial" w:cs="Arial"/>
          <w:sz w:val="22"/>
        </w:rPr>
        <w:t>m</w:t>
      </w:r>
      <w:r w:rsidR="00715118">
        <w:rPr>
          <w:rFonts w:ascii="Arial" w:hAnsi="Arial" w:cs="Arial"/>
          <w:sz w:val="22"/>
        </w:rPr>
        <w:t>m</w:t>
      </w:r>
      <w:r w:rsidR="00637237">
        <w:rPr>
          <w:rFonts w:ascii="Arial" w:hAnsi="Arial" w:cs="Arial"/>
          <w:sz w:val="22"/>
        </w:rPr>
        <w:t>e</w:t>
      </w:r>
      <w:r w:rsidR="00715118">
        <w:rPr>
          <w:rFonts w:ascii="Arial" w:hAnsi="Arial" w:cs="Arial"/>
          <w:sz w:val="22"/>
        </w:rPr>
        <w:t>), the</w:t>
      </w:r>
      <w:r w:rsidR="005569AA">
        <w:rPr>
          <w:rFonts w:ascii="Arial" w:hAnsi="Arial" w:cs="Arial"/>
          <w:sz w:val="22"/>
        </w:rPr>
        <w:t xml:space="preserve"> </w:t>
      </w:r>
      <w:r w:rsidR="00715118">
        <w:rPr>
          <w:rFonts w:ascii="Arial" w:hAnsi="Arial" w:cs="Arial"/>
          <w:sz w:val="22"/>
        </w:rPr>
        <w:t>Fish &amp; Game Council, an</w:t>
      </w:r>
      <w:r w:rsidR="00570CC6">
        <w:rPr>
          <w:rFonts w:ascii="Arial" w:hAnsi="Arial" w:cs="Arial"/>
          <w:sz w:val="22"/>
        </w:rPr>
        <w:t>d the Department of Conservation</w:t>
      </w:r>
      <w:r w:rsidR="00715118">
        <w:rPr>
          <w:rFonts w:ascii="Arial" w:hAnsi="Arial" w:cs="Arial"/>
          <w:sz w:val="22"/>
        </w:rPr>
        <w:t xml:space="preserve"> (DoC) speaking on behalf of Predator Free 2050 Ltd. The Environmental Protection Authority (EPA), Ministry for Primary Industries (MPI) and DoC also commented on the exposure draft. </w:t>
      </w:r>
      <w:r w:rsidR="00715118" w:rsidRPr="00F86008">
        <w:rPr>
          <w:rFonts w:ascii="Arial" w:hAnsi="Arial" w:cs="Arial"/>
          <w:sz w:val="22"/>
        </w:rPr>
        <w:t>Feedback received has assisted the Parliamentary Counsel Office in</w:t>
      </w:r>
      <w:r>
        <w:rPr>
          <w:rFonts w:ascii="Arial" w:hAnsi="Arial" w:cs="Arial"/>
          <w:sz w:val="22"/>
        </w:rPr>
        <w:t xml:space="preserve"> its drafting of the regulation.</w:t>
      </w:r>
    </w:p>
    <w:p w:rsidR="00035C30" w:rsidRDefault="00BB2670" w:rsidP="006E4F48">
      <w:pPr>
        <w:pStyle w:val="Paragraphbody"/>
        <w:ind w:left="426" w:hanging="426"/>
        <w:jc w:val="left"/>
        <w:rPr>
          <w:rFonts w:ascii="Arial" w:hAnsi="Arial" w:cs="Arial"/>
          <w:sz w:val="22"/>
        </w:rPr>
      </w:pPr>
      <w:r>
        <w:rPr>
          <w:rFonts w:ascii="Arial" w:hAnsi="Arial" w:cs="Arial"/>
          <w:sz w:val="22"/>
        </w:rPr>
        <w:t xml:space="preserve">22.  </w:t>
      </w:r>
      <w:r w:rsidR="00035C30">
        <w:rPr>
          <w:rFonts w:ascii="Arial" w:hAnsi="Arial" w:cs="Arial"/>
          <w:sz w:val="22"/>
        </w:rPr>
        <w:t xml:space="preserve">This paper was prepared by Ministry for the Environment. The EPA, MPI and DoC were consulted during the preparation of this paper. </w:t>
      </w:r>
    </w:p>
    <w:p w:rsidR="008B43CA" w:rsidRPr="008B43CA" w:rsidRDefault="003A41C5" w:rsidP="00BB2670">
      <w:pPr>
        <w:pStyle w:val="Paragraphbody"/>
        <w:numPr>
          <w:ilvl w:val="0"/>
          <w:numId w:val="14"/>
        </w:numPr>
        <w:ind w:left="426" w:hanging="426"/>
        <w:jc w:val="left"/>
        <w:rPr>
          <w:rFonts w:ascii="Arial" w:hAnsi="Arial" w:cs="Arial"/>
          <w:sz w:val="22"/>
        </w:rPr>
      </w:pPr>
      <w:r w:rsidRPr="00BA571A">
        <w:rPr>
          <w:rFonts w:ascii="Arial" w:hAnsi="Arial" w:cs="Arial"/>
          <w:sz w:val="22"/>
        </w:rPr>
        <w:t xml:space="preserve">The following agencies were informed of this paper: Ministry of Health, Land Information New Zealand, </w:t>
      </w:r>
      <w:r w:rsidR="00E11022">
        <w:rPr>
          <w:rFonts w:ascii="Arial" w:hAnsi="Arial" w:cs="Arial"/>
          <w:sz w:val="22"/>
        </w:rPr>
        <w:t xml:space="preserve">and the </w:t>
      </w:r>
      <w:r w:rsidRPr="00BA571A">
        <w:rPr>
          <w:rFonts w:ascii="Arial" w:hAnsi="Arial" w:cs="Arial"/>
          <w:sz w:val="22"/>
        </w:rPr>
        <w:t xml:space="preserve">Department of Prime Minister &amp; Cabinet. </w:t>
      </w:r>
    </w:p>
    <w:p w:rsidR="00035C30" w:rsidRPr="008B43CA" w:rsidRDefault="00035C30" w:rsidP="00035C30">
      <w:pPr>
        <w:pStyle w:val="Heading1"/>
        <w:spacing w:before="360" w:after="120"/>
        <w:jc w:val="left"/>
      </w:pPr>
      <w:r w:rsidRPr="008B43CA">
        <w:t xml:space="preserve">Recommendations </w:t>
      </w:r>
    </w:p>
    <w:p w:rsidR="00035C30" w:rsidRDefault="00035C30" w:rsidP="00035C30">
      <w:pPr>
        <w:pStyle w:val="Paragraphbody"/>
        <w:jc w:val="left"/>
        <w:rPr>
          <w:rFonts w:ascii="Arial" w:hAnsi="Arial" w:cs="Arial"/>
          <w:sz w:val="22"/>
          <w:szCs w:val="22"/>
        </w:rPr>
      </w:pPr>
      <w:r>
        <w:rPr>
          <w:rFonts w:ascii="Arial" w:hAnsi="Arial" w:cs="Arial"/>
          <w:sz w:val="22"/>
          <w:szCs w:val="22"/>
        </w:rPr>
        <w:t>The Minister for the Environment</w:t>
      </w:r>
      <w:r w:rsidRPr="00007A5D">
        <w:rPr>
          <w:rFonts w:ascii="Arial" w:hAnsi="Arial" w:cs="Arial"/>
          <w:sz w:val="22"/>
          <w:szCs w:val="22"/>
        </w:rPr>
        <w:t xml:space="preserve"> recommend</w:t>
      </w:r>
      <w:r>
        <w:rPr>
          <w:rFonts w:ascii="Arial" w:hAnsi="Arial" w:cs="Arial"/>
          <w:sz w:val="22"/>
          <w:szCs w:val="22"/>
        </w:rPr>
        <w:t xml:space="preserve">s that the </w:t>
      </w:r>
      <w:r w:rsidRPr="00007A5D">
        <w:rPr>
          <w:rFonts w:ascii="Arial" w:hAnsi="Arial" w:cs="Arial"/>
          <w:sz w:val="22"/>
          <w:szCs w:val="22"/>
        </w:rPr>
        <w:t>Committee:</w:t>
      </w:r>
    </w:p>
    <w:p w:rsidR="00026C47" w:rsidRDefault="00026C47" w:rsidP="00035C30">
      <w:pPr>
        <w:pStyle w:val="Paragraphbody"/>
        <w:jc w:val="left"/>
        <w:rPr>
          <w:rFonts w:ascii="Arial" w:hAnsi="Arial" w:cs="Arial"/>
          <w:sz w:val="22"/>
          <w:szCs w:val="22"/>
        </w:rPr>
      </w:pPr>
    </w:p>
    <w:p w:rsidR="00035C30" w:rsidRDefault="004C713B" w:rsidP="00A20878">
      <w:pPr>
        <w:pStyle w:val="Paragraphbody"/>
        <w:numPr>
          <w:ilvl w:val="0"/>
          <w:numId w:val="15"/>
        </w:numPr>
        <w:jc w:val="left"/>
        <w:rPr>
          <w:rFonts w:ascii="Arial" w:hAnsi="Arial" w:cs="Arial"/>
          <w:sz w:val="22"/>
        </w:rPr>
      </w:pPr>
      <w:r>
        <w:rPr>
          <w:rFonts w:ascii="Arial" w:hAnsi="Arial" w:cs="Arial"/>
          <w:b/>
          <w:sz w:val="22"/>
        </w:rPr>
        <w:t>n</w:t>
      </w:r>
      <w:r w:rsidR="00035C30" w:rsidRPr="00F86008">
        <w:rPr>
          <w:rFonts w:ascii="Arial" w:hAnsi="Arial" w:cs="Arial"/>
          <w:b/>
          <w:sz w:val="22"/>
        </w:rPr>
        <w:t>ote</w:t>
      </w:r>
      <w:r w:rsidR="00035C30" w:rsidRPr="00F86008">
        <w:rPr>
          <w:rFonts w:ascii="Arial" w:hAnsi="Arial" w:cs="Arial"/>
          <w:sz w:val="22"/>
        </w:rPr>
        <w:t xml:space="preserve"> that the </w:t>
      </w:r>
      <w:r w:rsidR="00035C30" w:rsidRPr="00407F9B">
        <w:rPr>
          <w:rFonts w:ascii="Arial" w:hAnsi="Arial" w:cs="Arial"/>
          <w:i/>
          <w:sz w:val="22"/>
        </w:rPr>
        <w:t>Resource Management (Exemptio</w:t>
      </w:r>
      <w:r w:rsidR="004F274F">
        <w:rPr>
          <w:rFonts w:ascii="Arial" w:hAnsi="Arial" w:cs="Arial"/>
          <w:i/>
          <w:sz w:val="22"/>
        </w:rPr>
        <w:t xml:space="preserve">n) Regulations </w:t>
      </w:r>
      <w:r w:rsidR="00035C30" w:rsidRPr="00407F9B">
        <w:rPr>
          <w:rFonts w:ascii="Arial" w:hAnsi="Arial" w:cs="Arial"/>
          <w:i/>
          <w:sz w:val="22"/>
        </w:rPr>
        <w:t>2017</w:t>
      </w:r>
      <w:r w:rsidR="00035C30" w:rsidRPr="00F86008">
        <w:rPr>
          <w:rFonts w:ascii="Arial" w:hAnsi="Arial" w:cs="Arial"/>
          <w:sz w:val="22"/>
        </w:rPr>
        <w:t xml:space="preserve"> give effect to the decision</w:t>
      </w:r>
      <w:r w:rsidR="00035C30">
        <w:rPr>
          <w:rFonts w:ascii="Arial" w:hAnsi="Arial" w:cs="Arial"/>
          <w:sz w:val="22"/>
        </w:rPr>
        <w:t>s</w:t>
      </w:r>
      <w:r w:rsidR="00035C30" w:rsidRPr="00F86008">
        <w:rPr>
          <w:rFonts w:ascii="Arial" w:hAnsi="Arial" w:cs="Arial"/>
          <w:sz w:val="22"/>
        </w:rPr>
        <w:t xml:space="preserve"> referred to in </w:t>
      </w:r>
      <w:r w:rsidR="001D64C0">
        <w:rPr>
          <w:rFonts w:ascii="Arial" w:hAnsi="Arial" w:cs="Arial"/>
          <w:sz w:val="22"/>
        </w:rPr>
        <w:t>EGI-16-MIN-0211;</w:t>
      </w:r>
    </w:p>
    <w:p w:rsidR="000C07F5" w:rsidRDefault="000C07F5" w:rsidP="000C07F5">
      <w:pPr>
        <w:pStyle w:val="Paragraphbody"/>
        <w:ind w:left="720"/>
        <w:jc w:val="left"/>
        <w:rPr>
          <w:rFonts w:ascii="Arial" w:hAnsi="Arial" w:cs="Arial"/>
          <w:sz w:val="22"/>
        </w:rPr>
      </w:pPr>
    </w:p>
    <w:p w:rsidR="004C5B44" w:rsidRDefault="00A17B65" w:rsidP="00A20878">
      <w:pPr>
        <w:pStyle w:val="Paragraphbody"/>
        <w:numPr>
          <w:ilvl w:val="0"/>
          <w:numId w:val="15"/>
        </w:numPr>
        <w:jc w:val="left"/>
        <w:rPr>
          <w:rFonts w:ascii="Arial" w:hAnsi="Arial" w:cs="Arial"/>
          <w:sz w:val="22"/>
        </w:rPr>
      </w:pPr>
      <w:r>
        <w:rPr>
          <w:rFonts w:ascii="Arial" w:hAnsi="Arial" w:cs="Arial"/>
          <w:b/>
          <w:sz w:val="22"/>
        </w:rPr>
        <w:t xml:space="preserve">approve </w:t>
      </w:r>
      <w:r w:rsidR="004C5B44">
        <w:rPr>
          <w:rFonts w:ascii="Arial" w:hAnsi="Arial" w:cs="Arial"/>
          <w:sz w:val="22"/>
        </w:rPr>
        <w:t xml:space="preserve">the </w:t>
      </w:r>
      <w:r w:rsidR="004B6CE6">
        <w:rPr>
          <w:rFonts w:ascii="Arial" w:hAnsi="Arial" w:cs="Arial"/>
          <w:sz w:val="22"/>
        </w:rPr>
        <w:t>additions and changes to the wording of</w:t>
      </w:r>
      <w:r w:rsidR="004C5B44">
        <w:rPr>
          <w:rFonts w:ascii="Arial" w:hAnsi="Arial" w:cs="Arial"/>
          <w:sz w:val="22"/>
        </w:rPr>
        <w:t xml:space="preserve"> regulations</w:t>
      </w:r>
      <w:r w:rsidR="00456CCA">
        <w:rPr>
          <w:rFonts w:ascii="Arial" w:hAnsi="Arial" w:cs="Arial"/>
          <w:sz w:val="22"/>
        </w:rPr>
        <w:t xml:space="preserve"> (from those used in EGI-16</w:t>
      </w:r>
      <w:r w:rsidR="00B50509">
        <w:rPr>
          <w:rFonts w:ascii="Arial" w:hAnsi="Arial" w:cs="Arial"/>
          <w:sz w:val="22"/>
        </w:rPr>
        <w:t xml:space="preserve">-MIN-0211), outlined in </w:t>
      </w:r>
      <w:r w:rsidR="003C5BCF">
        <w:rPr>
          <w:rFonts w:ascii="Arial" w:hAnsi="Arial" w:cs="Arial"/>
          <w:sz w:val="22"/>
        </w:rPr>
        <w:t xml:space="preserve">the </w:t>
      </w:r>
      <w:r w:rsidR="00B50509">
        <w:rPr>
          <w:rFonts w:ascii="Arial" w:hAnsi="Arial" w:cs="Arial"/>
          <w:sz w:val="22"/>
        </w:rPr>
        <w:t>‘</w:t>
      </w:r>
      <w:r w:rsidR="000265D7" w:rsidRPr="000265D7">
        <w:rPr>
          <w:rFonts w:ascii="Arial" w:hAnsi="Arial" w:cs="Arial"/>
          <w:sz w:val="22"/>
        </w:rPr>
        <w:t>Drafting clarifications and minor changes</w:t>
      </w:r>
      <w:r w:rsidR="00B50509" w:rsidRPr="000265D7">
        <w:rPr>
          <w:rFonts w:ascii="Arial" w:hAnsi="Arial" w:cs="Arial"/>
          <w:sz w:val="22"/>
        </w:rPr>
        <w:t>’</w:t>
      </w:r>
      <w:r w:rsidR="003C5BCF">
        <w:rPr>
          <w:rFonts w:ascii="Arial" w:hAnsi="Arial" w:cs="Arial"/>
          <w:sz w:val="22"/>
        </w:rPr>
        <w:t xml:space="preserve"> section</w:t>
      </w:r>
      <w:r w:rsidR="001D64C0">
        <w:rPr>
          <w:rFonts w:ascii="Arial" w:hAnsi="Arial" w:cs="Arial"/>
          <w:sz w:val="22"/>
        </w:rPr>
        <w:t xml:space="preserve"> of this paper;</w:t>
      </w:r>
    </w:p>
    <w:p w:rsidR="000C07F5" w:rsidRPr="00F86008" w:rsidRDefault="000C07F5" w:rsidP="000C07F5">
      <w:pPr>
        <w:pStyle w:val="Paragraphbody"/>
        <w:jc w:val="left"/>
        <w:rPr>
          <w:rFonts w:ascii="Arial" w:hAnsi="Arial" w:cs="Arial"/>
          <w:sz w:val="22"/>
        </w:rPr>
      </w:pPr>
    </w:p>
    <w:p w:rsidR="00035C30" w:rsidRDefault="00035C30" w:rsidP="00A20878">
      <w:pPr>
        <w:pStyle w:val="Paragraphbody"/>
        <w:numPr>
          <w:ilvl w:val="0"/>
          <w:numId w:val="15"/>
        </w:numPr>
        <w:jc w:val="left"/>
        <w:rPr>
          <w:rFonts w:ascii="Arial" w:hAnsi="Arial" w:cs="Arial"/>
          <w:sz w:val="22"/>
        </w:rPr>
      </w:pPr>
      <w:r w:rsidRPr="00F86008">
        <w:rPr>
          <w:rFonts w:ascii="Arial" w:hAnsi="Arial" w:cs="Arial"/>
          <w:b/>
          <w:sz w:val="22"/>
        </w:rPr>
        <w:t>authorise</w:t>
      </w:r>
      <w:r w:rsidRPr="00F86008">
        <w:rPr>
          <w:rFonts w:ascii="Arial" w:hAnsi="Arial" w:cs="Arial"/>
          <w:sz w:val="22"/>
        </w:rPr>
        <w:t xml:space="preserve"> the submission to the Executive Council of the </w:t>
      </w:r>
      <w:r w:rsidRPr="00407F9B">
        <w:rPr>
          <w:rFonts w:ascii="Arial" w:hAnsi="Arial" w:cs="Arial"/>
          <w:i/>
          <w:sz w:val="22"/>
        </w:rPr>
        <w:t>Resource Management (Exemption) Regulations</w:t>
      </w:r>
      <w:r w:rsidR="00814E2E">
        <w:rPr>
          <w:rFonts w:ascii="Arial" w:hAnsi="Arial" w:cs="Arial"/>
          <w:i/>
          <w:sz w:val="22"/>
        </w:rPr>
        <w:t xml:space="preserve"> </w:t>
      </w:r>
      <w:r w:rsidR="00C77A61">
        <w:rPr>
          <w:rFonts w:ascii="Arial" w:hAnsi="Arial" w:cs="Arial"/>
          <w:i/>
          <w:sz w:val="22"/>
        </w:rPr>
        <w:t>2017</w:t>
      </w:r>
      <w:r w:rsidR="00F82DE7">
        <w:rPr>
          <w:rFonts w:ascii="Arial" w:hAnsi="Arial" w:cs="Arial"/>
          <w:sz w:val="22"/>
        </w:rPr>
        <w:t xml:space="preserve">; </w:t>
      </w:r>
      <w:r w:rsidR="00BC59CC">
        <w:rPr>
          <w:rFonts w:ascii="Arial" w:hAnsi="Arial" w:cs="Arial"/>
          <w:sz w:val="22"/>
        </w:rPr>
        <w:t>and</w:t>
      </w:r>
    </w:p>
    <w:p w:rsidR="000C07F5" w:rsidRDefault="000C07F5" w:rsidP="000C07F5">
      <w:pPr>
        <w:pStyle w:val="Paragraphbody"/>
        <w:jc w:val="left"/>
        <w:rPr>
          <w:rFonts w:ascii="Arial" w:hAnsi="Arial" w:cs="Arial"/>
          <w:sz w:val="22"/>
        </w:rPr>
      </w:pPr>
    </w:p>
    <w:p w:rsidR="004B6CE6" w:rsidRPr="00F86008" w:rsidRDefault="00BD0D55" w:rsidP="00A20878">
      <w:pPr>
        <w:pStyle w:val="Paragraphbody"/>
        <w:numPr>
          <w:ilvl w:val="0"/>
          <w:numId w:val="15"/>
        </w:numPr>
        <w:jc w:val="left"/>
        <w:rPr>
          <w:rFonts w:ascii="Arial" w:hAnsi="Arial" w:cs="Arial"/>
          <w:sz w:val="22"/>
        </w:rPr>
      </w:pPr>
      <w:r>
        <w:rPr>
          <w:rFonts w:ascii="Arial" w:hAnsi="Arial" w:cs="Arial"/>
          <w:b/>
          <w:sz w:val="22"/>
        </w:rPr>
        <w:t>a</w:t>
      </w:r>
      <w:r w:rsidR="004B6CE6">
        <w:rPr>
          <w:rFonts w:ascii="Arial" w:hAnsi="Arial" w:cs="Arial"/>
          <w:b/>
          <w:sz w:val="22"/>
        </w:rPr>
        <w:t xml:space="preserve">uthorise </w:t>
      </w:r>
      <w:r>
        <w:rPr>
          <w:rFonts w:ascii="Arial" w:hAnsi="Arial" w:cs="Arial"/>
          <w:sz w:val="22"/>
        </w:rPr>
        <w:t>the proactive pub</w:t>
      </w:r>
      <w:r w:rsidR="00B2046A">
        <w:rPr>
          <w:rFonts w:ascii="Arial" w:hAnsi="Arial" w:cs="Arial"/>
          <w:sz w:val="22"/>
        </w:rPr>
        <w:t>lic release of this paper</w:t>
      </w:r>
      <w:r>
        <w:rPr>
          <w:rFonts w:ascii="Arial" w:hAnsi="Arial" w:cs="Arial"/>
          <w:sz w:val="22"/>
        </w:rPr>
        <w:t>,</w:t>
      </w:r>
      <w:r w:rsidR="00B2046A">
        <w:rPr>
          <w:rFonts w:ascii="Arial" w:hAnsi="Arial" w:cs="Arial"/>
          <w:sz w:val="22"/>
        </w:rPr>
        <w:t xml:space="preserve"> and the August 2016 Cabinet paper which describes policy decisions</w:t>
      </w:r>
      <w:r w:rsidR="00E43194">
        <w:rPr>
          <w:rFonts w:ascii="Arial" w:hAnsi="Arial" w:cs="Arial"/>
          <w:sz w:val="22"/>
        </w:rPr>
        <w:t>,</w:t>
      </w:r>
      <w:r w:rsidR="003C5BCF">
        <w:rPr>
          <w:rFonts w:ascii="Arial" w:hAnsi="Arial" w:cs="Arial"/>
          <w:sz w:val="22"/>
        </w:rPr>
        <w:t xml:space="preserve"> at the time the</w:t>
      </w:r>
      <w:r w:rsidR="00E75288">
        <w:rPr>
          <w:rFonts w:ascii="Arial" w:hAnsi="Arial" w:cs="Arial"/>
          <w:sz w:val="22"/>
        </w:rPr>
        <w:t xml:space="preserve"> regulations</w:t>
      </w:r>
      <w:r>
        <w:rPr>
          <w:rFonts w:ascii="Arial" w:hAnsi="Arial" w:cs="Arial"/>
          <w:sz w:val="22"/>
        </w:rPr>
        <w:t xml:space="preserve"> are promulgated. </w:t>
      </w:r>
    </w:p>
    <w:p w:rsidR="00035C30" w:rsidRPr="008E0463" w:rsidRDefault="00035C30" w:rsidP="00035C30">
      <w:pPr>
        <w:pStyle w:val="Paragraphbody"/>
        <w:spacing w:before="0"/>
        <w:jc w:val="left"/>
        <w:rPr>
          <w:rFonts w:ascii="Arial" w:hAnsi="Arial" w:cs="Arial"/>
          <w:color w:val="0070C0"/>
          <w:sz w:val="22"/>
          <w:szCs w:val="22"/>
        </w:rPr>
      </w:pPr>
    </w:p>
    <w:p w:rsidR="00035C30" w:rsidRPr="00B930EA" w:rsidRDefault="00035C30" w:rsidP="00035C30">
      <w:pPr>
        <w:pStyle w:val="Paragraphbody"/>
        <w:spacing w:before="0"/>
        <w:jc w:val="left"/>
        <w:rPr>
          <w:rFonts w:ascii="Arial" w:hAnsi="Arial" w:cs="Arial"/>
          <w:i/>
          <w:iCs/>
          <w:color w:val="000000"/>
          <w:sz w:val="22"/>
          <w:szCs w:val="22"/>
        </w:rPr>
      </w:pPr>
      <w:r w:rsidRPr="008E0463">
        <w:rPr>
          <w:rFonts w:ascii="Arial" w:hAnsi="Arial" w:cs="Arial"/>
          <w:color w:val="000000"/>
          <w:sz w:val="22"/>
          <w:szCs w:val="22"/>
        </w:rPr>
        <w:br/>
      </w:r>
      <w:r w:rsidR="00A05BB0">
        <w:rPr>
          <w:rFonts w:ascii="Arial" w:hAnsi="Arial" w:cs="Arial"/>
          <w:sz w:val="22"/>
        </w:rPr>
        <w:t>Authorised for lodgement</w:t>
      </w:r>
    </w:p>
    <w:p w:rsidR="00035C30" w:rsidRPr="008E0463" w:rsidRDefault="00035C30" w:rsidP="00035C30">
      <w:pPr>
        <w:pStyle w:val="Paragraphbody"/>
        <w:spacing w:before="0"/>
        <w:jc w:val="left"/>
        <w:rPr>
          <w:rFonts w:ascii="Arial" w:hAnsi="Arial" w:cs="Arial"/>
          <w:sz w:val="22"/>
        </w:rPr>
      </w:pPr>
    </w:p>
    <w:p w:rsidR="00035C30" w:rsidRPr="008E0463" w:rsidRDefault="00035C30" w:rsidP="00035C30">
      <w:pPr>
        <w:pStyle w:val="Paragraphbody"/>
        <w:spacing w:before="0"/>
        <w:jc w:val="left"/>
        <w:rPr>
          <w:rFonts w:ascii="Arial" w:hAnsi="Arial" w:cs="Arial"/>
          <w:sz w:val="22"/>
        </w:rPr>
      </w:pPr>
    </w:p>
    <w:p w:rsidR="00035C30" w:rsidRPr="008E0463" w:rsidRDefault="00035C30" w:rsidP="00035C30">
      <w:pPr>
        <w:pStyle w:val="Paragraphbody"/>
        <w:spacing w:before="0"/>
        <w:jc w:val="left"/>
        <w:rPr>
          <w:rFonts w:ascii="Arial" w:hAnsi="Arial" w:cs="Arial"/>
          <w:sz w:val="22"/>
        </w:rPr>
      </w:pPr>
    </w:p>
    <w:p w:rsidR="00035C30" w:rsidRPr="008E0463" w:rsidRDefault="00035C30" w:rsidP="00035C30">
      <w:pPr>
        <w:pStyle w:val="Paragraphbody"/>
        <w:spacing w:before="0"/>
        <w:jc w:val="left"/>
        <w:rPr>
          <w:rFonts w:ascii="Arial" w:hAnsi="Arial" w:cs="Arial"/>
          <w:sz w:val="22"/>
        </w:rPr>
      </w:pPr>
    </w:p>
    <w:p w:rsidR="002E4E2A" w:rsidRPr="00C17FF5" w:rsidRDefault="00035C30" w:rsidP="00C17FF5">
      <w:pPr>
        <w:pStyle w:val="Paragraphbody"/>
        <w:spacing w:before="0"/>
        <w:jc w:val="left"/>
        <w:rPr>
          <w:rFonts w:ascii="Arial" w:hAnsi="Arial" w:cs="Arial"/>
          <w:sz w:val="22"/>
        </w:rPr>
      </w:pPr>
      <w:r w:rsidRPr="008E0463">
        <w:rPr>
          <w:rFonts w:ascii="Arial" w:hAnsi="Arial" w:cs="Arial"/>
          <w:sz w:val="22"/>
        </w:rPr>
        <w:t>Hon Dr Nick Smith</w:t>
      </w:r>
      <w:r w:rsidRPr="008E0463">
        <w:rPr>
          <w:rFonts w:ascii="Arial" w:hAnsi="Arial" w:cs="Arial"/>
          <w:sz w:val="22"/>
        </w:rPr>
        <w:br/>
        <w:t>Minister for the Environment</w:t>
      </w:r>
    </w:p>
    <w:sectPr w:rsidR="002E4E2A" w:rsidRPr="00C17FF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06F" w:rsidRDefault="006B20C3">
      <w:r>
        <w:separator/>
      </w:r>
    </w:p>
  </w:endnote>
  <w:endnote w:type="continuationSeparator" w:id="0">
    <w:p w:rsidR="006F006F" w:rsidRDefault="006B2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881501"/>
      <w:docPartObj>
        <w:docPartGallery w:val="Page Numbers (Bottom of Page)"/>
        <w:docPartUnique/>
      </w:docPartObj>
    </w:sdtPr>
    <w:sdtEndPr>
      <w:rPr>
        <w:noProof/>
      </w:rPr>
    </w:sdtEndPr>
    <w:sdtContent>
      <w:p w:rsidR="0071693C" w:rsidRDefault="0071693C">
        <w:pPr>
          <w:pStyle w:val="Footer"/>
          <w:jc w:val="right"/>
        </w:pPr>
        <w:r>
          <w:fldChar w:fldCharType="begin"/>
        </w:r>
        <w:r>
          <w:instrText xml:space="preserve"> PAGE   \* MERGEFORMAT </w:instrText>
        </w:r>
        <w:r>
          <w:fldChar w:fldCharType="separate"/>
        </w:r>
        <w:r w:rsidR="00415AF1">
          <w:rPr>
            <w:noProof/>
          </w:rPr>
          <w:t>2</w:t>
        </w:r>
        <w:r>
          <w:rPr>
            <w:noProof/>
          </w:rPr>
          <w:fldChar w:fldCharType="end"/>
        </w:r>
      </w:p>
    </w:sdtContent>
  </w:sdt>
  <w:p w:rsidR="00706F61" w:rsidRDefault="00415A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06F" w:rsidRDefault="006B20C3">
      <w:r>
        <w:separator/>
      </w:r>
    </w:p>
  </w:footnote>
  <w:footnote w:type="continuationSeparator" w:id="0">
    <w:p w:rsidR="006F006F" w:rsidRDefault="006B20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E2A67"/>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34875B4"/>
    <w:multiLevelType w:val="multilevel"/>
    <w:tmpl w:val="E556BB5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604346"/>
    <w:multiLevelType w:val="hybridMultilevel"/>
    <w:tmpl w:val="F750697E"/>
    <w:lvl w:ilvl="0" w:tplc="63D663E6">
      <w:start w:val="1"/>
      <w:numFmt w:val="lowerRoman"/>
      <w:lvlText w:val="(%1)"/>
      <w:lvlJc w:val="left"/>
      <w:pPr>
        <w:ind w:left="1800" w:hanging="72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
    <w:nsid w:val="274F3EA7"/>
    <w:multiLevelType w:val="hybridMultilevel"/>
    <w:tmpl w:val="CB2841F4"/>
    <w:lvl w:ilvl="0" w:tplc="1409000F">
      <w:start w:val="20"/>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29F43AB8"/>
    <w:multiLevelType w:val="hybridMultilevel"/>
    <w:tmpl w:val="F530F426"/>
    <w:lvl w:ilvl="0" w:tplc="460EFEA0">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2CEE677D"/>
    <w:multiLevelType w:val="hybridMultilevel"/>
    <w:tmpl w:val="831C6D98"/>
    <w:lvl w:ilvl="0" w:tplc="47AE6EDC">
      <w:start w:val="17"/>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
    <w:nsid w:val="4A431E0F"/>
    <w:multiLevelType w:val="hybridMultilevel"/>
    <w:tmpl w:val="F1A01598"/>
    <w:lvl w:ilvl="0" w:tplc="ABD8EE26">
      <w:start w:val="23"/>
      <w:numFmt w:val="decimal"/>
      <w:lvlText w:val="%1."/>
      <w:lvlJc w:val="left"/>
      <w:pPr>
        <w:ind w:left="786" w:hanging="360"/>
      </w:pPr>
      <w:rPr>
        <w:rFonts w:hint="default"/>
      </w:r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7">
    <w:nsid w:val="5214146C"/>
    <w:multiLevelType w:val="hybridMultilevel"/>
    <w:tmpl w:val="28F24B0E"/>
    <w:lvl w:ilvl="0" w:tplc="7CEE167A">
      <w:start w:val="1"/>
      <w:numFmt w:val="decimal"/>
      <w:lvlText w:val="%1."/>
      <w:lvlJc w:val="left"/>
      <w:pPr>
        <w:ind w:left="786"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56857414"/>
    <w:multiLevelType w:val="hybridMultilevel"/>
    <w:tmpl w:val="5EEE5EBA"/>
    <w:lvl w:ilvl="0" w:tplc="1409000F">
      <w:start w:val="15"/>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5CB271B7"/>
    <w:multiLevelType w:val="hybridMultilevel"/>
    <w:tmpl w:val="32EAB4C4"/>
    <w:lvl w:ilvl="0" w:tplc="1409000F">
      <w:start w:val="16"/>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nsid w:val="627571E3"/>
    <w:multiLevelType w:val="hybridMultilevel"/>
    <w:tmpl w:val="36A823CA"/>
    <w:lvl w:ilvl="0" w:tplc="16AE8210">
      <w:start w:val="22"/>
      <w:numFmt w:val="decimal"/>
      <w:lvlText w:val="%1."/>
      <w:lvlJc w:val="left"/>
      <w:pPr>
        <w:ind w:left="786" w:hanging="360"/>
      </w:pPr>
      <w:rPr>
        <w:rFonts w:hint="default"/>
      </w:r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11">
    <w:nsid w:val="63FD2C9F"/>
    <w:multiLevelType w:val="hybridMultilevel"/>
    <w:tmpl w:val="13F4B72C"/>
    <w:lvl w:ilvl="0" w:tplc="1409000F">
      <w:start w:val="15"/>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nsid w:val="745120B2"/>
    <w:multiLevelType w:val="hybridMultilevel"/>
    <w:tmpl w:val="1492A586"/>
    <w:lvl w:ilvl="0" w:tplc="6CFA53FA">
      <w:start w:val="20"/>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3">
    <w:nsid w:val="76020016"/>
    <w:multiLevelType w:val="hybridMultilevel"/>
    <w:tmpl w:val="74B26E44"/>
    <w:lvl w:ilvl="0" w:tplc="1409000F">
      <w:start w:val="17"/>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nsid w:val="7CCB5946"/>
    <w:multiLevelType w:val="hybridMultilevel"/>
    <w:tmpl w:val="B25A9A8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14"/>
  </w:num>
  <w:num w:numId="3">
    <w:abstractNumId w:val="4"/>
  </w:num>
  <w:num w:numId="4">
    <w:abstractNumId w:val="2"/>
  </w:num>
  <w:num w:numId="5">
    <w:abstractNumId w:val="0"/>
  </w:num>
  <w:num w:numId="6">
    <w:abstractNumId w:val="11"/>
  </w:num>
  <w:num w:numId="7">
    <w:abstractNumId w:val="8"/>
  </w:num>
  <w:num w:numId="8">
    <w:abstractNumId w:val="9"/>
  </w:num>
  <w:num w:numId="9">
    <w:abstractNumId w:val="5"/>
  </w:num>
  <w:num w:numId="10">
    <w:abstractNumId w:val="13"/>
  </w:num>
  <w:num w:numId="11">
    <w:abstractNumId w:val="12"/>
  </w:num>
  <w:num w:numId="12">
    <w:abstractNumId w:val="3"/>
  </w:num>
  <w:num w:numId="13">
    <w:abstractNumId w:val="10"/>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C30"/>
    <w:rsid w:val="00004881"/>
    <w:rsid w:val="00012CB7"/>
    <w:rsid w:val="00017C27"/>
    <w:rsid w:val="0002191A"/>
    <w:rsid w:val="000265D7"/>
    <w:rsid w:val="00026C47"/>
    <w:rsid w:val="000315E6"/>
    <w:rsid w:val="00035C30"/>
    <w:rsid w:val="00050C0A"/>
    <w:rsid w:val="00053936"/>
    <w:rsid w:val="00062D13"/>
    <w:rsid w:val="00067F73"/>
    <w:rsid w:val="0007274F"/>
    <w:rsid w:val="00073D99"/>
    <w:rsid w:val="000778B0"/>
    <w:rsid w:val="00085666"/>
    <w:rsid w:val="000928BC"/>
    <w:rsid w:val="000A1A23"/>
    <w:rsid w:val="000A1C9F"/>
    <w:rsid w:val="000B3A52"/>
    <w:rsid w:val="000C07F5"/>
    <w:rsid w:val="000C257E"/>
    <w:rsid w:val="000C356B"/>
    <w:rsid w:val="000F310E"/>
    <w:rsid w:val="00105856"/>
    <w:rsid w:val="00112691"/>
    <w:rsid w:val="00147D01"/>
    <w:rsid w:val="0015360D"/>
    <w:rsid w:val="00172356"/>
    <w:rsid w:val="001728D5"/>
    <w:rsid w:val="001A39B3"/>
    <w:rsid w:val="001C46DA"/>
    <w:rsid w:val="001C7230"/>
    <w:rsid w:val="001D64C0"/>
    <w:rsid w:val="001E252F"/>
    <w:rsid w:val="001E5FE0"/>
    <w:rsid w:val="001F1995"/>
    <w:rsid w:val="00205201"/>
    <w:rsid w:val="00213DE2"/>
    <w:rsid w:val="00230208"/>
    <w:rsid w:val="00231BDD"/>
    <w:rsid w:val="002359F8"/>
    <w:rsid w:val="0024249C"/>
    <w:rsid w:val="0025124A"/>
    <w:rsid w:val="00262190"/>
    <w:rsid w:val="00262301"/>
    <w:rsid w:val="002910D2"/>
    <w:rsid w:val="002C4E2C"/>
    <w:rsid w:val="002D0BAD"/>
    <w:rsid w:val="002E268B"/>
    <w:rsid w:val="002E4E2A"/>
    <w:rsid w:val="0031070B"/>
    <w:rsid w:val="00322D83"/>
    <w:rsid w:val="003230AD"/>
    <w:rsid w:val="00334D9C"/>
    <w:rsid w:val="00344FD4"/>
    <w:rsid w:val="00350B01"/>
    <w:rsid w:val="00351693"/>
    <w:rsid w:val="00356EAE"/>
    <w:rsid w:val="00377F6A"/>
    <w:rsid w:val="00381AF4"/>
    <w:rsid w:val="0038559E"/>
    <w:rsid w:val="003A41C5"/>
    <w:rsid w:val="003A4303"/>
    <w:rsid w:val="003B337D"/>
    <w:rsid w:val="003C2721"/>
    <w:rsid w:val="003C5BCF"/>
    <w:rsid w:val="003E7F0B"/>
    <w:rsid w:val="003F6519"/>
    <w:rsid w:val="00413515"/>
    <w:rsid w:val="00415AF1"/>
    <w:rsid w:val="00420CE2"/>
    <w:rsid w:val="004300A2"/>
    <w:rsid w:val="00436B3D"/>
    <w:rsid w:val="00440AE8"/>
    <w:rsid w:val="004565E6"/>
    <w:rsid w:val="00456CCA"/>
    <w:rsid w:val="0046490C"/>
    <w:rsid w:val="0046541F"/>
    <w:rsid w:val="00473DD9"/>
    <w:rsid w:val="004824FA"/>
    <w:rsid w:val="00490918"/>
    <w:rsid w:val="00491325"/>
    <w:rsid w:val="0049335F"/>
    <w:rsid w:val="004945FD"/>
    <w:rsid w:val="004B6CE6"/>
    <w:rsid w:val="004C219C"/>
    <w:rsid w:val="004C5B44"/>
    <w:rsid w:val="004C713B"/>
    <w:rsid w:val="004D4E9F"/>
    <w:rsid w:val="004E127E"/>
    <w:rsid w:val="004F274F"/>
    <w:rsid w:val="00506B39"/>
    <w:rsid w:val="00537B2B"/>
    <w:rsid w:val="005435FB"/>
    <w:rsid w:val="005569AA"/>
    <w:rsid w:val="005620C3"/>
    <w:rsid w:val="005621A4"/>
    <w:rsid w:val="00570CC6"/>
    <w:rsid w:val="00592C22"/>
    <w:rsid w:val="00595EC6"/>
    <w:rsid w:val="005A5AB3"/>
    <w:rsid w:val="005B026F"/>
    <w:rsid w:val="005B1AA7"/>
    <w:rsid w:val="005B6383"/>
    <w:rsid w:val="005C4591"/>
    <w:rsid w:val="005C544D"/>
    <w:rsid w:val="005D7B3A"/>
    <w:rsid w:val="005E465B"/>
    <w:rsid w:val="005E47C6"/>
    <w:rsid w:val="00611980"/>
    <w:rsid w:val="006272B5"/>
    <w:rsid w:val="00637237"/>
    <w:rsid w:val="0064451F"/>
    <w:rsid w:val="006A4361"/>
    <w:rsid w:val="006B20C3"/>
    <w:rsid w:val="006B4305"/>
    <w:rsid w:val="006C4FD7"/>
    <w:rsid w:val="006D7DC1"/>
    <w:rsid w:val="006E0446"/>
    <w:rsid w:val="006E4F48"/>
    <w:rsid w:val="006E569C"/>
    <w:rsid w:val="006F006F"/>
    <w:rsid w:val="00702910"/>
    <w:rsid w:val="00713382"/>
    <w:rsid w:val="00713BEC"/>
    <w:rsid w:val="00715118"/>
    <w:rsid w:val="0071693C"/>
    <w:rsid w:val="00735476"/>
    <w:rsid w:val="00736B94"/>
    <w:rsid w:val="00740BB2"/>
    <w:rsid w:val="00747D56"/>
    <w:rsid w:val="007525D0"/>
    <w:rsid w:val="00757E20"/>
    <w:rsid w:val="00765890"/>
    <w:rsid w:val="00776ACA"/>
    <w:rsid w:val="00782B1D"/>
    <w:rsid w:val="00785C20"/>
    <w:rsid w:val="00787C70"/>
    <w:rsid w:val="007A7A2D"/>
    <w:rsid w:val="007B282B"/>
    <w:rsid w:val="007C24E1"/>
    <w:rsid w:val="007C3D24"/>
    <w:rsid w:val="007E1B1E"/>
    <w:rsid w:val="007E32C3"/>
    <w:rsid w:val="007E66EC"/>
    <w:rsid w:val="007F5ED4"/>
    <w:rsid w:val="00814E2E"/>
    <w:rsid w:val="00823588"/>
    <w:rsid w:val="00843D17"/>
    <w:rsid w:val="008476DC"/>
    <w:rsid w:val="00863C60"/>
    <w:rsid w:val="008656FD"/>
    <w:rsid w:val="008819D0"/>
    <w:rsid w:val="008912D8"/>
    <w:rsid w:val="00895444"/>
    <w:rsid w:val="00897856"/>
    <w:rsid w:val="008A2EE7"/>
    <w:rsid w:val="008A6237"/>
    <w:rsid w:val="008B43CA"/>
    <w:rsid w:val="008C1C66"/>
    <w:rsid w:val="008C5B2D"/>
    <w:rsid w:val="008D5CD3"/>
    <w:rsid w:val="00903280"/>
    <w:rsid w:val="00904215"/>
    <w:rsid w:val="00913E8F"/>
    <w:rsid w:val="009213DB"/>
    <w:rsid w:val="00930830"/>
    <w:rsid w:val="00931EB3"/>
    <w:rsid w:val="00954E8D"/>
    <w:rsid w:val="00963A65"/>
    <w:rsid w:val="00965A1C"/>
    <w:rsid w:val="00966829"/>
    <w:rsid w:val="009B2F98"/>
    <w:rsid w:val="009B6708"/>
    <w:rsid w:val="009E3248"/>
    <w:rsid w:val="009F705E"/>
    <w:rsid w:val="00A02EA9"/>
    <w:rsid w:val="00A05BB0"/>
    <w:rsid w:val="00A17B65"/>
    <w:rsid w:val="00A20878"/>
    <w:rsid w:val="00A42AEE"/>
    <w:rsid w:val="00A42F96"/>
    <w:rsid w:val="00A42FD0"/>
    <w:rsid w:val="00A502E3"/>
    <w:rsid w:val="00A502F5"/>
    <w:rsid w:val="00A53C79"/>
    <w:rsid w:val="00A55C2B"/>
    <w:rsid w:val="00A64AE2"/>
    <w:rsid w:val="00A64B7E"/>
    <w:rsid w:val="00A717FF"/>
    <w:rsid w:val="00A91F1F"/>
    <w:rsid w:val="00A94734"/>
    <w:rsid w:val="00A947B9"/>
    <w:rsid w:val="00AC0EAB"/>
    <w:rsid w:val="00AD130C"/>
    <w:rsid w:val="00AF33DE"/>
    <w:rsid w:val="00B03192"/>
    <w:rsid w:val="00B13A39"/>
    <w:rsid w:val="00B13D15"/>
    <w:rsid w:val="00B2046A"/>
    <w:rsid w:val="00B209FB"/>
    <w:rsid w:val="00B37E0F"/>
    <w:rsid w:val="00B50509"/>
    <w:rsid w:val="00B70329"/>
    <w:rsid w:val="00B842C0"/>
    <w:rsid w:val="00BA571A"/>
    <w:rsid w:val="00BA7093"/>
    <w:rsid w:val="00BB2670"/>
    <w:rsid w:val="00BB35AC"/>
    <w:rsid w:val="00BB4174"/>
    <w:rsid w:val="00BB647B"/>
    <w:rsid w:val="00BC124D"/>
    <w:rsid w:val="00BC3C70"/>
    <w:rsid w:val="00BC59CC"/>
    <w:rsid w:val="00BD09BC"/>
    <w:rsid w:val="00BD0D55"/>
    <w:rsid w:val="00BD302F"/>
    <w:rsid w:val="00BD7A78"/>
    <w:rsid w:val="00BF1B84"/>
    <w:rsid w:val="00C01FF2"/>
    <w:rsid w:val="00C027BC"/>
    <w:rsid w:val="00C03301"/>
    <w:rsid w:val="00C17FF5"/>
    <w:rsid w:val="00C21FD1"/>
    <w:rsid w:val="00C2282D"/>
    <w:rsid w:val="00C42167"/>
    <w:rsid w:val="00C662A7"/>
    <w:rsid w:val="00C77A61"/>
    <w:rsid w:val="00C8652D"/>
    <w:rsid w:val="00CA0881"/>
    <w:rsid w:val="00CC3011"/>
    <w:rsid w:val="00CC4A05"/>
    <w:rsid w:val="00CC5D8D"/>
    <w:rsid w:val="00CD48FB"/>
    <w:rsid w:val="00CD7A88"/>
    <w:rsid w:val="00CE5398"/>
    <w:rsid w:val="00CF376C"/>
    <w:rsid w:val="00D00226"/>
    <w:rsid w:val="00D01BBA"/>
    <w:rsid w:val="00D02728"/>
    <w:rsid w:val="00D155CF"/>
    <w:rsid w:val="00D1662B"/>
    <w:rsid w:val="00D756CA"/>
    <w:rsid w:val="00D76808"/>
    <w:rsid w:val="00D81FA5"/>
    <w:rsid w:val="00DB1C4D"/>
    <w:rsid w:val="00DC6B36"/>
    <w:rsid w:val="00DE428C"/>
    <w:rsid w:val="00DE5AA7"/>
    <w:rsid w:val="00DF03E4"/>
    <w:rsid w:val="00E01618"/>
    <w:rsid w:val="00E023F6"/>
    <w:rsid w:val="00E11022"/>
    <w:rsid w:val="00E1643A"/>
    <w:rsid w:val="00E43194"/>
    <w:rsid w:val="00E44705"/>
    <w:rsid w:val="00E51AFD"/>
    <w:rsid w:val="00E55F70"/>
    <w:rsid w:val="00E56756"/>
    <w:rsid w:val="00E705A2"/>
    <w:rsid w:val="00E75288"/>
    <w:rsid w:val="00E756FE"/>
    <w:rsid w:val="00E85DE8"/>
    <w:rsid w:val="00EB2BEF"/>
    <w:rsid w:val="00EB54A6"/>
    <w:rsid w:val="00EC3FAF"/>
    <w:rsid w:val="00ED29A2"/>
    <w:rsid w:val="00EE2C18"/>
    <w:rsid w:val="00EE3866"/>
    <w:rsid w:val="00EE47F5"/>
    <w:rsid w:val="00EF6237"/>
    <w:rsid w:val="00EF7585"/>
    <w:rsid w:val="00F1497F"/>
    <w:rsid w:val="00F20A90"/>
    <w:rsid w:val="00F26D28"/>
    <w:rsid w:val="00F326A9"/>
    <w:rsid w:val="00F35373"/>
    <w:rsid w:val="00F47163"/>
    <w:rsid w:val="00F51E42"/>
    <w:rsid w:val="00F5780C"/>
    <w:rsid w:val="00F63256"/>
    <w:rsid w:val="00F75D37"/>
    <w:rsid w:val="00F82DE7"/>
    <w:rsid w:val="00F934A2"/>
    <w:rsid w:val="00FB200A"/>
    <w:rsid w:val="00FD0A7C"/>
    <w:rsid w:val="00FD4A84"/>
    <w:rsid w:val="00FE0DA0"/>
    <w:rsid w:val="00FF648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C30"/>
    <w:pPr>
      <w:spacing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35C30"/>
    <w:pPr>
      <w:keepNext/>
      <w:tabs>
        <w:tab w:val="left" w:pos="3780"/>
      </w:tabs>
      <w:spacing w:before="240" w:after="240"/>
      <w:outlineLvl w:val="0"/>
    </w:pPr>
    <w:rPr>
      <w:rFonts w:ascii="Arial" w:hAnsi="Arial" w:cs="Arial"/>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5C30"/>
    <w:rPr>
      <w:rFonts w:ascii="Arial" w:eastAsia="Times New Roman" w:hAnsi="Arial" w:cs="Arial"/>
      <w:b/>
      <w:bCs/>
      <w:sz w:val="24"/>
      <w:szCs w:val="24"/>
      <w:lang w:val="en-AU"/>
    </w:rPr>
  </w:style>
  <w:style w:type="paragraph" w:customStyle="1" w:styleId="Paragraphbody">
    <w:name w:val="Paragraph body"/>
    <w:basedOn w:val="Normal"/>
    <w:rsid w:val="00035C30"/>
    <w:pPr>
      <w:spacing w:before="120" w:after="120"/>
    </w:pPr>
  </w:style>
  <w:style w:type="character" w:styleId="Emphasis">
    <w:name w:val="Emphasis"/>
    <w:uiPriority w:val="20"/>
    <w:qFormat/>
    <w:rsid w:val="00035C30"/>
    <w:rPr>
      <w:i/>
      <w:iCs/>
    </w:rPr>
  </w:style>
  <w:style w:type="paragraph" w:styleId="PlainText">
    <w:name w:val="Plain Text"/>
    <w:basedOn w:val="Normal"/>
    <w:link w:val="PlainTextChar"/>
    <w:rsid w:val="00035C30"/>
    <w:pPr>
      <w:jc w:val="left"/>
    </w:pPr>
    <w:rPr>
      <w:rFonts w:ascii="Verdana" w:hAnsi="Verdana"/>
    </w:rPr>
  </w:style>
  <w:style w:type="character" w:customStyle="1" w:styleId="PlainTextChar">
    <w:name w:val="Plain Text Char"/>
    <w:basedOn w:val="DefaultParagraphFont"/>
    <w:link w:val="PlainText"/>
    <w:rsid w:val="00035C30"/>
    <w:rPr>
      <w:rFonts w:ascii="Verdana" w:eastAsia="Times New Roman" w:hAnsi="Verdana" w:cs="Times New Roman"/>
      <w:sz w:val="24"/>
      <w:szCs w:val="24"/>
    </w:rPr>
  </w:style>
  <w:style w:type="paragraph" w:styleId="Header">
    <w:name w:val="header"/>
    <w:basedOn w:val="Normal"/>
    <w:link w:val="HeaderChar"/>
    <w:uiPriority w:val="99"/>
    <w:unhideWhenUsed/>
    <w:rsid w:val="00035C30"/>
    <w:pPr>
      <w:tabs>
        <w:tab w:val="center" w:pos="4513"/>
        <w:tab w:val="right" w:pos="9026"/>
      </w:tabs>
    </w:pPr>
  </w:style>
  <w:style w:type="character" w:customStyle="1" w:styleId="HeaderChar">
    <w:name w:val="Header Char"/>
    <w:basedOn w:val="DefaultParagraphFont"/>
    <w:link w:val="Header"/>
    <w:uiPriority w:val="99"/>
    <w:rsid w:val="00035C3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35C30"/>
    <w:pPr>
      <w:tabs>
        <w:tab w:val="center" w:pos="4513"/>
        <w:tab w:val="right" w:pos="9026"/>
      </w:tabs>
    </w:pPr>
  </w:style>
  <w:style w:type="character" w:customStyle="1" w:styleId="FooterChar">
    <w:name w:val="Footer Char"/>
    <w:basedOn w:val="DefaultParagraphFont"/>
    <w:link w:val="Footer"/>
    <w:uiPriority w:val="99"/>
    <w:rsid w:val="00035C3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65890"/>
    <w:rPr>
      <w:rFonts w:ascii="Tahoma" w:hAnsi="Tahoma" w:cs="Tahoma"/>
      <w:sz w:val="16"/>
      <w:szCs w:val="16"/>
    </w:rPr>
  </w:style>
  <w:style w:type="character" w:customStyle="1" w:styleId="BalloonTextChar">
    <w:name w:val="Balloon Text Char"/>
    <w:basedOn w:val="DefaultParagraphFont"/>
    <w:link w:val="BalloonText"/>
    <w:uiPriority w:val="99"/>
    <w:semiHidden/>
    <w:rsid w:val="00765890"/>
    <w:rPr>
      <w:rFonts w:ascii="Tahoma" w:eastAsia="Times New Roman" w:hAnsi="Tahoma" w:cs="Tahoma"/>
      <w:sz w:val="16"/>
      <w:szCs w:val="16"/>
    </w:rPr>
  </w:style>
  <w:style w:type="table" w:styleId="TableGrid">
    <w:name w:val="Table Grid"/>
    <w:basedOn w:val="TableNormal"/>
    <w:uiPriority w:val="59"/>
    <w:rsid w:val="00765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5DE8"/>
    <w:rPr>
      <w:sz w:val="16"/>
      <w:szCs w:val="16"/>
    </w:rPr>
  </w:style>
  <w:style w:type="paragraph" w:styleId="CommentText">
    <w:name w:val="annotation text"/>
    <w:basedOn w:val="Normal"/>
    <w:link w:val="CommentTextChar"/>
    <w:uiPriority w:val="99"/>
    <w:semiHidden/>
    <w:unhideWhenUsed/>
    <w:rsid w:val="00E85DE8"/>
    <w:rPr>
      <w:sz w:val="20"/>
      <w:szCs w:val="20"/>
    </w:rPr>
  </w:style>
  <w:style w:type="character" w:customStyle="1" w:styleId="CommentTextChar">
    <w:name w:val="Comment Text Char"/>
    <w:basedOn w:val="DefaultParagraphFont"/>
    <w:link w:val="CommentText"/>
    <w:uiPriority w:val="99"/>
    <w:semiHidden/>
    <w:rsid w:val="00E85DE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5DE8"/>
    <w:rPr>
      <w:b/>
      <w:bCs/>
    </w:rPr>
  </w:style>
  <w:style w:type="character" w:customStyle="1" w:styleId="CommentSubjectChar">
    <w:name w:val="Comment Subject Char"/>
    <w:basedOn w:val="CommentTextChar"/>
    <w:link w:val="CommentSubject"/>
    <w:uiPriority w:val="99"/>
    <w:semiHidden/>
    <w:rsid w:val="00E85DE8"/>
    <w:rPr>
      <w:rFonts w:ascii="Times New Roman" w:eastAsia="Times New Roman" w:hAnsi="Times New Roman" w:cs="Times New Roman"/>
      <w:b/>
      <w:bCs/>
      <w:sz w:val="20"/>
      <w:szCs w:val="20"/>
    </w:rPr>
  </w:style>
  <w:style w:type="paragraph" w:styleId="ListParagraph">
    <w:name w:val="List Paragraph"/>
    <w:basedOn w:val="Normal"/>
    <w:uiPriority w:val="34"/>
    <w:qFormat/>
    <w:rsid w:val="000C07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C30"/>
    <w:pPr>
      <w:spacing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35C30"/>
    <w:pPr>
      <w:keepNext/>
      <w:tabs>
        <w:tab w:val="left" w:pos="3780"/>
      </w:tabs>
      <w:spacing w:before="240" w:after="240"/>
      <w:outlineLvl w:val="0"/>
    </w:pPr>
    <w:rPr>
      <w:rFonts w:ascii="Arial" w:hAnsi="Arial" w:cs="Arial"/>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5C30"/>
    <w:rPr>
      <w:rFonts w:ascii="Arial" w:eastAsia="Times New Roman" w:hAnsi="Arial" w:cs="Arial"/>
      <w:b/>
      <w:bCs/>
      <w:sz w:val="24"/>
      <w:szCs w:val="24"/>
      <w:lang w:val="en-AU"/>
    </w:rPr>
  </w:style>
  <w:style w:type="paragraph" w:customStyle="1" w:styleId="Paragraphbody">
    <w:name w:val="Paragraph body"/>
    <w:basedOn w:val="Normal"/>
    <w:rsid w:val="00035C30"/>
    <w:pPr>
      <w:spacing w:before="120" w:after="120"/>
    </w:pPr>
  </w:style>
  <w:style w:type="character" w:styleId="Emphasis">
    <w:name w:val="Emphasis"/>
    <w:uiPriority w:val="20"/>
    <w:qFormat/>
    <w:rsid w:val="00035C30"/>
    <w:rPr>
      <w:i/>
      <w:iCs/>
    </w:rPr>
  </w:style>
  <w:style w:type="paragraph" w:styleId="PlainText">
    <w:name w:val="Plain Text"/>
    <w:basedOn w:val="Normal"/>
    <w:link w:val="PlainTextChar"/>
    <w:rsid w:val="00035C30"/>
    <w:pPr>
      <w:jc w:val="left"/>
    </w:pPr>
    <w:rPr>
      <w:rFonts w:ascii="Verdana" w:hAnsi="Verdana"/>
    </w:rPr>
  </w:style>
  <w:style w:type="character" w:customStyle="1" w:styleId="PlainTextChar">
    <w:name w:val="Plain Text Char"/>
    <w:basedOn w:val="DefaultParagraphFont"/>
    <w:link w:val="PlainText"/>
    <w:rsid w:val="00035C30"/>
    <w:rPr>
      <w:rFonts w:ascii="Verdana" w:eastAsia="Times New Roman" w:hAnsi="Verdana" w:cs="Times New Roman"/>
      <w:sz w:val="24"/>
      <w:szCs w:val="24"/>
    </w:rPr>
  </w:style>
  <w:style w:type="paragraph" w:styleId="Header">
    <w:name w:val="header"/>
    <w:basedOn w:val="Normal"/>
    <w:link w:val="HeaderChar"/>
    <w:uiPriority w:val="99"/>
    <w:unhideWhenUsed/>
    <w:rsid w:val="00035C30"/>
    <w:pPr>
      <w:tabs>
        <w:tab w:val="center" w:pos="4513"/>
        <w:tab w:val="right" w:pos="9026"/>
      </w:tabs>
    </w:pPr>
  </w:style>
  <w:style w:type="character" w:customStyle="1" w:styleId="HeaderChar">
    <w:name w:val="Header Char"/>
    <w:basedOn w:val="DefaultParagraphFont"/>
    <w:link w:val="Header"/>
    <w:uiPriority w:val="99"/>
    <w:rsid w:val="00035C3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35C30"/>
    <w:pPr>
      <w:tabs>
        <w:tab w:val="center" w:pos="4513"/>
        <w:tab w:val="right" w:pos="9026"/>
      </w:tabs>
    </w:pPr>
  </w:style>
  <w:style w:type="character" w:customStyle="1" w:styleId="FooterChar">
    <w:name w:val="Footer Char"/>
    <w:basedOn w:val="DefaultParagraphFont"/>
    <w:link w:val="Footer"/>
    <w:uiPriority w:val="99"/>
    <w:rsid w:val="00035C3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65890"/>
    <w:rPr>
      <w:rFonts w:ascii="Tahoma" w:hAnsi="Tahoma" w:cs="Tahoma"/>
      <w:sz w:val="16"/>
      <w:szCs w:val="16"/>
    </w:rPr>
  </w:style>
  <w:style w:type="character" w:customStyle="1" w:styleId="BalloonTextChar">
    <w:name w:val="Balloon Text Char"/>
    <w:basedOn w:val="DefaultParagraphFont"/>
    <w:link w:val="BalloonText"/>
    <w:uiPriority w:val="99"/>
    <w:semiHidden/>
    <w:rsid w:val="00765890"/>
    <w:rPr>
      <w:rFonts w:ascii="Tahoma" w:eastAsia="Times New Roman" w:hAnsi="Tahoma" w:cs="Tahoma"/>
      <w:sz w:val="16"/>
      <w:szCs w:val="16"/>
    </w:rPr>
  </w:style>
  <w:style w:type="table" w:styleId="TableGrid">
    <w:name w:val="Table Grid"/>
    <w:basedOn w:val="TableNormal"/>
    <w:uiPriority w:val="59"/>
    <w:rsid w:val="00765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5DE8"/>
    <w:rPr>
      <w:sz w:val="16"/>
      <w:szCs w:val="16"/>
    </w:rPr>
  </w:style>
  <w:style w:type="paragraph" w:styleId="CommentText">
    <w:name w:val="annotation text"/>
    <w:basedOn w:val="Normal"/>
    <w:link w:val="CommentTextChar"/>
    <w:uiPriority w:val="99"/>
    <w:semiHidden/>
    <w:unhideWhenUsed/>
    <w:rsid w:val="00E85DE8"/>
    <w:rPr>
      <w:sz w:val="20"/>
      <w:szCs w:val="20"/>
    </w:rPr>
  </w:style>
  <w:style w:type="character" w:customStyle="1" w:styleId="CommentTextChar">
    <w:name w:val="Comment Text Char"/>
    <w:basedOn w:val="DefaultParagraphFont"/>
    <w:link w:val="CommentText"/>
    <w:uiPriority w:val="99"/>
    <w:semiHidden/>
    <w:rsid w:val="00E85DE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5DE8"/>
    <w:rPr>
      <w:b/>
      <w:bCs/>
    </w:rPr>
  </w:style>
  <w:style w:type="character" w:customStyle="1" w:styleId="CommentSubjectChar">
    <w:name w:val="Comment Subject Char"/>
    <w:basedOn w:val="CommentTextChar"/>
    <w:link w:val="CommentSubject"/>
    <w:uiPriority w:val="99"/>
    <w:semiHidden/>
    <w:rsid w:val="00E85DE8"/>
    <w:rPr>
      <w:rFonts w:ascii="Times New Roman" w:eastAsia="Times New Roman" w:hAnsi="Times New Roman" w:cs="Times New Roman"/>
      <w:b/>
      <w:bCs/>
      <w:sz w:val="20"/>
      <w:szCs w:val="20"/>
    </w:rPr>
  </w:style>
  <w:style w:type="paragraph" w:styleId="ListParagraph">
    <w:name w:val="List Paragraph"/>
    <w:basedOn w:val="Normal"/>
    <w:uiPriority w:val="34"/>
    <w:qFormat/>
    <w:rsid w:val="000C07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152972">
      <w:bodyDiv w:val="1"/>
      <w:marLeft w:val="0"/>
      <w:marRight w:val="0"/>
      <w:marTop w:val="0"/>
      <w:marBottom w:val="0"/>
      <w:divBdr>
        <w:top w:val="none" w:sz="0" w:space="0" w:color="auto"/>
        <w:left w:val="none" w:sz="0" w:space="0" w:color="auto"/>
        <w:bottom w:val="none" w:sz="0" w:space="0" w:color="auto"/>
        <w:right w:val="none" w:sz="0" w:space="0" w:color="auto"/>
      </w:divBdr>
    </w:div>
    <w:div w:id="168748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53320-C723-4892-B764-42DC88795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1825</Words>
  <Characters>10407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Ministry for the Environment</Company>
  <LinksUpToDate>false</LinksUpToDate>
  <CharactersWithSpaces>12208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 Hanna</dc:creator>
  <cp:lastModifiedBy>Emma Turrell</cp:lastModifiedBy>
  <cp:revision>2</cp:revision>
  <cp:lastPrinted>2017-01-30T00:08:00Z</cp:lastPrinted>
  <dcterms:created xsi:type="dcterms:W3CDTF">2017-02-19T10:36:00Z</dcterms:created>
  <dcterms:modified xsi:type="dcterms:W3CDTF">2017-02-19T10:36:00Z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-560355094</vt:i4>
  </property>
  <property fmtid="{D5CDD505-2E9C-101B-9397-08002B2CF9AE}" pid="3" name="_NewReviewCycle">
    <vt:lpwstr/>
  </property>
  <property fmtid="{D5CDD505-2E9C-101B-9397-08002B2CF9AE}" pid="4" name="_EmailSubject">
    <vt:lpwstr>Pest control: UPDATED LEG paper</vt:lpwstr>
  </property>
  <property fmtid="{D5CDD505-2E9C-101B-9397-08002B2CF9AE}" pid="5" name="_AuthorEmail">
    <vt:lpwstr>Daniel.Lawrey@mfe.govt.nz</vt:lpwstr>
  </property>
  <property fmtid="{D5CDD505-2E9C-101B-9397-08002B2CF9AE}" pid="6" name="_AuthorEmailDisplayName">
    <vt:lpwstr>Daniel Lawrey</vt:lpwstr>
  </property>
  <property fmtid="{D5CDD505-2E9C-101B-9397-08002B2CF9AE}" pid="7" name="_ReviewingToolsShownOnce">
    <vt:lpwstr/>
  </property>
</Properties>
</file>