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A18" w:rsidRPr="005267D4" w:rsidRDefault="003F6CA3" w:rsidP="003D1DE4">
      <w:pPr>
        <w:pStyle w:val="Title"/>
      </w:pPr>
      <w:r>
        <w:t>Use of NZ G</w:t>
      </w:r>
      <w:bookmarkStart w:id="0" w:name="_GoBack"/>
      <w:bookmarkEnd w:id="0"/>
      <w:r>
        <w:t xml:space="preserve">arden Bird Survey </w:t>
      </w:r>
      <w:r w:rsidR="003212F1">
        <w:t>D</w:t>
      </w:r>
      <w:r>
        <w:t xml:space="preserve">ata in </w:t>
      </w:r>
      <w:r w:rsidR="003212F1">
        <w:t>E</w:t>
      </w:r>
      <w:r w:rsidR="00546C1C">
        <w:t xml:space="preserve">nvironmental </w:t>
      </w:r>
      <w:r w:rsidR="003212F1">
        <w:t>R</w:t>
      </w:r>
      <w:r w:rsidR="00546C1C">
        <w:t>eporting</w:t>
      </w:r>
    </w:p>
    <w:p w:rsidR="00725A18" w:rsidRPr="005267D4" w:rsidRDefault="00E9355E" w:rsidP="00D51B16">
      <w:pPr>
        <w:pStyle w:val="Subtitle"/>
      </w:pPr>
      <w:r>
        <w:t xml:space="preserve">Preliminary </w:t>
      </w:r>
      <w:r w:rsidR="003212F1">
        <w:t>M</w:t>
      </w:r>
      <w:r>
        <w:t>odels to</w:t>
      </w:r>
      <w:r w:rsidR="00620D84">
        <w:t xml:space="preserve"> </w:t>
      </w:r>
      <w:r w:rsidR="003212F1">
        <w:t>A</w:t>
      </w:r>
      <w:r w:rsidR="00620D84">
        <w:t>ccount for</w:t>
      </w:r>
      <w:r w:rsidR="003F6CA3">
        <w:t xml:space="preserve"> </w:t>
      </w:r>
      <w:r w:rsidR="003212F1">
        <w:t>S</w:t>
      </w:r>
      <w:r w:rsidR="003F6CA3">
        <w:t xml:space="preserve">patial </w:t>
      </w:r>
      <w:r w:rsidR="003212F1">
        <w:t>V</w:t>
      </w:r>
      <w:r w:rsidR="003F6CA3">
        <w:t xml:space="preserve">ariation in </w:t>
      </w:r>
      <w:r w:rsidR="003212F1">
        <w:t>S</w:t>
      </w:r>
      <w:r w:rsidR="00CB7D13">
        <w:t xml:space="preserve">ampling </w:t>
      </w:r>
      <w:r w:rsidR="003212F1">
        <w:t>E</w:t>
      </w:r>
      <w:r w:rsidR="00CB7D13">
        <w:t>ffort</w:t>
      </w:r>
      <w:r w:rsidR="003F6CA3">
        <w:t xml:space="preserve"> </w:t>
      </w:r>
    </w:p>
    <w:p w:rsidR="00DC272F" w:rsidRPr="005267D4" w:rsidRDefault="000152A1" w:rsidP="000152A1">
      <w:pPr>
        <w:spacing w:before="2400"/>
        <w:jc w:val="center"/>
        <w:rPr>
          <w:rFonts w:ascii="Arial" w:hAnsi="Arial"/>
          <w:sz w:val="24"/>
        </w:rPr>
      </w:pPr>
      <w:r>
        <w:rPr>
          <w:rFonts w:ascii="Arial" w:hAnsi="Arial"/>
          <w:sz w:val="24"/>
        </w:rPr>
        <w:t xml:space="preserve">Prepared for the Ministry for the Environment by </w:t>
      </w:r>
      <w:r w:rsidR="00DC272F">
        <w:rPr>
          <w:rFonts w:ascii="Arial" w:hAnsi="Arial"/>
          <w:sz w:val="24"/>
        </w:rPr>
        <w:t>Catriona J. MacLeod, Peter Green</w:t>
      </w:r>
      <w:r w:rsidR="008F72A1">
        <w:rPr>
          <w:rFonts w:ascii="Arial" w:hAnsi="Arial"/>
          <w:sz w:val="24"/>
        </w:rPr>
        <w:t xml:space="preserve">, Andrew </w:t>
      </w:r>
      <w:r w:rsidR="00362B58">
        <w:rPr>
          <w:rFonts w:ascii="Arial" w:hAnsi="Arial"/>
          <w:sz w:val="24"/>
        </w:rPr>
        <w:t xml:space="preserve">M. </w:t>
      </w:r>
      <w:proofErr w:type="spellStart"/>
      <w:r w:rsidR="008F72A1">
        <w:rPr>
          <w:rFonts w:ascii="Arial" w:hAnsi="Arial"/>
          <w:sz w:val="24"/>
        </w:rPr>
        <w:t>Gormley</w:t>
      </w:r>
      <w:proofErr w:type="spellEnd"/>
      <w:r w:rsidR="00DC272F">
        <w:rPr>
          <w:rFonts w:ascii="Arial" w:hAnsi="Arial"/>
          <w:sz w:val="24"/>
        </w:rPr>
        <w:t xml:space="preserve"> (</w:t>
      </w:r>
      <w:proofErr w:type="spellStart"/>
      <w:r w:rsidR="00DC272F">
        <w:rPr>
          <w:rFonts w:ascii="Arial" w:hAnsi="Arial"/>
          <w:sz w:val="24"/>
        </w:rPr>
        <w:t>Landcare</w:t>
      </w:r>
      <w:proofErr w:type="spellEnd"/>
      <w:r w:rsidR="00DC272F">
        <w:rPr>
          <w:rFonts w:ascii="Arial" w:hAnsi="Arial"/>
          <w:sz w:val="24"/>
        </w:rPr>
        <w:t xml:space="preserve"> Research)</w:t>
      </w:r>
      <w:r>
        <w:rPr>
          <w:rFonts w:ascii="Arial" w:hAnsi="Arial"/>
          <w:sz w:val="24"/>
        </w:rPr>
        <w:t xml:space="preserve"> and </w:t>
      </w:r>
      <w:r w:rsidR="00DC272F">
        <w:rPr>
          <w:rFonts w:ascii="Arial" w:hAnsi="Arial"/>
          <w:sz w:val="24"/>
        </w:rPr>
        <w:t xml:space="preserve">Eric </w:t>
      </w:r>
      <w:r w:rsidR="00E92820">
        <w:rPr>
          <w:rFonts w:ascii="Arial" w:hAnsi="Arial"/>
          <w:sz w:val="24"/>
        </w:rPr>
        <w:t xml:space="preserve">B. </w:t>
      </w:r>
      <w:r w:rsidR="00DC272F">
        <w:rPr>
          <w:rFonts w:ascii="Arial" w:hAnsi="Arial"/>
          <w:sz w:val="24"/>
        </w:rPr>
        <w:t>Spurr (New Zealand Garden Bird Survey)</w:t>
      </w:r>
    </w:p>
    <w:p w:rsidR="00725A18" w:rsidRPr="005267D4" w:rsidRDefault="00725A18" w:rsidP="00725A18"/>
    <w:p w:rsidR="00725A18" w:rsidRPr="005267D4" w:rsidRDefault="00725A18" w:rsidP="00725A18">
      <w:pPr>
        <w:sectPr w:rsidR="00725A18" w:rsidRPr="005267D4" w:rsidSect="00CE3725">
          <w:headerReference w:type="default" r:id="rId12"/>
          <w:footerReference w:type="default" r:id="rId13"/>
          <w:pgSz w:w="11907" w:h="16840" w:code="9"/>
          <w:pgMar w:top="5670" w:right="1418" w:bottom="1701" w:left="1418" w:header="567" w:footer="1134" w:gutter="0"/>
          <w:cols w:space="720"/>
        </w:sectPr>
      </w:pPr>
    </w:p>
    <w:p w:rsidR="00C016FB" w:rsidRPr="001B68DE" w:rsidRDefault="00C016FB" w:rsidP="00A57D42">
      <w:pPr>
        <w:pStyle w:val="Imprint"/>
        <w:rPr>
          <w:b/>
        </w:rPr>
      </w:pPr>
      <w:r w:rsidRPr="001B68DE">
        <w:rPr>
          <w:b/>
        </w:rPr>
        <w:lastRenderedPageBreak/>
        <w:t>Acknowledgements</w:t>
      </w:r>
    </w:p>
    <w:p w:rsidR="00C016FB" w:rsidRPr="005267D4" w:rsidRDefault="00C016FB" w:rsidP="00A57D42">
      <w:pPr>
        <w:pStyle w:val="Imprint"/>
      </w:pPr>
    </w:p>
    <w:p w:rsidR="001A7459" w:rsidRPr="005267D4" w:rsidRDefault="001A7459" w:rsidP="001A7459">
      <w:pPr>
        <w:pStyle w:val="Imprint"/>
      </w:pPr>
      <w:r>
        <w:t>This work was partly funded by the MBIE-funded Building Trustworthy Biodiversity Indicators project. Access to the power analysis package was kindly provided by the MBIE-funded New Zealand Sustainability Dashboard project, which developed the software. We thank Dan Tompkins</w:t>
      </w:r>
      <w:r w:rsidR="006B61B9">
        <w:t>, Sarah Richardson and Peter Bellingham</w:t>
      </w:r>
      <w:r>
        <w:t xml:space="preserve"> (</w:t>
      </w:r>
      <w:proofErr w:type="spellStart"/>
      <w:r>
        <w:t>Landcare</w:t>
      </w:r>
      <w:proofErr w:type="spellEnd"/>
      <w:r>
        <w:t xml:space="preserve"> Research) for reviewing this report.</w:t>
      </w:r>
    </w:p>
    <w:p w:rsidR="00C016FB" w:rsidRPr="005267D4" w:rsidRDefault="00C016FB" w:rsidP="00A57D42">
      <w:pPr>
        <w:pStyle w:val="Imprint"/>
      </w:pPr>
    </w:p>
    <w:p w:rsidR="00C016FB" w:rsidRDefault="00C016FB" w:rsidP="00A57D42">
      <w:pPr>
        <w:pStyle w:val="Imprint"/>
      </w:pPr>
    </w:p>
    <w:p w:rsidR="00984BBA" w:rsidRDefault="00984BBA" w:rsidP="00A57D42">
      <w:pPr>
        <w:pStyle w:val="Imprint"/>
      </w:pPr>
    </w:p>
    <w:p w:rsidR="00984BBA" w:rsidRDefault="00984BBA" w:rsidP="00A57D42">
      <w:pPr>
        <w:pStyle w:val="Imprint"/>
      </w:pPr>
    </w:p>
    <w:p w:rsidR="00984BBA" w:rsidRPr="005267D4" w:rsidRDefault="00984BBA" w:rsidP="00A57D42">
      <w:pPr>
        <w:pStyle w:val="Imprint"/>
      </w:pPr>
    </w:p>
    <w:p w:rsidR="00C016FB" w:rsidRPr="005267D4" w:rsidRDefault="00C016FB" w:rsidP="00A57D42">
      <w:pPr>
        <w:pStyle w:val="Imprint"/>
      </w:pPr>
    </w:p>
    <w:p w:rsidR="00C016FB" w:rsidRPr="005267D4" w:rsidRDefault="00C016FB" w:rsidP="00A57D42">
      <w:pPr>
        <w:pStyle w:val="Imprint"/>
      </w:pPr>
      <w:r w:rsidRPr="005267D4">
        <w:t>This report may be cited as:</w:t>
      </w:r>
    </w:p>
    <w:p w:rsidR="00C016FB" w:rsidRPr="005267D4" w:rsidRDefault="000152A1" w:rsidP="00A57D42">
      <w:pPr>
        <w:pStyle w:val="Imprint"/>
      </w:pPr>
      <w:proofErr w:type="gramStart"/>
      <w:r>
        <w:t>Ministry for the Environment</w:t>
      </w:r>
      <w:r w:rsidR="00C016FB" w:rsidRPr="005267D4">
        <w:t>.</w:t>
      </w:r>
      <w:proofErr w:type="gramEnd"/>
      <w:r w:rsidR="00C016FB" w:rsidRPr="005267D4">
        <w:t xml:space="preserve"> </w:t>
      </w:r>
      <w:r w:rsidR="00362B58">
        <w:t>2015</w:t>
      </w:r>
      <w:r w:rsidR="00C016FB" w:rsidRPr="005267D4">
        <w:t xml:space="preserve">. </w:t>
      </w:r>
      <w:r w:rsidR="00362B58" w:rsidRPr="001B68DE">
        <w:rPr>
          <w:i/>
        </w:rPr>
        <w:t xml:space="preserve">Use of Garden Bird Survey </w:t>
      </w:r>
      <w:r w:rsidRPr="001B68DE">
        <w:rPr>
          <w:i/>
        </w:rPr>
        <w:t xml:space="preserve">Data </w:t>
      </w:r>
      <w:r w:rsidR="00362B58" w:rsidRPr="001B68DE">
        <w:rPr>
          <w:i/>
        </w:rPr>
        <w:t xml:space="preserve">in </w:t>
      </w:r>
      <w:r w:rsidR="00512D64">
        <w:rPr>
          <w:i/>
        </w:rPr>
        <w:t>E</w:t>
      </w:r>
      <w:r w:rsidR="00512D64" w:rsidRPr="001B68DE">
        <w:rPr>
          <w:i/>
        </w:rPr>
        <w:t xml:space="preserve">nvironmental </w:t>
      </w:r>
      <w:r w:rsidR="00512D64">
        <w:t>R</w:t>
      </w:r>
      <w:r w:rsidR="00512D64" w:rsidRPr="00512D64">
        <w:t>eporting</w:t>
      </w:r>
      <w:r w:rsidR="00512D64">
        <w:rPr>
          <w:i/>
        </w:rPr>
        <w:t>:</w:t>
      </w:r>
      <w:r w:rsidR="00362B58" w:rsidRPr="001B68DE">
        <w:rPr>
          <w:i/>
        </w:rPr>
        <w:t xml:space="preserve"> Preliminary </w:t>
      </w:r>
      <w:r w:rsidRPr="001B68DE">
        <w:rPr>
          <w:i/>
        </w:rPr>
        <w:t xml:space="preserve">Models </w:t>
      </w:r>
      <w:r w:rsidR="00362B58" w:rsidRPr="001B68DE">
        <w:rPr>
          <w:i/>
        </w:rPr>
        <w:t xml:space="preserve">to </w:t>
      </w:r>
      <w:r w:rsidRPr="001B68DE">
        <w:rPr>
          <w:i/>
        </w:rPr>
        <w:t xml:space="preserve">Account </w:t>
      </w:r>
      <w:r w:rsidR="00362B58" w:rsidRPr="001B68DE">
        <w:rPr>
          <w:i/>
        </w:rPr>
        <w:t xml:space="preserve">for </w:t>
      </w:r>
      <w:r w:rsidRPr="001B68DE">
        <w:rPr>
          <w:i/>
        </w:rPr>
        <w:t xml:space="preserve">Spatial Variation </w:t>
      </w:r>
      <w:r w:rsidR="00362B58" w:rsidRPr="001B68DE">
        <w:rPr>
          <w:i/>
        </w:rPr>
        <w:t xml:space="preserve">in </w:t>
      </w:r>
      <w:r w:rsidRPr="001B68DE">
        <w:rPr>
          <w:i/>
        </w:rPr>
        <w:t>Sampling Effort</w:t>
      </w:r>
      <w:r w:rsidR="00362B58">
        <w:t>.</w:t>
      </w:r>
      <w:r w:rsidR="00C016FB" w:rsidRPr="005267D4">
        <w:t xml:space="preserve"> Wellington: Ministry for the Environment.</w:t>
      </w:r>
    </w:p>
    <w:p w:rsidR="00C016FB" w:rsidRPr="005267D4" w:rsidRDefault="00C016FB" w:rsidP="00725A18">
      <w:pPr>
        <w:pStyle w:val="Imprint"/>
      </w:pPr>
    </w:p>
    <w:p w:rsidR="00C016FB" w:rsidRPr="005267D4" w:rsidRDefault="00C016FB" w:rsidP="00725A18">
      <w:pPr>
        <w:pStyle w:val="Imprint"/>
      </w:pPr>
    </w:p>
    <w:p w:rsidR="00C016FB" w:rsidRPr="005267D4" w:rsidRDefault="00C016FB" w:rsidP="00725A18">
      <w:pPr>
        <w:pStyle w:val="Imprint"/>
      </w:pPr>
    </w:p>
    <w:p w:rsidR="00C016FB" w:rsidRPr="005267D4" w:rsidRDefault="00C016FB" w:rsidP="00725A18">
      <w:pPr>
        <w:pStyle w:val="Imprint"/>
      </w:pPr>
    </w:p>
    <w:p w:rsidR="00C016FB" w:rsidRPr="005267D4" w:rsidRDefault="00C016FB" w:rsidP="00725A18">
      <w:pPr>
        <w:pStyle w:val="Imprint"/>
      </w:pPr>
    </w:p>
    <w:p w:rsidR="00C016FB" w:rsidRDefault="00C016FB" w:rsidP="00725A18">
      <w:pPr>
        <w:pStyle w:val="Imprint"/>
      </w:pPr>
    </w:p>
    <w:p w:rsidR="00887B25" w:rsidRDefault="00887B25" w:rsidP="00725A18">
      <w:pPr>
        <w:pStyle w:val="Imprint"/>
      </w:pPr>
    </w:p>
    <w:p w:rsidR="00887B25" w:rsidRDefault="00887B25" w:rsidP="00725A18">
      <w:pPr>
        <w:pStyle w:val="Imprint"/>
      </w:pPr>
    </w:p>
    <w:p w:rsidR="00887B25" w:rsidRDefault="00887B25" w:rsidP="00725A18">
      <w:pPr>
        <w:pStyle w:val="Imprint"/>
      </w:pPr>
    </w:p>
    <w:p w:rsidR="00887B25" w:rsidRDefault="00887B25" w:rsidP="00725A18">
      <w:pPr>
        <w:pStyle w:val="Imprint"/>
      </w:pPr>
    </w:p>
    <w:p w:rsidR="00887B25" w:rsidRDefault="00887B25" w:rsidP="00725A18">
      <w:pPr>
        <w:pStyle w:val="Imprint"/>
      </w:pPr>
    </w:p>
    <w:p w:rsidR="00887B25" w:rsidRDefault="00887B25" w:rsidP="00725A18">
      <w:pPr>
        <w:pStyle w:val="Imprint"/>
      </w:pPr>
    </w:p>
    <w:p w:rsidR="00887B25" w:rsidRPr="005267D4" w:rsidRDefault="00887B25" w:rsidP="00725A18">
      <w:pPr>
        <w:pStyle w:val="Imprint"/>
      </w:pPr>
    </w:p>
    <w:p w:rsidR="00C016FB" w:rsidRPr="005267D4" w:rsidRDefault="00C016FB" w:rsidP="00725A18">
      <w:pPr>
        <w:pStyle w:val="Imprint"/>
      </w:pPr>
    </w:p>
    <w:p w:rsidR="00C016FB" w:rsidRPr="005267D4" w:rsidRDefault="00C016FB" w:rsidP="00725A18">
      <w:pPr>
        <w:pStyle w:val="Imprint"/>
      </w:pPr>
    </w:p>
    <w:p w:rsidR="00C016FB" w:rsidRPr="005267D4" w:rsidRDefault="00C016FB" w:rsidP="00725A18">
      <w:pPr>
        <w:pStyle w:val="Imprint"/>
      </w:pPr>
    </w:p>
    <w:p w:rsidR="00C016FB" w:rsidRPr="005267D4" w:rsidRDefault="00C016FB" w:rsidP="00725A18">
      <w:pPr>
        <w:pStyle w:val="Imprint"/>
      </w:pPr>
    </w:p>
    <w:p w:rsidR="002D420A" w:rsidRPr="005267D4" w:rsidRDefault="002D420A" w:rsidP="002D420A">
      <w:pPr>
        <w:pStyle w:val="Imprint"/>
      </w:pPr>
    </w:p>
    <w:p w:rsidR="00C016FB" w:rsidRPr="005267D4" w:rsidRDefault="00C016FB" w:rsidP="002D420A">
      <w:pPr>
        <w:pStyle w:val="Imprint"/>
      </w:pPr>
      <w:r w:rsidRPr="005267D4">
        <w:t xml:space="preserve">Published in </w:t>
      </w:r>
      <w:r w:rsidR="000152A1">
        <w:t xml:space="preserve">September 2015 </w:t>
      </w:r>
      <w:r w:rsidRPr="005267D4">
        <w:t>by the</w:t>
      </w:r>
      <w:r w:rsidRPr="005267D4">
        <w:br/>
        <w:t xml:space="preserve">Ministry for the Environment </w:t>
      </w:r>
      <w:r w:rsidRPr="005267D4">
        <w:br/>
      </w:r>
      <w:proofErr w:type="spellStart"/>
      <w:r w:rsidRPr="005267D4">
        <w:t>Manatū</w:t>
      </w:r>
      <w:proofErr w:type="spellEnd"/>
      <w:r w:rsidRPr="005267D4">
        <w:t xml:space="preserve"> </w:t>
      </w:r>
      <w:proofErr w:type="spellStart"/>
      <w:r w:rsidRPr="005267D4">
        <w:t>Mō</w:t>
      </w:r>
      <w:proofErr w:type="spellEnd"/>
      <w:r w:rsidRPr="005267D4">
        <w:t xml:space="preserve"> </w:t>
      </w:r>
      <w:proofErr w:type="spellStart"/>
      <w:r w:rsidRPr="005267D4">
        <w:t>Te</w:t>
      </w:r>
      <w:proofErr w:type="spellEnd"/>
      <w:r w:rsidRPr="005267D4">
        <w:t xml:space="preserve"> </w:t>
      </w:r>
      <w:proofErr w:type="spellStart"/>
      <w:r w:rsidRPr="005267D4">
        <w:t>Taiao</w:t>
      </w:r>
      <w:proofErr w:type="spellEnd"/>
      <w:r w:rsidRPr="005267D4">
        <w:br/>
        <w:t>PO Box 10362, Wellington 6143, New Zealand</w:t>
      </w:r>
    </w:p>
    <w:p w:rsidR="00C016FB" w:rsidRPr="005267D4" w:rsidRDefault="00C016FB" w:rsidP="00C016FB">
      <w:pPr>
        <w:pStyle w:val="Imprint"/>
        <w:tabs>
          <w:tab w:val="left" w:pos="720"/>
        </w:tabs>
        <w:spacing w:before="240"/>
        <w:ind w:left="720" w:hanging="720"/>
      </w:pPr>
      <w:r w:rsidRPr="005267D4">
        <w:t xml:space="preserve">ISBN: </w:t>
      </w:r>
      <w:r w:rsidR="00984BBA">
        <w:t>978-0-908339-05-1</w:t>
      </w:r>
    </w:p>
    <w:p w:rsidR="00C016FB" w:rsidRPr="005267D4" w:rsidRDefault="00C016FB" w:rsidP="00C016FB">
      <w:pPr>
        <w:pStyle w:val="Imprint"/>
        <w:spacing w:before="240"/>
        <w:ind w:left="720" w:hanging="720"/>
      </w:pPr>
      <w:r w:rsidRPr="005267D4">
        <w:t xml:space="preserve">Publication number: </w:t>
      </w:r>
      <w:r w:rsidR="00512D64">
        <w:t>ME 1209</w:t>
      </w:r>
    </w:p>
    <w:p w:rsidR="00C016FB" w:rsidRPr="005267D4" w:rsidRDefault="00C016FB" w:rsidP="00C016FB">
      <w:pPr>
        <w:pStyle w:val="Imprint"/>
        <w:spacing w:before="240"/>
      </w:pPr>
      <w:r w:rsidRPr="005267D4">
        <w:t>© Cr</w:t>
      </w:r>
      <w:r w:rsidR="00E22771">
        <w:t>own copyright New Zealand 2015</w:t>
      </w:r>
    </w:p>
    <w:p w:rsidR="00725A18" w:rsidRPr="005267D4" w:rsidRDefault="00C016FB" w:rsidP="00C016FB">
      <w:pPr>
        <w:pStyle w:val="Imprint"/>
        <w:spacing w:before="240"/>
      </w:pPr>
      <w:r w:rsidRPr="005267D4">
        <w:t>This document is available on the Ministry for the Environment’s website</w:t>
      </w:r>
      <w:proofErr w:type="gramStart"/>
      <w:r w:rsidRPr="005267D4">
        <w:t>:</w:t>
      </w:r>
      <w:proofErr w:type="gramEnd"/>
      <w:r w:rsidRPr="005267D4">
        <w:br/>
      </w:r>
      <w:hyperlink r:id="rId14" w:history="1">
        <w:r w:rsidRPr="005267D4">
          <w:rPr>
            <w:rStyle w:val="Hyperlink"/>
          </w:rPr>
          <w:t>www.mfe.govt.nz</w:t>
        </w:r>
      </w:hyperlink>
      <w:r w:rsidR="00887B25">
        <w:rPr>
          <w:rStyle w:val="Hyperlink"/>
        </w:rPr>
        <w:t>.</w:t>
      </w:r>
    </w:p>
    <w:p w:rsidR="00C016FB" w:rsidRPr="005267D4" w:rsidRDefault="00C016FB" w:rsidP="006572F2">
      <w:pPr>
        <w:pStyle w:val="Imprint"/>
        <w:spacing w:before="120"/>
      </w:pPr>
    </w:p>
    <w:p w:rsidR="008A0DFF" w:rsidRPr="005267D4" w:rsidRDefault="0094268E" w:rsidP="00550D92">
      <w:pPr>
        <w:jc w:val="left"/>
        <w:sectPr w:rsidR="008A0DFF" w:rsidRPr="005267D4" w:rsidSect="00CE3725">
          <w:headerReference w:type="even" r:id="rId15"/>
          <w:headerReference w:type="default" r:id="rId16"/>
          <w:footerReference w:type="even" r:id="rId17"/>
          <w:footerReference w:type="default" r:id="rId18"/>
          <w:headerReference w:type="first" r:id="rId19"/>
          <w:pgSz w:w="11907" w:h="16840" w:code="9"/>
          <w:pgMar w:top="1701" w:right="1418" w:bottom="1701" w:left="1418" w:header="567" w:footer="567" w:gutter="567"/>
          <w:pgNumType w:fmt="lowerRoman"/>
          <w:cols w:space="720"/>
        </w:sectPr>
      </w:pPr>
      <w:r>
        <w:rPr>
          <w:noProof/>
          <w:lang w:eastAsia="en-NZ"/>
        </w:rPr>
        <w:drawing>
          <wp:inline distT="0" distB="0" distL="0" distR="0" wp14:anchorId="10E4B02D" wp14:editId="30477BC0">
            <wp:extent cx="1971675" cy="609600"/>
            <wp:effectExtent l="19050" t="0" r="9525" b="0"/>
            <wp:docPr id="3" name="Picture 3" descr="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Logo"/>
                    <pic:cNvPicPr>
                      <a:picLocks noChangeAspect="1" noChangeArrowheads="1"/>
                    </pic:cNvPicPr>
                  </pic:nvPicPr>
                  <pic:blipFill>
                    <a:blip r:embed="rId20" cstate="print"/>
                    <a:srcRect/>
                    <a:stretch>
                      <a:fillRect/>
                    </a:stretch>
                  </pic:blipFill>
                  <pic:spPr bwMode="auto">
                    <a:xfrm>
                      <a:off x="0" y="0"/>
                      <a:ext cx="1971675" cy="609600"/>
                    </a:xfrm>
                    <a:prstGeom prst="rect">
                      <a:avLst/>
                    </a:prstGeom>
                    <a:noFill/>
                    <a:ln w="9525">
                      <a:noFill/>
                      <a:miter lim="800000"/>
                      <a:headEnd/>
                      <a:tailEnd/>
                    </a:ln>
                  </pic:spPr>
                </pic:pic>
              </a:graphicData>
            </a:graphic>
          </wp:inline>
        </w:drawing>
      </w:r>
    </w:p>
    <w:p w:rsidR="00725A18" w:rsidRPr="005267D4" w:rsidRDefault="00725A18" w:rsidP="00620BF3">
      <w:pPr>
        <w:pStyle w:val="Heading"/>
      </w:pPr>
      <w:r w:rsidRPr="005267D4">
        <w:lastRenderedPageBreak/>
        <w:t>Contents</w:t>
      </w:r>
    </w:p>
    <w:p w:rsidR="00550D92" w:rsidRDefault="005D3DC5">
      <w:pPr>
        <w:pStyle w:val="TOC1"/>
        <w:rPr>
          <w:rFonts w:asciiTheme="minorHAnsi" w:eastAsiaTheme="minorEastAsia" w:hAnsiTheme="minorHAnsi" w:cstheme="minorBidi"/>
          <w:noProof/>
          <w:sz w:val="22"/>
          <w:szCs w:val="22"/>
          <w:lang w:eastAsia="en-NZ"/>
        </w:rPr>
      </w:pPr>
      <w:r w:rsidRPr="005267D4">
        <w:fldChar w:fldCharType="begin"/>
      </w:r>
      <w:r w:rsidRPr="005267D4">
        <w:instrText xml:space="preserve"> TOC \o "1-1" \t "Heading 2,2" </w:instrText>
      </w:r>
      <w:r w:rsidRPr="005267D4">
        <w:fldChar w:fldCharType="separate"/>
      </w:r>
      <w:r w:rsidR="00550D92">
        <w:rPr>
          <w:noProof/>
        </w:rPr>
        <w:t xml:space="preserve">Executive </w:t>
      </w:r>
      <w:r w:rsidR="00DA4A81">
        <w:rPr>
          <w:noProof/>
        </w:rPr>
        <w:t>summary</w:t>
      </w:r>
      <w:r w:rsidR="00550D92">
        <w:rPr>
          <w:noProof/>
        </w:rPr>
        <w:tab/>
      </w:r>
      <w:r w:rsidR="00550D92">
        <w:rPr>
          <w:noProof/>
        </w:rPr>
        <w:fldChar w:fldCharType="begin"/>
      </w:r>
      <w:r w:rsidR="00550D92">
        <w:rPr>
          <w:noProof/>
        </w:rPr>
        <w:instrText xml:space="preserve"> PAGEREF _Toc427250810 \h </w:instrText>
      </w:r>
      <w:r w:rsidR="00550D92">
        <w:rPr>
          <w:noProof/>
        </w:rPr>
      </w:r>
      <w:r w:rsidR="00550D92">
        <w:rPr>
          <w:noProof/>
        </w:rPr>
        <w:fldChar w:fldCharType="separate"/>
      </w:r>
      <w:r w:rsidR="00F41A6C">
        <w:rPr>
          <w:noProof/>
        </w:rPr>
        <w:t>vi</w:t>
      </w:r>
      <w:r w:rsidR="00550D92">
        <w:rPr>
          <w:noProof/>
        </w:rPr>
        <w:fldChar w:fldCharType="end"/>
      </w:r>
    </w:p>
    <w:p w:rsidR="00550D92" w:rsidRDefault="00550D92">
      <w:pPr>
        <w:pStyle w:val="TOC2"/>
        <w:rPr>
          <w:rFonts w:asciiTheme="minorHAnsi" w:eastAsiaTheme="minorEastAsia" w:hAnsiTheme="minorHAnsi" w:cstheme="minorBidi"/>
          <w:noProof/>
          <w:sz w:val="22"/>
          <w:szCs w:val="22"/>
          <w:lang w:eastAsia="en-NZ"/>
        </w:rPr>
      </w:pPr>
      <w:r>
        <w:rPr>
          <w:noProof/>
        </w:rPr>
        <w:t>Opportunities for data improvement</w:t>
      </w:r>
      <w:r>
        <w:rPr>
          <w:noProof/>
        </w:rPr>
        <w:tab/>
      </w:r>
      <w:r>
        <w:rPr>
          <w:noProof/>
        </w:rPr>
        <w:fldChar w:fldCharType="begin"/>
      </w:r>
      <w:r>
        <w:rPr>
          <w:noProof/>
        </w:rPr>
        <w:instrText xml:space="preserve"> PAGEREF _Toc427250811 \h </w:instrText>
      </w:r>
      <w:r>
        <w:rPr>
          <w:noProof/>
        </w:rPr>
      </w:r>
      <w:r>
        <w:rPr>
          <w:noProof/>
        </w:rPr>
        <w:fldChar w:fldCharType="separate"/>
      </w:r>
      <w:r w:rsidR="00F41A6C">
        <w:rPr>
          <w:noProof/>
        </w:rPr>
        <w:t>vi</w:t>
      </w:r>
      <w:r>
        <w:rPr>
          <w:noProof/>
        </w:rPr>
        <w:fldChar w:fldCharType="end"/>
      </w:r>
    </w:p>
    <w:p w:rsidR="00550D92" w:rsidRDefault="00550D92">
      <w:pPr>
        <w:pStyle w:val="TOC2"/>
        <w:rPr>
          <w:rFonts w:asciiTheme="minorHAnsi" w:eastAsiaTheme="minorEastAsia" w:hAnsiTheme="minorHAnsi" w:cstheme="minorBidi"/>
          <w:noProof/>
          <w:sz w:val="22"/>
          <w:szCs w:val="22"/>
          <w:lang w:eastAsia="en-NZ"/>
        </w:rPr>
      </w:pPr>
      <w:r>
        <w:rPr>
          <w:noProof/>
        </w:rPr>
        <w:t>Future challenges for data improvement</w:t>
      </w:r>
      <w:r>
        <w:rPr>
          <w:noProof/>
        </w:rPr>
        <w:tab/>
      </w:r>
      <w:r>
        <w:rPr>
          <w:noProof/>
        </w:rPr>
        <w:fldChar w:fldCharType="begin"/>
      </w:r>
      <w:r>
        <w:rPr>
          <w:noProof/>
        </w:rPr>
        <w:instrText xml:space="preserve"> PAGEREF _Toc427250812 \h </w:instrText>
      </w:r>
      <w:r>
        <w:rPr>
          <w:noProof/>
        </w:rPr>
      </w:r>
      <w:r>
        <w:rPr>
          <w:noProof/>
        </w:rPr>
        <w:fldChar w:fldCharType="separate"/>
      </w:r>
      <w:r w:rsidR="00F41A6C">
        <w:rPr>
          <w:noProof/>
        </w:rPr>
        <w:t>vii</w:t>
      </w:r>
      <w:r>
        <w:rPr>
          <w:noProof/>
        </w:rPr>
        <w:fldChar w:fldCharType="end"/>
      </w:r>
    </w:p>
    <w:p w:rsidR="00550D92" w:rsidRDefault="00550D92">
      <w:pPr>
        <w:pStyle w:val="TOC1"/>
        <w:rPr>
          <w:rFonts w:asciiTheme="minorHAnsi" w:eastAsiaTheme="minorEastAsia" w:hAnsiTheme="minorHAnsi" w:cstheme="minorBidi"/>
          <w:noProof/>
          <w:sz w:val="22"/>
          <w:szCs w:val="22"/>
          <w:lang w:eastAsia="en-NZ"/>
        </w:rPr>
      </w:pPr>
      <w:r>
        <w:rPr>
          <w:noProof/>
        </w:rPr>
        <w:t>1</w:t>
      </w:r>
      <w:r>
        <w:rPr>
          <w:rFonts w:asciiTheme="minorHAnsi" w:eastAsiaTheme="minorEastAsia" w:hAnsiTheme="minorHAnsi" w:cstheme="minorBidi"/>
          <w:noProof/>
          <w:sz w:val="22"/>
          <w:szCs w:val="22"/>
          <w:lang w:eastAsia="en-NZ"/>
        </w:rPr>
        <w:tab/>
      </w:r>
      <w:r>
        <w:rPr>
          <w:noProof/>
        </w:rPr>
        <w:t>Introduction</w:t>
      </w:r>
      <w:r>
        <w:rPr>
          <w:noProof/>
        </w:rPr>
        <w:tab/>
      </w:r>
      <w:r>
        <w:rPr>
          <w:noProof/>
        </w:rPr>
        <w:fldChar w:fldCharType="begin"/>
      </w:r>
      <w:r>
        <w:rPr>
          <w:noProof/>
        </w:rPr>
        <w:instrText xml:space="preserve"> PAGEREF _Toc427250813 \h </w:instrText>
      </w:r>
      <w:r>
        <w:rPr>
          <w:noProof/>
        </w:rPr>
      </w:r>
      <w:r>
        <w:rPr>
          <w:noProof/>
        </w:rPr>
        <w:fldChar w:fldCharType="separate"/>
      </w:r>
      <w:r w:rsidR="00F41A6C">
        <w:rPr>
          <w:noProof/>
        </w:rPr>
        <w:t>1</w:t>
      </w:r>
      <w:r>
        <w:rPr>
          <w:noProof/>
        </w:rPr>
        <w:fldChar w:fldCharType="end"/>
      </w:r>
    </w:p>
    <w:p w:rsidR="00550D92" w:rsidRDefault="00550D92">
      <w:pPr>
        <w:pStyle w:val="TOC2"/>
        <w:rPr>
          <w:rFonts w:asciiTheme="minorHAnsi" w:eastAsiaTheme="minorEastAsia" w:hAnsiTheme="minorHAnsi" w:cstheme="minorBidi"/>
          <w:noProof/>
          <w:sz w:val="22"/>
          <w:szCs w:val="22"/>
          <w:lang w:eastAsia="en-NZ"/>
        </w:rPr>
      </w:pPr>
      <w:r>
        <w:rPr>
          <w:noProof/>
        </w:rPr>
        <w:t>New Zealand Garden Bird Survey</w:t>
      </w:r>
      <w:r>
        <w:rPr>
          <w:noProof/>
        </w:rPr>
        <w:tab/>
      </w:r>
      <w:r>
        <w:rPr>
          <w:noProof/>
        </w:rPr>
        <w:fldChar w:fldCharType="begin"/>
      </w:r>
      <w:r>
        <w:rPr>
          <w:noProof/>
        </w:rPr>
        <w:instrText xml:space="preserve"> PAGEREF _Toc427250814 \h </w:instrText>
      </w:r>
      <w:r>
        <w:rPr>
          <w:noProof/>
        </w:rPr>
      </w:r>
      <w:r>
        <w:rPr>
          <w:noProof/>
        </w:rPr>
        <w:fldChar w:fldCharType="separate"/>
      </w:r>
      <w:r w:rsidR="00F41A6C">
        <w:rPr>
          <w:noProof/>
        </w:rPr>
        <w:t>1</w:t>
      </w:r>
      <w:r>
        <w:rPr>
          <w:noProof/>
        </w:rPr>
        <w:fldChar w:fldCharType="end"/>
      </w:r>
    </w:p>
    <w:p w:rsidR="00550D92" w:rsidRDefault="00550D92">
      <w:pPr>
        <w:pStyle w:val="TOC2"/>
        <w:rPr>
          <w:rFonts w:asciiTheme="minorHAnsi" w:eastAsiaTheme="minorEastAsia" w:hAnsiTheme="minorHAnsi" w:cstheme="minorBidi"/>
          <w:noProof/>
          <w:sz w:val="22"/>
          <w:szCs w:val="22"/>
          <w:lang w:eastAsia="en-NZ"/>
        </w:rPr>
      </w:pPr>
      <w:r>
        <w:rPr>
          <w:noProof/>
        </w:rPr>
        <w:t>Annual trends in garden bird populations</w:t>
      </w:r>
      <w:r>
        <w:rPr>
          <w:noProof/>
        </w:rPr>
        <w:tab/>
      </w:r>
      <w:r>
        <w:rPr>
          <w:noProof/>
        </w:rPr>
        <w:fldChar w:fldCharType="begin"/>
      </w:r>
      <w:r>
        <w:rPr>
          <w:noProof/>
        </w:rPr>
        <w:instrText xml:space="preserve"> PAGEREF _Toc427250815 \h </w:instrText>
      </w:r>
      <w:r>
        <w:rPr>
          <w:noProof/>
        </w:rPr>
      </w:r>
      <w:r>
        <w:rPr>
          <w:noProof/>
        </w:rPr>
        <w:fldChar w:fldCharType="separate"/>
      </w:r>
      <w:r w:rsidR="00F41A6C">
        <w:rPr>
          <w:noProof/>
        </w:rPr>
        <w:t>2</w:t>
      </w:r>
      <w:r>
        <w:rPr>
          <w:noProof/>
        </w:rPr>
        <w:fldChar w:fldCharType="end"/>
      </w:r>
    </w:p>
    <w:p w:rsidR="00550D92" w:rsidRDefault="00550D92">
      <w:pPr>
        <w:pStyle w:val="TOC2"/>
        <w:rPr>
          <w:rFonts w:asciiTheme="minorHAnsi" w:eastAsiaTheme="minorEastAsia" w:hAnsiTheme="minorHAnsi" w:cstheme="minorBidi"/>
          <w:noProof/>
          <w:sz w:val="22"/>
          <w:szCs w:val="22"/>
          <w:lang w:eastAsia="en-NZ"/>
        </w:rPr>
      </w:pPr>
      <w:r>
        <w:rPr>
          <w:noProof/>
        </w:rPr>
        <w:t>Data access and analysis challenges</w:t>
      </w:r>
      <w:r>
        <w:rPr>
          <w:noProof/>
        </w:rPr>
        <w:tab/>
      </w:r>
      <w:r>
        <w:rPr>
          <w:noProof/>
        </w:rPr>
        <w:fldChar w:fldCharType="begin"/>
      </w:r>
      <w:r>
        <w:rPr>
          <w:noProof/>
        </w:rPr>
        <w:instrText xml:space="preserve"> PAGEREF _Toc427250816 \h </w:instrText>
      </w:r>
      <w:r>
        <w:rPr>
          <w:noProof/>
        </w:rPr>
      </w:r>
      <w:r>
        <w:rPr>
          <w:noProof/>
        </w:rPr>
        <w:fldChar w:fldCharType="separate"/>
      </w:r>
      <w:r w:rsidR="00F41A6C">
        <w:rPr>
          <w:noProof/>
        </w:rPr>
        <w:t>4</w:t>
      </w:r>
      <w:r>
        <w:rPr>
          <w:noProof/>
        </w:rPr>
        <w:fldChar w:fldCharType="end"/>
      </w:r>
    </w:p>
    <w:p w:rsidR="00550D92" w:rsidRDefault="00550D92">
      <w:pPr>
        <w:pStyle w:val="TOC1"/>
        <w:rPr>
          <w:rFonts w:asciiTheme="minorHAnsi" w:eastAsiaTheme="minorEastAsia" w:hAnsiTheme="minorHAnsi" w:cstheme="minorBidi"/>
          <w:noProof/>
          <w:sz w:val="22"/>
          <w:szCs w:val="22"/>
          <w:lang w:eastAsia="en-NZ"/>
        </w:rPr>
      </w:pPr>
      <w:r>
        <w:rPr>
          <w:noProof/>
        </w:rPr>
        <w:t>2</w:t>
      </w:r>
      <w:r>
        <w:rPr>
          <w:rFonts w:asciiTheme="minorHAnsi" w:eastAsiaTheme="minorEastAsia" w:hAnsiTheme="minorHAnsi" w:cstheme="minorBidi"/>
          <w:noProof/>
          <w:sz w:val="22"/>
          <w:szCs w:val="22"/>
          <w:lang w:eastAsia="en-NZ"/>
        </w:rPr>
        <w:tab/>
      </w:r>
      <w:r>
        <w:rPr>
          <w:noProof/>
        </w:rPr>
        <w:t>Making data spatial and confidential</w:t>
      </w:r>
      <w:r>
        <w:rPr>
          <w:noProof/>
        </w:rPr>
        <w:tab/>
      </w:r>
      <w:r>
        <w:rPr>
          <w:noProof/>
        </w:rPr>
        <w:fldChar w:fldCharType="begin"/>
      </w:r>
      <w:r>
        <w:rPr>
          <w:noProof/>
        </w:rPr>
        <w:instrText xml:space="preserve"> PAGEREF _Toc427250817 \h </w:instrText>
      </w:r>
      <w:r>
        <w:rPr>
          <w:noProof/>
        </w:rPr>
      </w:r>
      <w:r>
        <w:rPr>
          <w:noProof/>
        </w:rPr>
        <w:fldChar w:fldCharType="separate"/>
      </w:r>
      <w:r w:rsidR="00F41A6C">
        <w:rPr>
          <w:noProof/>
        </w:rPr>
        <w:t>5</w:t>
      </w:r>
      <w:r>
        <w:rPr>
          <w:noProof/>
        </w:rPr>
        <w:fldChar w:fldCharType="end"/>
      </w:r>
    </w:p>
    <w:p w:rsidR="00550D92" w:rsidRDefault="00550D92">
      <w:pPr>
        <w:pStyle w:val="TOC2"/>
        <w:rPr>
          <w:rFonts w:asciiTheme="minorHAnsi" w:eastAsiaTheme="minorEastAsia" w:hAnsiTheme="minorHAnsi" w:cstheme="minorBidi"/>
          <w:noProof/>
          <w:sz w:val="22"/>
          <w:szCs w:val="22"/>
          <w:lang w:eastAsia="en-NZ"/>
        </w:rPr>
      </w:pPr>
      <w:r>
        <w:rPr>
          <w:noProof/>
        </w:rPr>
        <w:t>Unedited data structure</w:t>
      </w:r>
      <w:r>
        <w:rPr>
          <w:noProof/>
        </w:rPr>
        <w:tab/>
      </w:r>
      <w:r>
        <w:rPr>
          <w:noProof/>
        </w:rPr>
        <w:fldChar w:fldCharType="begin"/>
      </w:r>
      <w:r>
        <w:rPr>
          <w:noProof/>
        </w:rPr>
        <w:instrText xml:space="preserve"> PAGEREF _Toc427250818 \h </w:instrText>
      </w:r>
      <w:r>
        <w:rPr>
          <w:noProof/>
        </w:rPr>
      </w:r>
      <w:r>
        <w:rPr>
          <w:noProof/>
        </w:rPr>
        <w:fldChar w:fldCharType="separate"/>
      </w:r>
      <w:r w:rsidR="00F41A6C">
        <w:rPr>
          <w:noProof/>
        </w:rPr>
        <w:t>5</w:t>
      </w:r>
      <w:r>
        <w:rPr>
          <w:noProof/>
        </w:rPr>
        <w:fldChar w:fldCharType="end"/>
      </w:r>
    </w:p>
    <w:p w:rsidR="00550D92" w:rsidRDefault="00550D92">
      <w:pPr>
        <w:pStyle w:val="TOC2"/>
        <w:rPr>
          <w:rFonts w:asciiTheme="minorHAnsi" w:eastAsiaTheme="minorEastAsia" w:hAnsiTheme="minorHAnsi" w:cstheme="minorBidi"/>
          <w:noProof/>
          <w:sz w:val="22"/>
          <w:szCs w:val="22"/>
          <w:lang w:eastAsia="en-NZ"/>
        </w:rPr>
      </w:pPr>
      <w:r>
        <w:rPr>
          <w:noProof/>
        </w:rPr>
        <w:t>Data editing steps</w:t>
      </w:r>
      <w:r>
        <w:rPr>
          <w:noProof/>
        </w:rPr>
        <w:tab/>
      </w:r>
      <w:r>
        <w:rPr>
          <w:noProof/>
        </w:rPr>
        <w:fldChar w:fldCharType="begin"/>
      </w:r>
      <w:r>
        <w:rPr>
          <w:noProof/>
        </w:rPr>
        <w:instrText xml:space="preserve"> PAGEREF _Toc427250819 \h </w:instrText>
      </w:r>
      <w:r>
        <w:rPr>
          <w:noProof/>
        </w:rPr>
      </w:r>
      <w:r>
        <w:rPr>
          <w:noProof/>
        </w:rPr>
        <w:fldChar w:fldCharType="separate"/>
      </w:r>
      <w:r w:rsidR="00F41A6C">
        <w:rPr>
          <w:noProof/>
        </w:rPr>
        <w:t>5</w:t>
      </w:r>
      <w:r>
        <w:rPr>
          <w:noProof/>
        </w:rPr>
        <w:fldChar w:fldCharType="end"/>
      </w:r>
    </w:p>
    <w:p w:rsidR="00550D92" w:rsidRDefault="00550D92">
      <w:pPr>
        <w:pStyle w:val="TOC2"/>
        <w:rPr>
          <w:rFonts w:asciiTheme="minorHAnsi" w:eastAsiaTheme="minorEastAsia" w:hAnsiTheme="minorHAnsi" w:cstheme="minorBidi"/>
          <w:noProof/>
          <w:sz w:val="22"/>
          <w:szCs w:val="22"/>
          <w:lang w:eastAsia="en-NZ"/>
        </w:rPr>
      </w:pPr>
      <w:r>
        <w:rPr>
          <w:noProof/>
        </w:rPr>
        <w:t>Data access and sharing</w:t>
      </w:r>
      <w:r>
        <w:rPr>
          <w:noProof/>
        </w:rPr>
        <w:tab/>
      </w:r>
      <w:r>
        <w:rPr>
          <w:noProof/>
        </w:rPr>
        <w:fldChar w:fldCharType="begin"/>
      </w:r>
      <w:r>
        <w:rPr>
          <w:noProof/>
        </w:rPr>
        <w:instrText xml:space="preserve"> PAGEREF _Toc427250820 \h </w:instrText>
      </w:r>
      <w:r>
        <w:rPr>
          <w:noProof/>
        </w:rPr>
      </w:r>
      <w:r>
        <w:rPr>
          <w:noProof/>
        </w:rPr>
        <w:fldChar w:fldCharType="separate"/>
      </w:r>
      <w:r w:rsidR="00F41A6C">
        <w:rPr>
          <w:noProof/>
        </w:rPr>
        <w:t>6</w:t>
      </w:r>
      <w:r>
        <w:rPr>
          <w:noProof/>
        </w:rPr>
        <w:fldChar w:fldCharType="end"/>
      </w:r>
    </w:p>
    <w:p w:rsidR="00550D92" w:rsidRDefault="00550D92">
      <w:pPr>
        <w:pStyle w:val="TOC2"/>
        <w:rPr>
          <w:rFonts w:asciiTheme="minorHAnsi" w:eastAsiaTheme="minorEastAsia" w:hAnsiTheme="minorHAnsi" w:cstheme="minorBidi"/>
          <w:noProof/>
          <w:sz w:val="22"/>
          <w:szCs w:val="22"/>
          <w:lang w:eastAsia="en-NZ"/>
        </w:rPr>
      </w:pPr>
      <w:r>
        <w:rPr>
          <w:noProof/>
        </w:rPr>
        <w:t>Future data management considerations</w:t>
      </w:r>
      <w:r>
        <w:rPr>
          <w:noProof/>
        </w:rPr>
        <w:tab/>
      </w:r>
      <w:r>
        <w:rPr>
          <w:noProof/>
        </w:rPr>
        <w:fldChar w:fldCharType="begin"/>
      </w:r>
      <w:r>
        <w:rPr>
          <w:noProof/>
        </w:rPr>
        <w:instrText xml:space="preserve"> PAGEREF _Toc427250821 \h </w:instrText>
      </w:r>
      <w:r>
        <w:rPr>
          <w:noProof/>
        </w:rPr>
      </w:r>
      <w:r>
        <w:rPr>
          <w:noProof/>
        </w:rPr>
        <w:fldChar w:fldCharType="separate"/>
      </w:r>
      <w:r w:rsidR="00F41A6C">
        <w:rPr>
          <w:noProof/>
        </w:rPr>
        <w:t>6</w:t>
      </w:r>
      <w:r>
        <w:rPr>
          <w:noProof/>
        </w:rPr>
        <w:fldChar w:fldCharType="end"/>
      </w:r>
    </w:p>
    <w:p w:rsidR="00550D92" w:rsidRDefault="00550D92">
      <w:pPr>
        <w:pStyle w:val="TOC1"/>
        <w:rPr>
          <w:rFonts w:asciiTheme="minorHAnsi" w:eastAsiaTheme="minorEastAsia" w:hAnsiTheme="minorHAnsi" w:cstheme="minorBidi"/>
          <w:noProof/>
          <w:sz w:val="22"/>
          <w:szCs w:val="22"/>
          <w:lang w:eastAsia="en-NZ"/>
        </w:rPr>
      </w:pPr>
      <w:r>
        <w:rPr>
          <w:noProof/>
        </w:rPr>
        <w:t>3</w:t>
      </w:r>
      <w:r>
        <w:rPr>
          <w:rFonts w:asciiTheme="minorHAnsi" w:eastAsiaTheme="minorEastAsia" w:hAnsiTheme="minorHAnsi" w:cstheme="minorBidi"/>
          <w:noProof/>
          <w:sz w:val="22"/>
          <w:szCs w:val="22"/>
          <w:lang w:eastAsia="en-NZ"/>
        </w:rPr>
        <w:tab/>
      </w:r>
      <w:r>
        <w:rPr>
          <w:noProof/>
        </w:rPr>
        <w:t>Data exploration</w:t>
      </w:r>
      <w:r>
        <w:rPr>
          <w:noProof/>
        </w:rPr>
        <w:tab/>
      </w:r>
      <w:r>
        <w:rPr>
          <w:noProof/>
        </w:rPr>
        <w:fldChar w:fldCharType="begin"/>
      </w:r>
      <w:r>
        <w:rPr>
          <w:noProof/>
        </w:rPr>
        <w:instrText xml:space="preserve"> PAGEREF _Toc427250822 \h </w:instrText>
      </w:r>
      <w:r>
        <w:rPr>
          <w:noProof/>
        </w:rPr>
      </w:r>
      <w:r>
        <w:rPr>
          <w:noProof/>
        </w:rPr>
        <w:fldChar w:fldCharType="separate"/>
      </w:r>
      <w:r w:rsidR="00F41A6C">
        <w:rPr>
          <w:noProof/>
        </w:rPr>
        <w:t>7</w:t>
      </w:r>
      <w:r>
        <w:rPr>
          <w:noProof/>
        </w:rPr>
        <w:fldChar w:fldCharType="end"/>
      </w:r>
    </w:p>
    <w:p w:rsidR="00550D92" w:rsidRDefault="00550D92">
      <w:pPr>
        <w:pStyle w:val="TOC2"/>
        <w:rPr>
          <w:rFonts w:asciiTheme="minorHAnsi" w:eastAsiaTheme="minorEastAsia" w:hAnsiTheme="minorHAnsi" w:cstheme="minorBidi"/>
          <w:noProof/>
          <w:sz w:val="22"/>
          <w:szCs w:val="22"/>
          <w:lang w:eastAsia="en-NZ"/>
        </w:rPr>
      </w:pPr>
      <w:r>
        <w:rPr>
          <w:noProof/>
        </w:rPr>
        <w:t>Spatial variation in sampling effort</w:t>
      </w:r>
      <w:r>
        <w:rPr>
          <w:noProof/>
        </w:rPr>
        <w:tab/>
      </w:r>
      <w:r>
        <w:rPr>
          <w:noProof/>
        </w:rPr>
        <w:fldChar w:fldCharType="begin"/>
      </w:r>
      <w:r>
        <w:rPr>
          <w:noProof/>
        </w:rPr>
        <w:instrText xml:space="preserve"> PAGEREF _Toc427250823 \h </w:instrText>
      </w:r>
      <w:r>
        <w:rPr>
          <w:noProof/>
        </w:rPr>
      </w:r>
      <w:r>
        <w:rPr>
          <w:noProof/>
        </w:rPr>
        <w:fldChar w:fldCharType="separate"/>
      </w:r>
      <w:r w:rsidR="00F41A6C">
        <w:rPr>
          <w:noProof/>
        </w:rPr>
        <w:t>7</w:t>
      </w:r>
      <w:r>
        <w:rPr>
          <w:noProof/>
        </w:rPr>
        <w:fldChar w:fldCharType="end"/>
      </w:r>
    </w:p>
    <w:p w:rsidR="00550D92" w:rsidRDefault="00550D92">
      <w:pPr>
        <w:pStyle w:val="TOC2"/>
        <w:rPr>
          <w:rFonts w:asciiTheme="minorHAnsi" w:eastAsiaTheme="minorEastAsia" w:hAnsiTheme="minorHAnsi" w:cstheme="minorBidi"/>
          <w:noProof/>
          <w:sz w:val="22"/>
          <w:szCs w:val="22"/>
          <w:lang w:eastAsia="en-NZ"/>
        </w:rPr>
      </w:pPr>
      <w:r>
        <w:rPr>
          <w:noProof/>
        </w:rPr>
        <w:t>Focal bird species</w:t>
      </w:r>
      <w:r>
        <w:rPr>
          <w:noProof/>
        </w:rPr>
        <w:tab/>
      </w:r>
      <w:r>
        <w:rPr>
          <w:noProof/>
        </w:rPr>
        <w:fldChar w:fldCharType="begin"/>
      </w:r>
      <w:r>
        <w:rPr>
          <w:noProof/>
        </w:rPr>
        <w:instrText xml:space="preserve"> PAGEREF _Toc427250824 \h </w:instrText>
      </w:r>
      <w:r>
        <w:rPr>
          <w:noProof/>
        </w:rPr>
      </w:r>
      <w:r>
        <w:rPr>
          <w:noProof/>
        </w:rPr>
        <w:fldChar w:fldCharType="separate"/>
      </w:r>
      <w:r w:rsidR="00F41A6C">
        <w:rPr>
          <w:noProof/>
        </w:rPr>
        <w:t>10</w:t>
      </w:r>
      <w:r>
        <w:rPr>
          <w:noProof/>
        </w:rPr>
        <w:fldChar w:fldCharType="end"/>
      </w:r>
    </w:p>
    <w:p w:rsidR="00550D92" w:rsidRDefault="00550D92">
      <w:pPr>
        <w:pStyle w:val="TOC2"/>
        <w:rPr>
          <w:rFonts w:asciiTheme="minorHAnsi" w:eastAsiaTheme="minorEastAsia" w:hAnsiTheme="minorHAnsi" w:cstheme="minorBidi"/>
          <w:noProof/>
          <w:sz w:val="22"/>
          <w:szCs w:val="22"/>
          <w:lang w:eastAsia="en-NZ"/>
        </w:rPr>
      </w:pPr>
      <w:r>
        <w:rPr>
          <w:noProof/>
        </w:rPr>
        <w:t>Preliminary analyses of abundance trends</w:t>
      </w:r>
      <w:r>
        <w:rPr>
          <w:noProof/>
        </w:rPr>
        <w:tab/>
      </w:r>
      <w:r>
        <w:rPr>
          <w:noProof/>
        </w:rPr>
        <w:fldChar w:fldCharType="begin"/>
      </w:r>
      <w:r>
        <w:rPr>
          <w:noProof/>
        </w:rPr>
        <w:instrText xml:space="preserve"> PAGEREF _Toc427250825 \h </w:instrText>
      </w:r>
      <w:r>
        <w:rPr>
          <w:noProof/>
        </w:rPr>
      </w:r>
      <w:r>
        <w:rPr>
          <w:noProof/>
        </w:rPr>
        <w:fldChar w:fldCharType="separate"/>
      </w:r>
      <w:r w:rsidR="00F41A6C">
        <w:rPr>
          <w:noProof/>
        </w:rPr>
        <w:t>11</w:t>
      </w:r>
      <w:r>
        <w:rPr>
          <w:noProof/>
        </w:rPr>
        <w:fldChar w:fldCharType="end"/>
      </w:r>
    </w:p>
    <w:p w:rsidR="00550D92" w:rsidRDefault="00550D92">
      <w:pPr>
        <w:pStyle w:val="TOC2"/>
        <w:rPr>
          <w:rFonts w:asciiTheme="minorHAnsi" w:eastAsiaTheme="minorEastAsia" w:hAnsiTheme="minorHAnsi" w:cstheme="minorBidi"/>
          <w:noProof/>
          <w:sz w:val="22"/>
          <w:szCs w:val="22"/>
          <w:lang w:eastAsia="en-NZ"/>
        </w:rPr>
      </w:pPr>
      <w:r>
        <w:rPr>
          <w:noProof/>
        </w:rPr>
        <w:t>Preliminary results</w:t>
      </w:r>
      <w:r>
        <w:rPr>
          <w:noProof/>
        </w:rPr>
        <w:tab/>
      </w:r>
      <w:r>
        <w:rPr>
          <w:noProof/>
        </w:rPr>
        <w:fldChar w:fldCharType="begin"/>
      </w:r>
      <w:r>
        <w:rPr>
          <w:noProof/>
        </w:rPr>
        <w:instrText xml:space="preserve"> PAGEREF _Toc427250826 \h </w:instrText>
      </w:r>
      <w:r>
        <w:rPr>
          <w:noProof/>
        </w:rPr>
      </w:r>
      <w:r>
        <w:rPr>
          <w:noProof/>
        </w:rPr>
        <w:fldChar w:fldCharType="separate"/>
      </w:r>
      <w:r w:rsidR="00F41A6C">
        <w:rPr>
          <w:noProof/>
        </w:rPr>
        <w:t>13</w:t>
      </w:r>
      <w:r>
        <w:rPr>
          <w:noProof/>
        </w:rPr>
        <w:fldChar w:fldCharType="end"/>
      </w:r>
    </w:p>
    <w:p w:rsidR="00550D92" w:rsidRDefault="00550D92">
      <w:pPr>
        <w:pStyle w:val="TOC2"/>
        <w:rPr>
          <w:rFonts w:asciiTheme="minorHAnsi" w:eastAsiaTheme="minorEastAsia" w:hAnsiTheme="minorHAnsi" w:cstheme="minorBidi"/>
          <w:noProof/>
          <w:sz w:val="22"/>
          <w:szCs w:val="22"/>
          <w:lang w:eastAsia="en-NZ"/>
        </w:rPr>
      </w:pPr>
      <w:r>
        <w:rPr>
          <w:noProof/>
        </w:rPr>
        <w:t>Recommendations for future analysis</w:t>
      </w:r>
      <w:r>
        <w:rPr>
          <w:noProof/>
        </w:rPr>
        <w:tab/>
      </w:r>
      <w:r>
        <w:rPr>
          <w:noProof/>
        </w:rPr>
        <w:fldChar w:fldCharType="begin"/>
      </w:r>
      <w:r>
        <w:rPr>
          <w:noProof/>
        </w:rPr>
        <w:instrText xml:space="preserve"> PAGEREF _Toc427250827 \h </w:instrText>
      </w:r>
      <w:r>
        <w:rPr>
          <w:noProof/>
        </w:rPr>
      </w:r>
      <w:r>
        <w:rPr>
          <w:noProof/>
        </w:rPr>
        <w:fldChar w:fldCharType="separate"/>
      </w:r>
      <w:r w:rsidR="00F41A6C">
        <w:rPr>
          <w:noProof/>
        </w:rPr>
        <w:t>21</w:t>
      </w:r>
      <w:r>
        <w:rPr>
          <w:noProof/>
        </w:rPr>
        <w:fldChar w:fldCharType="end"/>
      </w:r>
    </w:p>
    <w:p w:rsidR="00550D92" w:rsidRDefault="00550D92">
      <w:pPr>
        <w:pStyle w:val="TOC1"/>
        <w:rPr>
          <w:rFonts w:asciiTheme="minorHAnsi" w:eastAsiaTheme="minorEastAsia" w:hAnsiTheme="minorHAnsi" w:cstheme="minorBidi"/>
          <w:noProof/>
          <w:sz w:val="22"/>
          <w:szCs w:val="22"/>
          <w:lang w:eastAsia="en-NZ"/>
        </w:rPr>
      </w:pPr>
      <w:r>
        <w:rPr>
          <w:noProof/>
        </w:rPr>
        <w:t>4</w:t>
      </w:r>
      <w:r>
        <w:rPr>
          <w:rFonts w:asciiTheme="minorHAnsi" w:eastAsiaTheme="minorEastAsia" w:hAnsiTheme="minorHAnsi" w:cstheme="minorBidi"/>
          <w:noProof/>
          <w:sz w:val="22"/>
          <w:szCs w:val="22"/>
          <w:lang w:eastAsia="en-NZ"/>
        </w:rPr>
        <w:tab/>
      </w:r>
      <w:r>
        <w:rPr>
          <w:noProof/>
        </w:rPr>
        <w:t>Power analysis</w:t>
      </w:r>
      <w:r>
        <w:rPr>
          <w:noProof/>
        </w:rPr>
        <w:tab/>
      </w:r>
      <w:r>
        <w:rPr>
          <w:noProof/>
        </w:rPr>
        <w:fldChar w:fldCharType="begin"/>
      </w:r>
      <w:r>
        <w:rPr>
          <w:noProof/>
        </w:rPr>
        <w:instrText xml:space="preserve"> PAGEREF _Toc427250828 \h </w:instrText>
      </w:r>
      <w:r>
        <w:rPr>
          <w:noProof/>
        </w:rPr>
      </w:r>
      <w:r>
        <w:rPr>
          <w:noProof/>
        </w:rPr>
        <w:fldChar w:fldCharType="separate"/>
      </w:r>
      <w:r w:rsidR="00F41A6C">
        <w:rPr>
          <w:noProof/>
        </w:rPr>
        <w:t>22</w:t>
      </w:r>
      <w:r>
        <w:rPr>
          <w:noProof/>
        </w:rPr>
        <w:fldChar w:fldCharType="end"/>
      </w:r>
    </w:p>
    <w:p w:rsidR="00550D92" w:rsidRDefault="00550D92">
      <w:pPr>
        <w:pStyle w:val="TOC2"/>
        <w:rPr>
          <w:rFonts w:asciiTheme="minorHAnsi" w:eastAsiaTheme="minorEastAsia" w:hAnsiTheme="minorHAnsi" w:cstheme="minorBidi"/>
          <w:noProof/>
          <w:sz w:val="22"/>
          <w:szCs w:val="22"/>
          <w:lang w:eastAsia="en-NZ"/>
        </w:rPr>
      </w:pPr>
      <w:r>
        <w:rPr>
          <w:noProof/>
        </w:rPr>
        <w:t>Current data: Using linear mixed models</w:t>
      </w:r>
      <w:r>
        <w:rPr>
          <w:noProof/>
        </w:rPr>
        <w:tab/>
      </w:r>
      <w:r>
        <w:rPr>
          <w:noProof/>
        </w:rPr>
        <w:fldChar w:fldCharType="begin"/>
      </w:r>
      <w:r>
        <w:rPr>
          <w:noProof/>
        </w:rPr>
        <w:instrText xml:space="preserve"> PAGEREF _Toc427250829 \h </w:instrText>
      </w:r>
      <w:r>
        <w:rPr>
          <w:noProof/>
        </w:rPr>
      </w:r>
      <w:r>
        <w:rPr>
          <w:noProof/>
        </w:rPr>
        <w:fldChar w:fldCharType="separate"/>
      </w:r>
      <w:r w:rsidR="00F41A6C">
        <w:rPr>
          <w:noProof/>
        </w:rPr>
        <w:t>22</w:t>
      </w:r>
      <w:r>
        <w:rPr>
          <w:noProof/>
        </w:rPr>
        <w:fldChar w:fldCharType="end"/>
      </w:r>
    </w:p>
    <w:p w:rsidR="00550D92" w:rsidRDefault="00550D92">
      <w:pPr>
        <w:pStyle w:val="TOC2"/>
        <w:rPr>
          <w:rFonts w:asciiTheme="minorHAnsi" w:eastAsiaTheme="minorEastAsia" w:hAnsiTheme="minorHAnsi" w:cstheme="minorBidi"/>
          <w:noProof/>
          <w:sz w:val="22"/>
          <w:szCs w:val="22"/>
          <w:lang w:eastAsia="en-NZ"/>
        </w:rPr>
      </w:pPr>
      <w:r>
        <w:rPr>
          <w:noProof/>
        </w:rPr>
        <w:t>Future datasets: Using linear mixed models</w:t>
      </w:r>
      <w:r>
        <w:rPr>
          <w:noProof/>
        </w:rPr>
        <w:tab/>
      </w:r>
      <w:r>
        <w:rPr>
          <w:noProof/>
        </w:rPr>
        <w:fldChar w:fldCharType="begin"/>
      </w:r>
      <w:r>
        <w:rPr>
          <w:noProof/>
        </w:rPr>
        <w:instrText xml:space="preserve"> PAGEREF _Toc427250830 \h </w:instrText>
      </w:r>
      <w:r>
        <w:rPr>
          <w:noProof/>
        </w:rPr>
      </w:r>
      <w:r>
        <w:rPr>
          <w:noProof/>
        </w:rPr>
        <w:fldChar w:fldCharType="separate"/>
      </w:r>
      <w:r w:rsidR="00F41A6C">
        <w:rPr>
          <w:noProof/>
        </w:rPr>
        <w:t>23</w:t>
      </w:r>
      <w:r>
        <w:rPr>
          <w:noProof/>
        </w:rPr>
        <w:fldChar w:fldCharType="end"/>
      </w:r>
    </w:p>
    <w:p w:rsidR="00550D92" w:rsidRDefault="00550D92">
      <w:pPr>
        <w:pStyle w:val="TOC2"/>
        <w:rPr>
          <w:rFonts w:asciiTheme="minorHAnsi" w:eastAsiaTheme="minorEastAsia" w:hAnsiTheme="minorHAnsi" w:cstheme="minorBidi"/>
          <w:noProof/>
          <w:sz w:val="22"/>
          <w:szCs w:val="22"/>
          <w:lang w:eastAsia="en-NZ"/>
        </w:rPr>
      </w:pPr>
      <w:r>
        <w:rPr>
          <w:noProof/>
        </w:rPr>
        <w:t>Future datasets: Using weighted national averages</w:t>
      </w:r>
      <w:r>
        <w:rPr>
          <w:noProof/>
        </w:rPr>
        <w:tab/>
      </w:r>
      <w:r>
        <w:rPr>
          <w:noProof/>
        </w:rPr>
        <w:fldChar w:fldCharType="begin"/>
      </w:r>
      <w:r>
        <w:rPr>
          <w:noProof/>
        </w:rPr>
        <w:instrText xml:space="preserve"> PAGEREF _Toc427250831 \h </w:instrText>
      </w:r>
      <w:r>
        <w:rPr>
          <w:noProof/>
        </w:rPr>
      </w:r>
      <w:r>
        <w:rPr>
          <w:noProof/>
        </w:rPr>
        <w:fldChar w:fldCharType="separate"/>
      </w:r>
      <w:r w:rsidR="00F41A6C">
        <w:rPr>
          <w:noProof/>
        </w:rPr>
        <w:t>25</w:t>
      </w:r>
      <w:r>
        <w:rPr>
          <w:noProof/>
        </w:rPr>
        <w:fldChar w:fldCharType="end"/>
      </w:r>
    </w:p>
    <w:p w:rsidR="00550D92" w:rsidRDefault="00550D92">
      <w:pPr>
        <w:pStyle w:val="TOC1"/>
        <w:rPr>
          <w:rFonts w:asciiTheme="minorHAnsi" w:eastAsiaTheme="minorEastAsia" w:hAnsiTheme="minorHAnsi" w:cstheme="minorBidi"/>
          <w:noProof/>
          <w:sz w:val="22"/>
          <w:szCs w:val="22"/>
          <w:lang w:eastAsia="en-NZ"/>
        </w:rPr>
      </w:pPr>
      <w:r>
        <w:rPr>
          <w:noProof/>
        </w:rPr>
        <w:t>5 Conclusions</w:t>
      </w:r>
      <w:r>
        <w:rPr>
          <w:noProof/>
        </w:rPr>
        <w:tab/>
      </w:r>
      <w:r>
        <w:rPr>
          <w:noProof/>
        </w:rPr>
        <w:fldChar w:fldCharType="begin"/>
      </w:r>
      <w:r>
        <w:rPr>
          <w:noProof/>
        </w:rPr>
        <w:instrText xml:space="preserve"> PAGEREF _Toc427250832 \h </w:instrText>
      </w:r>
      <w:r>
        <w:rPr>
          <w:noProof/>
        </w:rPr>
      </w:r>
      <w:r>
        <w:rPr>
          <w:noProof/>
        </w:rPr>
        <w:fldChar w:fldCharType="separate"/>
      </w:r>
      <w:r w:rsidR="00F41A6C">
        <w:rPr>
          <w:noProof/>
        </w:rPr>
        <w:t>26</w:t>
      </w:r>
      <w:r>
        <w:rPr>
          <w:noProof/>
        </w:rPr>
        <w:fldChar w:fldCharType="end"/>
      </w:r>
    </w:p>
    <w:p w:rsidR="00550D92" w:rsidRDefault="00550D92">
      <w:pPr>
        <w:pStyle w:val="TOC2"/>
        <w:rPr>
          <w:rFonts w:asciiTheme="minorHAnsi" w:eastAsiaTheme="minorEastAsia" w:hAnsiTheme="minorHAnsi" w:cstheme="minorBidi"/>
          <w:noProof/>
          <w:sz w:val="22"/>
          <w:szCs w:val="22"/>
          <w:lang w:eastAsia="en-NZ"/>
        </w:rPr>
      </w:pPr>
      <w:r>
        <w:rPr>
          <w:noProof/>
        </w:rPr>
        <w:t>Opportunities for data improvement</w:t>
      </w:r>
      <w:r>
        <w:rPr>
          <w:noProof/>
        </w:rPr>
        <w:tab/>
      </w:r>
      <w:r>
        <w:rPr>
          <w:noProof/>
        </w:rPr>
        <w:fldChar w:fldCharType="begin"/>
      </w:r>
      <w:r>
        <w:rPr>
          <w:noProof/>
        </w:rPr>
        <w:instrText xml:space="preserve"> PAGEREF _Toc427250833 \h </w:instrText>
      </w:r>
      <w:r>
        <w:rPr>
          <w:noProof/>
        </w:rPr>
      </w:r>
      <w:r>
        <w:rPr>
          <w:noProof/>
        </w:rPr>
        <w:fldChar w:fldCharType="separate"/>
      </w:r>
      <w:r w:rsidR="00F41A6C">
        <w:rPr>
          <w:noProof/>
        </w:rPr>
        <w:t>26</w:t>
      </w:r>
      <w:r>
        <w:rPr>
          <w:noProof/>
        </w:rPr>
        <w:fldChar w:fldCharType="end"/>
      </w:r>
    </w:p>
    <w:p w:rsidR="00550D92" w:rsidRDefault="00550D92">
      <w:pPr>
        <w:pStyle w:val="TOC2"/>
        <w:rPr>
          <w:rFonts w:asciiTheme="minorHAnsi" w:eastAsiaTheme="minorEastAsia" w:hAnsiTheme="minorHAnsi" w:cstheme="minorBidi"/>
          <w:noProof/>
          <w:sz w:val="22"/>
          <w:szCs w:val="22"/>
          <w:lang w:eastAsia="en-NZ"/>
        </w:rPr>
      </w:pPr>
      <w:r>
        <w:rPr>
          <w:noProof/>
        </w:rPr>
        <w:t>Future challenges for data improvement</w:t>
      </w:r>
      <w:r>
        <w:rPr>
          <w:noProof/>
        </w:rPr>
        <w:tab/>
      </w:r>
      <w:r>
        <w:rPr>
          <w:noProof/>
        </w:rPr>
        <w:fldChar w:fldCharType="begin"/>
      </w:r>
      <w:r>
        <w:rPr>
          <w:noProof/>
        </w:rPr>
        <w:instrText xml:space="preserve"> PAGEREF _Toc427250834 \h </w:instrText>
      </w:r>
      <w:r>
        <w:rPr>
          <w:noProof/>
        </w:rPr>
      </w:r>
      <w:r>
        <w:rPr>
          <w:noProof/>
        </w:rPr>
        <w:fldChar w:fldCharType="separate"/>
      </w:r>
      <w:r w:rsidR="00F41A6C">
        <w:rPr>
          <w:noProof/>
        </w:rPr>
        <w:t>27</w:t>
      </w:r>
      <w:r>
        <w:rPr>
          <w:noProof/>
        </w:rPr>
        <w:fldChar w:fldCharType="end"/>
      </w:r>
    </w:p>
    <w:p w:rsidR="00550D92" w:rsidRDefault="00550D92">
      <w:pPr>
        <w:pStyle w:val="TOC1"/>
        <w:rPr>
          <w:rFonts w:asciiTheme="minorHAnsi" w:eastAsiaTheme="minorEastAsia" w:hAnsiTheme="minorHAnsi" w:cstheme="minorBidi"/>
          <w:noProof/>
          <w:sz w:val="22"/>
          <w:szCs w:val="22"/>
          <w:lang w:eastAsia="en-NZ"/>
        </w:rPr>
      </w:pPr>
      <w:r>
        <w:rPr>
          <w:noProof/>
        </w:rPr>
        <w:t>Appendix A</w:t>
      </w:r>
      <w:r>
        <w:rPr>
          <w:noProof/>
        </w:rPr>
        <w:tab/>
      </w:r>
      <w:r>
        <w:rPr>
          <w:noProof/>
        </w:rPr>
        <w:fldChar w:fldCharType="begin"/>
      </w:r>
      <w:r>
        <w:rPr>
          <w:noProof/>
        </w:rPr>
        <w:instrText xml:space="preserve"> PAGEREF _Toc427250835 \h </w:instrText>
      </w:r>
      <w:r>
        <w:rPr>
          <w:noProof/>
        </w:rPr>
      </w:r>
      <w:r>
        <w:rPr>
          <w:noProof/>
        </w:rPr>
        <w:fldChar w:fldCharType="separate"/>
      </w:r>
      <w:r w:rsidR="00F41A6C">
        <w:rPr>
          <w:noProof/>
        </w:rPr>
        <w:t>28</w:t>
      </w:r>
      <w:r>
        <w:rPr>
          <w:noProof/>
        </w:rPr>
        <w:fldChar w:fldCharType="end"/>
      </w:r>
    </w:p>
    <w:p w:rsidR="00550D92" w:rsidRDefault="00550D92">
      <w:pPr>
        <w:pStyle w:val="TOC2"/>
        <w:rPr>
          <w:rFonts w:asciiTheme="minorHAnsi" w:eastAsiaTheme="minorEastAsia" w:hAnsiTheme="minorHAnsi" w:cstheme="minorBidi"/>
          <w:noProof/>
          <w:sz w:val="22"/>
          <w:szCs w:val="22"/>
          <w:lang w:eastAsia="en-NZ"/>
        </w:rPr>
      </w:pPr>
      <w:r>
        <w:rPr>
          <w:noProof/>
        </w:rPr>
        <w:t>Meta-data: identifier and location</w:t>
      </w:r>
      <w:r>
        <w:rPr>
          <w:noProof/>
        </w:rPr>
        <w:tab/>
      </w:r>
      <w:r>
        <w:rPr>
          <w:noProof/>
        </w:rPr>
        <w:fldChar w:fldCharType="begin"/>
      </w:r>
      <w:r>
        <w:rPr>
          <w:noProof/>
        </w:rPr>
        <w:instrText xml:space="preserve"> PAGEREF _Toc427250836 \h </w:instrText>
      </w:r>
      <w:r>
        <w:rPr>
          <w:noProof/>
        </w:rPr>
      </w:r>
      <w:r>
        <w:rPr>
          <w:noProof/>
        </w:rPr>
        <w:fldChar w:fldCharType="separate"/>
      </w:r>
      <w:r w:rsidR="00F41A6C">
        <w:rPr>
          <w:noProof/>
        </w:rPr>
        <w:t>28</w:t>
      </w:r>
      <w:r>
        <w:rPr>
          <w:noProof/>
        </w:rPr>
        <w:fldChar w:fldCharType="end"/>
      </w:r>
    </w:p>
    <w:p w:rsidR="00550D92" w:rsidRDefault="00550D92">
      <w:pPr>
        <w:pStyle w:val="TOC2"/>
        <w:rPr>
          <w:rFonts w:asciiTheme="minorHAnsi" w:eastAsiaTheme="minorEastAsia" w:hAnsiTheme="minorHAnsi" w:cstheme="minorBidi"/>
          <w:noProof/>
          <w:sz w:val="22"/>
          <w:szCs w:val="22"/>
          <w:lang w:eastAsia="en-NZ"/>
        </w:rPr>
      </w:pPr>
      <w:r>
        <w:rPr>
          <w:noProof/>
        </w:rPr>
        <w:t>Meta-data: dates, times, feeding and habitat</w:t>
      </w:r>
      <w:r>
        <w:rPr>
          <w:noProof/>
        </w:rPr>
        <w:tab/>
      </w:r>
      <w:r>
        <w:rPr>
          <w:noProof/>
        </w:rPr>
        <w:fldChar w:fldCharType="begin"/>
      </w:r>
      <w:r>
        <w:rPr>
          <w:noProof/>
        </w:rPr>
        <w:instrText xml:space="preserve"> PAGEREF _Toc427250837 \h </w:instrText>
      </w:r>
      <w:r>
        <w:rPr>
          <w:noProof/>
        </w:rPr>
      </w:r>
      <w:r>
        <w:rPr>
          <w:noProof/>
        </w:rPr>
        <w:fldChar w:fldCharType="separate"/>
      </w:r>
      <w:r w:rsidR="00F41A6C">
        <w:rPr>
          <w:noProof/>
        </w:rPr>
        <w:t>29</w:t>
      </w:r>
      <w:r>
        <w:rPr>
          <w:noProof/>
        </w:rPr>
        <w:fldChar w:fldCharType="end"/>
      </w:r>
    </w:p>
    <w:p w:rsidR="00550D92" w:rsidRDefault="00550D92">
      <w:pPr>
        <w:pStyle w:val="TOC2"/>
        <w:rPr>
          <w:rFonts w:asciiTheme="minorHAnsi" w:eastAsiaTheme="minorEastAsia" w:hAnsiTheme="minorHAnsi" w:cstheme="minorBidi"/>
          <w:noProof/>
          <w:sz w:val="22"/>
          <w:szCs w:val="22"/>
          <w:lang w:eastAsia="en-NZ"/>
        </w:rPr>
      </w:pPr>
      <w:r>
        <w:rPr>
          <w:noProof/>
        </w:rPr>
        <w:t>Meta-data: observers and data management</w:t>
      </w:r>
      <w:r>
        <w:rPr>
          <w:noProof/>
        </w:rPr>
        <w:tab/>
      </w:r>
      <w:r>
        <w:rPr>
          <w:noProof/>
        </w:rPr>
        <w:fldChar w:fldCharType="begin"/>
      </w:r>
      <w:r>
        <w:rPr>
          <w:noProof/>
        </w:rPr>
        <w:instrText xml:space="preserve"> PAGEREF _Toc427250838 \h </w:instrText>
      </w:r>
      <w:r>
        <w:rPr>
          <w:noProof/>
        </w:rPr>
      </w:r>
      <w:r>
        <w:rPr>
          <w:noProof/>
        </w:rPr>
        <w:fldChar w:fldCharType="separate"/>
      </w:r>
      <w:r w:rsidR="00F41A6C">
        <w:rPr>
          <w:noProof/>
        </w:rPr>
        <w:t>30</w:t>
      </w:r>
      <w:r>
        <w:rPr>
          <w:noProof/>
        </w:rPr>
        <w:fldChar w:fldCharType="end"/>
      </w:r>
    </w:p>
    <w:p w:rsidR="00550D92" w:rsidRDefault="00550D92">
      <w:pPr>
        <w:pStyle w:val="TOC1"/>
        <w:rPr>
          <w:rFonts w:asciiTheme="minorHAnsi" w:eastAsiaTheme="minorEastAsia" w:hAnsiTheme="minorHAnsi" w:cstheme="minorBidi"/>
          <w:noProof/>
          <w:sz w:val="22"/>
          <w:szCs w:val="22"/>
          <w:lang w:eastAsia="en-NZ"/>
        </w:rPr>
      </w:pPr>
      <w:r>
        <w:rPr>
          <w:noProof/>
        </w:rPr>
        <w:t>Appendix B</w:t>
      </w:r>
      <w:r>
        <w:rPr>
          <w:noProof/>
        </w:rPr>
        <w:tab/>
      </w:r>
      <w:r>
        <w:rPr>
          <w:noProof/>
        </w:rPr>
        <w:fldChar w:fldCharType="begin"/>
      </w:r>
      <w:r>
        <w:rPr>
          <w:noProof/>
        </w:rPr>
        <w:instrText xml:space="preserve"> PAGEREF _Toc427250839 \h </w:instrText>
      </w:r>
      <w:r>
        <w:rPr>
          <w:noProof/>
        </w:rPr>
      </w:r>
      <w:r>
        <w:rPr>
          <w:noProof/>
        </w:rPr>
        <w:fldChar w:fldCharType="separate"/>
      </w:r>
      <w:r w:rsidR="00F41A6C">
        <w:rPr>
          <w:noProof/>
        </w:rPr>
        <w:t>31</w:t>
      </w:r>
      <w:r>
        <w:rPr>
          <w:noProof/>
        </w:rPr>
        <w:fldChar w:fldCharType="end"/>
      </w:r>
    </w:p>
    <w:p w:rsidR="00550D92" w:rsidRDefault="00550D92">
      <w:pPr>
        <w:pStyle w:val="TOC2"/>
        <w:rPr>
          <w:rFonts w:asciiTheme="minorHAnsi" w:eastAsiaTheme="minorEastAsia" w:hAnsiTheme="minorHAnsi" w:cstheme="minorBidi"/>
          <w:noProof/>
          <w:sz w:val="22"/>
          <w:szCs w:val="22"/>
          <w:lang w:eastAsia="en-NZ"/>
        </w:rPr>
      </w:pPr>
      <w:r>
        <w:rPr>
          <w:noProof/>
        </w:rPr>
        <w:t>Spatial data sources</w:t>
      </w:r>
      <w:r>
        <w:rPr>
          <w:noProof/>
        </w:rPr>
        <w:tab/>
      </w:r>
      <w:r>
        <w:rPr>
          <w:noProof/>
        </w:rPr>
        <w:fldChar w:fldCharType="begin"/>
      </w:r>
      <w:r>
        <w:rPr>
          <w:noProof/>
        </w:rPr>
        <w:instrText xml:space="preserve"> PAGEREF _Toc427250840 \h </w:instrText>
      </w:r>
      <w:r>
        <w:rPr>
          <w:noProof/>
        </w:rPr>
      </w:r>
      <w:r>
        <w:rPr>
          <w:noProof/>
        </w:rPr>
        <w:fldChar w:fldCharType="separate"/>
      </w:r>
      <w:r w:rsidR="00F41A6C">
        <w:rPr>
          <w:noProof/>
        </w:rPr>
        <w:t>31</w:t>
      </w:r>
      <w:r>
        <w:rPr>
          <w:noProof/>
        </w:rPr>
        <w:fldChar w:fldCharType="end"/>
      </w:r>
    </w:p>
    <w:p w:rsidR="00550D92" w:rsidRDefault="00550D92">
      <w:pPr>
        <w:pStyle w:val="TOC1"/>
        <w:rPr>
          <w:rFonts w:asciiTheme="minorHAnsi" w:eastAsiaTheme="minorEastAsia" w:hAnsiTheme="minorHAnsi" w:cstheme="minorBidi"/>
          <w:noProof/>
          <w:sz w:val="22"/>
          <w:szCs w:val="22"/>
          <w:lang w:eastAsia="en-NZ"/>
        </w:rPr>
      </w:pPr>
      <w:r>
        <w:rPr>
          <w:noProof/>
        </w:rPr>
        <w:t>Appendix C</w:t>
      </w:r>
      <w:r>
        <w:rPr>
          <w:noProof/>
        </w:rPr>
        <w:tab/>
      </w:r>
      <w:r>
        <w:rPr>
          <w:noProof/>
        </w:rPr>
        <w:fldChar w:fldCharType="begin"/>
      </w:r>
      <w:r>
        <w:rPr>
          <w:noProof/>
        </w:rPr>
        <w:instrText xml:space="preserve"> PAGEREF _Toc427250841 \h </w:instrText>
      </w:r>
      <w:r>
        <w:rPr>
          <w:noProof/>
        </w:rPr>
      </w:r>
      <w:r>
        <w:rPr>
          <w:noProof/>
        </w:rPr>
        <w:fldChar w:fldCharType="separate"/>
      </w:r>
      <w:r w:rsidR="00F41A6C">
        <w:rPr>
          <w:noProof/>
        </w:rPr>
        <w:t>32</w:t>
      </w:r>
      <w:r>
        <w:rPr>
          <w:noProof/>
        </w:rPr>
        <w:fldChar w:fldCharType="end"/>
      </w:r>
    </w:p>
    <w:p w:rsidR="00550D92" w:rsidRDefault="00550D92">
      <w:pPr>
        <w:pStyle w:val="TOC2"/>
        <w:rPr>
          <w:rFonts w:asciiTheme="minorHAnsi" w:eastAsiaTheme="minorEastAsia" w:hAnsiTheme="minorHAnsi" w:cstheme="minorBidi"/>
          <w:noProof/>
          <w:sz w:val="22"/>
          <w:szCs w:val="22"/>
          <w:lang w:eastAsia="en-NZ"/>
        </w:rPr>
      </w:pPr>
      <w:r>
        <w:rPr>
          <w:noProof/>
        </w:rPr>
        <w:t>Calculating annual alert thresholds</w:t>
      </w:r>
      <w:r>
        <w:rPr>
          <w:noProof/>
        </w:rPr>
        <w:tab/>
      </w:r>
      <w:r>
        <w:rPr>
          <w:noProof/>
        </w:rPr>
        <w:fldChar w:fldCharType="begin"/>
      </w:r>
      <w:r>
        <w:rPr>
          <w:noProof/>
        </w:rPr>
        <w:instrText xml:space="preserve"> PAGEREF _Toc427250842 \h </w:instrText>
      </w:r>
      <w:r>
        <w:rPr>
          <w:noProof/>
        </w:rPr>
      </w:r>
      <w:r>
        <w:rPr>
          <w:noProof/>
        </w:rPr>
        <w:fldChar w:fldCharType="separate"/>
      </w:r>
      <w:r w:rsidR="00F41A6C">
        <w:rPr>
          <w:noProof/>
        </w:rPr>
        <w:t>32</w:t>
      </w:r>
      <w:r>
        <w:rPr>
          <w:noProof/>
        </w:rPr>
        <w:fldChar w:fldCharType="end"/>
      </w:r>
    </w:p>
    <w:p w:rsidR="00550D92" w:rsidRDefault="00550D92">
      <w:pPr>
        <w:pStyle w:val="TOC1"/>
        <w:rPr>
          <w:rFonts w:asciiTheme="minorHAnsi" w:eastAsiaTheme="minorEastAsia" w:hAnsiTheme="minorHAnsi" w:cstheme="minorBidi"/>
          <w:noProof/>
          <w:sz w:val="22"/>
          <w:szCs w:val="22"/>
          <w:lang w:eastAsia="en-NZ"/>
        </w:rPr>
      </w:pPr>
      <w:r>
        <w:rPr>
          <w:noProof/>
        </w:rPr>
        <w:t>Appendix D</w:t>
      </w:r>
      <w:r>
        <w:rPr>
          <w:noProof/>
        </w:rPr>
        <w:tab/>
      </w:r>
      <w:r>
        <w:rPr>
          <w:noProof/>
        </w:rPr>
        <w:fldChar w:fldCharType="begin"/>
      </w:r>
      <w:r>
        <w:rPr>
          <w:noProof/>
        </w:rPr>
        <w:instrText xml:space="preserve"> PAGEREF _Toc427250843 \h </w:instrText>
      </w:r>
      <w:r>
        <w:rPr>
          <w:noProof/>
        </w:rPr>
      </w:r>
      <w:r>
        <w:rPr>
          <w:noProof/>
        </w:rPr>
        <w:fldChar w:fldCharType="separate"/>
      </w:r>
      <w:r w:rsidR="00F41A6C">
        <w:rPr>
          <w:noProof/>
        </w:rPr>
        <w:t>33</w:t>
      </w:r>
      <w:r>
        <w:rPr>
          <w:noProof/>
        </w:rPr>
        <w:fldChar w:fldCharType="end"/>
      </w:r>
    </w:p>
    <w:p w:rsidR="00550D92" w:rsidRDefault="00550D92">
      <w:pPr>
        <w:pStyle w:val="TOC2"/>
        <w:rPr>
          <w:rFonts w:asciiTheme="minorHAnsi" w:eastAsiaTheme="minorEastAsia" w:hAnsiTheme="minorHAnsi" w:cstheme="minorBidi"/>
          <w:noProof/>
          <w:sz w:val="22"/>
          <w:szCs w:val="22"/>
          <w:lang w:eastAsia="en-NZ"/>
        </w:rPr>
      </w:pPr>
      <w:r>
        <w:rPr>
          <w:noProof/>
        </w:rPr>
        <w:t>National and regional trends based on an easily computed Bayesian modelling approach</w:t>
      </w:r>
      <w:r>
        <w:rPr>
          <w:noProof/>
        </w:rPr>
        <w:tab/>
      </w:r>
      <w:r>
        <w:rPr>
          <w:noProof/>
        </w:rPr>
        <w:fldChar w:fldCharType="begin"/>
      </w:r>
      <w:r>
        <w:rPr>
          <w:noProof/>
        </w:rPr>
        <w:instrText xml:space="preserve"> PAGEREF _Toc427250844 \h </w:instrText>
      </w:r>
      <w:r>
        <w:rPr>
          <w:noProof/>
        </w:rPr>
      </w:r>
      <w:r>
        <w:rPr>
          <w:noProof/>
        </w:rPr>
        <w:fldChar w:fldCharType="separate"/>
      </w:r>
      <w:r w:rsidR="00F41A6C">
        <w:rPr>
          <w:noProof/>
        </w:rPr>
        <w:t>33</w:t>
      </w:r>
      <w:r>
        <w:rPr>
          <w:noProof/>
        </w:rPr>
        <w:fldChar w:fldCharType="end"/>
      </w:r>
    </w:p>
    <w:p w:rsidR="00550D92" w:rsidRDefault="00550D92">
      <w:pPr>
        <w:pStyle w:val="TOC1"/>
        <w:rPr>
          <w:rFonts w:asciiTheme="minorHAnsi" w:eastAsiaTheme="minorEastAsia" w:hAnsiTheme="minorHAnsi" w:cstheme="minorBidi"/>
          <w:noProof/>
          <w:sz w:val="22"/>
          <w:szCs w:val="22"/>
          <w:lang w:eastAsia="en-NZ"/>
        </w:rPr>
      </w:pPr>
      <w:r>
        <w:rPr>
          <w:noProof/>
        </w:rPr>
        <w:t>References</w:t>
      </w:r>
      <w:r>
        <w:rPr>
          <w:noProof/>
        </w:rPr>
        <w:tab/>
      </w:r>
      <w:r>
        <w:rPr>
          <w:noProof/>
        </w:rPr>
        <w:fldChar w:fldCharType="begin"/>
      </w:r>
      <w:r>
        <w:rPr>
          <w:noProof/>
        </w:rPr>
        <w:instrText xml:space="preserve"> PAGEREF _Toc427250845 \h </w:instrText>
      </w:r>
      <w:r>
        <w:rPr>
          <w:noProof/>
        </w:rPr>
      </w:r>
      <w:r>
        <w:rPr>
          <w:noProof/>
        </w:rPr>
        <w:fldChar w:fldCharType="separate"/>
      </w:r>
      <w:r w:rsidR="00F41A6C">
        <w:rPr>
          <w:noProof/>
        </w:rPr>
        <w:t>37</w:t>
      </w:r>
      <w:r>
        <w:rPr>
          <w:noProof/>
        </w:rPr>
        <w:fldChar w:fldCharType="end"/>
      </w:r>
    </w:p>
    <w:p w:rsidR="00725A18" w:rsidRDefault="005D3DC5" w:rsidP="000C7936">
      <w:r w:rsidRPr="005267D4">
        <w:fldChar w:fldCharType="end"/>
      </w:r>
    </w:p>
    <w:p w:rsidR="00725A18" w:rsidRPr="00B0240E" w:rsidRDefault="00725A18" w:rsidP="00B0240E">
      <w:pPr>
        <w:pStyle w:val="Heading"/>
        <w:spacing w:before="1200"/>
        <w:rPr>
          <w:bCs/>
        </w:rPr>
      </w:pPr>
      <w:r w:rsidRPr="00B0240E">
        <w:rPr>
          <w:bCs/>
        </w:rPr>
        <w:t>Tables</w:t>
      </w:r>
    </w:p>
    <w:p w:rsidR="00091680" w:rsidRDefault="00F51016">
      <w:pPr>
        <w:pStyle w:val="TableofFigures"/>
        <w:tabs>
          <w:tab w:val="right" w:pos="8494"/>
        </w:tabs>
        <w:rPr>
          <w:rFonts w:asciiTheme="minorHAnsi" w:eastAsiaTheme="minorEastAsia" w:hAnsiTheme="minorHAnsi" w:cstheme="minorBidi"/>
          <w:noProof/>
          <w:sz w:val="22"/>
          <w:szCs w:val="22"/>
          <w:lang w:eastAsia="en-NZ"/>
        </w:rPr>
      </w:pPr>
      <w:r w:rsidRPr="005267D4">
        <w:fldChar w:fldCharType="begin"/>
      </w:r>
      <w:r w:rsidRPr="005267D4">
        <w:instrText xml:space="preserve"> TOC \t "Table heading" \c </w:instrText>
      </w:r>
      <w:r w:rsidRPr="005267D4">
        <w:fldChar w:fldCharType="separate"/>
      </w:r>
      <w:r w:rsidR="00091680">
        <w:rPr>
          <w:noProof/>
        </w:rPr>
        <w:t xml:space="preserve">Table 1: </w:t>
      </w:r>
      <w:r w:rsidR="00091680">
        <w:rPr>
          <w:rFonts w:asciiTheme="minorHAnsi" w:eastAsiaTheme="minorEastAsia" w:hAnsiTheme="minorHAnsi" w:cstheme="minorBidi"/>
          <w:noProof/>
          <w:sz w:val="22"/>
          <w:szCs w:val="22"/>
          <w:lang w:eastAsia="en-NZ"/>
        </w:rPr>
        <w:tab/>
      </w:r>
      <w:r w:rsidR="00091680">
        <w:rPr>
          <w:noProof/>
        </w:rPr>
        <w:t>Number of garden records per year in relati</w:t>
      </w:r>
      <w:r w:rsidR="008B19EE">
        <w:rPr>
          <w:noProof/>
        </w:rPr>
        <w:t>on to data editing filters used</w:t>
      </w:r>
      <w:r w:rsidR="00091680">
        <w:rPr>
          <w:noProof/>
        </w:rPr>
        <w:tab/>
      </w:r>
      <w:r w:rsidR="00091680">
        <w:rPr>
          <w:noProof/>
        </w:rPr>
        <w:fldChar w:fldCharType="begin"/>
      </w:r>
      <w:r w:rsidR="00091680">
        <w:rPr>
          <w:noProof/>
        </w:rPr>
        <w:instrText xml:space="preserve"> PAGEREF _Toc430354507 \h </w:instrText>
      </w:r>
      <w:r w:rsidR="00091680">
        <w:rPr>
          <w:noProof/>
        </w:rPr>
      </w:r>
      <w:r w:rsidR="00091680">
        <w:rPr>
          <w:noProof/>
        </w:rPr>
        <w:fldChar w:fldCharType="separate"/>
      </w:r>
      <w:r w:rsidR="00F41A6C">
        <w:rPr>
          <w:noProof/>
        </w:rPr>
        <w:t>6</w:t>
      </w:r>
      <w:r w:rsidR="00091680">
        <w:rPr>
          <w:noProof/>
        </w:rPr>
        <w:fldChar w:fldCharType="end"/>
      </w:r>
    </w:p>
    <w:p w:rsidR="00091680" w:rsidRDefault="00091680">
      <w:pPr>
        <w:pStyle w:val="TableofFigures"/>
        <w:tabs>
          <w:tab w:val="right" w:pos="8494"/>
        </w:tabs>
        <w:rPr>
          <w:rFonts w:asciiTheme="minorHAnsi" w:eastAsiaTheme="minorEastAsia" w:hAnsiTheme="minorHAnsi" w:cstheme="minorBidi"/>
          <w:noProof/>
          <w:sz w:val="22"/>
          <w:szCs w:val="22"/>
          <w:lang w:eastAsia="en-NZ"/>
        </w:rPr>
      </w:pPr>
      <w:r>
        <w:rPr>
          <w:noProof/>
        </w:rPr>
        <w:t xml:space="preserve">Table 2: </w:t>
      </w:r>
      <w:r>
        <w:rPr>
          <w:rFonts w:asciiTheme="minorHAnsi" w:eastAsiaTheme="minorEastAsia" w:hAnsiTheme="minorHAnsi" w:cstheme="minorBidi"/>
          <w:noProof/>
          <w:sz w:val="22"/>
          <w:szCs w:val="22"/>
          <w:lang w:eastAsia="en-NZ"/>
        </w:rPr>
        <w:tab/>
      </w:r>
      <w:r>
        <w:rPr>
          <w:noProof/>
        </w:rPr>
        <w:t>Models fitted to the NZGBS data for the four focal bird species (silvereye, blackbird, t</w:t>
      </w:r>
      <w:r w:rsidRPr="00297E6C">
        <w:rPr>
          <w:rFonts w:cs="Arial"/>
          <w:noProof/>
        </w:rPr>
        <w:t>ūī</w:t>
      </w:r>
      <w:r>
        <w:rPr>
          <w:noProof/>
        </w:rPr>
        <w:t xml:space="preserve"> and fantail) to account for spatial variation</w:t>
      </w:r>
      <w:r w:rsidR="00887B25">
        <w:rPr>
          <w:noProof/>
        </w:rPr>
        <w:t xml:space="preserve"> in sampling effort among years</w:t>
      </w:r>
      <w:r>
        <w:rPr>
          <w:noProof/>
        </w:rPr>
        <w:tab/>
      </w:r>
      <w:r>
        <w:rPr>
          <w:noProof/>
        </w:rPr>
        <w:fldChar w:fldCharType="begin"/>
      </w:r>
      <w:r>
        <w:rPr>
          <w:noProof/>
        </w:rPr>
        <w:instrText xml:space="preserve"> PAGEREF _Toc430354508 \h </w:instrText>
      </w:r>
      <w:r>
        <w:rPr>
          <w:noProof/>
        </w:rPr>
      </w:r>
      <w:r>
        <w:rPr>
          <w:noProof/>
        </w:rPr>
        <w:fldChar w:fldCharType="separate"/>
      </w:r>
      <w:r w:rsidR="00F41A6C">
        <w:rPr>
          <w:noProof/>
        </w:rPr>
        <w:t>12</w:t>
      </w:r>
      <w:r>
        <w:rPr>
          <w:noProof/>
        </w:rPr>
        <w:fldChar w:fldCharType="end"/>
      </w:r>
    </w:p>
    <w:p w:rsidR="00725A18" w:rsidRPr="005267D4" w:rsidRDefault="00F51016" w:rsidP="004E3B1C">
      <w:pPr>
        <w:pStyle w:val="BodyText"/>
      </w:pPr>
      <w:r w:rsidRPr="005267D4">
        <w:fldChar w:fldCharType="end"/>
      </w:r>
    </w:p>
    <w:p w:rsidR="00725A18" w:rsidRPr="005267D4" w:rsidRDefault="00725A18" w:rsidP="00725A18">
      <w:pPr>
        <w:pStyle w:val="Heading"/>
        <w:spacing w:before="1200"/>
      </w:pPr>
      <w:r w:rsidRPr="005267D4">
        <w:t>Figures</w:t>
      </w:r>
    </w:p>
    <w:p w:rsidR="00091680" w:rsidRDefault="00F51016">
      <w:pPr>
        <w:pStyle w:val="TableofFigures"/>
        <w:tabs>
          <w:tab w:val="right" w:pos="8494"/>
        </w:tabs>
        <w:rPr>
          <w:rFonts w:asciiTheme="minorHAnsi" w:eastAsiaTheme="minorEastAsia" w:hAnsiTheme="minorHAnsi" w:cstheme="minorBidi"/>
          <w:noProof/>
          <w:sz w:val="22"/>
          <w:szCs w:val="22"/>
          <w:lang w:eastAsia="en-NZ"/>
        </w:rPr>
      </w:pPr>
      <w:r w:rsidRPr="005267D4">
        <w:fldChar w:fldCharType="begin"/>
      </w:r>
      <w:r w:rsidRPr="005267D4">
        <w:instrText xml:space="preserve"> TOC \t "Figure heading" \c </w:instrText>
      </w:r>
      <w:r w:rsidRPr="005267D4">
        <w:fldChar w:fldCharType="separate"/>
      </w:r>
      <w:r w:rsidR="00091680">
        <w:rPr>
          <w:noProof/>
        </w:rPr>
        <w:t xml:space="preserve">Figure 1: </w:t>
      </w:r>
      <w:r w:rsidR="00091680">
        <w:rPr>
          <w:rFonts w:asciiTheme="minorHAnsi" w:eastAsiaTheme="minorEastAsia" w:hAnsiTheme="minorHAnsi" w:cstheme="minorBidi"/>
          <w:noProof/>
          <w:sz w:val="22"/>
          <w:szCs w:val="22"/>
          <w:lang w:eastAsia="en-NZ"/>
        </w:rPr>
        <w:tab/>
      </w:r>
      <w:r w:rsidR="00091680">
        <w:rPr>
          <w:noProof/>
        </w:rPr>
        <w:t>National trends (2007–2014) for four garden bird species: blackbird (</w:t>
      </w:r>
      <w:r w:rsidR="00091680" w:rsidRPr="00A02C90">
        <w:rPr>
          <w:i/>
          <w:noProof/>
        </w:rPr>
        <w:t>Turdus merula</w:t>
      </w:r>
      <w:r w:rsidR="00091680">
        <w:rPr>
          <w:noProof/>
        </w:rPr>
        <w:t>), fantail/pīwakawaka (</w:t>
      </w:r>
      <w:r w:rsidR="00091680" w:rsidRPr="00A02C90">
        <w:rPr>
          <w:i/>
          <w:noProof/>
        </w:rPr>
        <w:t>Rhipidura fuliginosa</w:t>
      </w:r>
      <w:r w:rsidR="00091680">
        <w:rPr>
          <w:noProof/>
        </w:rPr>
        <w:t>), silvereye/tauhou (</w:t>
      </w:r>
      <w:r w:rsidR="00091680" w:rsidRPr="00A02C90">
        <w:rPr>
          <w:i/>
          <w:noProof/>
        </w:rPr>
        <w:t>Zosterops lateralis</w:t>
      </w:r>
      <w:r w:rsidR="00091680">
        <w:rPr>
          <w:noProof/>
        </w:rPr>
        <w:t>) and tūī (</w:t>
      </w:r>
      <w:r w:rsidR="00091680" w:rsidRPr="00A02C90">
        <w:rPr>
          <w:i/>
          <w:noProof/>
        </w:rPr>
        <w:t>Prosthemadera novaeseelandiae</w:t>
      </w:r>
      <w:r w:rsidR="00887B25">
        <w:rPr>
          <w:noProof/>
        </w:rPr>
        <w:t>)</w:t>
      </w:r>
      <w:r w:rsidR="00091680">
        <w:rPr>
          <w:noProof/>
        </w:rPr>
        <w:tab/>
      </w:r>
      <w:r w:rsidR="00091680">
        <w:rPr>
          <w:noProof/>
        </w:rPr>
        <w:fldChar w:fldCharType="begin"/>
      </w:r>
      <w:r w:rsidR="00091680">
        <w:rPr>
          <w:noProof/>
        </w:rPr>
        <w:instrText xml:space="preserve"> PAGEREF _Toc430354511 \h </w:instrText>
      </w:r>
      <w:r w:rsidR="00091680">
        <w:rPr>
          <w:noProof/>
        </w:rPr>
      </w:r>
      <w:r w:rsidR="00091680">
        <w:rPr>
          <w:noProof/>
        </w:rPr>
        <w:fldChar w:fldCharType="separate"/>
      </w:r>
      <w:r w:rsidR="00F41A6C">
        <w:rPr>
          <w:noProof/>
        </w:rPr>
        <w:t>3</w:t>
      </w:r>
      <w:r w:rsidR="00091680">
        <w:rPr>
          <w:noProof/>
        </w:rPr>
        <w:fldChar w:fldCharType="end"/>
      </w:r>
    </w:p>
    <w:p w:rsidR="00091680" w:rsidRDefault="00091680">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2: </w:t>
      </w:r>
      <w:r>
        <w:rPr>
          <w:rFonts w:asciiTheme="minorHAnsi" w:eastAsiaTheme="minorEastAsia" w:hAnsiTheme="minorHAnsi" w:cstheme="minorBidi"/>
          <w:noProof/>
          <w:sz w:val="22"/>
          <w:szCs w:val="22"/>
          <w:lang w:eastAsia="en-NZ"/>
        </w:rPr>
        <w:tab/>
      </w:r>
      <w:r>
        <w:rPr>
          <w:noProof/>
        </w:rPr>
        <w:t>The different spatial scales to potentially cons</w:t>
      </w:r>
      <w:r w:rsidR="00887B25">
        <w:rPr>
          <w:noProof/>
        </w:rPr>
        <w:t>ider in the NZGBS data analysis</w:t>
      </w:r>
      <w:r>
        <w:rPr>
          <w:noProof/>
        </w:rPr>
        <w:tab/>
      </w:r>
      <w:r>
        <w:rPr>
          <w:noProof/>
        </w:rPr>
        <w:fldChar w:fldCharType="begin"/>
      </w:r>
      <w:r>
        <w:rPr>
          <w:noProof/>
        </w:rPr>
        <w:instrText xml:space="preserve"> PAGEREF _Toc430354512 \h </w:instrText>
      </w:r>
      <w:r>
        <w:rPr>
          <w:noProof/>
        </w:rPr>
      </w:r>
      <w:r>
        <w:rPr>
          <w:noProof/>
        </w:rPr>
        <w:fldChar w:fldCharType="separate"/>
      </w:r>
      <w:r w:rsidR="00F41A6C">
        <w:rPr>
          <w:noProof/>
        </w:rPr>
        <w:t>4</w:t>
      </w:r>
      <w:r>
        <w:rPr>
          <w:noProof/>
        </w:rPr>
        <w:fldChar w:fldCharType="end"/>
      </w:r>
    </w:p>
    <w:p w:rsidR="00091680" w:rsidRDefault="00091680">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3: </w:t>
      </w:r>
      <w:r>
        <w:rPr>
          <w:rFonts w:asciiTheme="minorHAnsi" w:eastAsiaTheme="minorEastAsia" w:hAnsiTheme="minorHAnsi" w:cstheme="minorBidi"/>
          <w:noProof/>
          <w:sz w:val="22"/>
          <w:szCs w:val="22"/>
          <w:lang w:eastAsia="en-NZ"/>
        </w:rPr>
        <w:tab/>
      </w:r>
      <w:r>
        <w:rPr>
          <w:noProof/>
        </w:rPr>
        <w:t>Variation among years (n = 7) in the total number of gar</w:t>
      </w:r>
      <w:r w:rsidR="00887B25">
        <w:rPr>
          <w:noProof/>
        </w:rPr>
        <w:t>dens sampled within each region</w:t>
      </w:r>
      <w:r>
        <w:rPr>
          <w:noProof/>
        </w:rPr>
        <w:tab/>
      </w:r>
      <w:r>
        <w:rPr>
          <w:noProof/>
        </w:rPr>
        <w:fldChar w:fldCharType="begin"/>
      </w:r>
      <w:r>
        <w:rPr>
          <w:noProof/>
        </w:rPr>
        <w:instrText xml:space="preserve"> PAGEREF _Toc430354513 \h </w:instrText>
      </w:r>
      <w:r>
        <w:rPr>
          <w:noProof/>
        </w:rPr>
      </w:r>
      <w:r>
        <w:rPr>
          <w:noProof/>
        </w:rPr>
        <w:fldChar w:fldCharType="separate"/>
      </w:r>
      <w:r w:rsidR="00F41A6C">
        <w:rPr>
          <w:noProof/>
        </w:rPr>
        <w:t>7</w:t>
      </w:r>
      <w:r>
        <w:rPr>
          <w:noProof/>
        </w:rPr>
        <w:fldChar w:fldCharType="end"/>
      </w:r>
    </w:p>
    <w:p w:rsidR="00091680" w:rsidRDefault="00091680">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4: </w:t>
      </w:r>
      <w:r>
        <w:rPr>
          <w:rFonts w:asciiTheme="minorHAnsi" w:eastAsiaTheme="minorEastAsia" w:hAnsiTheme="minorHAnsi" w:cstheme="minorBidi"/>
          <w:noProof/>
          <w:sz w:val="22"/>
          <w:szCs w:val="22"/>
          <w:lang w:eastAsia="en-NZ"/>
        </w:rPr>
        <w:tab/>
      </w:r>
      <w:r>
        <w:rPr>
          <w:noProof/>
        </w:rPr>
        <w:t>Variation among years (n = 7) in the number of gardens (+1) surveyed within each</w:t>
      </w:r>
      <w:r w:rsidR="00887B25">
        <w:rPr>
          <w:noProof/>
        </w:rPr>
        <w:t xml:space="preserve"> Urban Area (n = 141) by region</w:t>
      </w:r>
      <w:r>
        <w:rPr>
          <w:noProof/>
        </w:rPr>
        <w:tab/>
      </w:r>
      <w:r>
        <w:rPr>
          <w:noProof/>
        </w:rPr>
        <w:fldChar w:fldCharType="begin"/>
      </w:r>
      <w:r>
        <w:rPr>
          <w:noProof/>
        </w:rPr>
        <w:instrText xml:space="preserve"> PAGEREF _Toc430354514 \h </w:instrText>
      </w:r>
      <w:r>
        <w:rPr>
          <w:noProof/>
        </w:rPr>
      </w:r>
      <w:r>
        <w:rPr>
          <w:noProof/>
        </w:rPr>
        <w:fldChar w:fldCharType="separate"/>
      </w:r>
      <w:r w:rsidR="00F41A6C">
        <w:rPr>
          <w:noProof/>
        </w:rPr>
        <w:t>8</w:t>
      </w:r>
      <w:r>
        <w:rPr>
          <w:noProof/>
        </w:rPr>
        <w:fldChar w:fldCharType="end"/>
      </w:r>
    </w:p>
    <w:p w:rsidR="00091680" w:rsidRDefault="00091680">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5: </w:t>
      </w:r>
      <w:r>
        <w:rPr>
          <w:rFonts w:asciiTheme="minorHAnsi" w:eastAsiaTheme="minorEastAsia" w:hAnsiTheme="minorHAnsi" w:cstheme="minorBidi"/>
          <w:noProof/>
          <w:sz w:val="22"/>
          <w:szCs w:val="22"/>
          <w:lang w:eastAsia="en-NZ"/>
        </w:rPr>
        <w:tab/>
      </w:r>
      <w:r>
        <w:rPr>
          <w:noProof/>
        </w:rPr>
        <w:t>Variation in the number of survey gardens among years (n = 7) within each of the 59 Area Un</w:t>
      </w:r>
      <w:r w:rsidR="00887B25">
        <w:rPr>
          <w:noProof/>
        </w:rPr>
        <w:t>its in one Urban Area (Dunedin)</w:t>
      </w:r>
      <w:r>
        <w:rPr>
          <w:noProof/>
        </w:rPr>
        <w:tab/>
      </w:r>
      <w:r>
        <w:rPr>
          <w:noProof/>
        </w:rPr>
        <w:fldChar w:fldCharType="begin"/>
      </w:r>
      <w:r>
        <w:rPr>
          <w:noProof/>
        </w:rPr>
        <w:instrText xml:space="preserve"> PAGEREF _Toc430354515 \h </w:instrText>
      </w:r>
      <w:r>
        <w:rPr>
          <w:noProof/>
        </w:rPr>
      </w:r>
      <w:r>
        <w:rPr>
          <w:noProof/>
        </w:rPr>
        <w:fldChar w:fldCharType="separate"/>
      </w:r>
      <w:r w:rsidR="00F41A6C">
        <w:rPr>
          <w:noProof/>
        </w:rPr>
        <w:t>9</w:t>
      </w:r>
      <w:r>
        <w:rPr>
          <w:noProof/>
        </w:rPr>
        <w:fldChar w:fldCharType="end"/>
      </w:r>
    </w:p>
    <w:p w:rsidR="00091680" w:rsidRDefault="00091680">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7: </w:t>
      </w:r>
      <w:r>
        <w:rPr>
          <w:rFonts w:asciiTheme="minorHAnsi" w:eastAsiaTheme="minorEastAsia" w:hAnsiTheme="minorHAnsi" w:cstheme="minorBidi"/>
          <w:noProof/>
          <w:sz w:val="22"/>
          <w:szCs w:val="22"/>
          <w:lang w:eastAsia="en-NZ"/>
        </w:rPr>
        <w:tab/>
      </w:r>
      <w:r>
        <w:rPr>
          <w:noProof/>
        </w:rPr>
        <w:t>Boxplots of counts for each bird species (considering Urban areas only; see table 1 for the total numbe</w:t>
      </w:r>
      <w:r w:rsidR="00887B25">
        <w:rPr>
          <w:noProof/>
        </w:rPr>
        <w:t>r of gardens surveyed per year)</w:t>
      </w:r>
      <w:r>
        <w:rPr>
          <w:noProof/>
        </w:rPr>
        <w:tab/>
      </w:r>
      <w:r>
        <w:rPr>
          <w:noProof/>
        </w:rPr>
        <w:fldChar w:fldCharType="begin"/>
      </w:r>
      <w:r>
        <w:rPr>
          <w:noProof/>
        </w:rPr>
        <w:instrText xml:space="preserve"> PAGEREF _Toc430354516 \h </w:instrText>
      </w:r>
      <w:r>
        <w:rPr>
          <w:noProof/>
        </w:rPr>
      </w:r>
      <w:r>
        <w:rPr>
          <w:noProof/>
        </w:rPr>
        <w:fldChar w:fldCharType="separate"/>
      </w:r>
      <w:r w:rsidR="00F41A6C">
        <w:rPr>
          <w:noProof/>
        </w:rPr>
        <w:t>10</w:t>
      </w:r>
      <w:r>
        <w:rPr>
          <w:noProof/>
        </w:rPr>
        <w:fldChar w:fldCharType="end"/>
      </w:r>
    </w:p>
    <w:p w:rsidR="00091680" w:rsidRDefault="00091680">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8: </w:t>
      </w:r>
      <w:r>
        <w:rPr>
          <w:rFonts w:asciiTheme="minorHAnsi" w:eastAsiaTheme="minorEastAsia" w:hAnsiTheme="minorHAnsi" w:cstheme="minorBidi"/>
          <w:noProof/>
          <w:sz w:val="22"/>
          <w:szCs w:val="22"/>
          <w:lang w:eastAsia="en-NZ"/>
        </w:rPr>
        <w:tab/>
      </w:r>
      <w:r>
        <w:rPr>
          <w:noProof/>
        </w:rPr>
        <w:t>Garden bird abundance trend estimates with 95% confidence intervals extracted from the four ca</w:t>
      </w:r>
      <w:r w:rsidR="00887B25">
        <w:rPr>
          <w:noProof/>
        </w:rPr>
        <w:t>ndidate models fitted (table 2)</w:t>
      </w:r>
      <w:r>
        <w:rPr>
          <w:noProof/>
        </w:rPr>
        <w:tab/>
      </w:r>
      <w:r>
        <w:rPr>
          <w:noProof/>
        </w:rPr>
        <w:fldChar w:fldCharType="begin"/>
      </w:r>
      <w:r>
        <w:rPr>
          <w:noProof/>
        </w:rPr>
        <w:instrText xml:space="preserve"> PAGEREF _Toc430354517 \h </w:instrText>
      </w:r>
      <w:r>
        <w:rPr>
          <w:noProof/>
        </w:rPr>
      </w:r>
      <w:r>
        <w:rPr>
          <w:noProof/>
        </w:rPr>
        <w:fldChar w:fldCharType="separate"/>
      </w:r>
      <w:r w:rsidR="00F41A6C">
        <w:rPr>
          <w:noProof/>
        </w:rPr>
        <w:t>13</w:t>
      </w:r>
      <w:r>
        <w:rPr>
          <w:noProof/>
        </w:rPr>
        <w:fldChar w:fldCharType="end"/>
      </w:r>
    </w:p>
    <w:p w:rsidR="00091680" w:rsidRDefault="00091680">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9: </w:t>
      </w:r>
      <w:r>
        <w:rPr>
          <w:rFonts w:asciiTheme="minorHAnsi" w:eastAsiaTheme="minorEastAsia" w:hAnsiTheme="minorHAnsi" w:cstheme="minorBidi"/>
          <w:noProof/>
          <w:sz w:val="22"/>
          <w:szCs w:val="22"/>
          <w:lang w:eastAsia="en-NZ"/>
        </w:rPr>
        <w:tab/>
      </w:r>
      <w:r>
        <w:rPr>
          <w:noProof/>
        </w:rPr>
        <w:t>Slope estimates (95% CI) derived from a linear model fitted to the weighted national estimates (M0; figure 1) versus the linear mixed effects models fitted using the full dataset for t</w:t>
      </w:r>
      <w:r w:rsidR="00887B25">
        <w:rPr>
          <w:noProof/>
        </w:rPr>
        <w:t>he urban areas (M1–M4; table 2)</w:t>
      </w:r>
      <w:r>
        <w:rPr>
          <w:noProof/>
        </w:rPr>
        <w:tab/>
      </w:r>
      <w:r>
        <w:rPr>
          <w:noProof/>
        </w:rPr>
        <w:fldChar w:fldCharType="begin"/>
      </w:r>
      <w:r>
        <w:rPr>
          <w:noProof/>
        </w:rPr>
        <w:instrText xml:space="preserve"> PAGEREF _Toc430354518 \h </w:instrText>
      </w:r>
      <w:r>
        <w:rPr>
          <w:noProof/>
        </w:rPr>
      </w:r>
      <w:r>
        <w:rPr>
          <w:noProof/>
        </w:rPr>
        <w:fldChar w:fldCharType="separate"/>
      </w:r>
      <w:r w:rsidR="00F41A6C">
        <w:rPr>
          <w:noProof/>
        </w:rPr>
        <w:t>14</w:t>
      </w:r>
      <w:r>
        <w:rPr>
          <w:noProof/>
        </w:rPr>
        <w:fldChar w:fldCharType="end"/>
      </w:r>
    </w:p>
    <w:p w:rsidR="00091680" w:rsidRDefault="00091680">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10: </w:t>
      </w:r>
      <w:r>
        <w:rPr>
          <w:rFonts w:asciiTheme="minorHAnsi" w:eastAsiaTheme="minorEastAsia" w:hAnsiTheme="minorHAnsi" w:cstheme="minorBidi"/>
          <w:noProof/>
          <w:sz w:val="22"/>
          <w:szCs w:val="22"/>
          <w:lang w:eastAsia="en-NZ"/>
        </w:rPr>
        <w:tab/>
      </w:r>
      <w:r>
        <w:rPr>
          <w:noProof/>
        </w:rPr>
        <w:t>Garden bird abundance trend estimates with 95% confidence intervals extracted from the four fitted models (M1–M4) and one linear (M0) model (figure 9) in</w:t>
      </w:r>
      <w:r w:rsidR="00887B25">
        <w:rPr>
          <w:noProof/>
        </w:rPr>
        <w:t xml:space="preserve"> relation to ‘alert thresholds’</w:t>
      </w:r>
      <w:r>
        <w:rPr>
          <w:noProof/>
        </w:rPr>
        <w:tab/>
      </w:r>
      <w:r>
        <w:rPr>
          <w:noProof/>
        </w:rPr>
        <w:fldChar w:fldCharType="begin"/>
      </w:r>
      <w:r>
        <w:rPr>
          <w:noProof/>
        </w:rPr>
        <w:instrText xml:space="preserve"> PAGEREF _Toc430354519 \h </w:instrText>
      </w:r>
      <w:r>
        <w:rPr>
          <w:noProof/>
        </w:rPr>
      </w:r>
      <w:r>
        <w:rPr>
          <w:noProof/>
        </w:rPr>
        <w:fldChar w:fldCharType="separate"/>
      </w:r>
      <w:r w:rsidR="00F41A6C">
        <w:rPr>
          <w:noProof/>
        </w:rPr>
        <w:t>15</w:t>
      </w:r>
      <w:r>
        <w:rPr>
          <w:noProof/>
        </w:rPr>
        <w:fldChar w:fldCharType="end"/>
      </w:r>
    </w:p>
    <w:p w:rsidR="00091680" w:rsidRDefault="00091680">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11: </w:t>
      </w:r>
      <w:r>
        <w:rPr>
          <w:rFonts w:asciiTheme="minorHAnsi" w:eastAsiaTheme="minorEastAsia" w:hAnsiTheme="minorHAnsi" w:cstheme="minorBidi"/>
          <w:noProof/>
          <w:sz w:val="22"/>
          <w:szCs w:val="22"/>
          <w:lang w:eastAsia="en-NZ"/>
        </w:rPr>
        <w:tab/>
      </w:r>
      <w:r>
        <w:rPr>
          <w:noProof/>
        </w:rPr>
        <w:t>Regional abundance trend estimates (and 95% CI) ex</w:t>
      </w:r>
      <w:r w:rsidR="00887B25">
        <w:rPr>
          <w:noProof/>
        </w:rPr>
        <w:t>tracted from model M4 (table 2)</w:t>
      </w:r>
      <w:r>
        <w:rPr>
          <w:noProof/>
        </w:rPr>
        <w:tab/>
      </w:r>
      <w:r>
        <w:rPr>
          <w:noProof/>
        </w:rPr>
        <w:fldChar w:fldCharType="begin"/>
      </w:r>
      <w:r>
        <w:rPr>
          <w:noProof/>
        </w:rPr>
        <w:instrText xml:space="preserve"> PAGEREF _Toc430354520 \h </w:instrText>
      </w:r>
      <w:r>
        <w:rPr>
          <w:noProof/>
        </w:rPr>
      </w:r>
      <w:r>
        <w:rPr>
          <w:noProof/>
        </w:rPr>
        <w:fldChar w:fldCharType="separate"/>
      </w:r>
      <w:r w:rsidR="00F41A6C">
        <w:rPr>
          <w:noProof/>
        </w:rPr>
        <w:t>17</w:t>
      </w:r>
      <w:r>
        <w:rPr>
          <w:noProof/>
        </w:rPr>
        <w:fldChar w:fldCharType="end"/>
      </w:r>
    </w:p>
    <w:p w:rsidR="00091680" w:rsidRDefault="00091680">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12: </w:t>
      </w:r>
      <w:r>
        <w:rPr>
          <w:rFonts w:asciiTheme="minorHAnsi" w:eastAsiaTheme="minorEastAsia" w:hAnsiTheme="minorHAnsi" w:cstheme="minorBidi"/>
          <w:noProof/>
          <w:sz w:val="22"/>
          <w:szCs w:val="22"/>
          <w:lang w:eastAsia="en-NZ"/>
        </w:rPr>
        <w:tab/>
      </w:r>
      <w:r>
        <w:rPr>
          <w:noProof/>
        </w:rPr>
        <w:t>Baseline bird counts and abundance trend estimates (top and bottom panels respectively) for silvereye in relation to Area Units within Dunedin (baseline and slope estimates were</w:t>
      </w:r>
      <w:r w:rsidR="00887B25">
        <w:rPr>
          <w:noProof/>
        </w:rPr>
        <w:t xml:space="preserve"> derived from Model 4; table 2)</w:t>
      </w:r>
      <w:r>
        <w:rPr>
          <w:noProof/>
        </w:rPr>
        <w:tab/>
      </w:r>
      <w:r>
        <w:rPr>
          <w:noProof/>
        </w:rPr>
        <w:fldChar w:fldCharType="begin"/>
      </w:r>
      <w:r>
        <w:rPr>
          <w:noProof/>
        </w:rPr>
        <w:instrText xml:space="preserve"> PAGEREF _Toc430354522 \h </w:instrText>
      </w:r>
      <w:r>
        <w:rPr>
          <w:noProof/>
        </w:rPr>
      </w:r>
      <w:r>
        <w:rPr>
          <w:noProof/>
        </w:rPr>
        <w:fldChar w:fldCharType="separate"/>
      </w:r>
      <w:r w:rsidR="00F41A6C">
        <w:rPr>
          <w:noProof/>
        </w:rPr>
        <w:t>19</w:t>
      </w:r>
      <w:r>
        <w:rPr>
          <w:noProof/>
        </w:rPr>
        <w:fldChar w:fldCharType="end"/>
      </w:r>
    </w:p>
    <w:p w:rsidR="00091680" w:rsidRDefault="00091680">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13: </w:t>
      </w:r>
      <w:r>
        <w:rPr>
          <w:rFonts w:asciiTheme="minorHAnsi" w:eastAsiaTheme="minorEastAsia" w:hAnsiTheme="minorHAnsi" w:cstheme="minorBidi"/>
          <w:noProof/>
          <w:sz w:val="22"/>
          <w:szCs w:val="22"/>
          <w:lang w:eastAsia="en-NZ"/>
        </w:rPr>
        <w:tab/>
      </w:r>
      <w:r>
        <w:rPr>
          <w:noProof/>
        </w:rPr>
        <w:t>Baseline bird counts and abundance trend estimates (top and bottom panels respectively) for tūī in relation to Area Units within Dunedin (baseline and slope estimates were</w:t>
      </w:r>
      <w:r w:rsidR="00887B25">
        <w:rPr>
          <w:noProof/>
        </w:rPr>
        <w:t xml:space="preserve"> derived from Model 4; table 2)</w:t>
      </w:r>
      <w:r>
        <w:rPr>
          <w:noProof/>
        </w:rPr>
        <w:tab/>
      </w:r>
      <w:r>
        <w:rPr>
          <w:noProof/>
        </w:rPr>
        <w:fldChar w:fldCharType="begin"/>
      </w:r>
      <w:r>
        <w:rPr>
          <w:noProof/>
        </w:rPr>
        <w:instrText xml:space="preserve"> PAGEREF _Toc430354523 \h </w:instrText>
      </w:r>
      <w:r>
        <w:rPr>
          <w:noProof/>
        </w:rPr>
      </w:r>
      <w:r>
        <w:rPr>
          <w:noProof/>
        </w:rPr>
        <w:fldChar w:fldCharType="separate"/>
      </w:r>
      <w:r w:rsidR="00F41A6C">
        <w:rPr>
          <w:noProof/>
        </w:rPr>
        <w:t>20</w:t>
      </w:r>
      <w:r>
        <w:rPr>
          <w:noProof/>
        </w:rPr>
        <w:fldChar w:fldCharType="end"/>
      </w:r>
    </w:p>
    <w:p w:rsidR="00091680" w:rsidRDefault="00091680">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15: </w:t>
      </w:r>
      <w:r>
        <w:rPr>
          <w:rFonts w:asciiTheme="minorHAnsi" w:eastAsiaTheme="minorEastAsia" w:hAnsiTheme="minorHAnsi" w:cstheme="minorBidi"/>
          <w:noProof/>
          <w:sz w:val="22"/>
          <w:szCs w:val="22"/>
          <w:lang w:eastAsia="en-NZ"/>
        </w:rPr>
        <w:tab/>
      </w:r>
      <w:r>
        <w:rPr>
          <w:noProof/>
        </w:rPr>
        <w:t>Power of current NZGBS dataset to detect a range of simulated trends equivalent to the alert thresholds. Analy</w:t>
      </w:r>
      <w:r w:rsidR="00887B25">
        <w:rPr>
          <w:noProof/>
        </w:rPr>
        <w:t>ses are based model M1; table 2</w:t>
      </w:r>
      <w:r>
        <w:rPr>
          <w:noProof/>
        </w:rPr>
        <w:tab/>
      </w:r>
      <w:r>
        <w:rPr>
          <w:noProof/>
        </w:rPr>
        <w:fldChar w:fldCharType="begin"/>
      </w:r>
      <w:r>
        <w:rPr>
          <w:noProof/>
        </w:rPr>
        <w:instrText xml:space="preserve"> PAGEREF _Toc430354524 \h </w:instrText>
      </w:r>
      <w:r>
        <w:rPr>
          <w:noProof/>
        </w:rPr>
      </w:r>
      <w:r>
        <w:rPr>
          <w:noProof/>
        </w:rPr>
        <w:fldChar w:fldCharType="separate"/>
      </w:r>
      <w:r w:rsidR="00F41A6C">
        <w:rPr>
          <w:noProof/>
        </w:rPr>
        <w:t>23</w:t>
      </w:r>
      <w:r>
        <w:rPr>
          <w:noProof/>
        </w:rPr>
        <w:fldChar w:fldCharType="end"/>
      </w:r>
    </w:p>
    <w:p w:rsidR="00091680" w:rsidRDefault="00091680">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16: </w:t>
      </w:r>
      <w:r>
        <w:rPr>
          <w:rFonts w:asciiTheme="minorHAnsi" w:eastAsiaTheme="minorEastAsia" w:hAnsiTheme="minorHAnsi" w:cstheme="minorBidi"/>
          <w:noProof/>
          <w:sz w:val="22"/>
          <w:szCs w:val="22"/>
          <w:lang w:eastAsia="en-NZ"/>
        </w:rPr>
        <w:tab/>
      </w:r>
      <w:r>
        <w:rPr>
          <w:noProof/>
        </w:rPr>
        <w:t>Power to detect a simulated amber alert in relation to the number of sampling years (based on a simplified linear mixed effec</w:t>
      </w:r>
      <w:r w:rsidR="00887B25">
        <w:rPr>
          <w:noProof/>
        </w:rPr>
        <w:t>ts model) for blackbird and tūī</w:t>
      </w:r>
      <w:r>
        <w:rPr>
          <w:noProof/>
        </w:rPr>
        <w:tab/>
      </w:r>
      <w:r>
        <w:rPr>
          <w:noProof/>
        </w:rPr>
        <w:fldChar w:fldCharType="begin"/>
      </w:r>
      <w:r>
        <w:rPr>
          <w:noProof/>
        </w:rPr>
        <w:instrText xml:space="preserve"> PAGEREF _Toc430354525 \h </w:instrText>
      </w:r>
      <w:r>
        <w:rPr>
          <w:noProof/>
        </w:rPr>
      </w:r>
      <w:r>
        <w:rPr>
          <w:noProof/>
        </w:rPr>
        <w:fldChar w:fldCharType="separate"/>
      </w:r>
      <w:r w:rsidR="00F41A6C">
        <w:rPr>
          <w:noProof/>
        </w:rPr>
        <w:t>24</w:t>
      </w:r>
      <w:r>
        <w:rPr>
          <w:noProof/>
        </w:rPr>
        <w:fldChar w:fldCharType="end"/>
      </w:r>
    </w:p>
    <w:p w:rsidR="00091680" w:rsidRDefault="00091680">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17: </w:t>
      </w:r>
      <w:r>
        <w:rPr>
          <w:rFonts w:asciiTheme="minorHAnsi" w:eastAsiaTheme="minorEastAsia" w:hAnsiTheme="minorHAnsi" w:cstheme="minorBidi"/>
          <w:noProof/>
          <w:sz w:val="22"/>
          <w:szCs w:val="22"/>
          <w:lang w:eastAsia="en-NZ"/>
        </w:rPr>
        <w:tab/>
      </w:r>
      <w:r>
        <w:rPr>
          <w:noProof/>
        </w:rPr>
        <w:t>Power to detect a simulated red alert and amber alert in relation to the number of sampling years (based on a simplified linear m</w:t>
      </w:r>
      <w:r w:rsidR="00887B25">
        <w:rPr>
          <w:noProof/>
        </w:rPr>
        <w:t>ixed effects model) for fantail</w:t>
      </w:r>
      <w:r>
        <w:rPr>
          <w:noProof/>
        </w:rPr>
        <w:tab/>
      </w:r>
      <w:r>
        <w:rPr>
          <w:noProof/>
        </w:rPr>
        <w:fldChar w:fldCharType="begin"/>
      </w:r>
      <w:r>
        <w:rPr>
          <w:noProof/>
        </w:rPr>
        <w:instrText xml:space="preserve"> PAGEREF _Toc430354526 \h </w:instrText>
      </w:r>
      <w:r>
        <w:rPr>
          <w:noProof/>
        </w:rPr>
      </w:r>
      <w:r>
        <w:rPr>
          <w:noProof/>
        </w:rPr>
        <w:fldChar w:fldCharType="separate"/>
      </w:r>
      <w:r w:rsidR="00F41A6C">
        <w:rPr>
          <w:noProof/>
        </w:rPr>
        <w:t>24</w:t>
      </w:r>
      <w:r>
        <w:rPr>
          <w:noProof/>
        </w:rPr>
        <w:fldChar w:fldCharType="end"/>
      </w:r>
    </w:p>
    <w:p w:rsidR="00091680" w:rsidRDefault="00091680">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18: </w:t>
      </w:r>
      <w:r>
        <w:rPr>
          <w:rFonts w:asciiTheme="minorHAnsi" w:eastAsiaTheme="minorEastAsia" w:hAnsiTheme="minorHAnsi" w:cstheme="minorBidi"/>
          <w:noProof/>
          <w:sz w:val="22"/>
          <w:szCs w:val="22"/>
          <w:lang w:eastAsia="en-NZ"/>
        </w:rPr>
        <w:tab/>
      </w:r>
      <w:r>
        <w:rPr>
          <w:noProof/>
        </w:rPr>
        <w:t>Power to detect amber (black points and lines) and red (grey points and lines) alert trends derived using the nation</w:t>
      </w:r>
      <w:r w:rsidR="00887B25">
        <w:rPr>
          <w:noProof/>
        </w:rPr>
        <w:t>al weighted averages (figure 1)</w:t>
      </w:r>
      <w:r>
        <w:rPr>
          <w:noProof/>
        </w:rPr>
        <w:tab/>
      </w:r>
      <w:r>
        <w:rPr>
          <w:noProof/>
        </w:rPr>
        <w:fldChar w:fldCharType="begin"/>
      </w:r>
      <w:r>
        <w:rPr>
          <w:noProof/>
        </w:rPr>
        <w:instrText xml:space="preserve"> PAGEREF _Toc430354527 \h </w:instrText>
      </w:r>
      <w:r>
        <w:rPr>
          <w:noProof/>
        </w:rPr>
      </w:r>
      <w:r>
        <w:rPr>
          <w:noProof/>
        </w:rPr>
        <w:fldChar w:fldCharType="separate"/>
      </w:r>
      <w:r w:rsidR="00F41A6C">
        <w:rPr>
          <w:noProof/>
        </w:rPr>
        <w:t>25</w:t>
      </w:r>
      <w:r>
        <w:rPr>
          <w:noProof/>
        </w:rPr>
        <w:fldChar w:fldCharType="end"/>
      </w:r>
    </w:p>
    <w:p w:rsidR="00725A18" w:rsidRPr="005267D4" w:rsidRDefault="00F51016" w:rsidP="004E3B1C">
      <w:pPr>
        <w:pStyle w:val="BodyText"/>
      </w:pPr>
      <w:r w:rsidRPr="005267D4">
        <w:fldChar w:fldCharType="end"/>
      </w:r>
    </w:p>
    <w:p w:rsidR="00725A18" w:rsidRPr="005267D4" w:rsidRDefault="00725A18" w:rsidP="004E3B1C">
      <w:pPr>
        <w:pStyle w:val="BodyText"/>
      </w:pPr>
    </w:p>
    <w:p w:rsidR="00131DD4" w:rsidRDefault="00131DD4">
      <w:pPr>
        <w:jc w:val="left"/>
      </w:pPr>
      <w:r>
        <w:br w:type="page"/>
      </w:r>
    </w:p>
    <w:p w:rsidR="00131DD4" w:rsidRDefault="00131DD4" w:rsidP="00131DD4">
      <w:pPr>
        <w:pStyle w:val="Heading1"/>
      </w:pPr>
      <w:bookmarkStart w:id="1" w:name="_Toc427250810"/>
      <w:r>
        <w:t xml:space="preserve">Executive </w:t>
      </w:r>
      <w:bookmarkEnd w:id="1"/>
      <w:r w:rsidR="00DA4A81">
        <w:t>summary</w:t>
      </w:r>
    </w:p>
    <w:p w:rsidR="00512A31" w:rsidRDefault="00131DD4" w:rsidP="00131DD4">
      <w:pPr>
        <w:pStyle w:val="BodyText"/>
      </w:pPr>
      <w:r w:rsidRPr="00F0565B">
        <w:t xml:space="preserve">As </w:t>
      </w:r>
      <w:r>
        <w:t>the country’s</w:t>
      </w:r>
      <w:r w:rsidRPr="00F0565B">
        <w:t xml:space="preserve"> longest running annual survey of biodiversity in urban and rural landscapes at the national scale, the </w:t>
      </w:r>
      <w:r>
        <w:t xml:space="preserve">New Zealand Garden Bird Survey (NZGBS) </w:t>
      </w:r>
      <w:r w:rsidRPr="00F0565B">
        <w:t xml:space="preserve">holds potential for informing future reporting on the state of the </w:t>
      </w:r>
      <w:r w:rsidR="00DA4A81">
        <w:t>l</w:t>
      </w:r>
      <w:r w:rsidR="00DA4A81" w:rsidRPr="00F0565B">
        <w:t xml:space="preserve">and </w:t>
      </w:r>
      <w:r w:rsidR="00DA4A81">
        <w:t>d</w:t>
      </w:r>
      <w:r w:rsidR="00DA4A81" w:rsidRPr="00F0565B">
        <w:t xml:space="preserve">omain </w:t>
      </w:r>
      <w:r w:rsidRPr="00F0565B">
        <w:t>under the Environmental Reporting Framework.</w:t>
      </w:r>
      <w:r>
        <w:t xml:space="preserve"> </w:t>
      </w:r>
    </w:p>
    <w:p w:rsidR="00512A31" w:rsidRDefault="00512A31" w:rsidP="00131DD4">
      <w:pPr>
        <w:pStyle w:val="BodyText"/>
      </w:pPr>
    </w:p>
    <w:p w:rsidR="00131DD4" w:rsidRDefault="00131DD4" w:rsidP="00131DD4">
      <w:pPr>
        <w:pStyle w:val="BodyText"/>
      </w:pPr>
      <w:r>
        <w:t>This report highlights some opportunities and challenges for making the NZGBS data more accessible, reliable and flexible</w:t>
      </w:r>
      <w:r w:rsidRPr="004A08E8">
        <w:t xml:space="preserve"> </w:t>
      </w:r>
      <w:r>
        <w:t>for reporting on status and trends in common garden birds.</w:t>
      </w:r>
      <w:r w:rsidRPr="00712CB3">
        <w:t xml:space="preserve"> </w:t>
      </w:r>
      <w:r>
        <w:t xml:space="preserve">In particular, it considers the benefits of merging the NZGBS data </w:t>
      </w:r>
      <w:r w:rsidR="00C205D7">
        <w:t xml:space="preserve">(2008–2014) </w:t>
      </w:r>
      <w:r>
        <w:t>with spatial layers provided by Statistics New Zealand, using four common garden bird species as examples to illustrate the approach: blackbird (</w:t>
      </w:r>
      <w:proofErr w:type="spellStart"/>
      <w:r w:rsidRPr="00690FCA">
        <w:rPr>
          <w:i/>
        </w:rPr>
        <w:t>Turdus</w:t>
      </w:r>
      <w:proofErr w:type="spellEnd"/>
      <w:r w:rsidRPr="00690FCA">
        <w:rPr>
          <w:i/>
        </w:rPr>
        <w:t xml:space="preserve"> </w:t>
      </w:r>
      <w:proofErr w:type="spellStart"/>
      <w:r w:rsidRPr="00690FCA">
        <w:rPr>
          <w:i/>
        </w:rPr>
        <w:t>merula</w:t>
      </w:r>
      <w:proofErr w:type="spellEnd"/>
      <w:r>
        <w:t>), fantail/</w:t>
      </w:r>
      <w:proofErr w:type="spellStart"/>
      <w:r w:rsidRPr="00690FCA">
        <w:t>pīwakawaka</w:t>
      </w:r>
      <w:proofErr w:type="spellEnd"/>
      <w:r>
        <w:t xml:space="preserve"> (</w:t>
      </w:r>
      <w:proofErr w:type="spellStart"/>
      <w:r w:rsidRPr="00690FCA">
        <w:rPr>
          <w:i/>
        </w:rPr>
        <w:t>Rhipidura</w:t>
      </w:r>
      <w:proofErr w:type="spellEnd"/>
      <w:r w:rsidRPr="00690FCA">
        <w:rPr>
          <w:i/>
        </w:rPr>
        <w:t xml:space="preserve"> </w:t>
      </w:r>
      <w:proofErr w:type="spellStart"/>
      <w:r w:rsidRPr="00690FCA">
        <w:rPr>
          <w:i/>
        </w:rPr>
        <w:t>fuliginosa</w:t>
      </w:r>
      <w:proofErr w:type="spellEnd"/>
      <w:r>
        <w:t>), silvereye/</w:t>
      </w:r>
      <w:proofErr w:type="spellStart"/>
      <w:r w:rsidRPr="00690FCA">
        <w:t>tauhou</w:t>
      </w:r>
      <w:proofErr w:type="spellEnd"/>
      <w:r>
        <w:t xml:space="preserve"> (</w:t>
      </w:r>
      <w:proofErr w:type="spellStart"/>
      <w:r w:rsidRPr="00690FCA">
        <w:rPr>
          <w:i/>
        </w:rPr>
        <w:t>Zosterops</w:t>
      </w:r>
      <w:proofErr w:type="spellEnd"/>
      <w:r w:rsidRPr="00690FCA">
        <w:rPr>
          <w:i/>
        </w:rPr>
        <w:t xml:space="preserve"> </w:t>
      </w:r>
      <w:proofErr w:type="spellStart"/>
      <w:r w:rsidRPr="00690FCA">
        <w:rPr>
          <w:i/>
        </w:rPr>
        <w:t>lateralis</w:t>
      </w:r>
      <w:proofErr w:type="spellEnd"/>
      <w:r>
        <w:t xml:space="preserve">) and </w:t>
      </w:r>
      <w:proofErr w:type="spellStart"/>
      <w:r>
        <w:t>tūī</w:t>
      </w:r>
      <w:proofErr w:type="spellEnd"/>
      <w:r>
        <w:t xml:space="preserve"> (</w:t>
      </w:r>
      <w:proofErr w:type="spellStart"/>
      <w:r w:rsidRPr="00690FCA">
        <w:rPr>
          <w:i/>
        </w:rPr>
        <w:t>Prosthemadera</w:t>
      </w:r>
      <w:proofErr w:type="spellEnd"/>
      <w:r w:rsidRPr="00690FCA">
        <w:rPr>
          <w:i/>
        </w:rPr>
        <w:t xml:space="preserve"> </w:t>
      </w:r>
      <w:proofErr w:type="spellStart"/>
      <w:r w:rsidRPr="00690FCA">
        <w:rPr>
          <w:i/>
        </w:rPr>
        <w:t>novaeseelandiae</w:t>
      </w:r>
      <w:proofErr w:type="spellEnd"/>
      <w:r>
        <w:t>).</w:t>
      </w:r>
    </w:p>
    <w:p w:rsidR="00415BB0" w:rsidRDefault="00415BB0" w:rsidP="00415BB0">
      <w:pPr>
        <w:pStyle w:val="Heading2"/>
      </w:pPr>
      <w:bookmarkStart w:id="2" w:name="_Toc427250811"/>
      <w:r w:rsidRPr="00002003">
        <w:t>Opportunities</w:t>
      </w:r>
      <w:r>
        <w:t xml:space="preserve"> for data improvement</w:t>
      </w:r>
      <w:bookmarkEnd w:id="2"/>
    </w:p>
    <w:p w:rsidR="00415BB0" w:rsidRDefault="00415BB0" w:rsidP="00415BB0">
      <w:pPr>
        <w:pStyle w:val="BodyText"/>
      </w:pPr>
      <w:r>
        <w:t>Potential benefits of refining the spatial resolution of the NZGBS dataset in the future include:</w:t>
      </w:r>
    </w:p>
    <w:p w:rsidR="00C45557" w:rsidRPr="00131DD4" w:rsidRDefault="00C45557" w:rsidP="00415BB0">
      <w:pPr>
        <w:pStyle w:val="BodyText"/>
      </w:pPr>
    </w:p>
    <w:p w:rsidR="00415BB0" w:rsidRDefault="00415BB0" w:rsidP="00C45557">
      <w:pPr>
        <w:pStyle w:val="BodyText"/>
        <w:numPr>
          <w:ilvl w:val="0"/>
          <w:numId w:val="33"/>
        </w:numPr>
        <w:ind w:left="426"/>
      </w:pPr>
      <w:r w:rsidRPr="00943169">
        <w:rPr>
          <w:b/>
        </w:rPr>
        <w:t>Facilitating data confidentiality and sharing:</w:t>
      </w:r>
      <w:r>
        <w:t xml:space="preserve"> Merging the NZGBS data with the Statistics NZ spatial layers (depicting boundaries for Region, Urban Area, Area Unit, </w:t>
      </w:r>
      <w:proofErr w:type="spellStart"/>
      <w:proofErr w:type="gramStart"/>
      <w:r>
        <w:t>Meshblock</w:t>
      </w:r>
      <w:proofErr w:type="spellEnd"/>
      <w:proofErr w:type="gramEnd"/>
      <w:r>
        <w:t>) allows for sharing</w:t>
      </w:r>
      <w:r w:rsidRPr="0050107E">
        <w:t xml:space="preserve"> </w:t>
      </w:r>
      <w:r>
        <w:t xml:space="preserve">the NZGBS data at a finer spatial resolution, without providing confidential information about the participants and survey locations. </w:t>
      </w:r>
    </w:p>
    <w:p w:rsidR="00415BB0" w:rsidRPr="0045188A" w:rsidRDefault="00415BB0" w:rsidP="00C45557">
      <w:pPr>
        <w:pStyle w:val="BodyText"/>
        <w:numPr>
          <w:ilvl w:val="0"/>
          <w:numId w:val="33"/>
        </w:numPr>
        <w:ind w:left="426"/>
        <w:rPr>
          <w:b/>
        </w:rPr>
      </w:pPr>
      <w:r>
        <w:rPr>
          <w:b/>
        </w:rPr>
        <w:t xml:space="preserve">Calculating biodiversity metrics using a flexible and harmonised approach: </w:t>
      </w:r>
      <w:r>
        <w:t xml:space="preserve">Recent advances in statistical modelling techniques demonstrate the potential for cost-effectively calculating consistent metrics at multiple spatial scales. The analyses </w:t>
      </w:r>
      <w:r w:rsidRPr="0050107E">
        <w:t xml:space="preserve">explicitly account for </w:t>
      </w:r>
      <w:r>
        <w:t>variation in sampling effort over space and time using</w:t>
      </w:r>
      <w:r w:rsidRPr="0050107E">
        <w:t xml:space="preserve"> the full data set </w:t>
      </w:r>
      <w:r>
        <w:t>(</w:t>
      </w:r>
      <w:proofErr w:type="spellStart"/>
      <w:r>
        <w:t>ie</w:t>
      </w:r>
      <w:proofErr w:type="spellEnd"/>
      <w:r>
        <w:t xml:space="preserve">, fitting models at the garden level </w:t>
      </w:r>
      <w:r w:rsidRPr="0050107E">
        <w:t>rather than modelling based on derived regional or national averages</w:t>
      </w:r>
      <w:r>
        <w:t>). Comparable metrics (baseline count and trend estimates) can then be derived simultaneously</w:t>
      </w:r>
      <w:r w:rsidRPr="002F0CAD">
        <w:t xml:space="preserve"> </w:t>
      </w:r>
      <w:r>
        <w:t>(from the same model) for reporting at national, regional and local scales.</w:t>
      </w:r>
    </w:p>
    <w:p w:rsidR="00415BB0" w:rsidRPr="0050107E" w:rsidRDefault="00415BB0" w:rsidP="00C45557">
      <w:pPr>
        <w:pStyle w:val="BodyText"/>
        <w:numPr>
          <w:ilvl w:val="0"/>
          <w:numId w:val="33"/>
        </w:numPr>
        <w:ind w:left="426"/>
        <w:rPr>
          <w:b/>
        </w:rPr>
      </w:pPr>
      <w:r w:rsidRPr="0050107E">
        <w:rPr>
          <w:b/>
        </w:rPr>
        <w:t xml:space="preserve">Enhancing the inferences drawn from </w:t>
      </w:r>
      <w:r>
        <w:rPr>
          <w:b/>
        </w:rPr>
        <w:t>existing</w:t>
      </w:r>
      <w:r w:rsidRPr="0050107E">
        <w:rPr>
          <w:b/>
        </w:rPr>
        <w:t xml:space="preserve"> data: </w:t>
      </w:r>
      <w:r>
        <w:t>U</w:t>
      </w:r>
      <w:r w:rsidRPr="0050107E">
        <w:t>sing the full data set</w:t>
      </w:r>
      <w:r>
        <w:t xml:space="preserve"> </w:t>
      </w:r>
      <w:r w:rsidRPr="0050107E">
        <w:t>and explicitly accounting for spatial variation</w:t>
      </w:r>
      <w:r>
        <w:t xml:space="preserve"> (</w:t>
      </w:r>
      <w:r w:rsidRPr="0050107E">
        <w:t>rather than modelling based on derived regional or national averages</w:t>
      </w:r>
      <w:r>
        <w:t>) facilitates greater precision of derived metrics</w:t>
      </w:r>
      <w:r w:rsidRPr="0050107E">
        <w:t>.</w:t>
      </w:r>
      <w:r>
        <w:t xml:space="preserve"> Based on the full data set analyses, for example, the population trend estimates show blackbird and silvereye are declining and have clearly breached amber and red alert thresholds respectively. This indicates that, if these current trends are sustained, blackbird and silvereye will respectively undergo moderate and rapid declines in 25 years. Trend estimates derived from a weighted national average model would not only have failed to raise these alerts for blackbird and silvereye, but would also have missed the declining trend for silvereye altogether. </w:t>
      </w:r>
    </w:p>
    <w:p w:rsidR="00415BB0" w:rsidRDefault="00415BB0" w:rsidP="00C45557">
      <w:pPr>
        <w:pStyle w:val="BodyText"/>
        <w:numPr>
          <w:ilvl w:val="0"/>
          <w:numId w:val="33"/>
        </w:numPr>
        <w:ind w:left="426"/>
      </w:pPr>
      <w:r w:rsidRPr="006C3AEA">
        <w:rPr>
          <w:b/>
        </w:rPr>
        <w:t xml:space="preserve">Predicting the power of future datasets </w:t>
      </w:r>
      <w:r>
        <w:rPr>
          <w:b/>
        </w:rPr>
        <w:t>to</w:t>
      </w:r>
      <w:r w:rsidRPr="006C3AEA">
        <w:rPr>
          <w:b/>
        </w:rPr>
        <w:t xml:space="preserve"> detect </w:t>
      </w:r>
      <w:r>
        <w:rPr>
          <w:b/>
        </w:rPr>
        <w:t xml:space="preserve">specified </w:t>
      </w:r>
      <w:r w:rsidRPr="006C3AEA">
        <w:rPr>
          <w:b/>
        </w:rPr>
        <w:t>trends:</w:t>
      </w:r>
      <w:r>
        <w:t xml:space="preserve"> To evaluate the power of future datasets to detect specified trends of interest, new NZGBS data and sampling events were simulated for an additional five years (equivalent to 2008–2019, a total of 12 years). By using the full data set analysis approach rather than weighted averages one, the time taken to achieve &gt;80% power for the detection of amber alerts for blackbird, for example, was halved from 12 to 6 years. This comparison illustrates the greater power of the analytical approaches suggested here to detect such trends.</w:t>
      </w:r>
    </w:p>
    <w:p w:rsidR="00415BB0" w:rsidRDefault="00415BB0" w:rsidP="00C45557">
      <w:pPr>
        <w:pStyle w:val="BodyText"/>
        <w:numPr>
          <w:ilvl w:val="0"/>
          <w:numId w:val="33"/>
        </w:numPr>
        <w:ind w:left="426"/>
      </w:pPr>
      <w:r>
        <w:rPr>
          <w:b/>
        </w:rPr>
        <w:t>Interpreting and c</w:t>
      </w:r>
      <w:r w:rsidRPr="0050107E">
        <w:rPr>
          <w:b/>
        </w:rPr>
        <w:t xml:space="preserve">ommunicating results: </w:t>
      </w:r>
      <w:r>
        <w:t>C</w:t>
      </w:r>
      <w:r w:rsidRPr="00EE6143">
        <w:t>ritically evaluat</w:t>
      </w:r>
      <w:r>
        <w:t>ing</w:t>
      </w:r>
      <w:r w:rsidRPr="00EE6143">
        <w:t xml:space="preserve"> the </w:t>
      </w:r>
      <w:r>
        <w:t xml:space="preserve">precision and power of estimates derived from existing and future </w:t>
      </w:r>
      <w:r w:rsidRPr="00EE6143">
        <w:t>NZGBS</w:t>
      </w:r>
      <w:r>
        <w:t xml:space="preserve"> datasets also helps inform</w:t>
      </w:r>
      <w:r>
        <w:rPr>
          <w:b/>
        </w:rPr>
        <w:t xml:space="preserve"> </w:t>
      </w:r>
      <w:r w:rsidRPr="00EE6143">
        <w:t>the reporting process, allowing the</w:t>
      </w:r>
      <w:r>
        <w:t xml:space="preserve"> user to identify fit-for-purpose biodiversity metrics. Specifically, we illustrate the potential use of a standardised set of alert thresholds to help the audience identify population trends that might be of conservation concern. In addition, o</w:t>
      </w:r>
      <w:r w:rsidRPr="00C72601">
        <w:t>ver 85% of</w:t>
      </w:r>
      <w:r>
        <w:rPr>
          <w:b/>
        </w:rPr>
        <w:t xml:space="preserve"> </w:t>
      </w:r>
      <w:r>
        <w:t>participants (n = c. 3500) in a survey on the NZGBS indicated a preference for maps, in particular, but also written summaries with images for reporting results. The potential for b</w:t>
      </w:r>
      <w:r w:rsidRPr="0050107E">
        <w:t>etter visual presentation of results</w:t>
      </w:r>
      <w:r>
        <w:t xml:space="preserve"> using maps</w:t>
      </w:r>
      <w:r w:rsidRPr="0050107E">
        <w:t xml:space="preserve"> </w:t>
      </w:r>
      <w:r>
        <w:t>is demonstrated.</w:t>
      </w:r>
    </w:p>
    <w:p w:rsidR="00415BB0" w:rsidRDefault="00415BB0" w:rsidP="00C45557">
      <w:pPr>
        <w:pStyle w:val="BodyText"/>
        <w:numPr>
          <w:ilvl w:val="0"/>
          <w:numId w:val="33"/>
        </w:numPr>
        <w:ind w:left="426"/>
      </w:pPr>
      <w:r w:rsidRPr="00415BB0">
        <w:rPr>
          <w:b/>
        </w:rPr>
        <w:t xml:space="preserve">Informing future monitoring: </w:t>
      </w:r>
      <w:r>
        <w:t>W</w:t>
      </w:r>
      <w:r w:rsidRPr="00F73104">
        <w:t>ays to improve the resolution of the data</w:t>
      </w:r>
      <w:r>
        <w:t xml:space="preserve"> could be explored by plotting and evaluating trends in participation in the NZGBS at different spatial scales. This information could be used as a basis for campaigns to engage the public and enhance the survey.</w:t>
      </w:r>
    </w:p>
    <w:p w:rsidR="00415BB0" w:rsidRPr="00874F72" w:rsidRDefault="00415BB0" w:rsidP="00C45557">
      <w:pPr>
        <w:pStyle w:val="BodyText"/>
      </w:pPr>
    </w:p>
    <w:p w:rsidR="00415BB0" w:rsidRPr="00002003" w:rsidRDefault="00415BB0" w:rsidP="00415BB0">
      <w:pPr>
        <w:pStyle w:val="Heading2"/>
      </w:pPr>
      <w:bookmarkStart w:id="3" w:name="_Toc427250812"/>
      <w:r>
        <w:t>Future c</w:t>
      </w:r>
      <w:r w:rsidRPr="00002003">
        <w:t>hallenges</w:t>
      </w:r>
      <w:r>
        <w:t xml:space="preserve"> for data improvement</w:t>
      </w:r>
      <w:bookmarkEnd w:id="3"/>
    </w:p>
    <w:p w:rsidR="00415BB0" w:rsidRDefault="00415BB0" w:rsidP="00C45557">
      <w:pPr>
        <w:pStyle w:val="BodyText"/>
      </w:pPr>
      <w:r>
        <w:t>Potential future challenges associated with managing and using the NZGBS datasets include:</w:t>
      </w:r>
    </w:p>
    <w:p w:rsidR="00415BB0" w:rsidRPr="00943169" w:rsidRDefault="00415BB0" w:rsidP="00C45557">
      <w:pPr>
        <w:pStyle w:val="BodyText"/>
        <w:numPr>
          <w:ilvl w:val="0"/>
          <w:numId w:val="34"/>
        </w:numPr>
        <w:ind w:left="426"/>
        <w:rPr>
          <w:b/>
        </w:rPr>
      </w:pPr>
      <w:r w:rsidRPr="00943169">
        <w:rPr>
          <w:b/>
        </w:rPr>
        <w:t xml:space="preserve">Establishing an enduring and cost-effective data management system: </w:t>
      </w:r>
      <w:r>
        <w:t>Currently, the</w:t>
      </w:r>
      <w:r w:rsidRPr="00496B5C">
        <w:t xml:space="preserve"> NZGBS data</w:t>
      </w:r>
      <w:r>
        <w:t>, which</w:t>
      </w:r>
      <w:r w:rsidRPr="00496B5C">
        <w:t xml:space="preserve"> are </w:t>
      </w:r>
      <w:r>
        <w:t>stored in MS Excel spreadsheets in varying formats, are manually edited by the survey organiser</w:t>
      </w:r>
      <w:r w:rsidRPr="00496B5C">
        <w:t xml:space="preserve">. </w:t>
      </w:r>
      <w:r>
        <w:t>Establishing a secure and enduring framework for gathering, editing and storing the NZGBS data in a consistent format in the future should be a top priority. This will require financial support at the set-up phase but also, at a reduced rate, for ongoing maintenance.</w:t>
      </w:r>
    </w:p>
    <w:p w:rsidR="00415BB0" w:rsidRPr="00394FBA" w:rsidRDefault="00415BB0" w:rsidP="00C45557">
      <w:pPr>
        <w:pStyle w:val="BodyText"/>
        <w:numPr>
          <w:ilvl w:val="0"/>
          <w:numId w:val="34"/>
        </w:numPr>
        <w:ind w:left="426"/>
        <w:rPr>
          <w:b/>
        </w:rPr>
      </w:pPr>
      <w:r>
        <w:rPr>
          <w:b/>
        </w:rPr>
        <w:t xml:space="preserve">Clarifying the metrics of interest: </w:t>
      </w:r>
      <w:r>
        <w:t>Options for editing the data and refining the analyses presented in this report include considering</w:t>
      </w:r>
      <w:r w:rsidRPr="001B04EA">
        <w:t xml:space="preserve"> </w:t>
      </w:r>
      <w:r>
        <w:t xml:space="preserve">whether: </w:t>
      </w:r>
    </w:p>
    <w:p w:rsidR="00415BB0" w:rsidRPr="00C45557" w:rsidRDefault="00415BB0" w:rsidP="00C45557">
      <w:pPr>
        <w:pStyle w:val="Bullet"/>
        <w:tabs>
          <w:tab w:val="clear" w:pos="397"/>
          <w:tab w:val="num" w:pos="794"/>
        </w:tabs>
        <w:ind w:left="794"/>
      </w:pPr>
      <w:r w:rsidRPr="00C45557">
        <w:t>species distribution metrics are more sensitive for monitoring change than abundance for some species (</w:t>
      </w:r>
      <w:proofErr w:type="spellStart"/>
      <w:r w:rsidRPr="00C45557">
        <w:t>eg</w:t>
      </w:r>
      <w:proofErr w:type="spellEnd"/>
      <w:r w:rsidRPr="00C45557">
        <w:t xml:space="preserve">, fantail) </w:t>
      </w:r>
    </w:p>
    <w:p w:rsidR="00415BB0" w:rsidRPr="00C45557" w:rsidRDefault="00415BB0" w:rsidP="00C45557">
      <w:pPr>
        <w:pStyle w:val="Bullet"/>
        <w:tabs>
          <w:tab w:val="clear" w:pos="397"/>
          <w:tab w:val="num" w:pos="794"/>
        </w:tabs>
        <w:ind w:left="794"/>
      </w:pPr>
      <w:r w:rsidRPr="00C45557">
        <w:t>other sources of sampling bias need to be accounted for (</w:t>
      </w:r>
      <w:proofErr w:type="spellStart"/>
      <w:r w:rsidRPr="00C45557">
        <w:t>eg</w:t>
      </w:r>
      <w:proofErr w:type="spellEnd"/>
      <w:r w:rsidRPr="00C45557">
        <w:t>, whether early NZGBS participants had more birds in their gardens or were more likely to feed birds)</w:t>
      </w:r>
    </w:p>
    <w:p w:rsidR="00415BB0" w:rsidRPr="00C45557" w:rsidRDefault="00415BB0" w:rsidP="00C45557">
      <w:pPr>
        <w:pStyle w:val="Bullet"/>
        <w:tabs>
          <w:tab w:val="clear" w:pos="397"/>
          <w:tab w:val="num" w:pos="794"/>
        </w:tabs>
        <w:ind w:left="794"/>
      </w:pPr>
      <w:r w:rsidRPr="00C45557">
        <w:t>Variation in the number and density of gardens within different spatial units/levels (</w:t>
      </w:r>
      <w:proofErr w:type="spellStart"/>
      <w:r w:rsidRPr="00C45557">
        <w:t>eg</w:t>
      </w:r>
      <w:proofErr w:type="spellEnd"/>
      <w:r w:rsidRPr="00C45557">
        <w:t>, region, urban area) is necessary</w:t>
      </w:r>
    </w:p>
    <w:p w:rsidR="00415BB0" w:rsidRPr="00C45557" w:rsidRDefault="00415BB0" w:rsidP="00C45557">
      <w:pPr>
        <w:pStyle w:val="Bullet"/>
        <w:tabs>
          <w:tab w:val="clear" w:pos="397"/>
          <w:tab w:val="num" w:pos="794"/>
        </w:tabs>
        <w:ind w:left="794"/>
      </w:pPr>
      <w:proofErr w:type="gramStart"/>
      <w:r w:rsidRPr="00C45557">
        <w:t>including</w:t>
      </w:r>
      <w:proofErr w:type="gramEnd"/>
      <w:r w:rsidRPr="00C45557">
        <w:t xml:space="preserve"> habitat variables (</w:t>
      </w:r>
      <w:proofErr w:type="spellStart"/>
      <w:r w:rsidRPr="00C45557">
        <w:t>eg</w:t>
      </w:r>
      <w:proofErr w:type="spellEnd"/>
      <w:r w:rsidRPr="00C45557">
        <w:t>, feeding activities, garden type or residence densities) as predictor variables improves the model fit, increasing the power to detect change and interpretation of results, as indicated by earlier analyses.</w:t>
      </w:r>
    </w:p>
    <w:p w:rsidR="00415BB0" w:rsidRDefault="00415BB0" w:rsidP="00C45557">
      <w:pPr>
        <w:pStyle w:val="BodyText"/>
        <w:numPr>
          <w:ilvl w:val="0"/>
          <w:numId w:val="34"/>
        </w:numPr>
        <w:ind w:left="426"/>
      </w:pPr>
      <w:r w:rsidRPr="00E135AA">
        <w:rPr>
          <w:b/>
        </w:rPr>
        <w:t>Calculating the metrics:</w:t>
      </w:r>
      <w:r>
        <w:t xml:space="preserve"> Some technical challenges associated with model fitting and extracting estimates need to be addressed before developing a standardised protocol suitable for calculating and reporting biodiversity metrics at different spatial scales.</w:t>
      </w:r>
    </w:p>
    <w:p w:rsidR="00415BB0" w:rsidRPr="00496B5C" w:rsidRDefault="00415BB0" w:rsidP="00C45557">
      <w:pPr>
        <w:pStyle w:val="BodyText"/>
        <w:numPr>
          <w:ilvl w:val="0"/>
          <w:numId w:val="34"/>
        </w:numPr>
        <w:ind w:left="426"/>
      </w:pPr>
      <w:r>
        <w:rPr>
          <w:b/>
        </w:rPr>
        <w:t xml:space="preserve">Improving future datasets: </w:t>
      </w:r>
      <w:r>
        <w:t>Future</w:t>
      </w:r>
      <w:r w:rsidRPr="00F91554">
        <w:t xml:space="preserve"> power </w:t>
      </w:r>
      <w:r>
        <w:t>analyses could evaluate different strategies for improving NZGBS participation rates. The results of such analyses could in turn be used to target public campaigns to enhance engagement.</w:t>
      </w:r>
    </w:p>
    <w:p w:rsidR="00131DD4" w:rsidRDefault="00131DD4" w:rsidP="00402AD8">
      <w:pPr>
        <w:pStyle w:val="BodyText"/>
      </w:pPr>
    </w:p>
    <w:p w:rsidR="00725A18" w:rsidRPr="005267D4" w:rsidRDefault="00725A18" w:rsidP="00402AD8">
      <w:pPr>
        <w:pStyle w:val="BodyText"/>
        <w:sectPr w:rsidR="00725A18" w:rsidRPr="005267D4" w:rsidSect="00B53DD3">
          <w:headerReference w:type="even" r:id="rId21"/>
          <w:headerReference w:type="default" r:id="rId22"/>
          <w:footerReference w:type="even" r:id="rId23"/>
          <w:footerReference w:type="default" r:id="rId24"/>
          <w:headerReference w:type="first" r:id="rId25"/>
          <w:pgSz w:w="11907" w:h="16840" w:code="9"/>
          <w:pgMar w:top="1701" w:right="1418" w:bottom="1701" w:left="1418" w:header="567" w:footer="567" w:gutter="567"/>
          <w:pgNumType w:fmt="lowerRoman"/>
          <w:cols w:space="720"/>
        </w:sectPr>
      </w:pPr>
    </w:p>
    <w:p w:rsidR="00DC272F" w:rsidRDefault="00725A18" w:rsidP="00153F1A">
      <w:pPr>
        <w:pStyle w:val="Heading1"/>
        <w:numPr>
          <w:ilvl w:val="0"/>
          <w:numId w:val="9"/>
        </w:numPr>
      </w:pPr>
      <w:bookmarkStart w:id="4" w:name="_Toc427250813"/>
      <w:r w:rsidRPr="005267D4">
        <w:t>Introduction</w:t>
      </w:r>
      <w:bookmarkEnd w:id="4"/>
    </w:p>
    <w:p w:rsidR="00F0565B" w:rsidRPr="00F0565B" w:rsidRDefault="00F0565B" w:rsidP="00F0565B">
      <w:pPr>
        <w:pStyle w:val="BodyText"/>
      </w:pPr>
      <w:r w:rsidRPr="00F0565B">
        <w:t xml:space="preserve">As New Zealand’s longest running annual survey of biodiversity in urban and rural landscapes at the national scale, the </w:t>
      </w:r>
      <w:r w:rsidR="00F06FFB">
        <w:t>NZ</w:t>
      </w:r>
      <w:r>
        <w:t xml:space="preserve"> Garden Bird Survey (NZGBS) </w:t>
      </w:r>
      <w:r w:rsidRPr="00F0565B">
        <w:t xml:space="preserve">holds potential for informing future reporting on the state of the </w:t>
      </w:r>
      <w:r w:rsidR="00DA4A81">
        <w:t>l</w:t>
      </w:r>
      <w:r w:rsidR="00DA4A81" w:rsidRPr="00F0565B">
        <w:t xml:space="preserve">and </w:t>
      </w:r>
      <w:r w:rsidR="00DA4A81">
        <w:t>d</w:t>
      </w:r>
      <w:r w:rsidR="00DA4A81" w:rsidRPr="00F0565B">
        <w:t xml:space="preserve">omain </w:t>
      </w:r>
      <w:r w:rsidRPr="00F0565B">
        <w:t>under the Environmental Reporting Framework.</w:t>
      </w:r>
    </w:p>
    <w:p w:rsidR="00F0565B" w:rsidRPr="00F0565B" w:rsidRDefault="00F0565B" w:rsidP="00F0565B">
      <w:pPr>
        <w:pStyle w:val="BodyText"/>
      </w:pPr>
    </w:p>
    <w:p w:rsidR="004B5AEC" w:rsidRDefault="00016058" w:rsidP="00DC272F">
      <w:pPr>
        <w:pStyle w:val="BodyText"/>
      </w:pPr>
      <w:r>
        <w:t xml:space="preserve">This report </w:t>
      </w:r>
      <w:r w:rsidR="004B0245">
        <w:t>provides a preliminary assessment of</w:t>
      </w:r>
      <w:r w:rsidR="00B85B69">
        <w:t xml:space="preserve"> the reliability of </w:t>
      </w:r>
      <w:r w:rsidR="00F06FFB">
        <w:t xml:space="preserve">the </w:t>
      </w:r>
      <w:r w:rsidR="00DD3257">
        <w:t>NZGBS</w:t>
      </w:r>
      <w:r w:rsidR="004B0245">
        <w:t xml:space="preserve"> dataset for </w:t>
      </w:r>
      <w:r w:rsidR="00E728C9">
        <w:t xml:space="preserve">reporting on </w:t>
      </w:r>
      <w:r w:rsidR="00535D04">
        <w:t>trends in</w:t>
      </w:r>
      <w:r w:rsidR="00E728C9">
        <w:t xml:space="preserve"> common garden birds</w:t>
      </w:r>
      <w:r w:rsidR="00E32453">
        <w:t xml:space="preserve">. </w:t>
      </w:r>
      <w:r>
        <w:t>Specifically, it aims to</w:t>
      </w:r>
      <w:r w:rsidR="003D5FF9">
        <w:t xml:space="preserve"> enhance the spatial resolution of information available in three ways: </w:t>
      </w:r>
    </w:p>
    <w:p w:rsidR="004B5AEC" w:rsidRDefault="004B5AEC" w:rsidP="00DC272F">
      <w:pPr>
        <w:pStyle w:val="BodyText"/>
      </w:pPr>
    </w:p>
    <w:p w:rsidR="004B5AEC" w:rsidRDefault="00D93258" w:rsidP="00C45557">
      <w:pPr>
        <w:pStyle w:val="BodyText"/>
        <w:numPr>
          <w:ilvl w:val="0"/>
          <w:numId w:val="32"/>
        </w:numPr>
      </w:pPr>
      <w:r>
        <w:t>m</w:t>
      </w:r>
      <w:r w:rsidR="003D5FF9">
        <w:t>aking the</w:t>
      </w:r>
      <w:r w:rsidR="00016058">
        <w:t xml:space="preserve"> NZGBS</w:t>
      </w:r>
      <w:r w:rsidR="003D5FF9">
        <w:t xml:space="preserve"> data spatial and confidential using existing Statistics NZ </w:t>
      </w:r>
      <w:r w:rsidR="00016058">
        <w:t>GIS data</w:t>
      </w:r>
      <w:r w:rsidR="003D5FF9">
        <w:t xml:space="preserve"> </w:t>
      </w:r>
    </w:p>
    <w:p w:rsidR="004B5AEC" w:rsidRDefault="00D93258" w:rsidP="00C45557">
      <w:pPr>
        <w:pStyle w:val="BodyText"/>
        <w:numPr>
          <w:ilvl w:val="0"/>
          <w:numId w:val="32"/>
        </w:numPr>
      </w:pPr>
      <w:r>
        <w:t>m</w:t>
      </w:r>
      <w:r w:rsidR="003D5FF9">
        <w:t>odel</w:t>
      </w:r>
      <w:r w:rsidR="00016058">
        <w:t>ling trends for a subset of garden bird s</w:t>
      </w:r>
      <w:r w:rsidR="00620D84">
        <w:t>pecies taking into account spatial variation in sampling effort over time</w:t>
      </w:r>
      <w:r w:rsidR="003D5FF9">
        <w:t xml:space="preserve"> (using the revised </w:t>
      </w:r>
      <w:r w:rsidR="00016058">
        <w:t xml:space="preserve">NZGBS </w:t>
      </w:r>
      <w:r w:rsidR="003D5FF9">
        <w:t xml:space="preserve">dataset) </w:t>
      </w:r>
    </w:p>
    <w:p w:rsidR="003D5FF9" w:rsidRDefault="00D93258" w:rsidP="00C45557">
      <w:pPr>
        <w:pStyle w:val="BodyText"/>
        <w:numPr>
          <w:ilvl w:val="0"/>
          <w:numId w:val="32"/>
        </w:numPr>
      </w:pPr>
      <w:proofErr w:type="gramStart"/>
      <w:r>
        <w:t>i</w:t>
      </w:r>
      <w:r w:rsidR="003D5FF9">
        <w:t>nterpret</w:t>
      </w:r>
      <w:r w:rsidR="00620D84">
        <w:t>ing</w:t>
      </w:r>
      <w:proofErr w:type="gramEnd"/>
      <w:r w:rsidR="003D5FF9">
        <w:t xml:space="preserve"> and reporting of </w:t>
      </w:r>
      <w:r w:rsidR="00620D84">
        <w:t>trends in</w:t>
      </w:r>
      <w:r w:rsidR="003D5FF9">
        <w:t xml:space="preserve"> </w:t>
      </w:r>
      <w:r w:rsidR="00620D84">
        <w:t>garden bird species</w:t>
      </w:r>
      <w:r w:rsidR="003D5FF9">
        <w:t>,</w:t>
      </w:r>
      <w:r w:rsidR="00620D84">
        <w:t xml:space="preserve"> informed</w:t>
      </w:r>
      <w:r w:rsidR="003D5FF9">
        <w:t xml:space="preserve"> </w:t>
      </w:r>
      <w:r w:rsidR="00620D84">
        <w:t xml:space="preserve">by </w:t>
      </w:r>
      <w:r w:rsidR="003D5FF9">
        <w:t>power analyses</w:t>
      </w:r>
      <w:r w:rsidR="00F06FFB" w:rsidRPr="00F06FFB">
        <w:t xml:space="preserve"> </w:t>
      </w:r>
      <w:r w:rsidR="00F06FFB">
        <w:t>where appropriate</w:t>
      </w:r>
      <w:r w:rsidR="003D5FF9">
        <w:t>.</w:t>
      </w:r>
    </w:p>
    <w:p w:rsidR="004B5AEC" w:rsidRPr="00F036BA" w:rsidRDefault="004B5AEC" w:rsidP="004B5AEC">
      <w:pPr>
        <w:pStyle w:val="BodyText"/>
        <w:rPr>
          <w:szCs w:val="22"/>
        </w:rPr>
      </w:pPr>
    </w:p>
    <w:p w:rsidR="00DC272F" w:rsidRPr="00016058" w:rsidRDefault="00620D84" w:rsidP="00DC272F">
      <w:pPr>
        <w:pStyle w:val="BodyText"/>
        <w:rPr>
          <w:szCs w:val="22"/>
        </w:rPr>
      </w:pPr>
      <w:r>
        <w:rPr>
          <w:szCs w:val="22"/>
        </w:rPr>
        <w:t>T</w:t>
      </w:r>
      <w:r w:rsidR="004B5AEC" w:rsidRPr="00402A18">
        <w:rPr>
          <w:szCs w:val="22"/>
        </w:rPr>
        <w:t xml:space="preserve">he </w:t>
      </w:r>
      <w:r>
        <w:rPr>
          <w:szCs w:val="22"/>
        </w:rPr>
        <w:t>analytical methods</w:t>
      </w:r>
      <w:r w:rsidR="004B5AEC" w:rsidRPr="00402A18">
        <w:rPr>
          <w:szCs w:val="22"/>
        </w:rPr>
        <w:t xml:space="preserve"> used</w:t>
      </w:r>
      <w:r>
        <w:rPr>
          <w:szCs w:val="22"/>
        </w:rPr>
        <w:t xml:space="preserve">, the results </w:t>
      </w:r>
      <w:r w:rsidR="003F7387">
        <w:rPr>
          <w:szCs w:val="22"/>
        </w:rPr>
        <w:t>derived</w:t>
      </w:r>
      <w:r w:rsidR="00F06FFB">
        <w:rPr>
          <w:szCs w:val="22"/>
        </w:rPr>
        <w:t>,</w:t>
      </w:r>
      <w:r w:rsidR="003F7387">
        <w:rPr>
          <w:szCs w:val="22"/>
        </w:rPr>
        <w:t xml:space="preserve"> </w:t>
      </w:r>
      <w:r>
        <w:rPr>
          <w:szCs w:val="22"/>
        </w:rPr>
        <w:t>and a</w:t>
      </w:r>
      <w:r w:rsidR="004B5AEC" w:rsidRPr="00402A18">
        <w:rPr>
          <w:szCs w:val="22"/>
        </w:rPr>
        <w:t xml:space="preserve">ny limitations/caveats </w:t>
      </w:r>
      <w:r>
        <w:rPr>
          <w:szCs w:val="22"/>
        </w:rPr>
        <w:t>are documented, with t</w:t>
      </w:r>
      <w:r w:rsidR="00016058">
        <w:rPr>
          <w:szCs w:val="22"/>
        </w:rPr>
        <w:t>he</w:t>
      </w:r>
      <w:r w:rsidR="003F7387">
        <w:rPr>
          <w:szCs w:val="22"/>
        </w:rPr>
        <w:t xml:space="preserve"> relevant datasets and R-</w:t>
      </w:r>
      <w:r w:rsidR="004B5AEC">
        <w:rPr>
          <w:szCs w:val="22"/>
        </w:rPr>
        <w:t>scripts provided</w:t>
      </w:r>
      <w:r w:rsidR="00016058">
        <w:rPr>
          <w:szCs w:val="22"/>
        </w:rPr>
        <w:t xml:space="preserve"> separately</w:t>
      </w:r>
      <w:r w:rsidR="004B5AEC" w:rsidRPr="00402A18">
        <w:rPr>
          <w:szCs w:val="22"/>
        </w:rPr>
        <w:t xml:space="preserve">. </w:t>
      </w:r>
    </w:p>
    <w:p w:rsidR="00874F72" w:rsidRDefault="00874F72" w:rsidP="00874F72">
      <w:pPr>
        <w:pStyle w:val="BodyText"/>
      </w:pPr>
    </w:p>
    <w:p w:rsidR="00874F72" w:rsidRPr="007D704F" w:rsidRDefault="00874F72" w:rsidP="00874F72">
      <w:pPr>
        <w:pStyle w:val="BodyText"/>
      </w:pPr>
      <w:r>
        <w:t xml:space="preserve">Our analyses do not attempt to </w:t>
      </w:r>
      <w:r w:rsidRPr="00B766DD">
        <w:t>identify which habitat variables (</w:t>
      </w:r>
      <w:proofErr w:type="spellStart"/>
      <w:r w:rsidR="00DB4A9D">
        <w:t>eg</w:t>
      </w:r>
      <w:proofErr w:type="spellEnd"/>
      <w:r w:rsidR="00DB4A9D">
        <w:t>,</w:t>
      </w:r>
      <w:r w:rsidRPr="00B766DD">
        <w:t xml:space="preserve"> feeding activities, garden type or residence densities) are the best predictors of garden bird abundance or distribution</w:t>
      </w:r>
      <w:r w:rsidR="00D93258">
        <w:t>;</w:t>
      </w:r>
      <w:r w:rsidR="00F06FFB">
        <w:t xml:space="preserve"> this</w:t>
      </w:r>
      <w:r>
        <w:t xml:space="preserve"> was the focus of earlier related work (</w:t>
      </w:r>
      <w:proofErr w:type="spellStart"/>
      <w:r w:rsidR="00E21FE7">
        <w:t>Spurr</w:t>
      </w:r>
      <w:proofErr w:type="spellEnd"/>
      <w:r w:rsidR="005933D5">
        <w:t>,</w:t>
      </w:r>
      <w:r w:rsidR="00E21FE7">
        <w:t xml:space="preserve"> 2012a</w:t>
      </w:r>
      <w:r w:rsidRPr="00B766DD">
        <w:t>).</w:t>
      </w:r>
    </w:p>
    <w:p w:rsidR="00874F72" w:rsidRDefault="00874F72" w:rsidP="00B85B69">
      <w:pPr>
        <w:pStyle w:val="BodyText"/>
      </w:pPr>
    </w:p>
    <w:p w:rsidR="00B85B69" w:rsidRDefault="00B85B69" w:rsidP="00B85B69">
      <w:pPr>
        <w:pStyle w:val="Heading2"/>
      </w:pPr>
      <w:bookmarkStart w:id="5" w:name="_Toc427250814"/>
      <w:r>
        <w:t>New Zealand Garden Bird Survey</w:t>
      </w:r>
      <w:bookmarkEnd w:id="5"/>
    </w:p>
    <w:p w:rsidR="00FA355E" w:rsidRDefault="00B85B69" w:rsidP="00B85B69">
      <w:pPr>
        <w:pStyle w:val="BodyText"/>
      </w:pPr>
      <w:r w:rsidRPr="00F036BA">
        <w:t>The</w:t>
      </w:r>
      <w:r>
        <w:t xml:space="preserve"> NZ</w:t>
      </w:r>
      <w:r w:rsidRPr="00F036BA">
        <w:t xml:space="preserve"> Garden Bird Sur</w:t>
      </w:r>
      <w:r>
        <w:t>vey (NZGBS) is a citizen science project established</w:t>
      </w:r>
      <w:r w:rsidR="00FA355E">
        <w:t xml:space="preserve"> </w:t>
      </w:r>
      <w:r w:rsidR="0068067B">
        <w:t xml:space="preserve">by </w:t>
      </w:r>
      <w:proofErr w:type="spellStart"/>
      <w:r w:rsidR="0068067B">
        <w:t>Landcare</w:t>
      </w:r>
      <w:proofErr w:type="spellEnd"/>
      <w:r w:rsidR="0068067B">
        <w:t xml:space="preserve"> Research Associate, Eric Spurr (henceforth, survey organiser), </w:t>
      </w:r>
      <w:r w:rsidR="00FA355E">
        <w:t>primarily</w:t>
      </w:r>
      <w:r>
        <w:t xml:space="preserve"> </w:t>
      </w:r>
      <w:r w:rsidRPr="00F036BA">
        <w:t xml:space="preserve">to monitor </w:t>
      </w:r>
      <w:r>
        <w:t xml:space="preserve">population trends in </w:t>
      </w:r>
      <w:r w:rsidRPr="00F036BA">
        <w:t xml:space="preserve">common garden birds </w:t>
      </w:r>
      <w:r>
        <w:t>(</w:t>
      </w:r>
      <w:r w:rsidR="00E21FE7">
        <w:t>Spurr</w:t>
      </w:r>
      <w:r w:rsidR="00651F6C">
        <w:t>,</w:t>
      </w:r>
      <w:r w:rsidR="00E21FE7">
        <w:t xml:space="preserve"> 2012a</w:t>
      </w:r>
      <w:r>
        <w:t>)</w:t>
      </w:r>
      <w:r w:rsidRPr="00F036BA">
        <w:t>.</w:t>
      </w:r>
      <w:r>
        <w:t xml:space="preserve"> </w:t>
      </w:r>
      <w:r w:rsidR="00FA355E">
        <w:t>Other objectives are to provide data to assist local authorities with the planning and management of their biodiversity responsibilities, to provide an opportunity for the general public to become involved in science in their own gardens (‘citizen science’), and to educate and raise awareness of participants about biodiversity, birds, conservation, and the environment, and at the same time to have fun.</w:t>
      </w:r>
    </w:p>
    <w:p w:rsidR="00FA355E" w:rsidRDefault="00FA355E" w:rsidP="00B85B69">
      <w:pPr>
        <w:pStyle w:val="BodyText"/>
      </w:pPr>
    </w:p>
    <w:p w:rsidR="00B85B69" w:rsidRPr="005B4CD4" w:rsidRDefault="00B85B69" w:rsidP="005B4CD4">
      <w:pPr>
        <w:pStyle w:val="BodyText"/>
      </w:pPr>
      <w:r>
        <w:t xml:space="preserve">Since 2007, over 2000 people have taken part in the survey each winter, to record birds in urban and rural gardens. </w:t>
      </w:r>
      <w:r w:rsidR="00E32453" w:rsidRPr="005B4CD4">
        <w:t xml:space="preserve">The </w:t>
      </w:r>
      <w:r w:rsidR="005B4CD4">
        <w:t xml:space="preserve">NZGBS </w:t>
      </w:r>
      <w:r w:rsidR="00E32453" w:rsidRPr="005B4CD4">
        <w:t>method was based on the Big Garden Birdwatch in the UK. Volunteers spen</w:t>
      </w:r>
      <w:r w:rsidR="00FA355E">
        <w:t>d</w:t>
      </w:r>
      <w:r w:rsidR="00E32453" w:rsidRPr="005B4CD4">
        <w:t xml:space="preserve"> one hour in midwinter each year recording for each bird species the largest number of individuals detected at any one time in their gardens, as an index of abundance</w:t>
      </w:r>
      <w:r w:rsidR="00F0565B">
        <w:t xml:space="preserve"> (</w:t>
      </w:r>
      <w:r w:rsidR="00E21FE7">
        <w:t>Spurr</w:t>
      </w:r>
      <w:r w:rsidR="00651F6C">
        <w:t>,</w:t>
      </w:r>
      <w:r w:rsidR="00E21FE7">
        <w:t xml:space="preserve"> 2012a</w:t>
      </w:r>
      <w:r w:rsidR="00F0565B">
        <w:t>)</w:t>
      </w:r>
      <w:r w:rsidR="00E32453" w:rsidRPr="005B4CD4">
        <w:t>.</w:t>
      </w:r>
    </w:p>
    <w:p w:rsidR="00B85B69" w:rsidRDefault="00B85B69" w:rsidP="00B85B69">
      <w:pPr>
        <w:pStyle w:val="BodyText"/>
      </w:pPr>
    </w:p>
    <w:p w:rsidR="0068067B" w:rsidRPr="00F54DFC" w:rsidRDefault="0068067B" w:rsidP="0068067B">
      <w:pPr>
        <w:pStyle w:val="BodyText"/>
        <w:rPr>
          <w:szCs w:val="22"/>
        </w:rPr>
      </w:pPr>
      <w:r w:rsidRPr="00F54DFC">
        <w:rPr>
          <w:szCs w:val="22"/>
        </w:rPr>
        <w:t xml:space="preserve">Survey data </w:t>
      </w:r>
      <w:r>
        <w:rPr>
          <w:szCs w:val="22"/>
        </w:rPr>
        <w:t>have been</w:t>
      </w:r>
      <w:r w:rsidRPr="00F54DFC">
        <w:rPr>
          <w:szCs w:val="22"/>
        </w:rPr>
        <w:t xml:space="preserve"> entered directly online or returned as hardcopy to the survey organiser. Hardcopy data </w:t>
      </w:r>
      <w:r>
        <w:rPr>
          <w:szCs w:val="22"/>
        </w:rPr>
        <w:t>were</w:t>
      </w:r>
      <w:r w:rsidRPr="00F54DFC">
        <w:rPr>
          <w:szCs w:val="22"/>
        </w:rPr>
        <w:t xml:space="preserve"> entered online by volunteers. The online platform used from 2007–2012 was designed by </w:t>
      </w:r>
      <w:proofErr w:type="spellStart"/>
      <w:r w:rsidRPr="00F54DFC">
        <w:rPr>
          <w:szCs w:val="22"/>
        </w:rPr>
        <w:t>Landcare</w:t>
      </w:r>
      <w:proofErr w:type="spellEnd"/>
      <w:r w:rsidRPr="00F54DFC">
        <w:rPr>
          <w:szCs w:val="22"/>
        </w:rPr>
        <w:t xml:space="preserve"> Research and located on the </w:t>
      </w:r>
      <w:proofErr w:type="spellStart"/>
      <w:r w:rsidRPr="00F54DFC">
        <w:rPr>
          <w:szCs w:val="22"/>
        </w:rPr>
        <w:t>Landcare</w:t>
      </w:r>
      <w:proofErr w:type="spellEnd"/>
      <w:r w:rsidRPr="00F54DFC">
        <w:rPr>
          <w:szCs w:val="22"/>
        </w:rPr>
        <w:t xml:space="preserve"> Research website, and the platform used from 2013 onwards was designed by Stuff.co.nz and located on http://birdsurvey.org.nz/ (accessible from </w:t>
      </w:r>
      <w:proofErr w:type="spellStart"/>
      <w:r w:rsidRPr="00F54DFC">
        <w:rPr>
          <w:szCs w:val="22"/>
        </w:rPr>
        <w:t>Landcare</w:t>
      </w:r>
      <w:proofErr w:type="spellEnd"/>
      <w:r w:rsidRPr="00F54DFC">
        <w:rPr>
          <w:szCs w:val="22"/>
        </w:rPr>
        <w:t xml:space="preserve"> Research, Stuff, and other websites).</w:t>
      </w:r>
    </w:p>
    <w:p w:rsidR="0068067B" w:rsidRPr="00F54DFC" w:rsidRDefault="0068067B" w:rsidP="0068067B">
      <w:pPr>
        <w:pStyle w:val="BodyText"/>
        <w:rPr>
          <w:szCs w:val="22"/>
        </w:rPr>
      </w:pPr>
    </w:p>
    <w:p w:rsidR="0068067B" w:rsidRDefault="0068067B" w:rsidP="0068067B">
      <w:pPr>
        <w:pStyle w:val="BodyText"/>
        <w:rPr>
          <w:szCs w:val="22"/>
        </w:rPr>
      </w:pPr>
      <w:r w:rsidRPr="00F54DFC">
        <w:rPr>
          <w:szCs w:val="22"/>
        </w:rPr>
        <w:t xml:space="preserve">The survey data are currently stored in </w:t>
      </w:r>
      <w:r w:rsidR="00C414F0">
        <w:rPr>
          <w:szCs w:val="22"/>
        </w:rPr>
        <w:t>Excel spreadsheets</w:t>
      </w:r>
      <w:r w:rsidRPr="00F54DFC">
        <w:rPr>
          <w:szCs w:val="22"/>
        </w:rPr>
        <w:t xml:space="preserve">, held by the survey organiser, with a separate file for each of the eight years. </w:t>
      </w:r>
      <w:r>
        <w:rPr>
          <w:szCs w:val="22"/>
        </w:rPr>
        <w:t>The data entered online contains many errors (including misidentification of species, missing data, i</w:t>
      </w:r>
      <w:r w:rsidR="00F06FFB">
        <w:rPr>
          <w:szCs w:val="22"/>
        </w:rPr>
        <w:t>ncorrect entry of hardcopy data</w:t>
      </w:r>
      <w:r>
        <w:rPr>
          <w:szCs w:val="22"/>
        </w:rPr>
        <w:t xml:space="preserve"> </w:t>
      </w:r>
      <w:proofErr w:type="spellStart"/>
      <w:r>
        <w:rPr>
          <w:szCs w:val="22"/>
        </w:rPr>
        <w:t>etc</w:t>
      </w:r>
      <w:proofErr w:type="spellEnd"/>
      <w:r>
        <w:rPr>
          <w:szCs w:val="22"/>
        </w:rPr>
        <w:t>). Data for 2007–2014 have been edited extensively by the survey organiser, but still contain errors. The raw data remain confidential because of privacy issues (names, addresses, and contact details of survey participants).</w:t>
      </w:r>
    </w:p>
    <w:p w:rsidR="0068067B" w:rsidRDefault="0068067B" w:rsidP="0068067B">
      <w:pPr>
        <w:pStyle w:val="BodyText"/>
        <w:rPr>
          <w:szCs w:val="22"/>
        </w:rPr>
      </w:pPr>
    </w:p>
    <w:p w:rsidR="00932040" w:rsidRPr="000366FD" w:rsidRDefault="0068067B" w:rsidP="00932040">
      <w:pPr>
        <w:pStyle w:val="BodyText"/>
      </w:pPr>
      <w:r>
        <w:t>A</w:t>
      </w:r>
      <w:r w:rsidRPr="00F54DFC">
        <w:t xml:space="preserve">nnual </w:t>
      </w:r>
      <w:r>
        <w:t xml:space="preserve">summaries of results </w:t>
      </w:r>
      <w:r w:rsidRPr="00F54DFC">
        <w:t>at national and major regional scales ha</w:t>
      </w:r>
      <w:r>
        <w:t>ve</w:t>
      </w:r>
      <w:r w:rsidRPr="00F54DFC">
        <w:t xml:space="preserve"> </w:t>
      </w:r>
      <w:r>
        <w:t xml:space="preserve">been </w:t>
      </w:r>
      <w:r w:rsidRPr="00F54DFC">
        <w:t xml:space="preserve">produced </w:t>
      </w:r>
      <w:r>
        <w:t>by t</w:t>
      </w:r>
      <w:r w:rsidRPr="00F54DFC">
        <w:t xml:space="preserve">he survey organiser </w:t>
      </w:r>
      <w:r>
        <w:t>and</w:t>
      </w:r>
      <w:r w:rsidRPr="00F54DFC">
        <w:t xml:space="preserve"> posted on the </w:t>
      </w:r>
      <w:proofErr w:type="spellStart"/>
      <w:r w:rsidRPr="00F54DFC">
        <w:t>Landcare</w:t>
      </w:r>
      <w:proofErr w:type="spellEnd"/>
      <w:r w:rsidRPr="00F54DFC">
        <w:t xml:space="preserve"> Research website</w:t>
      </w:r>
      <w:r w:rsidR="0088144D">
        <w:t>,</w:t>
      </w:r>
      <w:bookmarkStart w:id="6" w:name="_Ref423429407"/>
      <w:r w:rsidR="0088144D">
        <w:rPr>
          <w:rStyle w:val="FootnoteReference"/>
        </w:rPr>
        <w:footnoteReference w:id="1"/>
      </w:r>
      <w:bookmarkEnd w:id="6"/>
      <w:r w:rsidRPr="00F54DFC">
        <w:t xml:space="preserve"> presented at science conferences, published in society magazines (Spurr</w:t>
      </w:r>
      <w:r w:rsidR="00651F6C">
        <w:t>,</w:t>
      </w:r>
      <w:r w:rsidRPr="00F54DFC">
        <w:t xml:space="preserve"> </w:t>
      </w:r>
      <w:r w:rsidR="00E21FE7">
        <w:t xml:space="preserve">2008a, </w:t>
      </w:r>
      <w:r w:rsidRPr="00F54DFC">
        <w:t>2014, 2015a, 2015b)</w:t>
      </w:r>
      <w:r w:rsidR="00E21FE7">
        <w:t xml:space="preserve"> and journals (Spurr</w:t>
      </w:r>
      <w:r w:rsidR="00651F6C">
        <w:t>,</w:t>
      </w:r>
      <w:r w:rsidR="00E21FE7">
        <w:t xml:space="preserve"> 2007, 2008b)</w:t>
      </w:r>
      <w:r w:rsidRPr="00F54DFC">
        <w:t xml:space="preserve">, </w:t>
      </w:r>
      <w:r w:rsidR="00E21FE7">
        <w:t>research newsletters (Spurr</w:t>
      </w:r>
      <w:r w:rsidR="00651F6C">
        <w:t>,</w:t>
      </w:r>
      <w:r w:rsidR="00E21FE7">
        <w:t xml:space="preserve"> 2012b), </w:t>
      </w:r>
      <w:r w:rsidRPr="00F54DFC">
        <w:t xml:space="preserve">reported in regional newspapers, and </w:t>
      </w:r>
      <w:r w:rsidR="00F06FFB">
        <w:t>made available</w:t>
      </w:r>
      <w:r w:rsidRPr="00F54DFC">
        <w:t xml:space="preserve"> to interested parties.</w:t>
      </w:r>
      <w:r>
        <w:t xml:space="preserve"> </w:t>
      </w:r>
      <w:r w:rsidR="00932040" w:rsidRPr="000366FD">
        <w:t xml:space="preserve">The NZGBS survey organiser is planning to </w:t>
      </w:r>
      <w:r w:rsidR="00932040">
        <w:t>conduct</w:t>
      </w:r>
      <w:r w:rsidR="00932040" w:rsidRPr="000366FD">
        <w:t xml:space="preserve"> intensive analyses of NZGBS results after 10 years, 15 years, and 20 years since the survey was initiated.</w:t>
      </w:r>
    </w:p>
    <w:p w:rsidR="00B85B69" w:rsidRPr="0088144D" w:rsidRDefault="00B85B69" w:rsidP="00B85B69">
      <w:pPr>
        <w:pStyle w:val="BodyText"/>
        <w:rPr>
          <w:szCs w:val="22"/>
        </w:rPr>
      </w:pPr>
    </w:p>
    <w:p w:rsidR="00535D04" w:rsidRDefault="00B85B69" w:rsidP="0050107E">
      <w:pPr>
        <w:pStyle w:val="Heading2"/>
      </w:pPr>
      <w:bookmarkStart w:id="7" w:name="_Toc427250815"/>
      <w:r>
        <w:t>A</w:t>
      </w:r>
      <w:r w:rsidR="00535D04">
        <w:t>nnual</w:t>
      </w:r>
      <w:r>
        <w:t xml:space="preserve"> trends in garden bird</w:t>
      </w:r>
      <w:r w:rsidR="00535D04">
        <w:t xml:space="preserve"> </w:t>
      </w:r>
      <w:r>
        <w:t>populations</w:t>
      </w:r>
      <w:bookmarkEnd w:id="7"/>
    </w:p>
    <w:p w:rsidR="00FA355E" w:rsidRDefault="00FA355E" w:rsidP="00535D04">
      <w:pPr>
        <w:pStyle w:val="BodyText"/>
      </w:pPr>
      <w:r>
        <w:t>Preliminary analyses of the NZGBS dataset have explored the effects of four factors individually (region of the country in which the counts were made, urban compared with rural areas, provision of supplementary food, and year</w:t>
      </w:r>
      <w:r w:rsidR="00F06FFB">
        <w:t>), on counts within species (</w:t>
      </w:r>
      <w:r w:rsidR="00E21FE7">
        <w:t>Spurr</w:t>
      </w:r>
      <w:r w:rsidR="00651F6C">
        <w:t>,</w:t>
      </w:r>
      <w:r w:rsidR="00E21FE7">
        <w:t xml:space="preserve"> 2012a</w:t>
      </w:r>
      <w:r>
        <w:t>).</w:t>
      </w:r>
    </w:p>
    <w:p w:rsidR="00C414F0" w:rsidRDefault="00C414F0" w:rsidP="00F06FFB">
      <w:pPr>
        <w:pStyle w:val="BodyText"/>
      </w:pPr>
    </w:p>
    <w:p w:rsidR="00C414F0" w:rsidRDefault="00C414F0" w:rsidP="00C414F0">
      <w:r w:rsidRPr="00F41B92">
        <w:t>Accounting for these spatial changes in sampling effort over time is important. If we consider the large variation in the number of respondents from Canterbury, for example, mean national counts for species that are uncommon in Canterbury may appear to change over time, but this will be an artefact of the temporal changes in the number of respondents from that region.</w:t>
      </w:r>
    </w:p>
    <w:p w:rsidR="00C414F0" w:rsidRDefault="00C414F0" w:rsidP="00F06FFB">
      <w:pPr>
        <w:pStyle w:val="BodyText"/>
      </w:pPr>
    </w:p>
    <w:p w:rsidR="00F06FFB" w:rsidRDefault="00F06FFB" w:rsidP="00F06FFB">
      <w:pPr>
        <w:pStyle w:val="BodyText"/>
      </w:pPr>
      <w:r>
        <w:t>For the period 2007–2010, for example, the number of survey returns that came from each region of the country was not in proportion to the number of households in each region (</w:t>
      </w:r>
      <w:r w:rsidR="00E21FE7">
        <w:t>Spurr</w:t>
      </w:r>
      <w:r w:rsidR="00651F6C">
        <w:t>,</w:t>
      </w:r>
      <w:r w:rsidR="00E21FE7">
        <w:t xml:space="preserve"> 2012a</w:t>
      </w:r>
      <w:r>
        <w:t xml:space="preserve">). Furthermore, the percentage of survey returns from each region varied from year to year, partially reflecting whether or not regional newspapers published the survey form. These patterns have persisted over time. To account for these problems in the analyses conducted, the </w:t>
      </w:r>
      <w:r w:rsidRPr="00B10508">
        <w:rPr>
          <w:szCs w:val="22"/>
        </w:rPr>
        <w:t xml:space="preserve">average </w:t>
      </w:r>
      <w:r>
        <w:rPr>
          <w:szCs w:val="22"/>
        </w:rPr>
        <w:t>counts</w:t>
      </w:r>
      <w:r w:rsidRPr="00B10508">
        <w:rPr>
          <w:szCs w:val="22"/>
        </w:rPr>
        <w:t xml:space="preserve"> of each species </w:t>
      </w:r>
      <w:r>
        <w:rPr>
          <w:szCs w:val="22"/>
        </w:rPr>
        <w:t xml:space="preserve">in </w:t>
      </w:r>
      <w:r>
        <w:t xml:space="preserve">each </w:t>
      </w:r>
      <w:r w:rsidRPr="00B10508">
        <w:rPr>
          <w:szCs w:val="22"/>
        </w:rPr>
        <w:t>region were multiplied by the proportion of New Zealand households (substituting for gardens) in each region, and these values were summed to provide more representative national averages</w:t>
      </w:r>
      <w:r>
        <w:rPr>
          <w:szCs w:val="22"/>
        </w:rPr>
        <w:t xml:space="preserve"> (</w:t>
      </w:r>
      <w:r w:rsidR="00E21FE7">
        <w:rPr>
          <w:szCs w:val="22"/>
        </w:rPr>
        <w:t>Spurr</w:t>
      </w:r>
      <w:r w:rsidR="00651F6C">
        <w:rPr>
          <w:szCs w:val="22"/>
        </w:rPr>
        <w:t>,</w:t>
      </w:r>
      <w:r w:rsidR="00E21FE7">
        <w:rPr>
          <w:szCs w:val="22"/>
        </w:rPr>
        <w:t xml:space="preserve"> 2012a</w:t>
      </w:r>
      <w:r>
        <w:rPr>
          <w:szCs w:val="22"/>
        </w:rPr>
        <w:t>;</w:t>
      </w:r>
      <w:r w:rsidRPr="00223548">
        <w:t xml:space="preserve"> </w:t>
      </w:r>
      <w:r w:rsidRPr="00C45557">
        <w:t>see also the project website</w:t>
      </w:r>
      <w:r>
        <w:rPr>
          <w:rStyle w:val="Strong"/>
          <w:b w:val="0"/>
        </w:rPr>
        <w:fldChar w:fldCharType="begin"/>
      </w:r>
      <w:r>
        <w:rPr>
          <w:rStyle w:val="Strong"/>
          <w:b w:val="0"/>
        </w:rPr>
        <w:instrText xml:space="preserve"> NOTEREF _Ref423429407 \f \h </w:instrText>
      </w:r>
      <w:r>
        <w:rPr>
          <w:rStyle w:val="Strong"/>
          <w:b w:val="0"/>
        </w:rPr>
      </w:r>
      <w:r>
        <w:rPr>
          <w:rStyle w:val="Strong"/>
          <w:b w:val="0"/>
        </w:rPr>
        <w:fldChar w:fldCharType="separate"/>
      </w:r>
      <w:r w:rsidR="00F41A6C" w:rsidRPr="00F41A6C">
        <w:rPr>
          <w:rStyle w:val="FootnoteReference"/>
        </w:rPr>
        <w:t>1</w:t>
      </w:r>
      <w:r>
        <w:rPr>
          <w:rStyle w:val="Strong"/>
          <w:b w:val="0"/>
        </w:rPr>
        <w:fldChar w:fldCharType="end"/>
      </w:r>
      <w:r w:rsidRPr="00C45557">
        <w:t>)</w:t>
      </w:r>
      <w:r w:rsidRPr="00B10508">
        <w:rPr>
          <w:szCs w:val="22"/>
        </w:rPr>
        <w:t>. The weighting is only approximate because some</w:t>
      </w:r>
      <w:r>
        <w:rPr>
          <w:szCs w:val="22"/>
        </w:rPr>
        <w:t xml:space="preserve"> </w:t>
      </w:r>
      <w:r w:rsidRPr="00B10508">
        <w:rPr>
          <w:szCs w:val="22"/>
        </w:rPr>
        <w:t>households (</w:t>
      </w:r>
      <w:proofErr w:type="spellStart"/>
      <w:r w:rsidR="00DB4A9D">
        <w:rPr>
          <w:szCs w:val="22"/>
        </w:rPr>
        <w:t>eg</w:t>
      </w:r>
      <w:proofErr w:type="spellEnd"/>
      <w:r w:rsidR="00DB4A9D">
        <w:rPr>
          <w:szCs w:val="22"/>
        </w:rPr>
        <w:t>,</w:t>
      </w:r>
      <w:r w:rsidRPr="00B10508">
        <w:rPr>
          <w:szCs w:val="22"/>
        </w:rPr>
        <w:t xml:space="preserve"> apartments) do not have individual gardens, and some regions have a higher proportion of households</w:t>
      </w:r>
      <w:r>
        <w:rPr>
          <w:szCs w:val="22"/>
        </w:rPr>
        <w:t xml:space="preserve"> </w:t>
      </w:r>
      <w:r w:rsidRPr="00B10508">
        <w:rPr>
          <w:szCs w:val="22"/>
        </w:rPr>
        <w:t>without gardens than others.</w:t>
      </w:r>
      <w:r>
        <w:rPr>
          <w:szCs w:val="22"/>
        </w:rPr>
        <w:t xml:space="preserve"> I</w:t>
      </w:r>
      <w:r w:rsidRPr="00EB5D90">
        <w:rPr>
          <w:szCs w:val="22"/>
        </w:rPr>
        <w:t>n future calculations of long-term</w:t>
      </w:r>
      <w:r>
        <w:rPr>
          <w:szCs w:val="22"/>
        </w:rPr>
        <w:t xml:space="preserve"> </w:t>
      </w:r>
      <w:r w:rsidRPr="00EB5D90">
        <w:rPr>
          <w:szCs w:val="22"/>
        </w:rPr>
        <w:t xml:space="preserve">bird population trends </w:t>
      </w:r>
      <w:r>
        <w:rPr>
          <w:szCs w:val="22"/>
        </w:rPr>
        <w:t>i</w:t>
      </w:r>
      <w:r w:rsidRPr="00EB5D90">
        <w:rPr>
          <w:szCs w:val="22"/>
        </w:rPr>
        <w:t xml:space="preserve">t </w:t>
      </w:r>
      <w:r>
        <w:rPr>
          <w:szCs w:val="22"/>
        </w:rPr>
        <w:t>will</w:t>
      </w:r>
      <w:r w:rsidRPr="00EB5D90">
        <w:rPr>
          <w:szCs w:val="22"/>
        </w:rPr>
        <w:t xml:space="preserve"> be necessary</w:t>
      </w:r>
      <w:r>
        <w:rPr>
          <w:szCs w:val="22"/>
        </w:rPr>
        <w:t xml:space="preserve"> </w:t>
      </w:r>
      <w:r w:rsidRPr="00EB5D90">
        <w:rPr>
          <w:szCs w:val="22"/>
        </w:rPr>
        <w:t xml:space="preserve">to weight for </w:t>
      </w:r>
      <w:r>
        <w:rPr>
          <w:szCs w:val="22"/>
        </w:rPr>
        <w:t>other</w:t>
      </w:r>
      <w:r w:rsidRPr="00EB5D90">
        <w:rPr>
          <w:szCs w:val="22"/>
        </w:rPr>
        <w:t xml:space="preserve"> factors </w:t>
      </w:r>
      <w:r>
        <w:rPr>
          <w:szCs w:val="22"/>
        </w:rPr>
        <w:t>such as the proportion of urban compared with rural gardens, and the proportion of gardens with and without provision of supplementary food in a region</w:t>
      </w:r>
      <w:r w:rsidRPr="00EB5D90">
        <w:rPr>
          <w:szCs w:val="22"/>
        </w:rPr>
        <w:t xml:space="preserve">, especially if </w:t>
      </w:r>
      <w:r>
        <w:rPr>
          <w:szCs w:val="22"/>
        </w:rPr>
        <w:t>these proportions</w:t>
      </w:r>
      <w:r w:rsidRPr="00EB5D90">
        <w:rPr>
          <w:szCs w:val="22"/>
        </w:rPr>
        <w:t xml:space="preserve"> change over time</w:t>
      </w:r>
      <w:r>
        <w:rPr>
          <w:szCs w:val="22"/>
        </w:rPr>
        <w:t xml:space="preserve"> (</w:t>
      </w:r>
      <w:r w:rsidR="00E21FE7">
        <w:rPr>
          <w:szCs w:val="22"/>
        </w:rPr>
        <w:t>Spurr</w:t>
      </w:r>
      <w:r w:rsidR="00651F6C">
        <w:rPr>
          <w:szCs w:val="22"/>
        </w:rPr>
        <w:t>,</w:t>
      </w:r>
      <w:r w:rsidR="00E21FE7">
        <w:rPr>
          <w:szCs w:val="22"/>
        </w:rPr>
        <w:t xml:space="preserve"> 2012a</w:t>
      </w:r>
      <w:r>
        <w:rPr>
          <w:szCs w:val="22"/>
        </w:rPr>
        <w:t>)</w:t>
      </w:r>
      <w:r w:rsidRPr="00EB5D90">
        <w:rPr>
          <w:szCs w:val="22"/>
        </w:rPr>
        <w:t>.</w:t>
      </w:r>
    </w:p>
    <w:p w:rsidR="00F06FFB" w:rsidRDefault="00F06FFB" w:rsidP="00F06FFB">
      <w:pPr>
        <w:pStyle w:val="BodyText"/>
      </w:pPr>
    </w:p>
    <w:p w:rsidR="00F06FFB" w:rsidRDefault="00F06FFB" w:rsidP="00F06FFB">
      <w:pPr>
        <w:pStyle w:val="BodyText"/>
      </w:pPr>
      <w:r>
        <w:t>According to these analyses, counts have fluctuated from year to year</w:t>
      </w:r>
      <w:r w:rsidRPr="00FA355E">
        <w:t xml:space="preserve"> </w:t>
      </w:r>
      <w:r>
        <w:t xml:space="preserve">for most species, </w:t>
      </w:r>
      <w:r w:rsidRPr="00FA355E">
        <w:t xml:space="preserve">but </w:t>
      </w:r>
      <w:r>
        <w:t>n</w:t>
      </w:r>
      <w:r w:rsidRPr="00FA355E">
        <w:t xml:space="preserve">ot shown </w:t>
      </w:r>
      <w:r>
        <w:t>a</w:t>
      </w:r>
      <w:r w:rsidRPr="00FA355E">
        <w:t xml:space="preserve"> consistent</w:t>
      </w:r>
      <w:r>
        <w:t xml:space="preserve"> or significant</w:t>
      </w:r>
      <w:r w:rsidRPr="00FA355E">
        <w:t xml:space="preserve"> trend</w:t>
      </w:r>
      <w:r>
        <w:t xml:space="preserve"> over the last eight years (</w:t>
      </w:r>
      <w:proofErr w:type="spellStart"/>
      <w:r w:rsidR="00DB4A9D">
        <w:t>eg</w:t>
      </w:r>
      <w:proofErr w:type="spellEnd"/>
      <w:r w:rsidR="00DB4A9D">
        <w:t>,</w:t>
      </w:r>
      <w:r>
        <w:t xml:space="preserve"> </w:t>
      </w:r>
      <w:r w:rsidR="00494026">
        <w:t>figure</w:t>
      </w:r>
      <w:r>
        <w:t xml:space="preserve"> 1). S</w:t>
      </w:r>
      <w:r w:rsidRPr="00FA355E">
        <w:t>ilvereye</w:t>
      </w:r>
      <w:r w:rsidR="00C414F0">
        <w:t>/</w:t>
      </w:r>
      <w:proofErr w:type="spellStart"/>
      <w:r w:rsidR="00C414F0">
        <w:t>tauhou</w:t>
      </w:r>
      <w:proofErr w:type="spellEnd"/>
      <w:r w:rsidR="00C414F0">
        <w:t xml:space="preserve"> (</w:t>
      </w:r>
      <w:proofErr w:type="spellStart"/>
      <w:r w:rsidR="00C414F0" w:rsidRPr="00C414F0">
        <w:rPr>
          <w:i/>
        </w:rPr>
        <w:t>Zosterops</w:t>
      </w:r>
      <w:proofErr w:type="spellEnd"/>
      <w:r w:rsidR="00C414F0" w:rsidRPr="00C414F0">
        <w:rPr>
          <w:i/>
        </w:rPr>
        <w:t xml:space="preserve"> </w:t>
      </w:r>
      <w:proofErr w:type="spellStart"/>
      <w:r w:rsidR="00C414F0" w:rsidRPr="00C414F0">
        <w:rPr>
          <w:i/>
        </w:rPr>
        <w:t>lateralis</w:t>
      </w:r>
      <w:proofErr w:type="spellEnd"/>
      <w:r w:rsidR="00C414F0">
        <w:t xml:space="preserve">) </w:t>
      </w:r>
      <w:r w:rsidRPr="00FA355E">
        <w:t xml:space="preserve">counts have probably fluctuated more than the counts of most other species, and seem to be particularly influenced by weather </w:t>
      </w:r>
      <w:r>
        <w:t>(</w:t>
      </w:r>
      <w:r w:rsidRPr="00FA355E">
        <w:t>and</w:t>
      </w:r>
      <w:r w:rsidR="000B02B9">
        <w:t xml:space="preserve"> </w:t>
      </w:r>
      <w:r w:rsidRPr="000B02B9">
        <w:t xml:space="preserve">potentially also </w:t>
      </w:r>
      <w:hyperlink r:id="rId26" w:history="1">
        <w:r w:rsidRPr="00FA355E">
          <w:rPr>
            <w:rStyle w:val="Hyperlink"/>
            <w:color w:val="auto"/>
          </w:rPr>
          <w:t>disease</w:t>
        </w:r>
      </w:hyperlink>
      <w:r>
        <w:rPr>
          <w:rStyle w:val="Hyperlink"/>
          <w:color w:val="auto"/>
        </w:rPr>
        <w:t>s</w:t>
      </w:r>
      <w:r>
        <w:t xml:space="preserve"> </w:t>
      </w:r>
      <w:r w:rsidRPr="00FA355E">
        <w:t>such as avian pox</w:t>
      </w:r>
      <w:r>
        <w:t>)</w:t>
      </w:r>
      <w:r w:rsidRPr="00FA355E">
        <w:t>.</w:t>
      </w:r>
      <w:r>
        <w:t xml:space="preserve"> Counts for b</w:t>
      </w:r>
      <w:r w:rsidRPr="00FA355E">
        <w:t>lackbird</w:t>
      </w:r>
      <w:r w:rsidR="00C414F0">
        <w:t xml:space="preserve"> (</w:t>
      </w:r>
      <w:proofErr w:type="spellStart"/>
      <w:r w:rsidR="00C414F0" w:rsidRPr="00C414F0">
        <w:rPr>
          <w:i/>
        </w:rPr>
        <w:t>Turdus</w:t>
      </w:r>
      <w:proofErr w:type="spellEnd"/>
      <w:r w:rsidR="00C414F0" w:rsidRPr="00C414F0">
        <w:rPr>
          <w:i/>
        </w:rPr>
        <w:t xml:space="preserve"> </w:t>
      </w:r>
      <w:proofErr w:type="spellStart"/>
      <w:r w:rsidR="00C414F0" w:rsidRPr="00C414F0">
        <w:rPr>
          <w:i/>
        </w:rPr>
        <w:t>merula</w:t>
      </w:r>
      <w:proofErr w:type="spellEnd"/>
      <w:r w:rsidR="00C414F0">
        <w:t>)</w:t>
      </w:r>
      <w:r w:rsidRPr="00FA355E">
        <w:t xml:space="preserve"> appear to have declined</w:t>
      </w:r>
      <w:r w:rsidR="00C414F0">
        <w:t>, but for fantail/</w:t>
      </w:r>
      <w:proofErr w:type="spellStart"/>
      <w:r w:rsidR="00C414F0">
        <w:t>pīwakawaka</w:t>
      </w:r>
      <w:proofErr w:type="spellEnd"/>
      <w:r w:rsidR="00C414F0">
        <w:t xml:space="preserve"> (</w:t>
      </w:r>
      <w:proofErr w:type="spellStart"/>
      <w:r w:rsidR="00C414F0" w:rsidRPr="00C414F0">
        <w:rPr>
          <w:i/>
        </w:rPr>
        <w:t>Rhipidura</w:t>
      </w:r>
      <w:proofErr w:type="spellEnd"/>
      <w:r w:rsidR="00C414F0" w:rsidRPr="00C414F0">
        <w:rPr>
          <w:i/>
        </w:rPr>
        <w:t xml:space="preserve"> </w:t>
      </w:r>
      <w:proofErr w:type="spellStart"/>
      <w:r w:rsidR="00C414F0" w:rsidRPr="00C414F0">
        <w:rPr>
          <w:i/>
        </w:rPr>
        <w:t>fuliginosa</w:t>
      </w:r>
      <w:proofErr w:type="spellEnd"/>
      <w:r w:rsidR="00C414F0">
        <w:t xml:space="preserve">) and </w:t>
      </w:r>
      <w:proofErr w:type="spellStart"/>
      <w:r w:rsidR="00C414F0">
        <w:t>tūī</w:t>
      </w:r>
      <w:proofErr w:type="spellEnd"/>
      <w:r w:rsidR="00C414F0">
        <w:t xml:space="preserve"> (</w:t>
      </w:r>
      <w:proofErr w:type="spellStart"/>
      <w:r w:rsidR="00C414F0" w:rsidRPr="00690FCA">
        <w:rPr>
          <w:i/>
        </w:rPr>
        <w:t>Prosthemadera</w:t>
      </w:r>
      <w:proofErr w:type="spellEnd"/>
      <w:r w:rsidR="00C414F0" w:rsidRPr="00690FCA">
        <w:rPr>
          <w:i/>
        </w:rPr>
        <w:t xml:space="preserve"> </w:t>
      </w:r>
      <w:proofErr w:type="spellStart"/>
      <w:r w:rsidR="00C414F0" w:rsidRPr="00690FCA">
        <w:rPr>
          <w:i/>
        </w:rPr>
        <w:t>novaeseelandiae</w:t>
      </w:r>
      <w:proofErr w:type="spellEnd"/>
      <w:r w:rsidR="00C414F0">
        <w:rPr>
          <w:i/>
        </w:rPr>
        <w:t xml:space="preserve">) </w:t>
      </w:r>
      <w:r w:rsidR="00C414F0">
        <w:t>have not changed significantly (</w:t>
      </w:r>
      <w:r w:rsidR="00494026">
        <w:t>figure</w:t>
      </w:r>
      <w:r w:rsidR="00C414F0">
        <w:t xml:space="preserve"> 1)</w:t>
      </w:r>
      <w:r w:rsidRPr="00FA355E">
        <w:t xml:space="preserve">. </w:t>
      </w:r>
    </w:p>
    <w:p w:rsidR="007557A6" w:rsidRPr="007557A6" w:rsidRDefault="007557A6" w:rsidP="007557A6">
      <w:pPr>
        <w:pStyle w:val="BodyText"/>
        <w:sectPr w:rsidR="007557A6" w:rsidRPr="007557A6" w:rsidSect="00CE3725">
          <w:headerReference w:type="even" r:id="rId27"/>
          <w:headerReference w:type="default" r:id="rId28"/>
          <w:footerReference w:type="even" r:id="rId29"/>
          <w:footerReference w:type="default" r:id="rId30"/>
          <w:headerReference w:type="first" r:id="rId31"/>
          <w:pgSz w:w="11907" w:h="16840" w:code="9"/>
          <w:pgMar w:top="1701" w:right="1418" w:bottom="1701" w:left="1418" w:header="567" w:footer="567" w:gutter="567"/>
          <w:pgNumType w:start="1"/>
          <w:cols w:space="720"/>
        </w:sectPr>
      </w:pPr>
    </w:p>
    <w:p w:rsidR="00CE03E9" w:rsidRDefault="00CE03E9" w:rsidP="00CE03E9">
      <w:pPr>
        <w:pStyle w:val="Figureheading"/>
      </w:pPr>
      <w:bookmarkStart w:id="8" w:name="_Toc430354511"/>
      <w:r>
        <w:t xml:space="preserve">Figure 1: </w:t>
      </w:r>
      <w:r>
        <w:tab/>
        <w:t>National trends (2007–2014) for four garden bird species: blackbird (</w:t>
      </w:r>
      <w:proofErr w:type="spellStart"/>
      <w:r w:rsidRPr="00690FCA">
        <w:rPr>
          <w:i/>
        </w:rPr>
        <w:t>Turdus</w:t>
      </w:r>
      <w:proofErr w:type="spellEnd"/>
      <w:r w:rsidRPr="00690FCA">
        <w:rPr>
          <w:i/>
        </w:rPr>
        <w:t xml:space="preserve"> </w:t>
      </w:r>
      <w:proofErr w:type="spellStart"/>
      <w:r w:rsidRPr="00690FCA">
        <w:rPr>
          <w:i/>
        </w:rPr>
        <w:t>merula</w:t>
      </w:r>
      <w:proofErr w:type="spellEnd"/>
      <w:r>
        <w:t>), fantail/</w:t>
      </w:r>
      <w:proofErr w:type="spellStart"/>
      <w:r w:rsidRPr="00690FCA">
        <w:t>pīwakawaka</w:t>
      </w:r>
      <w:proofErr w:type="spellEnd"/>
      <w:r>
        <w:t xml:space="preserve"> (</w:t>
      </w:r>
      <w:proofErr w:type="spellStart"/>
      <w:r w:rsidRPr="00690FCA">
        <w:rPr>
          <w:i/>
        </w:rPr>
        <w:t>Rhipidura</w:t>
      </w:r>
      <w:proofErr w:type="spellEnd"/>
      <w:r w:rsidRPr="00690FCA">
        <w:rPr>
          <w:i/>
        </w:rPr>
        <w:t xml:space="preserve"> </w:t>
      </w:r>
      <w:proofErr w:type="spellStart"/>
      <w:r w:rsidRPr="00690FCA">
        <w:rPr>
          <w:i/>
        </w:rPr>
        <w:t>fuliginosa</w:t>
      </w:r>
      <w:proofErr w:type="spellEnd"/>
      <w:r>
        <w:t>), silvereye/</w:t>
      </w:r>
      <w:proofErr w:type="spellStart"/>
      <w:r w:rsidRPr="00690FCA">
        <w:t>tauhou</w:t>
      </w:r>
      <w:proofErr w:type="spellEnd"/>
      <w:r>
        <w:t xml:space="preserve"> (</w:t>
      </w:r>
      <w:proofErr w:type="spellStart"/>
      <w:r w:rsidRPr="00690FCA">
        <w:rPr>
          <w:i/>
        </w:rPr>
        <w:t>Zosterops</w:t>
      </w:r>
      <w:proofErr w:type="spellEnd"/>
      <w:r w:rsidRPr="00690FCA">
        <w:rPr>
          <w:i/>
        </w:rPr>
        <w:t xml:space="preserve"> </w:t>
      </w:r>
      <w:proofErr w:type="spellStart"/>
      <w:r w:rsidRPr="00690FCA">
        <w:rPr>
          <w:i/>
        </w:rPr>
        <w:t>lateralis</w:t>
      </w:r>
      <w:proofErr w:type="spellEnd"/>
      <w:r>
        <w:t xml:space="preserve">) and </w:t>
      </w:r>
      <w:proofErr w:type="spellStart"/>
      <w:r>
        <w:t>tūī</w:t>
      </w:r>
      <w:proofErr w:type="spellEnd"/>
      <w:r>
        <w:t xml:space="preserve"> (</w:t>
      </w:r>
      <w:proofErr w:type="spellStart"/>
      <w:r w:rsidRPr="00690FCA">
        <w:rPr>
          <w:i/>
        </w:rPr>
        <w:t>Prosthemadera</w:t>
      </w:r>
      <w:proofErr w:type="spellEnd"/>
      <w:r w:rsidRPr="00690FCA">
        <w:rPr>
          <w:i/>
        </w:rPr>
        <w:t xml:space="preserve"> </w:t>
      </w:r>
      <w:proofErr w:type="spellStart"/>
      <w:r w:rsidRPr="00690FCA">
        <w:rPr>
          <w:i/>
        </w:rPr>
        <w:t>novaeseelandiae</w:t>
      </w:r>
      <w:proofErr w:type="spellEnd"/>
      <w:r>
        <w:t>)</w:t>
      </w:r>
      <w:bookmarkEnd w:id="8"/>
      <w:r>
        <w:t xml:space="preserve"> </w:t>
      </w:r>
    </w:p>
    <w:p w:rsidR="00CE03E9" w:rsidRDefault="00CE03E9" w:rsidP="00CE03E9">
      <w:pPr>
        <w:pStyle w:val="BodyText"/>
      </w:pPr>
    </w:p>
    <w:p w:rsidR="007547DF" w:rsidRPr="00CE03E9" w:rsidRDefault="007547DF" w:rsidP="00CE03E9">
      <w:pPr>
        <w:pStyle w:val="BodyText"/>
        <w:tabs>
          <w:tab w:val="left" w:pos="5670"/>
          <w:tab w:val="left" w:pos="6804"/>
        </w:tabs>
      </w:pPr>
      <w:r w:rsidRPr="00CE03E9">
        <w:rPr>
          <w:noProof/>
          <w:lang w:eastAsia="en-NZ"/>
        </w:rPr>
        <w:drawing>
          <wp:inline distT="0" distB="0" distL="0" distR="0" wp14:anchorId="15A6FED2" wp14:editId="428A7583">
            <wp:extent cx="2883413" cy="2016000"/>
            <wp:effectExtent l="0" t="0" r="0" b="3810"/>
            <wp:docPr id="19" name="Picture 19" descr="http://www.landcareresearch.co.nz/__data/assets/image/0011/86663/black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ndcareresearch.co.nz/__data/assets/image/0011/86663/blackbir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3413" cy="2016000"/>
                    </a:xfrm>
                    <a:prstGeom prst="rect">
                      <a:avLst/>
                    </a:prstGeom>
                    <a:noFill/>
                    <a:ln>
                      <a:noFill/>
                    </a:ln>
                  </pic:spPr>
                </pic:pic>
              </a:graphicData>
            </a:graphic>
          </wp:inline>
        </w:drawing>
      </w:r>
      <w:r w:rsidRPr="00CE03E9">
        <w:tab/>
      </w:r>
      <w:r w:rsidRPr="00CE03E9">
        <w:rPr>
          <w:noProof/>
          <w:lang w:eastAsia="en-NZ"/>
        </w:rPr>
        <w:drawing>
          <wp:inline distT="0" distB="0" distL="0" distR="0" wp14:anchorId="54CAF768" wp14:editId="0982424D">
            <wp:extent cx="2876408" cy="2016000"/>
            <wp:effectExtent l="0" t="0" r="635" b="3810"/>
            <wp:docPr id="20" name="Picture 20" descr="http://www.landcareresearch.co.nz/__data/assets/image/0010/77437/fan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andcareresearch.co.nz/__data/assets/image/0010/77437/fantai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6408" cy="2016000"/>
                    </a:xfrm>
                    <a:prstGeom prst="rect">
                      <a:avLst/>
                    </a:prstGeom>
                    <a:noFill/>
                    <a:ln>
                      <a:noFill/>
                    </a:ln>
                  </pic:spPr>
                </pic:pic>
              </a:graphicData>
            </a:graphic>
          </wp:inline>
        </w:drawing>
      </w:r>
    </w:p>
    <w:p w:rsidR="007547DF" w:rsidRPr="00CE03E9" w:rsidRDefault="007547DF" w:rsidP="00CE03E9">
      <w:pPr>
        <w:pStyle w:val="BodyText"/>
        <w:tabs>
          <w:tab w:val="left" w:pos="5670"/>
          <w:tab w:val="left" w:pos="6804"/>
        </w:tabs>
      </w:pPr>
    </w:p>
    <w:p w:rsidR="00535D04" w:rsidRPr="00CE03E9" w:rsidRDefault="007547DF" w:rsidP="00CE03E9">
      <w:pPr>
        <w:pStyle w:val="BodyText"/>
        <w:tabs>
          <w:tab w:val="left" w:pos="5670"/>
          <w:tab w:val="left" w:pos="6804"/>
        </w:tabs>
      </w:pPr>
      <w:r w:rsidRPr="00CE03E9">
        <w:rPr>
          <w:noProof/>
          <w:lang w:eastAsia="en-NZ"/>
        </w:rPr>
        <w:drawing>
          <wp:inline distT="0" distB="0" distL="0" distR="0" wp14:anchorId="65363E91" wp14:editId="6D0B1C29">
            <wp:extent cx="2875205" cy="2016000"/>
            <wp:effectExtent l="0" t="0" r="1905" b="3810"/>
            <wp:docPr id="18" name="Picture 18" descr="http://www.landcareresearch.co.nz/__data/assets/image/0010/86662/Silver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ndcareresearch.co.nz/__data/assets/image/0010/86662/Silverey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5205" cy="2016000"/>
                    </a:xfrm>
                    <a:prstGeom prst="rect">
                      <a:avLst/>
                    </a:prstGeom>
                    <a:noFill/>
                    <a:ln>
                      <a:noFill/>
                    </a:ln>
                  </pic:spPr>
                </pic:pic>
              </a:graphicData>
            </a:graphic>
          </wp:inline>
        </w:drawing>
      </w:r>
      <w:r w:rsidRPr="00CE03E9">
        <w:tab/>
      </w:r>
      <w:r w:rsidRPr="00CE03E9">
        <w:rPr>
          <w:noProof/>
          <w:lang w:eastAsia="en-NZ"/>
        </w:rPr>
        <w:drawing>
          <wp:inline distT="0" distB="0" distL="0" distR="0" wp14:anchorId="5E4448C7" wp14:editId="7CA8EC1B">
            <wp:extent cx="2879893" cy="2016000"/>
            <wp:effectExtent l="0" t="0" r="0" b="3810"/>
            <wp:docPr id="21" name="Picture 21" descr="http://www.landcareresearch.co.nz/__data/assets/image/0009/77436/t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andcareresearch.co.nz/__data/assets/image/0009/77436/tui.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9893" cy="2016000"/>
                    </a:xfrm>
                    <a:prstGeom prst="rect">
                      <a:avLst/>
                    </a:prstGeom>
                    <a:noFill/>
                    <a:ln>
                      <a:noFill/>
                    </a:ln>
                  </pic:spPr>
                </pic:pic>
              </a:graphicData>
            </a:graphic>
          </wp:inline>
        </w:drawing>
      </w:r>
    </w:p>
    <w:p w:rsidR="007547DF" w:rsidRDefault="007547DF" w:rsidP="00535D04">
      <w:pPr>
        <w:pStyle w:val="BodyText"/>
      </w:pPr>
    </w:p>
    <w:p w:rsidR="007547DF" w:rsidRDefault="001B68DE" w:rsidP="00887B25">
      <w:pPr>
        <w:pStyle w:val="BodyText"/>
        <w:jc w:val="left"/>
        <w:sectPr w:rsidR="007547DF" w:rsidSect="00F06FFB">
          <w:pgSz w:w="16840" w:h="11907" w:orient="landscape" w:code="9"/>
          <w:pgMar w:top="1418" w:right="1701" w:bottom="1418" w:left="1701" w:header="567" w:footer="567" w:gutter="567"/>
          <w:cols w:space="720"/>
          <w:docGrid w:linePitch="299"/>
        </w:sectPr>
      </w:pPr>
      <w:r>
        <w:t xml:space="preserve">Note that only the trend for blackbird was statistically significant, where fitted lines are linear regressions assuming normally-distributed errors with Year as a continuous predictor. (These graphs were extracted directly from the </w:t>
      </w:r>
      <w:proofErr w:type="spellStart"/>
      <w:r>
        <w:t>Landcare</w:t>
      </w:r>
      <w:proofErr w:type="spellEnd"/>
      <w:r>
        <w:t xml:space="preserve"> Research website</w:t>
      </w:r>
      <w:r>
        <w:fldChar w:fldCharType="begin"/>
      </w:r>
      <w:r>
        <w:instrText xml:space="preserve"> NOTEREF _Ref423429407 \f \h </w:instrText>
      </w:r>
      <w:r w:rsidR="00887B25">
        <w:instrText xml:space="preserve"> \* MERGEFORMAT </w:instrText>
      </w:r>
      <w:r>
        <w:fldChar w:fldCharType="separate"/>
      </w:r>
      <w:r w:rsidR="00F41A6C" w:rsidRPr="00F41A6C">
        <w:rPr>
          <w:rStyle w:val="FootnoteReference"/>
        </w:rPr>
        <w:t>1</w:t>
      </w:r>
      <w:r>
        <w:fldChar w:fldCharType="end"/>
      </w:r>
      <w:r>
        <w:t>).</w:t>
      </w:r>
    </w:p>
    <w:p w:rsidR="0088144D" w:rsidRDefault="0088144D" w:rsidP="00F35D87">
      <w:pPr>
        <w:pStyle w:val="Heading2"/>
        <w:spacing w:before="0"/>
      </w:pPr>
      <w:bookmarkStart w:id="9" w:name="_Toc427250816"/>
      <w:r>
        <w:t>Data access and analysis challenges</w:t>
      </w:r>
      <w:bookmarkEnd w:id="9"/>
    </w:p>
    <w:p w:rsidR="0088144D" w:rsidRDefault="0088144D" w:rsidP="0088144D">
      <w:pPr>
        <w:pStyle w:val="BodyText"/>
      </w:pPr>
      <w:r>
        <w:t>This report begins to explore how the GIS layers provided by Statistics NZ (</w:t>
      </w:r>
      <w:proofErr w:type="spellStart"/>
      <w:r>
        <w:t>meshblock</w:t>
      </w:r>
      <w:proofErr w:type="spellEnd"/>
      <w:r>
        <w:t xml:space="preserve"> units and other compatible spatial units at higher levels; </w:t>
      </w:r>
      <w:r w:rsidR="00494026">
        <w:t>figure</w:t>
      </w:r>
      <w:r>
        <w:t xml:space="preserve"> 2) could be used to support the NZGBS. It is anticipated that merging the NZGBS data with these various spatial layers will open up opportunities for improvements in various ways:</w:t>
      </w:r>
    </w:p>
    <w:p w:rsidR="0088144D" w:rsidRDefault="0088144D" w:rsidP="0088144D">
      <w:pPr>
        <w:pStyle w:val="BodyText"/>
      </w:pPr>
    </w:p>
    <w:p w:rsidR="0088144D" w:rsidRDefault="0088144D" w:rsidP="0088144D">
      <w:pPr>
        <w:pStyle w:val="Bullet"/>
      </w:pPr>
      <w:r>
        <w:rPr>
          <w:b/>
        </w:rPr>
        <w:t>Facilitating d</w:t>
      </w:r>
      <w:r w:rsidRPr="007557A6">
        <w:rPr>
          <w:b/>
        </w:rPr>
        <w:t>ata confidentiality:</w:t>
      </w:r>
      <w:r>
        <w:t xml:space="preserve"> By allowing the survey organiser to share the data at a finer spatial resolution without providing confidential information about the participants and survey locations, this process will help alleviate a barrier to data sharing.</w:t>
      </w:r>
    </w:p>
    <w:p w:rsidR="0088144D" w:rsidRDefault="0088144D" w:rsidP="0088144D">
      <w:pPr>
        <w:pStyle w:val="Bullet"/>
        <w:rPr>
          <w:b/>
        </w:rPr>
      </w:pPr>
      <w:r>
        <w:rPr>
          <w:b/>
        </w:rPr>
        <w:t xml:space="preserve">Increasing options available: </w:t>
      </w:r>
      <w:r>
        <w:t>A more flexible approach to the</w:t>
      </w:r>
      <w:r w:rsidRPr="00F73104">
        <w:t xml:space="preserve"> data analysis</w:t>
      </w:r>
      <w:r>
        <w:t>, fitting models to finer resolution data (</w:t>
      </w:r>
      <w:proofErr w:type="spellStart"/>
      <w:r w:rsidR="00DB4A9D">
        <w:t>ie</w:t>
      </w:r>
      <w:proofErr w:type="spellEnd"/>
      <w:r w:rsidR="00DB4A9D">
        <w:t>,</w:t>
      </w:r>
      <w:r>
        <w:t xml:space="preserve"> the garden level) that account for variation in sampling effort over space and time.</w:t>
      </w:r>
    </w:p>
    <w:p w:rsidR="00F06FFB" w:rsidRPr="0050107E" w:rsidRDefault="00F06FFB" w:rsidP="00F06FFB">
      <w:pPr>
        <w:pStyle w:val="Bullet"/>
        <w:rPr>
          <w:b/>
        </w:rPr>
      </w:pPr>
      <w:r w:rsidRPr="0050107E">
        <w:rPr>
          <w:b/>
        </w:rPr>
        <w:t xml:space="preserve">Enhancing the inferences that can be drawn from the data: </w:t>
      </w:r>
      <w:r>
        <w:t>U</w:t>
      </w:r>
      <w:r w:rsidRPr="0050107E">
        <w:t>sing the full data set and explicitly accounting for spatial variation</w:t>
      </w:r>
      <w:r>
        <w:t>,</w:t>
      </w:r>
      <w:r w:rsidRPr="0050107E">
        <w:t xml:space="preserve"> rather than modelling based on derived regional or national averages</w:t>
      </w:r>
      <w:r>
        <w:t>,</w:t>
      </w:r>
      <w:r w:rsidRPr="0050107E">
        <w:t xml:space="preserve"> increases the power or precision of estimates derived from the dataset to detect change.</w:t>
      </w:r>
    </w:p>
    <w:p w:rsidR="00F06FFB" w:rsidRPr="00DD3257" w:rsidRDefault="00F06FFB" w:rsidP="00F06FFB">
      <w:pPr>
        <w:pStyle w:val="Bullet"/>
      </w:pPr>
      <w:r w:rsidRPr="0050107E">
        <w:rPr>
          <w:b/>
        </w:rPr>
        <w:t xml:space="preserve">Communicating results: </w:t>
      </w:r>
      <w:r>
        <w:t>A</w:t>
      </w:r>
      <w:r w:rsidRPr="0050107E">
        <w:t>llowing for better visual presentation of results as maps in the future.</w:t>
      </w:r>
    </w:p>
    <w:p w:rsidR="0088144D" w:rsidRPr="00874F72" w:rsidRDefault="0088144D" w:rsidP="0088144D">
      <w:pPr>
        <w:pStyle w:val="Bullet"/>
        <w:rPr>
          <w:b/>
        </w:rPr>
      </w:pPr>
      <w:r>
        <w:rPr>
          <w:b/>
        </w:rPr>
        <w:t xml:space="preserve">Informing future monitoring: </w:t>
      </w:r>
      <w:r w:rsidRPr="00F73104">
        <w:t>Begin to explore ways to improve the resolution of the data</w:t>
      </w:r>
      <w:r>
        <w:t xml:space="preserve"> and inform campaigns to engage the public.</w:t>
      </w:r>
    </w:p>
    <w:p w:rsidR="0088144D" w:rsidRDefault="0088144D" w:rsidP="00031420">
      <w:pPr>
        <w:pStyle w:val="BodyText"/>
      </w:pPr>
    </w:p>
    <w:p w:rsidR="00F35D87" w:rsidRDefault="00F35D87" w:rsidP="00031420">
      <w:pPr>
        <w:pStyle w:val="BodyText"/>
      </w:pPr>
    </w:p>
    <w:p w:rsidR="00F35D87" w:rsidRDefault="00F35D87" w:rsidP="00F35D87">
      <w:pPr>
        <w:pStyle w:val="Figureheading"/>
      </w:pPr>
      <w:bookmarkStart w:id="10" w:name="_Toc430354512"/>
      <w:r>
        <w:t xml:space="preserve">Figure 2: </w:t>
      </w:r>
      <w:r>
        <w:tab/>
        <w:t>The different spatial scales to potentially consider in the NZGBS data analysis</w:t>
      </w:r>
      <w:bookmarkEnd w:id="10"/>
    </w:p>
    <w:p w:rsidR="0088144D" w:rsidRDefault="0088144D" w:rsidP="00031420">
      <w:pPr>
        <w:pStyle w:val="BodyText"/>
      </w:pPr>
    </w:p>
    <w:p w:rsidR="00031420" w:rsidRDefault="0088144D" w:rsidP="0088144D">
      <w:pPr>
        <w:pStyle w:val="BodyText"/>
        <w:jc w:val="center"/>
      </w:pPr>
      <w:r>
        <w:rPr>
          <w:noProof/>
          <w:lang w:eastAsia="en-NZ"/>
        </w:rPr>
        <w:drawing>
          <wp:inline distT="0" distB="0" distL="0" distR="0" wp14:anchorId="7776C4A3" wp14:editId="22629295">
            <wp:extent cx="3095268" cy="241435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97399" cy="2416013"/>
                    </a:xfrm>
                    <a:prstGeom prst="rect">
                      <a:avLst/>
                    </a:prstGeom>
                    <a:noFill/>
                  </pic:spPr>
                </pic:pic>
              </a:graphicData>
            </a:graphic>
          </wp:inline>
        </w:drawing>
      </w:r>
    </w:p>
    <w:p w:rsidR="0088144D" w:rsidRDefault="0088144D" w:rsidP="00031420">
      <w:pPr>
        <w:pStyle w:val="BodyText"/>
      </w:pPr>
    </w:p>
    <w:p w:rsidR="00031420" w:rsidRDefault="00031420" w:rsidP="00031420">
      <w:pPr>
        <w:pStyle w:val="BodyText"/>
      </w:pPr>
    </w:p>
    <w:p w:rsidR="0088144D" w:rsidRDefault="0088144D">
      <w:pPr>
        <w:jc w:val="left"/>
      </w:pPr>
      <w:r>
        <w:br w:type="page"/>
      </w:r>
    </w:p>
    <w:p w:rsidR="00DC272F" w:rsidRDefault="00DC272F" w:rsidP="00153F1A">
      <w:pPr>
        <w:pStyle w:val="Heading1"/>
        <w:numPr>
          <w:ilvl w:val="0"/>
          <w:numId w:val="9"/>
        </w:numPr>
      </w:pPr>
      <w:bookmarkStart w:id="11" w:name="_Toc427250817"/>
      <w:r>
        <w:t>Making data spatial and confidential</w:t>
      </w:r>
      <w:bookmarkEnd w:id="11"/>
    </w:p>
    <w:p w:rsidR="00F06FFB" w:rsidRDefault="00F06FFB" w:rsidP="00F06FFB">
      <w:pPr>
        <w:pStyle w:val="BodyText"/>
      </w:pPr>
      <w:r>
        <w:t xml:space="preserve">Here we </w:t>
      </w:r>
      <w:r w:rsidR="006C479E">
        <w:t>outline</w:t>
      </w:r>
      <w:r w:rsidR="00966F18">
        <w:t xml:space="preserve"> how </w:t>
      </w:r>
      <w:r>
        <w:t>the NZ</w:t>
      </w:r>
      <w:r w:rsidRPr="000C319E">
        <w:t xml:space="preserve"> Garden Bird Survey (</w:t>
      </w:r>
      <w:r>
        <w:t>NZ</w:t>
      </w:r>
      <w:r w:rsidRPr="000C319E">
        <w:t>GBS) data</w:t>
      </w:r>
      <w:r>
        <w:t xml:space="preserve"> </w:t>
      </w:r>
      <w:r w:rsidRPr="0032418F">
        <w:t xml:space="preserve">files </w:t>
      </w:r>
      <w:r w:rsidR="006C479E">
        <w:t xml:space="preserve">were translated </w:t>
      </w:r>
      <w:r w:rsidRPr="0032418F">
        <w:t>into confidential spatial</w:t>
      </w:r>
      <w:r w:rsidRPr="000C319E">
        <w:t xml:space="preserve"> data using</w:t>
      </w:r>
      <w:r>
        <w:t xml:space="preserve"> </w:t>
      </w:r>
      <w:r w:rsidRPr="000C319E">
        <w:t>existing Statistics NZ methods</w:t>
      </w:r>
      <w:r w:rsidR="006C479E">
        <w:t>, and highlight future data management considerations</w:t>
      </w:r>
      <w:r w:rsidRPr="000C319E">
        <w:t>.</w:t>
      </w:r>
      <w:r>
        <w:t xml:space="preserve"> </w:t>
      </w:r>
    </w:p>
    <w:p w:rsidR="00F06FFB" w:rsidRDefault="00F06FFB" w:rsidP="00F06FFB">
      <w:pPr>
        <w:pStyle w:val="Heading2"/>
      </w:pPr>
      <w:bookmarkStart w:id="12" w:name="_Toc423434873"/>
      <w:bookmarkStart w:id="13" w:name="_Toc427250818"/>
      <w:r>
        <w:t>Unedited data structure</w:t>
      </w:r>
      <w:bookmarkEnd w:id="12"/>
      <w:bookmarkEnd w:id="13"/>
    </w:p>
    <w:p w:rsidR="00F06FFB" w:rsidRDefault="00F06FFB" w:rsidP="00F06FFB">
      <w:pPr>
        <w:pStyle w:val="BodyText"/>
      </w:pPr>
      <w:r>
        <w:t xml:space="preserve">The NZGBS data are currently stored in MS </w:t>
      </w:r>
      <w:r w:rsidR="00C414F0">
        <w:t>Excel spreadsheets</w:t>
      </w:r>
      <w:r>
        <w:t xml:space="preserve">, with a separate file for each year. </w:t>
      </w:r>
      <w:r w:rsidR="008F03C6">
        <w:t>Some inconsistencies in the data include:</w:t>
      </w:r>
    </w:p>
    <w:p w:rsidR="00F06FFB" w:rsidRDefault="00F06FFB" w:rsidP="00F06FFB">
      <w:pPr>
        <w:pStyle w:val="BodyText"/>
      </w:pPr>
    </w:p>
    <w:p w:rsidR="00F06FFB" w:rsidRDefault="00F06FFB" w:rsidP="00F06FFB">
      <w:pPr>
        <w:pStyle w:val="Bullet"/>
      </w:pPr>
      <w:r w:rsidRPr="00AE74A4">
        <w:rPr>
          <w:b/>
        </w:rPr>
        <w:t>Data format:</w:t>
      </w:r>
      <w:r>
        <w:t xml:space="preserve"> This varies between years mainly due to different online platforms being used to gather the data (</w:t>
      </w:r>
      <w:r w:rsidR="001D0ED7">
        <w:t>Appendix A</w:t>
      </w:r>
      <w:r>
        <w:t xml:space="preserve">). Data were originally (2007–2012) collected using an online platform designed by </w:t>
      </w:r>
      <w:proofErr w:type="spellStart"/>
      <w:r>
        <w:t>Landcare</w:t>
      </w:r>
      <w:proofErr w:type="spellEnd"/>
      <w:r>
        <w:t xml:space="preserve"> Research and stored in a long format, with separate records for each species in each garden. Since 2013, the data have been gathered using an online form provided by Stuff.co.nz and stored in a wide format, with a single record for each garden and species information provided in separate columns. </w:t>
      </w:r>
    </w:p>
    <w:p w:rsidR="00F06FFB" w:rsidRDefault="00F06FFB" w:rsidP="00F06FFB">
      <w:pPr>
        <w:pStyle w:val="Bullet"/>
      </w:pPr>
      <w:r>
        <w:rPr>
          <w:b/>
        </w:rPr>
        <w:t>Variable names:</w:t>
      </w:r>
      <w:r>
        <w:t xml:space="preserve"> There are also some inconsistencies in the variable names used to store the data (</w:t>
      </w:r>
      <w:r w:rsidR="001D0ED7">
        <w:t>Appendix A</w:t>
      </w:r>
      <w:r>
        <w:t xml:space="preserve">). This is an issue for the range of data types collected – observation and observer identifiers, garden location, </w:t>
      </w:r>
      <w:proofErr w:type="gramStart"/>
      <w:r>
        <w:t>date</w:t>
      </w:r>
      <w:proofErr w:type="gramEnd"/>
      <w:r>
        <w:t>/time, contextual information on bird feeding activities, habitat composition and garden type.</w:t>
      </w:r>
    </w:p>
    <w:p w:rsidR="00F06FFB" w:rsidRDefault="00F06FFB" w:rsidP="00F06FFB">
      <w:pPr>
        <w:pStyle w:val="Bullet"/>
      </w:pPr>
      <w:r w:rsidRPr="00AE74A4">
        <w:rPr>
          <w:b/>
        </w:rPr>
        <w:t>Spatial coordinates:</w:t>
      </w:r>
      <w:r>
        <w:t xml:space="preserve"> For all years, information on street address of surveyed gardens (or parks) was gathered. Geographic coordinates have not yet been derived from the street addresses for the first year of the survey (2007). For the period 2008–2012, geographic coordinates for the gardens appear to be derived using the NZTM2000 projection, but using the WGS84 projection for the period 2013–2014.</w:t>
      </w:r>
    </w:p>
    <w:p w:rsidR="00AE74A4" w:rsidRDefault="002A5DF2" w:rsidP="00AE74A4">
      <w:pPr>
        <w:pStyle w:val="Heading2"/>
      </w:pPr>
      <w:bookmarkStart w:id="14" w:name="_Toc427250819"/>
      <w:r>
        <w:t>D</w:t>
      </w:r>
      <w:r w:rsidR="00AE74A4">
        <w:t>ata editing</w:t>
      </w:r>
      <w:r>
        <w:t xml:space="preserve"> </w:t>
      </w:r>
      <w:r w:rsidR="008B79B2">
        <w:t>steps</w:t>
      </w:r>
      <w:bookmarkEnd w:id="14"/>
    </w:p>
    <w:p w:rsidR="00B57CC3" w:rsidRDefault="00E00CC1" w:rsidP="00AE74A4">
      <w:pPr>
        <w:pStyle w:val="BodyText"/>
      </w:pPr>
      <w:r>
        <w:t xml:space="preserve">The data editing process encompassed the </w:t>
      </w:r>
      <w:r w:rsidR="00F06FFB">
        <w:t xml:space="preserve">following </w:t>
      </w:r>
      <w:r>
        <w:t>six steps</w:t>
      </w:r>
      <w:r w:rsidR="003B4BDF">
        <w:t xml:space="preserve"> (see </w:t>
      </w:r>
      <w:r w:rsidR="00494026">
        <w:t>table</w:t>
      </w:r>
      <w:r w:rsidR="003B4BDF">
        <w:t xml:space="preserve"> 1 for sample sizes)</w:t>
      </w:r>
      <w:r>
        <w:t>:</w:t>
      </w:r>
    </w:p>
    <w:p w:rsidR="00F35D87" w:rsidRDefault="00F35D87" w:rsidP="00AE74A4">
      <w:pPr>
        <w:pStyle w:val="BodyText"/>
      </w:pPr>
    </w:p>
    <w:p w:rsidR="001637BB" w:rsidRDefault="00B57CC3" w:rsidP="001637BB">
      <w:pPr>
        <w:pStyle w:val="Bullet"/>
      </w:pPr>
      <w:r w:rsidRPr="001D4C5D">
        <w:rPr>
          <w:b/>
        </w:rPr>
        <w:t>Extract survey locations:</w:t>
      </w:r>
      <w:r>
        <w:t xml:space="preserve"> Unique survey locations in each year were identified using a combination of variables (</w:t>
      </w:r>
      <w:proofErr w:type="spellStart"/>
      <w:r>
        <w:t>SurveyID</w:t>
      </w:r>
      <w:proofErr w:type="spellEnd"/>
      <w:r>
        <w:t xml:space="preserve">, Date, Region, Geographic coordinates). </w:t>
      </w:r>
      <w:r w:rsidR="006B4144">
        <w:t>These data were extracted using R-code with separate data matrices for 2008</w:t>
      </w:r>
      <w:r w:rsidR="00D45CEB">
        <w:t>–</w:t>
      </w:r>
      <w:r w:rsidR="006B4144">
        <w:t>2012 and 2013</w:t>
      </w:r>
      <w:r w:rsidR="00D45CEB">
        <w:t>–</w:t>
      </w:r>
      <w:r w:rsidR="006B4144">
        <w:t>2014</w:t>
      </w:r>
      <w:r>
        <w:t>.</w:t>
      </w:r>
      <w:r w:rsidR="006B4144" w:rsidRPr="006B4144">
        <w:t xml:space="preserve"> </w:t>
      </w:r>
      <w:r w:rsidR="006B4144">
        <w:t>Locations without geographic coordinates were excluded.</w:t>
      </w:r>
    </w:p>
    <w:p w:rsidR="006B4144" w:rsidRDefault="006B53B6" w:rsidP="001637BB">
      <w:pPr>
        <w:pStyle w:val="Bullet"/>
      </w:pPr>
      <w:r>
        <w:rPr>
          <w:b/>
        </w:rPr>
        <w:t>Standardise</w:t>
      </w:r>
      <w:r w:rsidR="006B4144">
        <w:rPr>
          <w:b/>
        </w:rPr>
        <w:t xml:space="preserve"> geographic projections:</w:t>
      </w:r>
      <w:r w:rsidR="006B4144">
        <w:t xml:space="preserve"> Data for 2013</w:t>
      </w:r>
      <w:r w:rsidR="00D45CEB">
        <w:t>–</w:t>
      </w:r>
      <w:r w:rsidR="006B4144">
        <w:t>2014 were imported into a WGS84 projection and converted to an NZTM projection. Easting and Northing coordinates were then extracted to match the 2008</w:t>
      </w:r>
      <w:r w:rsidR="00D45CEB">
        <w:t>–</w:t>
      </w:r>
      <w:r w:rsidR="006B4144">
        <w:t>2012 data.</w:t>
      </w:r>
    </w:p>
    <w:p w:rsidR="001637BB" w:rsidRDefault="006B53B6" w:rsidP="001637BB">
      <w:pPr>
        <w:pStyle w:val="Bullet"/>
      </w:pPr>
      <w:r>
        <w:rPr>
          <w:b/>
        </w:rPr>
        <w:t>Relate</w:t>
      </w:r>
      <w:r w:rsidR="001D4C5D" w:rsidRPr="001D4C5D">
        <w:rPr>
          <w:b/>
        </w:rPr>
        <w:t xml:space="preserve"> to spatial layers:</w:t>
      </w:r>
      <w:r w:rsidR="001D4C5D">
        <w:t xml:space="preserve"> </w:t>
      </w:r>
      <w:r w:rsidR="006B4144">
        <w:t xml:space="preserve">Using ArcMap software, the location data were then spatially </w:t>
      </w:r>
      <w:r w:rsidR="001D4C5D">
        <w:t xml:space="preserve">joined to the Statistics NZ </w:t>
      </w:r>
      <w:r w:rsidR="006B4144">
        <w:t>GIS</w:t>
      </w:r>
      <w:r w:rsidR="001D4C5D">
        <w:t xml:space="preserve"> layers depicting the boundaries for: Regional Councils, Urban Areas, Area Units and </w:t>
      </w:r>
      <w:proofErr w:type="spellStart"/>
      <w:r w:rsidR="001D4C5D">
        <w:t>Meshblocks</w:t>
      </w:r>
      <w:proofErr w:type="spellEnd"/>
      <w:r w:rsidR="00BD44C8">
        <w:t xml:space="preserve"> (Appendix </w:t>
      </w:r>
      <w:r w:rsidR="001D0ED7">
        <w:t>B</w:t>
      </w:r>
      <w:r w:rsidR="00BD44C8">
        <w:t>)</w:t>
      </w:r>
      <w:r w:rsidR="001D4C5D">
        <w:t>.</w:t>
      </w:r>
      <w:r w:rsidR="006B4144">
        <w:t xml:space="preserve"> </w:t>
      </w:r>
    </w:p>
    <w:p w:rsidR="001637BB" w:rsidRDefault="001637BB" w:rsidP="001637BB">
      <w:pPr>
        <w:pStyle w:val="Bullet"/>
      </w:pPr>
      <w:r w:rsidRPr="001637BB">
        <w:rPr>
          <w:b/>
        </w:rPr>
        <w:t xml:space="preserve">Merge </w:t>
      </w:r>
      <w:r w:rsidR="006B53B6">
        <w:rPr>
          <w:b/>
        </w:rPr>
        <w:t xml:space="preserve">location and </w:t>
      </w:r>
      <w:r w:rsidRPr="001637BB">
        <w:rPr>
          <w:b/>
        </w:rPr>
        <w:t>bird data:</w:t>
      </w:r>
      <w:r>
        <w:t xml:space="preserve"> </w:t>
      </w:r>
      <w:r w:rsidR="006B4144">
        <w:t xml:space="preserve">Bird count data for four species (blackbird, </w:t>
      </w:r>
      <w:r w:rsidR="003B4BDF">
        <w:t xml:space="preserve">fantail, </w:t>
      </w:r>
      <w:r w:rsidR="006B4144">
        <w:t xml:space="preserve">silvereye and </w:t>
      </w:r>
      <w:r w:rsidR="003B4BDF">
        <w:t>tūī</w:t>
      </w:r>
      <w:r w:rsidR="006B4144">
        <w:t>) were merged with the revised location dataset.</w:t>
      </w:r>
      <w:r w:rsidR="00D347AD">
        <w:t xml:space="preserve"> </w:t>
      </w:r>
    </w:p>
    <w:p w:rsidR="00E00CC1" w:rsidRPr="000173AA" w:rsidRDefault="00E00CC1" w:rsidP="00E00CC1">
      <w:pPr>
        <w:pStyle w:val="Bullet"/>
      </w:pPr>
      <w:r w:rsidRPr="000173AA">
        <w:rPr>
          <w:b/>
        </w:rPr>
        <w:t>Remove erroneous and offshore locations:</w:t>
      </w:r>
      <w:r w:rsidRPr="000173AA">
        <w:t xml:space="preserve"> Selecting </w:t>
      </w:r>
      <w:r w:rsidR="00DA57F8" w:rsidRPr="000173AA">
        <w:t>only</w:t>
      </w:r>
      <w:r w:rsidRPr="000173AA">
        <w:t xml:space="preserve"> gardens overlapping the mainland (</w:t>
      </w:r>
      <w:proofErr w:type="spellStart"/>
      <w:r w:rsidR="00DB4A9D">
        <w:t>ie</w:t>
      </w:r>
      <w:proofErr w:type="spellEnd"/>
      <w:r w:rsidR="00DB4A9D">
        <w:t>,</w:t>
      </w:r>
      <w:r w:rsidRPr="000173AA">
        <w:t xml:space="preserve"> excluding any LAND_NAME records not classified as ‘Mainland’)</w:t>
      </w:r>
      <w:r w:rsidR="003B4BDF" w:rsidRPr="000173AA">
        <w:t>.</w:t>
      </w:r>
      <w:r w:rsidRPr="000173AA">
        <w:t xml:space="preserve">  </w:t>
      </w:r>
    </w:p>
    <w:p w:rsidR="00E00CC1" w:rsidRDefault="001B6332" w:rsidP="00E00CC1">
      <w:pPr>
        <w:pStyle w:val="Bullet"/>
      </w:pPr>
      <w:r w:rsidRPr="000173AA">
        <w:rPr>
          <w:b/>
        </w:rPr>
        <w:t>Select</w:t>
      </w:r>
      <w:r w:rsidR="00E00CC1" w:rsidRPr="000173AA">
        <w:rPr>
          <w:b/>
        </w:rPr>
        <w:t xml:space="preserve"> urban areas:</w:t>
      </w:r>
      <w:r w:rsidR="00E00CC1" w:rsidRPr="000173AA">
        <w:t xml:space="preserve"> An Urban Area is defined</w:t>
      </w:r>
      <w:r w:rsidR="00E00CC1" w:rsidRPr="000173AA">
        <w:rPr>
          <w:rStyle w:val="FootnoteReference"/>
        </w:rPr>
        <w:footnoteReference w:id="2"/>
      </w:r>
      <w:r w:rsidR="00E00CC1" w:rsidRPr="000173AA">
        <w:t xml:space="preserve"> as any town with a population of 1000 or</w:t>
      </w:r>
      <w:r w:rsidR="00E00CC1">
        <w:t xml:space="preserve"> more (</w:t>
      </w:r>
      <w:proofErr w:type="spellStart"/>
      <w:r w:rsidR="00DB4A9D">
        <w:t>ie</w:t>
      </w:r>
      <w:proofErr w:type="spellEnd"/>
      <w:r w:rsidR="00DB4A9D">
        <w:t>,</w:t>
      </w:r>
      <w:r w:rsidR="00E00CC1">
        <w:t xml:space="preserve"> excluding any </w:t>
      </w:r>
      <w:r w:rsidR="00E00CC1" w:rsidRPr="00DE4E85">
        <w:t>UA2015_NAM</w:t>
      </w:r>
      <w:r w:rsidR="00E00CC1">
        <w:t xml:space="preserve"> records classified as ‘Rural (Incl. some Off Shore Islands)’, ‘Rural Centre’, ‘Inland Water not in Urban Area’)</w:t>
      </w:r>
      <w:r w:rsidR="003B4BDF">
        <w:t>.</w:t>
      </w:r>
    </w:p>
    <w:p w:rsidR="001D4C5D" w:rsidRDefault="001D4C5D" w:rsidP="00B0240E">
      <w:pPr>
        <w:pStyle w:val="BodyText"/>
      </w:pPr>
    </w:p>
    <w:p w:rsidR="00D347AD" w:rsidRDefault="009C7063" w:rsidP="009C7063">
      <w:pPr>
        <w:pStyle w:val="Tableheading"/>
      </w:pPr>
      <w:bookmarkStart w:id="15" w:name="_Toc430354507"/>
      <w:r>
        <w:t xml:space="preserve">Table </w:t>
      </w:r>
      <w:r w:rsidR="00DD3257">
        <w:t>1</w:t>
      </w:r>
      <w:r>
        <w:t xml:space="preserve">: </w:t>
      </w:r>
      <w:r w:rsidR="00B0240E">
        <w:tab/>
      </w:r>
      <w:r>
        <w:t xml:space="preserve">Number of garden records per year in relation to </w:t>
      </w:r>
      <w:r w:rsidR="001D4C5D">
        <w:t xml:space="preserve">data editing </w:t>
      </w:r>
      <w:r>
        <w:t>filters used</w:t>
      </w:r>
      <w:bookmarkEnd w:id="15"/>
    </w:p>
    <w:tbl>
      <w:tblPr>
        <w:tblStyle w:val="TableGrid"/>
        <w:tblW w:w="8863" w:type="dxa"/>
        <w:tblLook w:val="04A0" w:firstRow="1" w:lastRow="0" w:firstColumn="1" w:lastColumn="0" w:noHBand="0" w:noVBand="1"/>
      </w:tblPr>
      <w:tblGrid>
        <w:gridCol w:w="2217"/>
        <w:gridCol w:w="743"/>
        <w:gridCol w:w="743"/>
        <w:gridCol w:w="743"/>
        <w:gridCol w:w="743"/>
        <w:gridCol w:w="743"/>
        <w:gridCol w:w="743"/>
        <w:gridCol w:w="743"/>
        <w:gridCol w:w="743"/>
        <w:gridCol w:w="702"/>
      </w:tblGrid>
      <w:tr w:rsidR="009C7063" w:rsidTr="00D12121">
        <w:tc>
          <w:tcPr>
            <w:tcW w:w="2217" w:type="dxa"/>
            <w:shd w:val="clear" w:color="auto" w:fill="D9D9D9" w:themeFill="background1" w:themeFillShade="D9"/>
          </w:tcPr>
          <w:p w:rsidR="009C7063" w:rsidRDefault="009C7063" w:rsidP="009C7063">
            <w:pPr>
              <w:pStyle w:val="TableTextbold"/>
            </w:pPr>
            <w:r>
              <w:t>Data editing filter applied</w:t>
            </w:r>
          </w:p>
        </w:tc>
        <w:tc>
          <w:tcPr>
            <w:tcW w:w="743" w:type="dxa"/>
            <w:shd w:val="clear" w:color="auto" w:fill="D9D9D9" w:themeFill="background1" w:themeFillShade="D9"/>
          </w:tcPr>
          <w:p w:rsidR="009C7063" w:rsidRDefault="009C7063" w:rsidP="009C7063">
            <w:pPr>
              <w:pStyle w:val="TableTextbold"/>
            </w:pPr>
            <w:r>
              <w:t>2007</w:t>
            </w:r>
          </w:p>
        </w:tc>
        <w:tc>
          <w:tcPr>
            <w:tcW w:w="743" w:type="dxa"/>
            <w:shd w:val="clear" w:color="auto" w:fill="D9D9D9" w:themeFill="background1" w:themeFillShade="D9"/>
          </w:tcPr>
          <w:p w:rsidR="009C7063" w:rsidRDefault="009C7063" w:rsidP="009C7063">
            <w:pPr>
              <w:pStyle w:val="TableTextbold"/>
            </w:pPr>
            <w:r>
              <w:t>2008</w:t>
            </w:r>
          </w:p>
        </w:tc>
        <w:tc>
          <w:tcPr>
            <w:tcW w:w="743" w:type="dxa"/>
            <w:shd w:val="clear" w:color="auto" w:fill="D9D9D9" w:themeFill="background1" w:themeFillShade="D9"/>
          </w:tcPr>
          <w:p w:rsidR="009C7063" w:rsidRDefault="009C7063" w:rsidP="009C7063">
            <w:pPr>
              <w:pStyle w:val="TableTextbold"/>
            </w:pPr>
            <w:r>
              <w:t>2009</w:t>
            </w:r>
          </w:p>
        </w:tc>
        <w:tc>
          <w:tcPr>
            <w:tcW w:w="743" w:type="dxa"/>
            <w:shd w:val="clear" w:color="auto" w:fill="D9D9D9" w:themeFill="background1" w:themeFillShade="D9"/>
          </w:tcPr>
          <w:p w:rsidR="009C7063" w:rsidRDefault="009C7063" w:rsidP="009C7063">
            <w:pPr>
              <w:pStyle w:val="TableTextbold"/>
            </w:pPr>
            <w:r>
              <w:t>2010</w:t>
            </w:r>
          </w:p>
        </w:tc>
        <w:tc>
          <w:tcPr>
            <w:tcW w:w="743" w:type="dxa"/>
            <w:shd w:val="clear" w:color="auto" w:fill="D9D9D9" w:themeFill="background1" w:themeFillShade="D9"/>
          </w:tcPr>
          <w:p w:rsidR="009C7063" w:rsidRDefault="009C7063" w:rsidP="009C7063">
            <w:pPr>
              <w:pStyle w:val="TableTextbold"/>
            </w:pPr>
            <w:r>
              <w:t>2011</w:t>
            </w:r>
          </w:p>
        </w:tc>
        <w:tc>
          <w:tcPr>
            <w:tcW w:w="743" w:type="dxa"/>
            <w:shd w:val="clear" w:color="auto" w:fill="D9D9D9" w:themeFill="background1" w:themeFillShade="D9"/>
          </w:tcPr>
          <w:p w:rsidR="009C7063" w:rsidRDefault="009C7063" w:rsidP="009C7063">
            <w:pPr>
              <w:pStyle w:val="TableTextbold"/>
            </w:pPr>
            <w:r>
              <w:t>2012</w:t>
            </w:r>
          </w:p>
        </w:tc>
        <w:tc>
          <w:tcPr>
            <w:tcW w:w="743" w:type="dxa"/>
            <w:shd w:val="clear" w:color="auto" w:fill="D9D9D9" w:themeFill="background1" w:themeFillShade="D9"/>
          </w:tcPr>
          <w:p w:rsidR="009C7063" w:rsidRDefault="009C7063" w:rsidP="009C7063">
            <w:pPr>
              <w:pStyle w:val="TableTextbold"/>
            </w:pPr>
            <w:r>
              <w:t>2013</w:t>
            </w:r>
          </w:p>
        </w:tc>
        <w:tc>
          <w:tcPr>
            <w:tcW w:w="743" w:type="dxa"/>
            <w:shd w:val="clear" w:color="auto" w:fill="D9D9D9" w:themeFill="background1" w:themeFillShade="D9"/>
          </w:tcPr>
          <w:p w:rsidR="009C7063" w:rsidRDefault="009C7063" w:rsidP="009C7063">
            <w:pPr>
              <w:pStyle w:val="TableTextbold"/>
            </w:pPr>
            <w:r>
              <w:t>2014</w:t>
            </w:r>
          </w:p>
        </w:tc>
        <w:tc>
          <w:tcPr>
            <w:tcW w:w="702" w:type="dxa"/>
            <w:shd w:val="clear" w:color="auto" w:fill="D9D9D9" w:themeFill="background1" w:themeFillShade="D9"/>
          </w:tcPr>
          <w:p w:rsidR="009C7063" w:rsidRDefault="009C7063" w:rsidP="009C7063">
            <w:pPr>
              <w:pStyle w:val="TableTextbold"/>
            </w:pPr>
            <w:r>
              <w:t>Total</w:t>
            </w:r>
          </w:p>
        </w:tc>
      </w:tr>
      <w:tr w:rsidR="009C7063" w:rsidTr="009C7063">
        <w:tc>
          <w:tcPr>
            <w:tcW w:w="2217" w:type="dxa"/>
          </w:tcPr>
          <w:p w:rsidR="009C7063" w:rsidRDefault="009C7063" w:rsidP="009C7063">
            <w:pPr>
              <w:pStyle w:val="TableText"/>
            </w:pPr>
            <w:r>
              <w:t>Unique locations</w:t>
            </w:r>
          </w:p>
        </w:tc>
        <w:tc>
          <w:tcPr>
            <w:tcW w:w="743" w:type="dxa"/>
          </w:tcPr>
          <w:p w:rsidR="009C7063" w:rsidRDefault="009C7063" w:rsidP="009C7063">
            <w:pPr>
              <w:pStyle w:val="TableText"/>
            </w:pPr>
            <w:r>
              <w:t>1964</w:t>
            </w:r>
          </w:p>
        </w:tc>
        <w:tc>
          <w:tcPr>
            <w:tcW w:w="743" w:type="dxa"/>
          </w:tcPr>
          <w:p w:rsidR="009C7063" w:rsidRDefault="009C7063" w:rsidP="009C7063">
            <w:pPr>
              <w:pStyle w:val="TableText"/>
            </w:pPr>
            <w:r>
              <w:t>2091</w:t>
            </w:r>
          </w:p>
        </w:tc>
        <w:tc>
          <w:tcPr>
            <w:tcW w:w="743" w:type="dxa"/>
          </w:tcPr>
          <w:p w:rsidR="009C7063" w:rsidRDefault="009C7063" w:rsidP="009C7063">
            <w:pPr>
              <w:pStyle w:val="TableText"/>
            </w:pPr>
            <w:r>
              <w:t>1805</w:t>
            </w:r>
          </w:p>
        </w:tc>
        <w:tc>
          <w:tcPr>
            <w:tcW w:w="743" w:type="dxa"/>
          </w:tcPr>
          <w:p w:rsidR="009C7063" w:rsidRDefault="009C7063" w:rsidP="009C7063">
            <w:pPr>
              <w:pStyle w:val="TableText"/>
            </w:pPr>
            <w:r>
              <w:t>4125</w:t>
            </w:r>
          </w:p>
        </w:tc>
        <w:tc>
          <w:tcPr>
            <w:tcW w:w="743" w:type="dxa"/>
          </w:tcPr>
          <w:p w:rsidR="009C7063" w:rsidRDefault="009C7063" w:rsidP="009C7063">
            <w:pPr>
              <w:pStyle w:val="TableText"/>
            </w:pPr>
            <w:r>
              <w:t>3093</w:t>
            </w:r>
          </w:p>
        </w:tc>
        <w:tc>
          <w:tcPr>
            <w:tcW w:w="743" w:type="dxa"/>
          </w:tcPr>
          <w:p w:rsidR="009C7063" w:rsidRDefault="009C7063" w:rsidP="009C7063">
            <w:pPr>
              <w:pStyle w:val="TableText"/>
            </w:pPr>
            <w:r>
              <w:t>4106</w:t>
            </w:r>
          </w:p>
        </w:tc>
        <w:tc>
          <w:tcPr>
            <w:tcW w:w="743" w:type="dxa"/>
          </w:tcPr>
          <w:p w:rsidR="009C7063" w:rsidRDefault="009C7063" w:rsidP="009C7063">
            <w:pPr>
              <w:pStyle w:val="TableText"/>
            </w:pPr>
            <w:r>
              <w:t>3475</w:t>
            </w:r>
          </w:p>
        </w:tc>
        <w:tc>
          <w:tcPr>
            <w:tcW w:w="743" w:type="dxa"/>
          </w:tcPr>
          <w:p w:rsidR="009C7063" w:rsidRDefault="009C7063" w:rsidP="009C7063">
            <w:pPr>
              <w:pStyle w:val="TableText"/>
            </w:pPr>
            <w:r>
              <w:t>3220</w:t>
            </w:r>
          </w:p>
        </w:tc>
        <w:tc>
          <w:tcPr>
            <w:tcW w:w="702" w:type="dxa"/>
            <w:vAlign w:val="bottom"/>
          </w:tcPr>
          <w:p w:rsidR="009C7063" w:rsidRDefault="009C7063" w:rsidP="009C7063">
            <w:pPr>
              <w:pStyle w:val="TableText"/>
            </w:pPr>
            <w:r>
              <w:t>23879</w:t>
            </w:r>
          </w:p>
        </w:tc>
      </w:tr>
      <w:tr w:rsidR="009C7063" w:rsidTr="009C7063">
        <w:tc>
          <w:tcPr>
            <w:tcW w:w="2217" w:type="dxa"/>
          </w:tcPr>
          <w:p w:rsidR="009C7063" w:rsidRDefault="009C7063" w:rsidP="009C7063">
            <w:pPr>
              <w:pStyle w:val="TableText"/>
            </w:pPr>
            <w:r>
              <w:t>Coordinate data available</w:t>
            </w:r>
          </w:p>
        </w:tc>
        <w:tc>
          <w:tcPr>
            <w:tcW w:w="743" w:type="dxa"/>
          </w:tcPr>
          <w:p w:rsidR="009C7063" w:rsidRDefault="009C7063" w:rsidP="009C7063">
            <w:pPr>
              <w:pStyle w:val="TableText"/>
            </w:pPr>
            <w:r>
              <w:t>0</w:t>
            </w:r>
          </w:p>
        </w:tc>
        <w:tc>
          <w:tcPr>
            <w:tcW w:w="743" w:type="dxa"/>
          </w:tcPr>
          <w:p w:rsidR="009C7063" w:rsidRDefault="009C7063" w:rsidP="009C7063">
            <w:pPr>
              <w:pStyle w:val="TableText"/>
            </w:pPr>
            <w:r>
              <w:t>2091</w:t>
            </w:r>
          </w:p>
        </w:tc>
        <w:tc>
          <w:tcPr>
            <w:tcW w:w="743" w:type="dxa"/>
          </w:tcPr>
          <w:p w:rsidR="009C7063" w:rsidRDefault="009C7063" w:rsidP="009C7063">
            <w:pPr>
              <w:pStyle w:val="TableText"/>
            </w:pPr>
            <w:r>
              <w:t>1800</w:t>
            </w:r>
          </w:p>
        </w:tc>
        <w:tc>
          <w:tcPr>
            <w:tcW w:w="743" w:type="dxa"/>
          </w:tcPr>
          <w:p w:rsidR="009C7063" w:rsidRDefault="009C7063" w:rsidP="009C7063">
            <w:pPr>
              <w:pStyle w:val="TableText"/>
            </w:pPr>
            <w:r>
              <w:t>4125</w:t>
            </w:r>
          </w:p>
        </w:tc>
        <w:tc>
          <w:tcPr>
            <w:tcW w:w="743" w:type="dxa"/>
          </w:tcPr>
          <w:p w:rsidR="009C7063" w:rsidRDefault="009C7063" w:rsidP="009C7063">
            <w:pPr>
              <w:pStyle w:val="TableText"/>
            </w:pPr>
            <w:r>
              <w:t>3093</w:t>
            </w:r>
          </w:p>
        </w:tc>
        <w:tc>
          <w:tcPr>
            <w:tcW w:w="743" w:type="dxa"/>
          </w:tcPr>
          <w:p w:rsidR="009C7063" w:rsidRDefault="009C7063" w:rsidP="009C7063">
            <w:pPr>
              <w:pStyle w:val="TableText"/>
            </w:pPr>
            <w:r>
              <w:t>4106</w:t>
            </w:r>
          </w:p>
        </w:tc>
        <w:tc>
          <w:tcPr>
            <w:tcW w:w="743" w:type="dxa"/>
          </w:tcPr>
          <w:p w:rsidR="009C7063" w:rsidRDefault="009C7063" w:rsidP="009C7063">
            <w:pPr>
              <w:pStyle w:val="TableText"/>
            </w:pPr>
            <w:r>
              <w:t>3475</w:t>
            </w:r>
          </w:p>
        </w:tc>
        <w:tc>
          <w:tcPr>
            <w:tcW w:w="743" w:type="dxa"/>
          </w:tcPr>
          <w:p w:rsidR="009C7063" w:rsidRDefault="009C7063" w:rsidP="009C7063">
            <w:pPr>
              <w:pStyle w:val="TableText"/>
            </w:pPr>
            <w:r>
              <w:t>3220</w:t>
            </w:r>
          </w:p>
        </w:tc>
        <w:tc>
          <w:tcPr>
            <w:tcW w:w="702" w:type="dxa"/>
            <w:vAlign w:val="bottom"/>
          </w:tcPr>
          <w:p w:rsidR="009C7063" w:rsidRDefault="009C7063" w:rsidP="009C7063">
            <w:pPr>
              <w:pStyle w:val="TableText"/>
            </w:pPr>
            <w:r>
              <w:t>21910</w:t>
            </w:r>
          </w:p>
        </w:tc>
      </w:tr>
      <w:tr w:rsidR="009C7063" w:rsidTr="009C7063">
        <w:tc>
          <w:tcPr>
            <w:tcW w:w="2217" w:type="dxa"/>
          </w:tcPr>
          <w:p w:rsidR="009C7063" w:rsidRPr="00F41B92" w:rsidRDefault="00F41B92" w:rsidP="009C7063">
            <w:pPr>
              <w:pStyle w:val="TableText"/>
            </w:pPr>
            <w:r w:rsidRPr="00F41B92">
              <w:t xml:space="preserve">Mainland </w:t>
            </w:r>
            <w:r w:rsidR="009C7063" w:rsidRPr="00F41B92">
              <w:t>Urban areas</w:t>
            </w:r>
            <w:bookmarkStart w:id="16" w:name="_Ref423265141"/>
            <w:r w:rsidRPr="00F41B92">
              <w:rPr>
                <w:rStyle w:val="FootnoteReference"/>
              </w:rPr>
              <w:footnoteReference w:id="3"/>
            </w:r>
            <w:bookmarkEnd w:id="16"/>
          </w:p>
        </w:tc>
        <w:tc>
          <w:tcPr>
            <w:tcW w:w="743" w:type="dxa"/>
          </w:tcPr>
          <w:p w:rsidR="009C7063" w:rsidRPr="00F41B92" w:rsidRDefault="009C7063" w:rsidP="009C7063">
            <w:pPr>
              <w:pStyle w:val="TableText"/>
            </w:pPr>
            <w:r w:rsidRPr="00F41B92">
              <w:t>0</w:t>
            </w:r>
          </w:p>
        </w:tc>
        <w:tc>
          <w:tcPr>
            <w:tcW w:w="743" w:type="dxa"/>
          </w:tcPr>
          <w:p w:rsidR="009C7063" w:rsidRPr="00F41B92" w:rsidRDefault="009C7063" w:rsidP="009C7063">
            <w:pPr>
              <w:pStyle w:val="TableText"/>
            </w:pPr>
            <w:r w:rsidRPr="00F41B92">
              <w:t>1675</w:t>
            </w:r>
          </w:p>
        </w:tc>
        <w:tc>
          <w:tcPr>
            <w:tcW w:w="743" w:type="dxa"/>
          </w:tcPr>
          <w:p w:rsidR="009C7063" w:rsidRPr="00F41B92" w:rsidRDefault="009C7063" w:rsidP="009C7063">
            <w:pPr>
              <w:pStyle w:val="TableText"/>
            </w:pPr>
            <w:r w:rsidRPr="00F41B92">
              <w:t>1364</w:t>
            </w:r>
          </w:p>
        </w:tc>
        <w:tc>
          <w:tcPr>
            <w:tcW w:w="743" w:type="dxa"/>
          </w:tcPr>
          <w:p w:rsidR="009C7063" w:rsidRPr="00F41B92" w:rsidRDefault="009C7063" w:rsidP="009C7063">
            <w:pPr>
              <w:pStyle w:val="TableText"/>
            </w:pPr>
            <w:r w:rsidRPr="00F41B92">
              <w:t>3110</w:t>
            </w:r>
          </w:p>
        </w:tc>
        <w:tc>
          <w:tcPr>
            <w:tcW w:w="743" w:type="dxa"/>
          </w:tcPr>
          <w:p w:rsidR="009C7063" w:rsidRPr="00F41B92" w:rsidRDefault="009C7063" w:rsidP="009C7063">
            <w:pPr>
              <w:pStyle w:val="TableText"/>
            </w:pPr>
            <w:r w:rsidRPr="00F41B92">
              <w:t>2418</w:t>
            </w:r>
          </w:p>
        </w:tc>
        <w:tc>
          <w:tcPr>
            <w:tcW w:w="743" w:type="dxa"/>
          </w:tcPr>
          <w:p w:rsidR="009C7063" w:rsidRPr="00F41B92" w:rsidRDefault="009C7063" w:rsidP="009C7063">
            <w:pPr>
              <w:pStyle w:val="TableText"/>
            </w:pPr>
            <w:r w:rsidRPr="00F41B92">
              <w:t>3385</w:t>
            </w:r>
          </w:p>
        </w:tc>
        <w:tc>
          <w:tcPr>
            <w:tcW w:w="743" w:type="dxa"/>
          </w:tcPr>
          <w:p w:rsidR="009C7063" w:rsidRPr="00F41B92" w:rsidRDefault="009C7063" w:rsidP="009C7063">
            <w:pPr>
              <w:pStyle w:val="TableText"/>
            </w:pPr>
            <w:r w:rsidRPr="00F41B92">
              <w:t>2822</w:t>
            </w:r>
          </w:p>
        </w:tc>
        <w:tc>
          <w:tcPr>
            <w:tcW w:w="743" w:type="dxa"/>
          </w:tcPr>
          <w:p w:rsidR="009C7063" w:rsidRPr="00F41B92" w:rsidRDefault="009C7063" w:rsidP="009C7063">
            <w:pPr>
              <w:pStyle w:val="TableText"/>
            </w:pPr>
            <w:r w:rsidRPr="00F41B92">
              <w:t>2575</w:t>
            </w:r>
          </w:p>
        </w:tc>
        <w:tc>
          <w:tcPr>
            <w:tcW w:w="702" w:type="dxa"/>
            <w:vAlign w:val="bottom"/>
          </w:tcPr>
          <w:p w:rsidR="009C7063" w:rsidRDefault="009C7063" w:rsidP="009C7063">
            <w:pPr>
              <w:pStyle w:val="TableText"/>
            </w:pPr>
            <w:r w:rsidRPr="00F41B92">
              <w:t>17349</w:t>
            </w:r>
          </w:p>
        </w:tc>
      </w:tr>
    </w:tbl>
    <w:p w:rsidR="00AB5665" w:rsidRDefault="00AB5665" w:rsidP="005B2E38"/>
    <w:p w:rsidR="00DC3696" w:rsidRDefault="00DC3696" w:rsidP="00DC3696">
      <w:pPr>
        <w:pStyle w:val="Heading2"/>
      </w:pPr>
      <w:bookmarkStart w:id="17" w:name="_Toc427250820"/>
      <w:r>
        <w:t xml:space="preserve">Data </w:t>
      </w:r>
      <w:r w:rsidRPr="000366FD">
        <w:t xml:space="preserve">access </w:t>
      </w:r>
      <w:r>
        <w:t>and sharing</w:t>
      </w:r>
      <w:bookmarkEnd w:id="17"/>
    </w:p>
    <w:p w:rsidR="00DC3696" w:rsidRDefault="00DC3696" w:rsidP="00DC3696">
      <w:pPr>
        <w:pStyle w:val="BodyText"/>
      </w:pPr>
      <w:r w:rsidRPr="000366FD">
        <w:t xml:space="preserve">The NZGBS survey organiser is prepared to share existing cleaned 2007–2014 data with </w:t>
      </w:r>
      <w:proofErr w:type="spellStart"/>
      <w:r w:rsidRPr="000366FD">
        <w:t>MfE</w:t>
      </w:r>
      <w:proofErr w:type="spellEnd"/>
      <w:r w:rsidRPr="000366FD">
        <w:t xml:space="preserve"> (but please note they still contain errors), but will seek guidance on sharing future data. Currently, </w:t>
      </w:r>
      <w:r>
        <w:t>a</w:t>
      </w:r>
      <w:r w:rsidRPr="000366FD">
        <w:t xml:space="preserve"> significant issue is the high cost (100+ hours per year) associated with manually cleaning the data. This may pose a barrier for sharing the clean data in the future if support is not provided by interested stakeholders.  </w:t>
      </w:r>
      <w:r>
        <w:t>Overcoming</w:t>
      </w:r>
      <w:r w:rsidRPr="000366FD">
        <w:t xml:space="preserve"> this </w:t>
      </w:r>
      <w:r>
        <w:t>data-</w:t>
      </w:r>
      <w:r w:rsidRPr="000366FD">
        <w:t>editing cost will likely require financial, infrastructural and data management support. For example, automated data filters could be generated to edit the existing data</w:t>
      </w:r>
      <w:r>
        <w:t>,</w:t>
      </w:r>
      <w:r w:rsidRPr="000366FD">
        <w:t xml:space="preserve"> and a more secure data management framework </w:t>
      </w:r>
      <w:r w:rsidR="00966F18">
        <w:t xml:space="preserve">could be established to </w:t>
      </w:r>
      <w:r w:rsidRPr="000366FD">
        <w:t xml:space="preserve">minimise the number of data errors in future iterations of the database. This </w:t>
      </w:r>
      <w:r w:rsidR="00966F18">
        <w:t>would</w:t>
      </w:r>
      <w:r w:rsidR="00966F18" w:rsidRPr="000366FD">
        <w:t xml:space="preserve"> </w:t>
      </w:r>
      <w:r w:rsidRPr="000366FD">
        <w:t>require financial support for the set-up phase but also, at a reduced rate, for ongoing maintenance.</w:t>
      </w:r>
    </w:p>
    <w:p w:rsidR="005B2E38" w:rsidRDefault="005B2E38" w:rsidP="005B2E38">
      <w:pPr>
        <w:pStyle w:val="Heading2"/>
      </w:pPr>
      <w:bookmarkStart w:id="18" w:name="_Toc427250821"/>
      <w:r>
        <w:t xml:space="preserve">Future </w:t>
      </w:r>
      <w:r w:rsidR="00874F72">
        <w:t xml:space="preserve">data management </w:t>
      </w:r>
      <w:r w:rsidR="003810C6">
        <w:t>considerations</w:t>
      </w:r>
      <w:bookmarkEnd w:id="18"/>
    </w:p>
    <w:p w:rsidR="00932040" w:rsidRDefault="00932040" w:rsidP="00F35D87">
      <w:pPr>
        <w:pStyle w:val="BodyText"/>
        <w:numPr>
          <w:ilvl w:val="0"/>
          <w:numId w:val="36"/>
        </w:numPr>
        <w:ind w:left="426"/>
      </w:pPr>
      <w:r w:rsidRPr="00DC3F25">
        <w:rPr>
          <w:b/>
        </w:rPr>
        <w:t xml:space="preserve">Data management framework: </w:t>
      </w:r>
      <w:r w:rsidRPr="006B53B6">
        <w:t>E</w:t>
      </w:r>
      <w:r>
        <w:t xml:space="preserve">stablishing a secure and enduring framework for gathering, editing and storing the NZGBS data in a consistent format should be a top priority. </w:t>
      </w:r>
    </w:p>
    <w:p w:rsidR="00D76706" w:rsidRPr="000366FD" w:rsidRDefault="00D76706" w:rsidP="00F35D87">
      <w:pPr>
        <w:pStyle w:val="BodyText"/>
        <w:numPr>
          <w:ilvl w:val="0"/>
          <w:numId w:val="36"/>
        </w:numPr>
        <w:ind w:left="426"/>
      </w:pPr>
      <w:r w:rsidRPr="000366FD">
        <w:rPr>
          <w:b/>
        </w:rPr>
        <w:t>Data confidentiality:</w:t>
      </w:r>
      <w:r w:rsidRPr="000366FD">
        <w:t xml:space="preserve"> </w:t>
      </w:r>
      <w:r>
        <w:t>Merging the</w:t>
      </w:r>
      <w:r w:rsidRPr="000366FD">
        <w:t xml:space="preserve"> Statistics NZ spatial layers with the NZGBS data provide</w:t>
      </w:r>
      <w:r w:rsidR="00986E2E">
        <w:t>s</w:t>
      </w:r>
      <w:r w:rsidRPr="000366FD">
        <w:t xml:space="preserve"> a useful mechanism for data sharing without giving</w:t>
      </w:r>
      <w:r w:rsidR="00F06FFB">
        <w:t xml:space="preserve"> away</w:t>
      </w:r>
      <w:r w:rsidRPr="000366FD">
        <w:t xml:space="preserve"> personal information.</w:t>
      </w:r>
    </w:p>
    <w:p w:rsidR="00DF0D87" w:rsidRDefault="00DC3F25" w:rsidP="00F35D87">
      <w:pPr>
        <w:pStyle w:val="BodyText"/>
        <w:numPr>
          <w:ilvl w:val="0"/>
          <w:numId w:val="36"/>
        </w:numPr>
        <w:ind w:left="426"/>
      </w:pPr>
      <w:r w:rsidRPr="00DC3F25">
        <w:rPr>
          <w:b/>
        </w:rPr>
        <w:t>Consolidate s</w:t>
      </w:r>
      <w:r w:rsidR="00DF0D87" w:rsidRPr="00DC3F25">
        <w:rPr>
          <w:b/>
        </w:rPr>
        <w:t>patial information</w:t>
      </w:r>
      <w:r w:rsidRPr="00DC3F25">
        <w:rPr>
          <w:b/>
        </w:rPr>
        <w:t>:</w:t>
      </w:r>
      <w:r w:rsidR="00DF0D87">
        <w:t xml:space="preserve"> </w:t>
      </w:r>
      <w:r>
        <w:t>E</w:t>
      </w:r>
      <w:r w:rsidR="00DF0D87">
        <w:t>xtract</w:t>
      </w:r>
      <w:r w:rsidR="008F03C6">
        <w:t>ing</w:t>
      </w:r>
      <w:r>
        <w:t xml:space="preserve"> </w:t>
      </w:r>
      <w:r w:rsidR="002C58AA">
        <w:t>geographic coordinates</w:t>
      </w:r>
      <w:r w:rsidR="00DF0D87">
        <w:t xml:space="preserve"> for all</w:t>
      </w:r>
      <w:r>
        <w:t xml:space="preserve"> of the</w:t>
      </w:r>
      <w:r w:rsidR="00DF0D87">
        <w:t xml:space="preserve"> </w:t>
      </w:r>
      <w:r w:rsidR="006B53B6">
        <w:t>2007 observations</w:t>
      </w:r>
      <w:r w:rsidR="002C58AA">
        <w:t>. R</w:t>
      </w:r>
      <w:r>
        <w:t>eview</w:t>
      </w:r>
      <w:r w:rsidR="008F03C6">
        <w:t>ing</w:t>
      </w:r>
      <w:r>
        <w:t xml:space="preserve"> and edit</w:t>
      </w:r>
      <w:r w:rsidR="008F03C6">
        <w:t>ing</w:t>
      </w:r>
      <w:r>
        <w:t xml:space="preserve"> the </w:t>
      </w:r>
      <w:r w:rsidR="002C58AA">
        <w:t>coordinates</w:t>
      </w:r>
      <w:r>
        <w:t xml:space="preserve"> for the</w:t>
      </w:r>
      <w:r w:rsidR="006B53B6">
        <w:t xml:space="preserve"> </w:t>
      </w:r>
      <w:r>
        <w:t>2008</w:t>
      </w:r>
      <w:r w:rsidR="00D45CEB">
        <w:t>–</w:t>
      </w:r>
      <w:r>
        <w:t>2014 outlier observations.</w:t>
      </w:r>
    </w:p>
    <w:p w:rsidR="001637BB" w:rsidRDefault="00DC3F25" w:rsidP="00F35D87">
      <w:pPr>
        <w:pStyle w:val="BodyText"/>
        <w:numPr>
          <w:ilvl w:val="0"/>
          <w:numId w:val="36"/>
        </w:numPr>
        <w:ind w:left="426"/>
      </w:pPr>
      <w:r w:rsidRPr="00DC3F25">
        <w:rPr>
          <w:b/>
        </w:rPr>
        <w:t>Add</w:t>
      </w:r>
      <w:r w:rsidR="001637BB" w:rsidRPr="00DC3F25">
        <w:rPr>
          <w:b/>
        </w:rPr>
        <w:t xml:space="preserve"> co</w:t>
      </w:r>
      <w:r w:rsidRPr="00DC3F25">
        <w:rPr>
          <w:b/>
        </w:rPr>
        <w:t>-</w:t>
      </w:r>
      <w:r w:rsidR="001637BB" w:rsidRPr="00DC3F25">
        <w:rPr>
          <w:b/>
        </w:rPr>
        <w:t>variate</w:t>
      </w:r>
      <w:r w:rsidRPr="00DC3F25">
        <w:rPr>
          <w:b/>
        </w:rPr>
        <w:t xml:space="preserve"> information:</w:t>
      </w:r>
      <w:r>
        <w:t xml:space="preserve"> Incorporat</w:t>
      </w:r>
      <w:r w:rsidR="008F03C6">
        <w:t>ing</w:t>
      </w:r>
      <w:r>
        <w:t xml:space="preserve"> information on observer, feeding and habitat</w:t>
      </w:r>
      <w:r w:rsidR="00D347AD" w:rsidRPr="00D347AD">
        <w:t xml:space="preserve"> </w:t>
      </w:r>
      <w:r>
        <w:t>variables to the data matrix.</w:t>
      </w:r>
    </w:p>
    <w:p w:rsidR="00F35D87" w:rsidRDefault="00F35D87">
      <w:pPr>
        <w:jc w:val="left"/>
      </w:pPr>
      <w:r>
        <w:br w:type="page"/>
      </w:r>
    </w:p>
    <w:p w:rsidR="00B766DD" w:rsidRPr="00B766DD" w:rsidRDefault="00DC272F" w:rsidP="00B766DD">
      <w:pPr>
        <w:pStyle w:val="Heading1"/>
        <w:numPr>
          <w:ilvl w:val="0"/>
          <w:numId w:val="9"/>
        </w:numPr>
      </w:pPr>
      <w:bookmarkStart w:id="19" w:name="_Toc427250822"/>
      <w:r>
        <w:t>Data exploration</w:t>
      </w:r>
      <w:bookmarkEnd w:id="19"/>
    </w:p>
    <w:p w:rsidR="00E00CC1" w:rsidRDefault="00354DA7" w:rsidP="00E00CC1">
      <w:pPr>
        <w:pStyle w:val="BodyText"/>
      </w:pPr>
      <w:r>
        <w:t xml:space="preserve">Here, </w:t>
      </w:r>
      <w:r w:rsidR="008B79B2" w:rsidRPr="00B766DD">
        <w:t>we explore how to best account for spatial variation in sampling effort over time.</w:t>
      </w:r>
      <w:r w:rsidR="008B79B2">
        <w:t xml:space="preserve"> W</w:t>
      </w:r>
      <w:r>
        <w:t>e focus on estimating national trends in the abundance of four garden b</w:t>
      </w:r>
      <w:r w:rsidRPr="009A2289">
        <w:t xml:space="preserve">ird species, while also beginning to explore the feasibility </w:t>
      </w:r>
      <w:r w:rsidR="00874F72" w:rsidRPr="009A2289">
        <w:t xml:space="preserve">of </w:t>
      </w:r>
      <w:r w:rsidR="009A2289" w:rsidRPr="009A2289">
        <w:t xml:space="preserve">quantifying and </w:t>
      </w:r>
      <w:r w:rsidRPr="009A2289">
        <w:t>assessing trends</w:t>
      </w:r>
      <w:r>
        <w:t xml:space="preserve"> at finer spatial scales (</w:t>
      </w:r>
      <w:r w:rsidR="006C479E">
        <w:t>R</w:t>
      </w:r>
      <w:r>
        <w:t xml:space="preserve">egional or </w:t>
      </w:r>
      <w:r w:rsidR="006C479E">
        <w:t>A</w:t>
      </w:r>
      <w:r>
        <w:t xml:space="preserve">rea </w:t>
      </w:r>
      <w:r w:rsidR="006C479E">
        <w:t>U</w:t>
      </w:r>
      <w:r>
        <w:t xml:space="preserve">nits). </w:t>
      </w:r>
      <w:r w:rsidR="00E00CC1">
        <w:t>The data analyses focussed on the NZGBS information available for</w:t>
      </w:r>
      <w:r w:rsidR="008B79B2">
        <w:t xml:space="preserve"> mainland urban areas and the period</w:t>
      </w:r>
      <w:r w:rsidR="00E00CC1">
        <w:t xml:space="preserve"> 2008–2014. (Data for 2007 were excluded due to the lack of geographic coordinate information</w:t>
      </w:r>
      <w:r w:rsidR="008B79B2">
        <w:t xml:space="preserve">; </w:t>
      </w:r>
      <w:r w:rsidR="00494026">
        <w:t>table</w:t>
      </w:r>
      <w:r w:rsidR="008B79B2">
        <w:t xml:space="preserve"> 1</w:t>
      </w:r>
      <w:r w:rsidR="00E00CC1">
        <w:t>.)</w:t>
      </w:r>
    </w:p>
    <w:p w:rsidR="00DC272F" w:rsidRPr="000C319E" w:rsidRDefault="007D704F" w:rsidP="00DC272F">
      <w:pPr>
        <w:pStyle w:val="Heading2"/>
      </w:pPr>
      <w:bookmarkStart w:id="20" w:name="_Toc427250823"/>
      <w:r>
        <w:t>S</w:t>
      </w:r>
      <w:r w:rsidR="009957CD">
        <w:t xml:space="preserve">patial </w:t>
      </w:r>
      <w:r>
        <w:t>variation in sampling effort</w:t>
      </w:r>
      <w:bookmarkEnd w:id="20"/>
    </w:p>
    <w:p w:rsidR="00F41B92" w:rsidRDefault="00DE4E85" w:rsidP="00F35D87">
      <w:pPr>
        <w:pStyle w:val="BodyText"/>
      </w:pPr>
      <w:r w:rsidRPr="00F41B92">
        <w:t>As previous work has highlighted (</w:t>
      </w:r>
      <w:r w:rsidR="00E21FE7">
        <w:t>Spurr</w:t>
      </w:r>
      <w:r w:rsidR="006C479E">
        <w:t>,</w:t>
      </w:r>
      <w:r w:rsidR="00E21FE7">
        <w:t xml:space="preserve"> 2012a</w:t>
      </w:r>
      <w:r w:rsidRPr="00F41B92">
        <w:t xml:space="preserve">), sampling effort varied among regions and </w:t>
      </w:r>
      <w:r w:rsidR="0035507B" w:rsidRPr="00F41B92">
        <w:t>years within regions (</w:t>
      </w:r>
      <w:r w:rsidR="00494026">
        <w:t>figure</w:t>
      </w:r>
      <w:r w:rsidR="0035507B" w:rsidRPr="00F41B92">
        <w:t xml:space="preserve"> </w:t>
      </w:r>
      <w:r w:rsidR="00031420" w:rsidRPr="00F41B92">
        <w:t>3</w:t>
      </w:r>
      <w:r w:rsidR="0035507B" w:rsidRPr="00F41B92">
        <w:t xml:space="preserve">). </w:t>
      </w:r>
      <w:r w:rsidR="00CA7657" w:rsidRPr="00F41B92">
        <w:t>Regions with large cities (Auckland, Canterbury, Wellington and Otago) tend</w:t>
      </w:r>
      <w:r w:rsidR="006C479E">
        <w:t>ed</w:t>
      </w:r>
      <w:r w:rsidR="00CA7657" w:rsidRPr="00F41B92">
        <w:t xml:space="preserve"> to contribute more observations than oth</w:t>
      </w:r>
      <w:r w:rsidR="00CA7657" w:rsidRPr="00B452C1">
        <w:t>er areas</w:t>
      </w:r>
      <w:r w:rsidR="00EB6A09" w:rsidRPr="00B452C1">
        <w:t xml:space="preserve">, which is evident when we consider sampling effort </w:t>
      </w:r>
      <w:r w:rsidR="00CA7657" w:rsidRPr="00B452C1">
        <w:t>within Urban Areas</w:t>
      </w:r>
      <w:r w:rsidR="00EB6A09" w:rsidRPr="00B452C1">
        <w:t xml:space="preserve"> (</w:t>
      </w:r>
      <w:r w:rsidR="00494026">
        <w:t>figure</w:t>
      </w:r>
      <w:r w:rsidR="00EB6A09" w:rsidRPr="00B452C1">
        <w:t xml:space="preserve"> </w:t>
      </w:r>
      <w:r w:rsidR="00031420" w:rsidRPr="00B452C1">
        <w:t>4</w:t>
      </w:r>
      <w:r w:rsidR="00EB6A09" w:rsidRPr="00B452C1">
        <w:t>)</w:t>
      </w:r>
      <w:r w:rsidR="005E7F8C" w:rsidRPr="00B452C1">
        <w:t xml:space="preserve">. </w:t>
      </w:r>
      <w:r w:rsidR="00D05518" w:rsidRPr="00B452C1">
        <w:t xml:space="preserve">Within </w:t>
      </w:r>
      <w:r w:rsidR="008F3D77" w:rsidRPr="00B452C1">
        <w:t>Area Unit</w:t>
      </w:r>
      <w:r w:rsidR="00D05518" w:rsidRPr="00B452C1">
        <w:t>s</w:t>
      </w:r>
      <w:r w:rsidR="008F3D77" w:rsidRPr="00B452C1">
        <w:t xml:space="preserve">, sampling effort </w:t>
      </w:r>
      <w:r w:rsidR="00F41B92" w:rsidRPr="00B452C1">
        <w:t xml:space="preserve">also varied </w:t>
      </w:r>
      <w:r w:rsidR="009A1879" w:rsidRPr="00B452C1">
        <w:t>widely</w:t>
      </w:r>
      <w:r w:rsidR="00F41B92" w:rsidRPr="00B452C1">
        <w:t xml:space="preserve"> over time</w:t>
      </w:r>
      <w:r w:rsidR="005A408B">
        <w:t>.</w:t>
      </w:r>
      <w:r w:rsidR="00B452C1" w:rsidRPr="00B452C1">
        <w:t xml:space="preserve"> </w:t>
      </w:r>
      <w:r w:rsidR="005A408B">
        <w:t xml:space="preserve">In </w:t>
      </w:r>
      <w:r w:rsidR="009A1879" w:rsidRPr="00B452C1">
        <w:t>Dunedin</w:t>
      </w:r>
      <w:r w:rsidR="005A408B">
        <w:t xml:space="preserve"> (</w:t>
      </w:r>
      <w:r w:rsidR="00B452C1" w:rsidRPr="00B452C1">
        <w:t>an Urban Area containing 59 Area Units</w:t>
      </w:r>
      <w:r w:rsidR="005A408B">
        <w:t xml:space="preserve">), for example, there </w:t>
      </w:r>
      <w:r w:rsidR="000D078C">
        <w:t>wa</w:t>
      </w:r>
      <w:r w:rsidR="005A408B">
        <w:t>s</w:t>
      </w:r>
      <w:r w:rsidR="00B452C1" w:rsidRPr="00B452C1">
        <w:t xml:space="preserve"> often large temporal variation in levels of participation</w:t>
      </w:r>
      <w:r w:rsidR="008F03C6">
        <w:t xml:space="preserve">, particularly in those </w:t>
      </w:r>
      <w:r w:rsidR="008F03C6" w:rsidRPr="00B452C1">
        <w:t>Area Uni</w:t>
      </w:r>
      <w:r w:rsidR="008F03C6">
        <w:t>ts</w:t>
      </w:r>
      <w:r w:rsidR="008F03C6" w:rsidRPr="00B452C1">
        <w:t xml:space="preserve"> with 10 or more gardens surveyed</w:t>
      </w:r>
      <w:r w:rsidR="008F03C6">
        <w:t>, on average, per year</w:t>
      </w:r>
      <w:r w:rsidR="005A408B">
        <w:t xml:space="preserve"> (</w:t>
      </w:r>
      <w:r w:rsidR="00494026">
        <w:t>figure</w:t>
      </w:r>
      <w:r w:rsidR="005A408B">
        <w:t xml:space="preserve"> 5)</w:t>
      </w:r>
      <w:r w:rsidR="00B452C1" w:rsidRPr="00B452C1">
        <w:t>.</w:t>
      </w:r>
    </w:p>
    <w:p w:rsidR="0035507B" w:rsidRDefault="0035507B" w:rsidP="00F35D87">
      <w:pPr>
        <w:pStyle w:val="BodyText"/>
      </w:pPr>
    </w:p>
    <w:p w:rsidR="00F35D87" w:rsidRDefault="00F35D87" w:rsidP="00F35D87">
      <w:pPr>
        <w:pStyle w:val="BodyText"/>
      </w:pPr>
    </w:p>
    <w:p w:rsidR="00F35D87" w:rsidRDefault="00F35D87" w:rsidP="00F35D87">
      <w:pPr>
        <w:pStyle w:val="Figureheading"/>
      </w:pPr>
      <w:bookmarkStart w:id="21" w:name="_Toc430354513"/>
      <w:r>
        <w:t xml:space="preserve">Figure 3: </w:t>
      </w:r>
      <w:r>
        <w:tab/>
      </w:r>
      <w:r w:rsidRPr="00932040">
        <w:t>Variation among years</w:t>
      </w:r>
      <w:r>
        <w:t xml:space="preserve"> (n = 7)</w:t>
      </w:r>
      <w:r w:rsidRPr="00932040">
        <w:t xml:space="preserve"> in </w:t>
      </w:r>
      <w:r>
        <w:t>the total number of gardens sampled</w:t>
      </w:r>
      <w:r w:rsidRPr="00932040">
        <w:t xml:space="preserve"> </w:t>
      </w:r>
      <w:r>
        <w:t>within each</w:t>
      </w:r>
      <w:r w:rsidRPr="00932040">
        <w:t xml:space="preserve"> region</w:t>
      </w:r>
      <w:bookmarkEnd w:id="21"/>
    </w:p>
    <w:p w:rsidR="004F53AC" w:rsidRDefault="003B1C93" w:rsidP="00F35D87">
      <w:pPr>
        <w:pStyle w:val="BodyText"/>
      </w:pPr>
      <w:r>
        <w:rPr>
          <w:noProof/>
          <w:lang w:eastAsia="en-NZ"/>
        </w:rPr>
        <w:drawing>
          <wp:inline distT="0" distB="0" distL="0" distR="0" wp14:anchorId="3A9E313A" wp14:editId="61D34267">
            <wp:extent cx="5128769" cy="32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28769" cy="3240000"/>
                    </a:xfrm>
                    <a:prstGeom prst="rect">
                      <a:avLst/>
                    </a:prstGeom>
                  </pic:spPr>
                </pic:pic>
              </a:graphicData>
            </a:graphic>
          </wp:inline>
        </w:drawing>
      </w:r>
    </w:p>
    <w:p w:rsidR="008B79B2" w:rsidRDefault="001B68DE" w:rsidP="00F35D87">
      <w:pPr>
        <w:pStyle w:val="BodyText"/>
      </w:pPr>
      <w:r w:rsidRPr="001B68DE">
        <w:t>Note these analyses only consider Urban Areas within each region; see table 1 for the total number of gardens surve</w:t>
      </w:r>
      <w:r>
        <w:t>yed in Urban Areas in each year</w:t>
      </w:r>
      <w:r w:rsidRPr="001B68DE">
        <w:t>. Boxes contain the 25th and 75th percentiles and the line within the box is the median. The whiskers extend to the most extreme data point (which is no more than 1.5 times the interquartile range from the box), and outlier points show the minimum and maximum values.</w:t>
      </w:r>
    </w:p>
    <w:p w:rsidR="00AF1C92" w:rsidRDefault="00AF1C92" w:rsidP="00F35D87">
      <w:pPr>
        <w:pStyle w:val="BodyText"/>
      </w:pPr>
    </w:p>
    <w:p w:rsidR="00AF1C92" w:rsidRDefault="00AF1C92" w:rsidP="00F35D87">
      <w:pPr>
        <w:pStyle w:val="BodyText"/>
        <w:sectPr w:rsidR="00AF1C92" w:rsidSect="007547DF">
          <w:pgSz w:w="11907" w:h="16840" w:code="9"/>
          <w:pgMar w:top="1701" w:right="1418" w:bottom="1701" w:left="1418" w:header="567" w:footer="567" w:gutter="567"/>
          <w:cols w:space="720"/>
        </w:sectPr>
      </w:pPr>
    </w:p>
    <w:p w:rsidR="00F35D87" w:rsidRDefault="00F35D87" w:rsidP="00F35D87">
      <w:pPr>
        <w:pStyle w:val="Figureheading"/>
        <w:spacing w:after="0"/>
      </w:pPr>
      <w:bookmarkStart w:id="22" w:name="_Toc430354514"/>
      <w:r>
        <w:t xml:space="preserve">Figure 4: </w:t>
      </w:r>
      <w:r>
        <w:tab/>
      </w:r>
      <w:r w:rsidRPr="00932040">
        <w:t>Variation among years</w:t>
      </w:r>
      <w:r>
        <w:t xml:space="preserve"> (n = 7)</w:t>
      </w:r>
      <w:r w:rsidRPr="00932040">
        <w:t xml:space="preserve"> in </w:t>
      </w:r>
      <w:r>
        <w:t>the number of gardens (+1)</w:t>
      </w:r>
      <w:r w:rsidRPr="00932040">
        <w:t xml:space="preserve"> </w:t>
      </w:r>
      <w:r>
        <w:t>surveyed within each Urban Area (n = 141) by region</w:t>
      </w:r>
      <w:bookmarkEnd w:id="22"/>
    </w:p>
    <w:p w:rsidR="00703F50" w:rsidRDefault="00393246" w:rsidP="00F35D87">
      <w:pPr>
        <w:pStyle w:val="BodyText"/>
      </w:pPr>
      <w:r>
        <w:rPr>
          <w:noProof/>
          <w:lang w:eastAsia="en-NZ"/>
        </w:rPr>
        <w:drawing>
          <wp:inline distT="0" distB="0" distL="0" distR="0" wp14:anchorId="00A75C70" wp14:editId="2F91E132">
            <wp:extent cx="7979999" cy="4788000"/>
            <wp:effectExtent l="0" t="0" r="2540" b="0"/>
            <wp:docPr id="16" name="Picture 16" descr="G:\catriona\Agg_indices\Publications\Reports\GBS - MfE\urban are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atriona\Agg_indices\Publications\Reports\GBS - MfE\urban areas.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79999" cy="4788000"/>
                    </a:xfrm>
                    <a:prstGeom prst="rect">
                      <a:avLst/>
                    </a:prstGeom>
                    <a:noFill/>
                    <a:ln>
                      <a:noFill/>
                    </a:ln>
                  </pic:spPr>
                </pic:pic>
              </a:graphicData>
            </a:graphic>
          </wp:inline>
        </w:drawing>
      </w:r>
    </w:p>
    <w:p w:rsidR="00B87662" w:rsidRDefault="00B87662" w:rsidP="00B87662">
      <w:r>
        <w:t>Note b</w:t>
      </w:r>
      <w:r w:rsidRPr="00B87662">
        <w:t>oxes contain the 25th and 75th percentiles and the line within the box is the median. The whiskers extend to the most extreme data point (which is no more than 1.5 times the interquartile range from the box), and outlier points show the minimum and maximum values.</w:t>
      </w:r>
    </w:p>
    <w:p w:rsidR="00F35D87" w:rsidRDefault="00F35D87" w:rsidP="00F35D87">
      <w:pPr>
        <w:pStyle w:val="Figureheading"/>
      </w:pPr>
      <w:bookmarkStart w:id="23" w:name="_Toc430354515"/>
      <w:r>
        <w:t xml:space="preserve">Figure 5: </w:t>
      </w:r>
      <w:r>
        <w:tab/>
        <w:t>Variation in the number of survey gardens among years (n = 7) within each of the 59 Area Units in one Urban Area (Dunedin)</w:t>
      </w:r>
      <w:bookmarkEnd w:id="23"/>
    </w:p>
    <w:p w:rsidR="00F35D87" w:rsidRDefault="00F35D87" w:rsidP="009A1879">
      <w:pPr>
        <w:pStyle w:val="BodyText"/>
        <w:jc w:val="center"/>
      </w:pPr>
    </w:p>
    <w:p w:rsidR="00703F50" w:rsidRDefault="00334BC5" w:rsidP="009A1879">
      <w:pPr>
        <w:pStyle w:val="BodyText"/>
        <w:jc w:val="center"/>
      </w:pPr>
      <w:r>
        <w:rPr>
          <w:noProof/>
          <w:lang w:eastAsia="en-NZ"/>
        </w:rPr>
        <w:drawing>
          <wp:inline distT="0" distB="0" distL="0" distR="0" wp14:anchorId="0A7910F6" wp14:editId="618C6B85">
            <wp:extent cx="6511636" cy="4113600"/>
            <wp:effectExtent l="0" t="0" r="381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525949" cy="4122642"/>
                    </a:xfrm>
                    <a:prstGeom prst="rect">
                      <a:avLst/>
                    </a:prstGeom>
                  </pic:spPr>
                </pic:pic>
              </a:graphicData>
            </a:graphic>
          </wp:inline>
        </w:drawing>
      </w:r>
    </w:p>
    <w:p w:rsidR="003D1DE4" w:rsidRDefault="003D1DE4" w:rsidP="00F35D87">
      <w:pPr>
        <w:pStyle w:val="BodyText"/>
      </w:pPr>
    </w:p>
    <w:p w:rsidR="00334BC5" w:rsidRDefault="00334BC5" w:rsidP="00F35D87">
      <w:pPr>
        <w:pStyle w:val="BodyText"/>
        <w:sectPr w:rsidR="00334BC5" w:rsidSect="00334BC5">
          <w:pgSz w:w="16840" w:h="11907" w:orient="landscape" w:code="9"/>
          <w:pgMar w:top="1418" w:right="1701" w:bottom="1418" w:left="1701" w:header="567" w:footer="567" w:gutter="567"/>
          <w:cols w:space="720"/>
          <w:docGrid w:linePitch="299"/>
        </w:sectPr>
      </w:pPr>
    </w:p>
    <w:p w:rsidR="00DC272F" w:rsidRPr="000C319E" w:rsidRDefault="005B2E38" w:rsidP="00DC272F">
      <w:pPr>
        <w:pStyle w:val="Heading2"/>
      </w:pPr>
      <w:bookmarkStart w:id="24" w:name="_Toc427250824"/>
      <w:r>
        <w:t xml:space="preserve">Focal </w:t>
      </w:r>
      <w:r w:rsidR="004F4545">
        <w:t xml:space="preserve">bird </w:t>
      </w:r>
      <w:r>
        <w:t>species</w:t>
      </w:r>
      <w:bookmarkEnd w:id="24"/>
    </w:p>
    <w:p w:rsidR="00690FCA" w:rsidRDefault="00A22784" w:rsidP="00DC272F">
      <w:pPr>
        <w:pStyle w:val="BodyText"/>
      </w:pPr>
      <w:r>
        <w:t xml:space="preserve">Our analysis </w:t>
      </w:r>
      <w:r w:rsidR="00DC272F" w:rsidRPr="000C319E">
        <w:t>focus</w:t>
      </w:r>
      <w:r>
        <w:t>sed</w:t>
      </w:r>
      <w:r w:rsidR="00DC272F" w:rsidRPr="000C319E">
        <w:t xml:space="preserve"> on</w:t>
      </w:r>
      <w:r w:rsidR="005A1C28">
        <w:t xml:space="preserve"> </w:t>
      </w:r>
      <w:r>
        <w:t>quantifying</w:t>
      </w:r>
      <w:r w:rsidR="005A1C28">
        <w:t xml:space="preserve"> </w:t>
      </w:r>
      <w:r>
        <w:t>population trends of four</w:t>
      </w:r>
      <w:r w:rsidR="00DC272F" w:rsidRPr="000C319E">
        <w:t xml:space="preserve"> bird species</w:t>
      </w:r>
      <w:r w:rsidR="00690FCA">
        <w:t>: blackbird (</w:t>
      </w:r>
      <w:proofErr w:type="spellStart"/>
      <w:r w:rsidR="00690FCA" w:rsidRPr="00690FCA">
        <w:rPr>
          <w:i/>
        </w:rPr>
        <w:t>Turdus</w:t>
      </w:r>
      <w:proofErr w:type="spellEnd"/>
      <w:r w:rsidR="00690FCA" w:rsidRPr="00690FCA">
        <w:rPr>
          <w:i/>
        </w:rPr>
        <w:t xml:space="preserve"> </w:t>
      </w:r>
      <w:proofErr w:type="spellStart"/>
      <w:r w:rsidR="00690FCA" w:rsidRPr="00690FCA">
        <w:rPr>
          <w:i/>
        </w:rPr>
        <w:t>merula</w:t>
      </w:r>
      <w:proofErr w:type="spellEnd"/>
      <w:r w:rsidR="00690FCA">
        <w:t>), fantail/</w:t>
      </w:r>
      <w:proofErr w:type="spellStart"/>
      <w:r w:rsidR="00690FCA" w:rsidRPr="00690FCA">
        <w:t>pīwakawaka</w:t>
      </w:r>
      <w:proofErr w:type="spellEnd"/>
      <w:r w:rsidR="00690FCA">
        <w:t xml:space="preserve"> (</w:t>
      </w:r>
      <w:proofErr w:type="spellStart"/>
      <w:r w:rsidR="00690FCA" w:rsidRPr="00690FCA">
        <w:rPr>
          <w:i/>
        </w:rPr>
        <w:t>Rhipidura</w:t>
      </w:r>
      <w:proofErr w:type="spellEnd"/>
      <w:r w:rsidR="00690FCA" w:rsidRPr="00690FCA">
        <w:rPr>
          <w:i/>
        </w:rPr>
        <w:t xml:space="preserve"> </w:t>
      </w:r>
      <w:proofErr w:type="spellStart"/>
      <w:r w:rsidR="00690FCA" w:rsidRPr="00690FCA">
        <w:rPr>
          <w:i/>
        </w:rPr>
        <w:t>fuliginosa</w:t>
      </w:r>
      <w:proofErr w:type="spellEnd"/>
      <w:r w:rsidR="00690FCA">
        <w:t>), silvereye/</w:t>
      </w:r>
      <w:proofErr w:type="spellStart"/>
      <w:r w:rsidR="00690FCA" w:rsidRPr="00690FCA">
        <w:t>tauhou</w:t>
      </w:r>
      <w:proofErr w:type="spellEnd"/>
      <w:r w:rsidR="00690FCA">
        <w:t xml:space="preserve"> (</w:t>
      </w:r>
      <w:proofErr w:type="spellStart"/>
      <w:r w:rsidR="00690FCA" w:rsidRPr="00690FCA">
        <w:rPr>
          <w:i/>
        </w:rPr>
        <w:t>Zosterops</w:t>
      </w:r>
      <w:proofErr w:type="spellEnd"/>
      <w:r w:rsidR="00690FCA" w:rsidRPr="00690FCA">
        <w:rPr>
          <w:i/>
        </w:rPr>
        <w:t xml:space="preserve"> </w:t>
      </w:r>
      <w:proofErr w:type="spellStart"/>
      <w:r w:rsidR="00690FCA" w:rsidRPr="00690FCA">
        <w:rPr>
          <w:i/>
        </w:rPr>
        <w:t>lateralis</w:t>
      </w:r>
      <w:proofErr w:type="spellEnd"/>
      <w:r w:rsidR="00690FCA">
        <w:t xml:space="preserve">) and </w:t>
      </w:r>
      <w:proofErr w:type="spellStart"/>
      <w:r w:rsidR="00FC061A">
        <w:t>t</w:t>
      </w:r>
      <w:r w:rsidR="00690FCA">
        <w:t>ūī</w:t>
      </w:r>
      <w:proofErr w:type="spellEnd"/>
      <w:r w:rsidR="00690FCA">
        <w:t xml:space="preserve"> (</w:t>
      </w:r>
      <w:proofErr w:type="spellStart"/>
      <w:r w:rsidR="00690FCA" w:rsidRPr="00690FCA">
        <w:rPr>
          <w:i/>
        </w:rPr>
        <w:t>Prosthemadera</w:t>
      </w:r>
      <w:proofErr w:type="spellEnd"/>
      <w:r w:rsidR="00690FCA" w:rsidRPr="00690FCA">
        <w:rPr>
          <w:i/>
        </w:rPr>
        <w:t xml:space="preserve"> </w:t>
      </w:r>
      <w:proofErr w:type="spellStart"/>
      <w:r w:rsidR="00690FCA" w:rsidRPr="00690FCA">
        <w:rPr>
          <w:i/>
        </w:rPr>
        <w:t>novaeseelandiae</w:t>
      </w:r>
      <w:proofErr w:type="spellEnd"/>
      <w:r w:rsidR="00690FCA">
        <w:t>)</w:t>
      </w:r>
      <w:r>
        <w:t>.</w:t>
      </w:r>
      <w:r w:rsidR="00DC272F" w:rsidRPr="000C319E">
        <w:t xml:space="preserve"> </w:t>
      </w:r>
    </w:p>
    <w:p w:rsidR="00690FCA" w:rsidRDefault="00690FCA" w:rsidP="00DC272F">
      <w:pPr>
        <w:pStyle w:val="BodyText"/>
      </w:pPr>
    </w:p>
    <w:p w:rsidR="00DC272F" w:rsidRDefault="00465267" w:rsidP="00DC272F">
      <w:pPr>
        <w:pStyle w:val="BodyText"/>
      </w:pPr>
      <w:r>
        <w:t>S</w:t>
      </w:r>
      <w:r w:rsidR="00690FCA">
        <w:t xml:space="preserve">ummary plots of the NZGBS bird counts highlighted some </w:t>
      </w:r>
      <w:r w:rsidR="00DC272F" w:rsidRPr="000C319E">
        <w:t>differen</w:t>
      </w:r>
      <w:r w:rsidR="00690FCA">
        <w:t>ces in</w:t>
      </w:r>
      <w:r w:rsidR="00DC272F" w:rsidRPr="000C319E">
        <w:t xml:space="preserve"> data characteristics</w:t>
      </w:r>
      <w:r w:rsidR="00690FCA">
        <w:t xml:space="preserve"> among the four species</w:t>
      </w:r>
      <w:r w:rsidR="00DC272F" w:rsidRPr="000C319E">
        <w:t xml:space="preserve"> </w:t>
      </w:r>
      <w:r w:rsidR="00367017">
        <w:t>(</w:t>
      </w:r>
      <w:r w:rsidR="00494026">
        <w:t>figure</w:t>
      </w:r>
      <w:r w:rsidR="00920442">
        <w:t xml:space="preserve"> </w:t>
      </w:r>
      <w:r w:rsidR="00031420">
        <w:t>7</w:t>
      </w:r>
      <w:r w:rsidR="00B85407">
        <w:t>)</w:t>
      </w:r>
      <w:r w:rsidR="00920442">
        <w:t>.</w:t>
      </w:r>
      <w:r w:rsidR="00690FCA">
        <w:t xml:space="preserve"> </w:t>
      </w:r>
      <w:r w:rsidR="00992781">
        <w:t>Silvereye and b</w:t>
      </w:r>
      <w:r w:rsidR="00690FCA">
        <w:t xml:space="preserve">lackbird consistently had relatively high counts </w:t>
      </w:r>
      <w:r w:rsidR="00FC061A">
        <w:t xml:space="preserve">compared </w:t>
      </w:r>
      <w:r w:rsidR="00690FCA">
        <w:t>to the other two species</w:t>
      </w:r>
      <w:r w:rsidR="00A81682">
        <w:t>. Ann</w:t>
      </w:r>
      <w:r w:rsidR="0038278E">
        <w:t xml:space="preserve">ual fluctuations in the median </w:t>
      </w:r>
      <w:r w:rsidR="00A81682">
        <w:t>counts (</w:t>
      </w:r>
      <w:r w:rsidR="00494026">
        <w:t>figure</w:t>
      </w:r>
      <w:r w:rsidR="00CC0680">
        <w:t xml:space="preserve"> 7</w:t>
      </w:r>
      <w:r w:rsidR="00A81682">
        <w:t xml:space="preserve">) were evident for </w:t>
      </w:r>
      <w:r w:rsidR="00690FCA">
        <w:t>tūī</w:t>
      </w:r>
      <w:r w:rsidR="00A81682">
        <w:t xml:space="preserve"> and silvereye but less so for fantail and blackbird.</w:t>
      </w:r>
      <w:r w:rsidR="00367017">
        <w:t xml:space="preserve"> </w:t>
      </w:r>
      <w:r w:rsidR="0038278E">
        <w:t xml:space="preserve">The </w:t>
      </w:r>
      <w:r w:rsidR="009B24E4">
        <w:t>data are count</w:t>
      </w:r>
      <w:r w:rsidR="0038278E">
        <w:t xml:space="preserve">s </w:t>
      </w:r>
      <w:r w:rsidR="009B24E4">
        <w:t>with many values of zero (</w:t>
      </w:r>
      <w:proofErr w:type="spellStart"/>
      <w:r w:rsidR="00DB4A9D">
        <w:t>ie</w:t>
      </w:r>
      <w:proofErr w:type="spellEnd"/>
      <w:r w:rsidR="00DB4A9D">
        <w:t>,</w:t>
      </w:r>
      <w:r w:rsidR="009B24E4">
        <w:t xml:space="preserve"> gardens in which the species was not seen)</w:t>
      </w:r>
      <w:r w:rsidR="00F63F1A">
        <w:t>, in particular for fantail and, to a lesser extent, tūī. The skewed nature of these data needs careful consideration when analysing the data</w:t>
      </w:r>
      <w:r w:rsidR="00943169">
        <w:t xml:space="preserve"> and</w:t>
      </w:r>
      <w:r w:rsidR="00F63F1A">
        <w:t xml:space="preserve"> fitting the models (requiring Poisson error distributions).</w:t>
      </w:r>
      <w:r w:rsidR="009B24E4">
        <w:t xml:space="preserve"> </w:t>
      </w:r>
    </w:p>
    <w:p w:rsidR="00213863" w:rsidRDefault="00213863" w:rsidP="00213863">
      <w:pPr>
        <w:pStyle w:val="BodyText"/>
      </w:pPr>
    </w:p>
    <w:p w:rsidR="00F35D87" w:rsidRDefault="00F35D87" w:rsidP="00213863">
      <w:pPr>
        <w:pStyle w:val="BodyText"/>
      </w:pPr>
    </w:p>
    <w:p w:rsidR="000B02B9" w:rsidRDefault="000B02B9" w:rsidP="000B02B9">
      <w:pPr>
        <w:pStyle w:val="Figureheading"/>
      </w:pPr>
      <w:bookmarkStart w:id="25" w:name="_Toc430354516"/>
      <w:r>
        <w:t xml:space="preserve">Figure 7: </w:t>
      </w:r>
      <w:r>
        <w:tab/>
        <w:t xml:space="preserve">Boxplots of counts for each bird species (considering </w:t>
      </w:r>
      <w:proofErr w:type="gramStart"/>
      <w:r>
        <w:t>Urban</w:t>
      </w:r>
      <w:proofErr w:type="gramEnd"/>
      <w:r>
        <w:t xml:space="preserve"> areas only; see table 1 for the total number of gardens surveyed per year)</w:t>
      </w:r>
      <w:bookmarkEnd w:id="25"/>
    </w:p>
    <w:p w:rsidR="00F63F1A" w:rsidRDefault="00F63F1A" w:rsidP="00213863">
      <w:pPr>
        <w:pStyle w:val="BodyText"/>
      </w:pPr>
    </w:p>
    <w:p w:rsidR="00213863" w:rsidRPr="000B02B9" w:rsidRDefault="003B1C93" w:rsidP="000B02B9">
      <w:pPr>
        <w:pStyle w:val="BodyText"/>
      </w:pPr>
      <w:r w:rsidRPr="000B02B9">
        <w:rPr>
          <w:noProof/>
          <w:lang w:eastAsia="en-NZ"/>
        </w:rPr>
        <w:drawing>
          <wp:inline distT="0" distB="0" distL="0" distR="0" wp14:anchorId="6305ADB6" wp14:editId="6BE5FFEC">
            <wp:extent cx="5400040" cy="34113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00040" cy="3411371"/>
                    </a:xfrm>
                    <a:prstGeom prst="rect">
                      <a:avLst/>
                    </a:prstGeom>
                  </pic:spPr>
                </pic:pic>
              </a:graphicData>
            </a:graphic>
          </wp:inline>
        </w:drawing>
      </w:r>
    </w:p>
    <w:p w:rsidR="005B2E38" w:rsidRPr="00CE03E9" w:rsidRDefault="00B87662" w:rsidP="00CE03E9">
      <w:pPr>
        <w:pStyle w:val="BodyText"/>
      </w:pPr>
      <w:r>
        <w:t>Note b</w:t>
      </w:r>
      <w:r w:rsidRPr="00B87662">
        <w:t>oxes contain the 25th and 75th percentiles and the line within the box is the median. The whiskers extend to the most extreme data point (which is no more than 1.5 times the interquartile range from the box), and outlier points show the minimum and maximum values.</w:t>
      </w:r>
      <w:r w:rsidR="005B2E38">
        <w:br w:type="page"/>
      </w:r>
    </w:p>
    <w:p w:rsidR="004D4C08" w:rsidRDefault="004D4C08" w:rsidP="005B2E38">
      <w:pPr>
        <w:pStyle w:val="Heading2"/>
      </w:pPr>
      <w:bookmarkStart w:id="26" w:name="_Toc427250825"/>
      <w:r>
        <w:t>Preliminary analyses</w:t>
      </w:r>
      <w:r w:rsidR="000F6C94">
        <w:t xml:space="preserve"> of abundance trends</w:t>
      </w:r>
      <w:bookmarkEnd w:id="26"/>
    </w:p>
    <w:p w:rsidR="00D2058E" w:rsidRPr="000B02B9" w:rsidRDefault="004D4C08" w:rsidP="000B02B9">
      <w:pPr>
        <w:pStyle w:val="BodyText"/>
      </w:pPr>
      <w:r w:rsidRPr="000B02B9">
        <w:t xml:space="preserve">We explored the use </w:t>
      </w:r>
      <w:r w:rsidR="000E3538" w:rsidRPr="000B02B9">
        <w:t>of generalised mixed effects models to account for repeated measures gathered from spatially nested units</w:t>
      </w:r>
      <w:r w:rsidR="00D2058E" w:rsidRPr="000B02B9">
        <w:t xml:space="preserve">. </w:t>
      </w:r>
      <w:r w:rsidR="003D4B1E" w:rsidRPr="000B02B9">
        <w:t>A set of four models were fitted for each species independently (</w:t>
      </w:r>
      <w:r w:rsidR="00494026" w:rsidRPr="000B02B9">
        <w:t>table</w:t>
      </w:r>
      <w:r w:rsidR="003D4B1E" w:rsidRPr="000B02B9">
        <w:t xml:space="preserve"> 2) using the </w:t>
      </w:r>
      <w:proofErr w:type="spellStart"/>
      <w:r w:rsidR="003D4B1E" w:rsidRPr="000B02B9">
        <w:rPr>
          <w:rStyle w:val="R-codeChar"/>
          <w:rFonts w:cs="Courier New"/>
        </w:rPr>
        <w:t>glmer</w:t>
      </w:r>
      <w:proofErr w:type="spellEnd"/>
      <w:r w:rsidR="003D4B1E" w:rsidRPr="000B02B9">
        <w:t xml:space="preserve"> function in the </w:t>
      </w:r>
      <w:r w:rsidR="003D4B1E" w:rsidRPr="000B02B9">
        <w:rPr>
          <w:rStyle w:val="R-codeChar"/>
          <w:rFonts w:cs="Courier New"/>
        </w:rPr>
        <w:t>lme4</w:t>
      </w:r>
      <w:r w:rsidR="003D4B1E" w:rsidRPr="000B02B9">
        <w:t xml:space="preserve"> package (</w:t>
      </w:r>
      <w:r w:rsidR="003D4B1E" w:rsidRPr="000B02B9">
        <w:rPr>
          <w:rStyle w:val="R-codeChar"/>
          <w:rFonts w:cs="Courier New"/>
        </w:rPr>
        <w:t>lme4</w:t>
      </w:r>
      <w:r w:rsidR="003D4B1E" w:rsidRPr="000B02B9">
        <w:rPr>
          <w:rStyle w:val="R-codeChar"/>
          <w:rFonts w:ascii="Times New Roman" w:hAnsi="Times New Roman"/>
        </w:rPr>
        <w:t xml:space="preserve"> 1.1-8</w:t>
      </w:r>
      <w:r w:rsidR="00DD24FA" w:rsidRPr="000B02B9">
        <w:t>; Bates et al</w:t>
      </w:r>
      <w:r w:rsidR="00DD0AE2" w:rsidRPr="000B02B9">
        <w:t>,</w:t>
      </w:r>
      <w:r w:rsidR="00DD24FA" w:rsidRPr="000B02B9">
        <w:t xml:space="preserve"> 2015a,</w:t>
      </w:r>
      <w:r w:rsidR="00DD0AE2" w:rsidRPr="000B02B9">
        <w:t xml:space="preserve"> 2015</w:t>
      </w:r>
      <w:r w:rsidR="00DD24FA" w:rsidRPr="000B02B9">
        <w:t>b</w:t>
      </w:r>
      <w:r w:rsidR="003D4B1E" w:rsidRPr="000B02B9">
        <w:t xml:space="preserve">) in </w:t>
      </w:r>
      <w:r w:rsidR="003D4B1E" w:rsidRPr="000B02B9">
        <w:rPr>
          <w:rStyle w:val="R-codeChar"/>
          <w:rFonts w:ascii="Times New Roman" w:hAnsi="Times New Roman"/>
        </w:rPr>
        <w:t>R</w:t>
      </w:r>
      <w:r w:rsidR="003D4B1E" w:rsidRPr="000B02B9">
        <w:t xml:space="preserve"> (</w:t>
      </w:r>
      <w:r w:rsidR="00BE0CB1" w:rsidRPr="000B02B9">
        <w:t>R Core Team</w:t>
      </w:r>
      <w:r w:rsidR="000F6C94" w:rsidRPr="000B02B9">
        <w:t>,</w:t>
      </w:r>
      <w:r w:rsidR="00BE0CB1" w:rsidRPr="000B02B9">
        <w:t xml:space="preserve"> 2015</w:t>
      </w:r>
      <w:r w:rsidR="003D4B1E" w:rsidRPr="000B02B9">
        <w:t>).</w:t>
      </w:r>
    </w:p>
    <w:p w:rsidR="00D2058E" w:rsidRDefault="00D2058E" w:rsidP="003D4B1E">
      <w:pPr>
        <w:pStyle w:val="Heading3"/>
      </w:pPr>
      <w:r>
        <w:t>Model specifications</w:t>
      </w:r>
    </w:p>
    <w:p w:rsidR="007D704F" w:rsidRDefault="003D4B1E" w:rsidP="001B266A">
      <w:pPr>
        <w:pStyle w:val="BodyText"/>
      </w:pPr>
      <w:r>
        <w:t xml:space="preserve">The sampling unit was the garden, with </w:t>
      </w:r>
      <w:r w:rsidR="001B266A">
        <w:t xml:space="preserve">the bird count </w:t>
      </w:r>
      <w:r>
        <w:t>for the focal species</w:t>
      </w:r>
      <w:r w:rsidR="001B266A">
        <w:t xml:space="preserve"> (‘Count’)</w:t>
      </w:r>
      <w:r>
        <w:t xml:space="preserve"> </w:t>
      </w:r>
      <w:r w:rsidR="001B266A">
        <w:t xml:space="preserve">specified as the response variable and </w:t>
      </w:r>
      <w:r>
        <w:t>the year of the survey (‘</w:t>
      </w:r>
      <w:proofErr w:type="spellStart"/>
      <w:r>
        <w:t>YearStd</w:t>
      </w:r>
      <w:proofErr w:type="spellEnd"/>
      <w:r>
        <w:t>’) specified as the only fixed effect</w:t>
      </w:r>
      <w:r w:rsidR="001B266A">
        <w:t>. To account for the spatial variation in sampling effort, a</w:t>
      </w:r>
      <w:r w:rsidR="00C61C1A">
        <w:t>ll</w:t>
      </w:r>
      <w:r w:rsidR="00354DA7" w:rsidRPr="00DF3CC1">
        <w:t xml:space="preserve"> models </w:t>
      </w:r>
      <w:r w:rsidR="00C61C1A">
        <w:t>included</w:t>
      </w:r>
      <w:r w:rsidR="00354DA7" w:rsidRPr="00DF3CC1">
        <w:t xml:space="preserve"> random slopes and intercepts</w:t>
      </w:r>
      <w:r w:rsidR="001B266A">
        <w:t xml:space="preserve">; these </w:t>
      </w:r>
      <w:r w:rsidR="00354DA7" w:rsidRPr="00DF3CC1">
        <w:t>differ</w:t>
      </w:r>
      <w:r w:rsidR="00C61C1A">
        <w:t>ed</w:t>
      </w:r>
      <w:r w:rsidR="00354DA7" w:rsidRPr="00DF3CC1">
        <w:t xml:space="preserve"> as to the </w:t>
      </w:r>
      <w:r w:rsidR="00354DA7">
        <w:t xml:space="preserve">spatial </w:t>
      </w:r>
      <w:r w:rsidR="00354DA7" w:rsidRPr="00DF3CC1">
        <w:t xml:space="preserve">level at which these random effects </w:t>
      </w:r>
      <w:r w:rsidR="00C61C1A">
        <w:t>were</w:t>
      </w:r>
      <w:r w:rsidR="00354DA7" w:rsidRPr="00DF3CC1">
        <w:t xml:space="preserve"> estimated</w:t>
      </w:r>
      <w:r w:rsidR="001B266A">
        <w:t xml:space="preserve"> (</w:t>
      </w:r>
      <w:r w:rsidR="00494026">
        <w:t>table</w:t>
      </w:r>
      <w:r w:rsidR="001B266A">
        <w:t xml:space="preserve"> 2). Three spatial</w:t>
      </w:r>
      <w:r>
        <w:t>ly nested</w:t>
      </w:r>
      <w:r w:rsidR="001B266A">
        <w:t xml:space="preserve"> </w:t>
      </w:r>
      <w:r>
        <w:t>variables were</w:t>
      </w:r>
      <w:r w:rsidR="001B266A">
        <w:t xml:space="preserve"> considered</w:t>
      </w:r>
      <w:r>
        <w:t xml:space="preserve"> (</w:t>
      </w:r>
      <w:r w:rsidR="00494026">
        <w:t>figure</w:t>
      </w:r>
      <w:r>
        <w:t xml:space="preserve"> 2):</w:t>
      </w:r>
      <w:r w:rsidR="001B266A">
        <w:t xml:space="preserve"> Region (‘</w:t>
      </w:r>
      <w:proofErr w:type="spellStart"/>
      <w:r w:rsidR="001B266A">
        <w:t>fRC</w:t>
      </w:r>
      <w:proofErr w:type="spellEnd"/>
      <w:r w:rsidR="001B266A">
        <w:t>’</w:t>
      </w:r>
      <w:r>
        <w:t>, 16 factor levels), U</w:t>
      </w:r>
      <w:r w:rsidR="001B266A">
        <w:t>rban Area (‘</w:t>
      </w:r>
      <w:proofErr w:type="spellStart"/>
      <w:r w:rsidR="001B266A">
        <w:t>fUA</w:t>
      </w:r>
      <w:proofErr w:type="spellEnd"/>
      <w:r w:rsidR="001B266A">
        <w:t xml:space="preserve">’, 138 </w:t>
      </w:r>
      <w:r>
        <w:t xml:space="preserve">factor </w:t>
      </w:r>
      <w:r w:rsidR="001B266A">
        <w:t>levels) and Area Unit (‘</w:t>
      </w:r>
      <w:proofErr w:type="spellStart"/>
      <w:r w:rsidR="001B266A">
        <w:t>fAU</w:t>
      </w:r>
      <w:proofErr w:type="spellEnd"/>
      <w:r w:rsidR="001B266A">
        <w:t>’, 1219</w:t>
      </w:r>
      <w:r>
        <w:t xml:space="preserve"> factor</w:t>
      </w:r>
      <w:r w:rsidR="001B266A">
        <w:t xml:space="preserve"> levels</w:t>
      </w:r>
      <w:r w:rsidR="00A83BAE">
        <w:t>)</w:t>
      </w:r>
      <w:r w:rsidR="007D704F">
        <w:t>.</w:t>
      </w:r>
      <w:r w:rsidR="00354DA7">
        <w:t xml:space="preserve"> </w:t>
      </w:r>
      <w:r w:rsidR="00F63F1A">
        <w:t xml:space="preserve">(Note: Garden identity was not considered in these analyses as this information was not readily available.) </w:t>
      </w:r>
      <w:r w:rsidR="007D704F" w:rsidRPr="00DF3CC1">
        <w:t>Models 1–3 use</w:t>
      </w:r>
      <w:r w:rsidR="007D704F">
        <w:t>d</w:t>
      </w:r>
      <w:r w:rsidR="007D704F" w:rsidRPr="00DF3CC1">
        <w:t xml:space="preserve"> increasingly fine nesting levels for the random effects</w:t>
      </w:r>
      <w:r w:rsidR="007D704F">
        <w:t>, while Model 4 excluded</w:t>
      </w:r>
      <w:r w:rsidR="007D704F" w:rsidRPr="00DF3CC1">
        <w:t xml:space="preserve"> the middle </w:t>
      </w:r>
      <w:r w:rsidR="007D704F">
        <w:t>level (</w:t>
      </w:r>
      <w:r w:rsidR="007D704F" w:rsidRPr="00DF3CC1">
        <w:t xml:space="preserve">Urban </w:t>
      </w:r>
      <w:r w:rsidR="007D704F">
        <w:t>A</w:t>
      </w:r>
      <w:r w:rsidR="007D704F" w:rsidRPr="00DF3CC1">
        <w:t>rea</w:t>
      </w:r>
      <w:r w:rsidR="007D704F">
        <w:t>)</w:t>
      </w:r>
      <w:r>
        <w:t xml:space="preserve">. All models specified a Poisson error distribution </w:t>
      </w:r>
      <w:r w:rsidR="009B24E4">
        <w:t xml:space="preserve">to accommodate count data </w:t>
      </w:r>
      <w:r>
        <w:t xml:space="preserve">and included an </w:t>
      </w:r>
      <w:proofErr w:type="spellStart"/>
      <w:r>
        <w:t>overdispersion</w:t>
      </w:r>
      <w:proofErr w:type="spellEnd"/>
      <w:r>
        <w:t xml:space="preserve"> term (‘1|Obs’)</w:t>
      </w:r>
      <w:r w:rsidR="009B24E4">
        <w:t xml:space="preserve"> to account for the large number of zeros in the response variable</w:t>
      </w:r>
      <w:r>
        <w:t xml:space="preserve">. </w:t>
      </w:r>
    </w:p>
    <w:p w:rsidR="00354DA7" w:rsidRDefault="00354DA7" w:rsidP="008D2E8C">
      <w:pPr>
        <w:pStyle w:val="BodyText"/>
      </w:pPr>
    </w:p>
    <w:p w:rsidR="005A1C28" w:rsidRDefault="00E9398A" w:rsidP="008D2E8C">
      <w:pPr>
        <w:pStyle w:val="BodyText"/>
      </w:pPr>
      <w:r>
        <w:t>T</w:t>
      </w:r>
      <w:r w:rsidR="008D2E8C">
        <w:t>he best-</w:t>
      </w:r>
      <w:r w:rsidR="005A1C28">
        <w:t>fit model</w:t>
      </w:r>
      <w:r w:rsidR="008D2E8C">
        <w:t xml:space="preserve"> </w:t>
      </w:r>
      <w:r>
        <w:t xml:space="preserve">was identified </w:t>
      </w:r>
      <w:r w:rsidR="008D2E8C">
        <w:t xml:space="preserve">from </w:t>
      </w:r>
      <w:r>
        <w:t xml:space="preserve">the </w:t>
      </w:r>
      <w:r w:rsidR="008D2E8C">
        <w:t>set of candidate models</w:t>
      </w:r>
      <w:r w:rsidR="007D704F">
        <w:t xml:space="preserve"> (</w:t>
      </w:r>
      <w:r w:rsidR="00494026">
        <w:t>table</w:t>
      </w:r>
      <w:r w:rsidR="007D704F">
        <w:t xml:space="preserve"> </w:t>
      </w:r>
      <w:r w:rsidR="00D2058E">
        <w:t>2</w:t>
      </w:r>
      <w:r w:rsidR="007D704F">
        <w:t xml:space="preserve">), using </w:t>
      </w:r>
      <w:proofErr w:type="spellStart"/>
      <w:r w:rsidR="007D704F">
        <w:t>Akaike’s</w:t>
      </w:r>
      <w:proofErr w:type="spellEnd"/>
      <w:r w:rsidR="007D704F">
        <w:t xml:space="preserve"> Information Criterion to compare models (Burnham </w:t>
      </w:r>
      <w:r w:rsidR="00DD0AE2">
        <w:t>and</w:t>
      </w:r>
      <w:r w:rsidR="007D704F">
        <w:t xml:space="preserve"> Anderson</w:t>
      </w:r>
      <w:r w:rsidR="00494026">
        <w:t>,</w:t>
      </w:r>
      <w:r w:rsidR="007D704F">
        <w:t xml:space="preserve"> 2002)</w:t>
      </w:r>
      <w:r w:rsidR="005A1C28">
        <w:t>.</w:t>
      </w:r>
      <w:r w:rsidR="008D2E8C">
        <w:t xml:space="preserve"> </w:t>
      </w:r>
      <w:r w:rsidR="00DC276E">
        <w:t>W</w:t>
      </w:r>
      <w:r w:rsidR="00FF634A">
        <w:t>e</w:t>
      </w:r>
      <w:r w:rsidR="00DC276E">
        <w:t xml:space="preserve"> also documented whether </w:t>
      </w:r>
      <w:r w:rsidR="007D704F">
        <w:t>each</w:t>
      </w:r>
      <w:r w:rsidR="00DC276E">
        <w:t xml:space="preserve"> </w:t>
      </w:r>
      <w:r w:rsidR="007D704F">
        <w:t>model</w:t>
      </w:r>
      <w:r w:rsidR="00DC276E">
        <w:t xml:space="preserve"> converged</w:t>
      </w:r>
      <w:r w:rsidR="00321851">
        <w:t xml:space="preserve"> </w:t>
      </w:r>
      <w:r w:rsidR="00DC276E">
        <w:t>or not</w:t>
      </w:r>
      <w:r w:rsidR="007D704F">
        <w:t xml:space="preserve"> and how long it took to run</w:t>
      </w:r>
      <w:r w:rsidR="00DC276E">
        <w:t xml:space="preserve"> (</w:t>
      </w:r>
      <w:r w:rsidR="00FF634A">
        <w:t xml:space="preserve">using the </w:t>
      </w:r>
      <w:proofErr w:type="spellStart"/>
      <w:r w:rsidR="00DC276E" w:rsidRPr="00E9398A">
        <w:rPr>
          <w:rStyle w:val="R-codeChar"/>
          <w:rFonts w:ascii="Times New Roman" w:hAnsi="Times New Roman"/>
        </w:rPr>
        <w:t>System.time</w:t>
      </w:r>
      <w:proofErr w:type="spellEnd"/>
      <w:r w:rsidR="00113656" w:rsidRPr="00E9398A">
        <w:t xml:space="preserve"> </w:t>
      </w:r>
      <w:r w:rsidR="00FC061A" w:rsidRPr="00E9398A">
        <w:t xml:space="preserve">command in </w:t>
      </w:r>
      <w:r w:rsidR="00FC061A" w:rsidRPr="00962F36">
        <w:rPr>
          <w:rStyle w:val="R-codeChar"/>
        </w:rPr>
        <w:t>R</w:t>
      </w:r>
      <w:r w:rsidR="00FC061A" w:rsidRPr="00E9398A">
        <w:t>).</w:t>
      </w:r>
      <w:r w:rsidR="00321851">
        <w:t xml:space="preserve"> (Note that a non-convergent model is one that has not found the optimal statistical fit but it can still provide valid insight.)</w:t>
      </w:r>
    </w:p>
    <w:p w:rsidR="00231E4C" w:rsidRPr="00DF3CC1" w:rsidRDefault="00231E4C" w:rsidP="00DF3CC1">
      <w:pPr>
        <w:pStyle w:val="BodyText"/>
      </w:pPr>
    </w:p>
    <w:p w:rsidR="00D2058E" w:rsidRDefault="00D2058E" w:rsidP="00D2058E">
      <w:pPr>
        <w:pStyle w:val="Heading3"/>
      </w:pPr>
      <w:r>
        <w:t>Evaluation of fitted models</w:t>
      </w:r>
    </w:p>
    <w:p w:rsidR="00F06FFB" w:rsidRDefault="00F06FFB" w:rsidP="00F06FFB">
      <w:pPr>
        <w:pStyle w:val="BodyText"/>
      </w:pPr>
      <w:r>
        <w:t>For all four bird species, the best-fit model (Model 3</w:t>
      </w:r>
      <w:r w:rsidR="00E9398A">
        <w:t>; based on AIC values</w:t>
      </w:r>
      <w:r>
        <w:t xml:space="preserve">) was the most complex of the four candidate models considered. This model accounted for spatial nesting of gardens at three levels (Region, Urban Areas and Area Units). </w:t>
      </w:r>
    </w:p>
    <w:p w:rsidR="00F06FFB" w:rsidRDefault="00F06FFB" w:rsidP="00F06FFB">
      <w:pPr>
        <w:pStyle w:val="BodyText"/>
      </w:pPr>
    </w:p>
    <w:p w:rsidR="00F06FFB" w:rsidRDefault="00F06FFB" w:rsidP="00F06FFB">
      <w:pPr>
        <w:pStyle w:val="BodyText"/>
      </w:pPr>
      <w:r>
        <w:t>The large sample size of the NZGBS dataset has a number of implications</w:t>
      </w:r>
      <w:r w:rsidR="0063725E">
        <w:t>.</w:t>
      </w:r>
      <w:r>
        <w:t xml:space="preserve"> (1) The models are somewhat computationally intensive to fit, especially as model complexity increases, and are not guaranteed to converge to a stable solution. The most complex model (Model 3) typically took eight times as long to fit as the simplest </w:t>
      </w:r>
      <w:r w:rsidR="0063725E">
        <w:t xml:space="preserve">model </w:t>
      </w:r>
      <w:r>
        <w:t xml:space="preserve">(Model 1; </w:t>
      </w:r>
      <w:r w:rsidR="00494026">
        <w:t>table</w:t>
      </w:r>
      <w:r>
        <w:t xml:space="preserve"> 2). (2) With larger datasets, improvements in the model fit tend to dominate penalties for increased complexity (</w:t>
      </w:r>
      <w:r w:rsidR="00494026">
        <w:t>table</w:t>
      </w:r>
      <w:r>
        <w:t xml:space="preserve"> 2). (3) Using AIC to choose a model might suggest a larger model than is necessary for the inference required; if the models give very similar answers, then it might make sense to use a simple or faster one depending on the objectives being addressed.</w:t>
      </w:r>
    </w:p>
    <w:p w:rsidR="002C04E8" w:rsidRDefault="002C04E8" w:rsidP="002C04E8">
      <w:pPr>
        <w:pStyle w:val="BodyText"/>
      </w:pPr>
    </w:p>
    <w:p w:rsidR="00D2058E" w:rsidRPr="000B02B9" w:rsidRDefault="00D2058E" w:rsidP="000B02B9">
      <w:pPr>
        <w:pStyle w:val="BodyText"/>
      </w:pPr>
      <w:r w:rsidRPr="000B02B9">
        <w:t>The models have been fit with</w:t>
      </w:r>
      <w:r w:rsidR="000B02B9" w:rsidRPr="000B02B9">
        <w:t xml:space="preserve"> </w:t>
      </w:r>
      <w:r w:rsidRPr="00C45557">
        <w:rPr>
          <w:rStyle w:val="R-codeChar"/>
          <w:rFonts w:cs="Courier New"/>
        </w:rPr>
        <w:t xml:space="preserve">lme4 </w:t>
      </w:r>
      <w:r w:rsidRPr="00C45557">
        <w:t>1.1-8</w:t>
      </w:r>
      <w:r w:rsidRPr="000B02B9">
        <w:t>, which is the latest version</w:t>
      </w:r>
      <w:r w:rsidRPr="000B02B9">
        <w:rPr>
          <w:rStyle w:val="FootnoteReference"/>
          <w:vertAlign w:val="baseline"/>
        </w:rPr>
        <w:footnoteReference w:id="4"/>
      </w:r>
      <w:r w:rsidRPr="000B02B9">
        <w:t xml:space="preserve"> of this </w:t>
      </w:r>
      <w:r w:rsidRPr="000B02B9">
        <w:rPr>
          <w:rStyle w:val="R-codeChar"/>
          <w:rFonts w:ascii="Times New Roman" w:hAnsi="Times New Roman"/>
        </w:rPr>
        <w:t>R</w:t>
      </w:r>
      <w:r w:rsidRPr="000B02B9">
        <w:t xml:space="preserve"> package. It has a large number of additional convergence warnings, but many of these might be false positives.</w:t>
      </w:r>
    </w:p>
    <w:p w:rsidR="00574DF6" w:rsidRPr="000B02B9" w:rsidRDefault="00574DF6" w:rsidP="000B02B9">
      <w:pPr>
        <w:pStyle w:val="BodyText"/>
        <w:sectPr w:rsidR="00574DF6" w:rsidRPr="000B02B9" w:rsidSect="007547DF">
          <w:pgSz w:w="11907" w:h="16840" w:code="9"/>
          <w:pgMar w:top="1701" w:right="1418" w:bottom="1701" w:left="1418" w:header="567" w:footer="567" w:gutter="567"/>
          <w:cols w:space="720"/>
        </w:sectPr>
      </w:pPr>
    </w:p>
    <w:p w:rsidR="00F06FFB" w:rsidRDefault="00F06FFB" w:rsidP="00F06FFB">
      <w:pPr>
        <w:pStyle w:val="Tableheading"/>
      </w:pPr>
      <w:bookmarkStart w:id="27" w:name="_Toc430354508"/>
      <w:r>
        <w:t xml:space="preserve">Table 2: </w:t>
      </w:r>
      <w:r w:rsidR="000B02B9">
        <w:tab/>
      </w:r>
      <w:r>
        <w:t>Models fitted to the NZGBS data for the four focal bird species (silvereye, blackbird, t</w:t>
      </w:r>
      <w:r>
        <w:rPr>
          <w:rFonts w:cs="Arial"/>
        </w:rPr>
        <w:t>ūī</w:t>
      </w:r>
      <w:r>
        <w:t xml:space="preserve"> and fantail) to account for spatial variation in sampling effort among years</w:t>
      </w:r>
      <w:bookmarkEnd w:id="27"/>
    </w:p>
    <w:tbl>
      <w:tblPr>
        <w:tblStyle w:val="TableGrid"/>
        <w:tblW w:w="5000" w:type="pct"/>
        <w:jc w:val="center"/>
        <w:tblLook w:val="04A0" w:firstRow="1" w:lastRow="0" w:firstColumn="1" w:lastColumn="0" w:noHBand="0" w:noVBand="1"/>
      </w:tblPr>
      <w:tblGrid>
        <w:gridCol w:w="964"/>
        <w:gridCol w:w="778"/>
        <w:gridCol w:w="4624"/>
        <w:gridCol w:w="826"/>
        <w:gridCol w:w="1306"/>
        <w:gridCol w:w="1147"/>
        <w:gridCol w:w="815"/>
        <w:gridCol w:w="1078"/>
        <w:gridCol w:w="1068"/>
        <w:gridCol w:w="1048"/>
      </w:tblGrid>
      <w:tr w:rsidR="00424E68" w:rsidRPr="000B02B9" w:rsidTr="000B02B9">
        <w:trPr>
          <w:jc w:val="center"/>
        </w:trPr>
        <w:tc>
          <w:tcPr>
            <w:tcW w:w="964" w:type="dxa"/>
            <w:shd w:val="clear" w:color="auto" w:fill="D9D9D9" w:themeFill="background1" w:themeFillShade="D9"/>
          </w:tcPr>
          <w:p w:rsidR="00424E68" w:rsidRPr="000B02B9" w:rsidRDefault="00424E68" w:rsidP="000B02B9">
            <w:pPr>
              <w:pStyle w:val="TableText"/>
              <w:rPr>
                <w:b/>
                <w:bCs/>
              </w:rPr>
            </w:pPr>
            <w:r w:rsidRPr="000B02B9">
              <w:rPr>
                <w:b/>
                <w:bCs/>
              </w:rPr>
              <w:t>Species</w:t>
            </w:r>
          </w:p>
        </w:tc>
        <w:tc>
          <w:tcPr>
            <w:tcW w:w="778" w:type="dxa"/>
            <w:shd w:val="clear" w:color="auto" w:fill="D9D9D9" w:themeFill="background1" w:themeFillShade="D9"/>
          </w:tcPr>
          <w:p w:rsidR="00424E68" w:rsidRPr="000B02B9" w:rsidRDefault="00424E68" w:rsidP="000B02B9">
            <w:pPr>
              <w:pStyle w:val="TableText"/>
              <w:rPr>
                <w:b/>
                <w:bCs/>
              </w:rPr>
            </w:pPr>
            <w:r w:rsidRPr="000B02B9">
              <w:rPr>
                <w:b/>
                <w:bCs/>
              </w:rPr>
              <w:t>Model</w:t>
            </w:r>
          </w:p>
        </w:tc>
        <w:tc>
          <w:tcPr>
            <w:tcW w:w="4624" w:type="dxa"/>
            <w:shd w:val="clear" w:color="auto" w:fill="D9D9D9" w:themeFill="background1" w:themeFillShade="D9"/>
          </w:tcPr>
          <w:p w:rsidR="00424E68" w:rsidRPr="000B02B9" w:rsidRDefault="00424E68" w:rsidP="000B02B9">
            <w:pPr>
              <w:pStyle w:val="TableText"/>
              <w:rPr>
                <w:b/>
                <w:bCs/>
              </w:rPr>
            </w:pPr>
            <w:r w:rsidRPr="000B02B9">
              <w:rPr>
                <w:b/>
                <w:bCs/>
              </w:rPr>
              <w:t>Model specification</w:t>
            </w:r>
          </w:p>
        </w:tc>
        <w:tc>
          <w:tcPr>
            <w:tcW w:w="826" w:type="dxa"/>
            <w:shd w:val="clear" w:color="auto" w:fill="D9D9D9" w:themeFill="background1" w:themeFillShade="D9"/>
          </w:tcPr>
          <w:p w:rsidR="00424E68" w:rsidRPr="000B02B9" w:rsidRDefault="00424E68" w:rsidP="000B02B9">
            <w:pPr>
              <w:pStyle w:val="TableText"/>
              <w:rPr>
                <w:b/>
                <w:bCs/>
              </w:rPr>
            </w:pPr>
            <w:r w:rsidRPr="000B02B9">
              <w:rPr>
                <w:b/>
                <w:bCs/>
              </w:rPr>
              <w:t>AIC</w:t>
            </w:r>
          </w:p>
        </w:tc>
        <w:tc>
          <w:tcPr>
            <w:tcW w:w="1306" w:type="dxa"/>
            <w:shd w:val="clear" w:color="auto" w:fill="D9D9D9" w:themeFill="background1" w:themeFillShade="D9"/>
          </w:tcPr>
          <w:p w:rsidR="00424E68" w:rsidRPr="000B02B9" w:rsidRDefault="00424E68" w:rsidP="000B02B9">
            <w:pPr>
              <w:pStyle w:val="TableText"/>
              <w:rPr>
                <w:b/>
                <w:bCs/>
              </w:rPr>
            </w:pPr>
            <w:r w:rsidRPr="000B02B9">
              <w:rPr>
                <w:b/>
                <w:bCs/>
              </w:rPr>
              <w:t>Time</w:t>
            </w:r>
            <w:r w:rsidR="001F5B76" w:rsidRPr="000B02B9">
              <w:rPr>
                <w:b/>
                <w:bCs/>
              </w:rPr>
              <w:t>(secs)</w:t>
            </w:r>
          </w:p>
        </w:tc>
        <w:tc>
          <w:tcPr>
            <w:tcW w:w="1147" w:type="dxa"/>
            <w:shd w:val="clear" w:color="auto" w:fill="D9D9D9" w:themeFill="background1" w:themeFillShade="D9"/>
          </w:tcPr>
          <w:p w:rsidR="00424E68" w:rsidRPr="000B02B9" w:rsidRDefault="00424E68" w:rsidP="000B02B9">
            <w:pPr>
              <w:pStyle w:val="TableText"/>
              <w:rPr>
                <w:b/>
                <w:bCs/>
              </w:rPr>
            </w:pPr>
            <w:r w:rsidRPr="000B02B9">
              <w:rPr>
                <w:b/>
                <w:bCs/>
              </w:rPr>
              <w:t>Converge</w:t>
            </w:r>
          </w:p>
        </w:tc>
        <w:tc>
          <w:tcPr>
            <w:tcW w:w="4009" w:type="dxa"/>
            <w:gridSpan w:val="4"/>
            <w:shd w:val="clear" w:color="auto" w:fill="D9D9D9" w:themeFill="background1" w:themeFillShade="D9"/>
          </w:tcPr>
          <w:p w:rsidR="00424E68" w:rsidRPr="000B02B9" w:rsidRDefault="00424E68" w:rsidP="000B02B9">
            <w:pPr>
              <w:pStyle w:val="TableText"/>
              <w:rPr>
                <w:b/>
                <w:bCs/>
              </w:rPr>
            </w:pPr>
            <w:r w:rsidRPr="000B02B9">
              <w:rPr>
                <w:b/>
                <w:bCs/>
              </w:rPr>
              <w:t>Parameter estimates</w:t>
            </w:r>
            <w:r w:rsidR="0074795B" w:rsidRPr="000B02B9">
              <w:rPr>
                <w:b/>
                <w:bCs/>
              </w:rPr>
              <w:t xml:space="preserve"> (% change per annum)</w:t>
            </w:r>
          </w:p>
        </w:tc>
      </w:tr>
      <w:tr w:rsidR="00424E68" w:rsidTr="000B02B9">
        <w:trPr>
          <w:jc w:val="center"/>
        </w:trPr>
        <w:tc>
          <w:tcPr>
            <w:tcW w:w="964" w:type="dxa"/>
          </w:tcPr>
          <w:p w:rsidR="00424E68" w:rsidRDefault="00424E68" w:rsidP="00402657">
            <w:pPr>
              <w:pStyle w:val="TableTextbold"/>
            </w:pPr>
          </w:p>
        </w:tc>
        <w:tc>
          <w:tcPr>
            <w:tcW w:w="778" w:type="dxa"/>
            <w:vAlign w:val="bottom"/>
          </w:tcPr>
          <w:p w:rsidR="00424E68" w:rsidRDefault="00424E68" w:rsidP="00402657">
            <w:pPr>
              <w:pStyle w:val="TableTextbold"/>
            </w:pPr>
          </w:p>
        </w:tc>
        <w:tc>
          <w:tcPr>
            <w:tcW w:w="4624" w:type="dxa"/>
          </w:tcPr>
          <w:p w:rsidR="00424E68" w:rsidRDefault="00424E68" w:rsidP="00402657">
            <w:pPr>
              <w:pStyle w:val="TableTextbold"/>
            </w:pPr>
          </w:p>
        </w:tc>
        <w:tc>
          <w:tcPr>
            <w:tcW w:w="826" w:type="dxa"/>
            <w:vAlign w:val="bottom"/>
          </w:tcPr>
          <w:p w:rsidR="00424E68" w:rsidRDefault="00424E68" w:rsidP="00402657">
            <w:pPr>
              <w:pStyle w:val="TableTextbold"/>
            </w:pPr>
          </w:p>
        </w:tc>
        <w:tc>
          <w:tcPr>
            <w:tcW w:w="1306" w:type="dxa"/>
            <w:vAlign w:val="bottom"/>
          </w:tcPr>
          <w:p w:rsidR="00424E68" w:rsidRDefault="00424E68" w:rsidP="00402657">
            <w:pPr>
              <w:pStyle w:val="TableTextbold"/>
            </w:pPr>
          </w:p>
        </w:tc>
        <w:tc>
          <w:tcPr>
            <w:tcW w:w="1147" w:type="dxa"/>
            <w:vAlign w:val="bottom"/>
          </w:tcPr>
          <w:p w:rsidR="00424E68" w:rsidRDefault="00424E68" w:rsidP="00402657">
            <w:pPr>
              <w:pStyle w:val="TableTextbold"/>
            </w:pPr>
          </w:p>
        </w:tc>
        <w:tc>
          <w:tcPr>
            <w:tcW w:w="815" w:type="dxa"/>
            <w:vAlign w:val="bottom"/>
          </w:tcPr>
          <w:p w:rsidR="00424E68" w:rsidRDefault="00424E68" w:rsidP="00402657">
            <w:pPr>
              <w:pStyle w:val="TableTextbold"/>
            </w:pPr>
            <w:r>
              <w:t>Slope</w:t>
            </w:r>
          </w:p>
        </w:tc>
        <w:tc>
          <w:tcPr>
            <w:tcW w:w="1078" w:type="dxa"/>
            <w:vAlign w:val="bottom"/>
          </w:tcPr>
          <w:p w:rsidR="00424E68" w:rsidRDefault="00424E68" w:rsidP="00402657">
            <w:pPr>
              <w:pStyle w:val="TableTextbold"/>
            </w:pPr>
            <w:r>
              <w:t>Lower CI</w:t>
            </w:r>
          </w:p>
        </w:tc>
        <w:tc>
          <w:tcPr>
            <w:tcW w:w="1068" w:type="dxa"/>
            <w:vAlign w:val="bottom"/>
          </w:tcPr>
          <w:p w:rsidR="00424E68" w:rsidRDefault="00424E68" w:rsidP="00402657">
            <w:pPr>
              <w:pStyle w:val="TableTextbold"/>
            </w:pPr>
            <w:r>
              <w:t>Upper CI</w:t>
            </w:r>
          </w:p>
        </w:tc>
        <w:tc>
          <w:tcPr>
            <w:tcW w:w="1048" w:type="dxa"/>
            <w:vAlign w:val="bottom"/>
          </w:tcPr>
          <w:p w:rsidR="00424E68" w:rsidRDefault="00424E68" w:rsidP="00402657">
            <w:pPr>
              <w:pStyle w:val="TableTextbold"/>
            </w:pPr>
            <w:r>
              <w:t>CI Width</w:t>
            </w:r>
          </w:p>
        </w:tc>
      </w:tr>
      <w:tr w:rsidR="00424E68" w:rsidTr="000B02B9">
        <w:trPr>
          <w:jc w:val="center"/>
        </w:trPr>
        <w:tc>
          <w:tcPr>
            <w:tcW w:w="964" w:type="dxa"/>
          </w:tcPr>
          <w:p w:rsidR="00424E68" w:rsidRDefault="00424E68" w:rsidP="00402657">
            <w:pPr>
              <w:pStyle w:val="TableText"/>
            </w:pPr>
            <w:r>
              <w:t>Blackbird</w:t>
            </w:r>
          </w:p>
        </w:tc>
        <w:tc>
          <w:tcPr>
            <w:tcW w:w="778" w:type="dxa"/>
          </w:tcPr>
          <w:p w:rsidR="00424E68" w:rsidRDefault="00424E68" w:rsidP="00402657">
            <w:pPr>
              <w:pStyle w:val="TableText"/>
            </w:pPr>
            <w:r>
              <w:t>1</w:t>
            </w:r>
          </w:p>
        </w:tc>
        <w:tc>
          <w:tcPr>
            <w:tcW w:w="4624" w:type="dxa"/>
          </w:tcPr>
          <w:p w:rsidR="00424E68" w:rsidRDefault="00424E68" w:rsidP="00402657">
            <w:pPr>
              <w:pStyle w:val="TableText"/>
            </w:pPr>
            <w:r w:rsidRPr="00574DF6">
              <w:t xml:space="preserve">Count ~ </w:t>
            </w:r>
            <w:proofErr w:type="spellStart"/>
            <w:r w:rsidRPr="00574DF6">
              <w:t>YearStd</w:t>
            </w:r>
            <w:proofErr w:type="spellEnd"/>
            <w:r w:rsidRPr="00574DF6">
              <w:t xml:space="preserve"> + (</w:t>
            </w:r>
            <w:proofErr w:type="spellStart"/>
            <w:r w:rsidRPr="00574DF6">
              <w:t>YearStd</w:t>
            </w:r>
            <w:proofErr w:type="spellEnd"/>
            <w:r w:rsidRPr="00574DF6">
              <w:t>||</w:t>
            </w:r>
            <w:proofErr w:type="spellStart"/>
            <w:r w:rsidRPr="00574DF6">
              <w:t>fRC</w:t>
            </w:r>
            <w:proofErr w:type="spellEnd"/>
            <w:r w:rsidRPr="00574DF6">
              <w:t>) + (1|Obs)</w:t>
            </w:r>
          </w:p>
        </w:tc>
        <w:tc>
          <w:tcPr>
            <w:tcW w:w="826" w:type="dxa"/>
          </w:tcPr>
          <w:p w:rsidR="00424E68" w:rsidRDefault="00424E68" w:rsidP="00402657">
            <w:pPr>
              <w:pStyle w:val="TableText"/>
            </w:pPr>
            <w:r>
              <w:t>66615</w:t>
            </w:r>
          </w:p>
        </w:tc>
        <w:tc>
          <w:tcPr>
            <w:tcW w:w="1306" w:type="dxa"/>
          </w:tcPr>
          <w:p w:rsidR="00424E68" w:rsidRDefault="00424E68" w:rsidP="00402657">
            <w:pPr>
              <w:pStyle w:val="TableText"/>
            </w:pPr>
            <w:r>
              <w:t>16.6</w:t>
            </w:r>
          </w:p>
        </w:tc>
        <w:tc>
          <w:tcPr>
            <w:tcW w:w="1147" w:type="dxa"/>
          </w:tcPr>
          <w:p w:rsidR="00424E68" w:rsidRDefault="00424E68" w:rsidP="00402657">
            <w:pPr>
              <w:pStyle w:val="TableText"/>
            </w:pPr>
            <w:r>
              <w:t>TRUE</w:t>
            </w:r>
          </w:p>
        </w:tc>
        <w:tc>
          <w:tcPr>
            <w:tcW w:w="815" w:type="dxa"/>
          </w:tcPr>
          <w:p w:rsidR="00424E68" w:rsidRDefault="00424E68" w:rsidP="00402657">
            <w:pPr>
              <w:pStyle w:val="TableText"/>
            </w:pPr>
            <w:r>
              <w:t>-2.55</w:t>
            </w:r>
          </w:p>
        </w:tc>
        <w:tc>
          <w:tcPr>
            <w:tcW w:w="1078" w:type="dxa"/>
          </w:tcPr>
          <w:p w:rsidR="00424E68" w:rsidRDefault="00424E68" w:rsidP="00402657">
            <w:pPr>
              <w:pStyle w:val="TableText"/>
            </w:pPr>
            <w:r>
              <w:t>-3.21</w:t>
            </w:r>
          </w:p>
        </w:tc>
        <w:tc>
          <w:tcPr>
            <w:tcW w:w="1068" w:type="dxa"/>
          </w:tcPr>
          <w:p w:rsidR="00424E68" w:rsidRDefault="00424E68" w:rsidP="00402657">
            <w:pPr>
              <w:pStyle w:val="TableText"/>
            </w:pPr>
            <w:r>
              <w:t>-1.89</w:t>
            </w:r>
          </w:p>
        </w:tc>
        <w:tc>
          <w:tcPr>
            <w:tcW w:w="1048" w:type="dxa"/>
          </w:tcPr>
          <w:p w:rsidR="00424E68" w:rsidRDefault="00424E68" w:rsidP="00402657">
            <w:pPr>
              <w:pStyle w:val="TableText"/>
            </w:pPr>
            <w:r>
              <w:t>1.32</w:t>
            </w:r>
          </w:p>
        </w:tc>
      </w:tr>
      <w:tr w:rsidR="00424E68" w:rsidTr="000B02B9">
        <w:trPr>
          <w:jc w:val="center"/>
        </w:trPr>
        <w:tc>
          <w:tcPr>
            <w:tcW w:w="964" w:type="dxa"/>
          </w:tcPr>
          <w:p w:rsidR="00424E68" w:rsidRDefault="00424E68" w:rsidP="00402657">
            <w:pPr>
              <w:pStyle w:val="TableText"/>
            </w:pPr>
          </w:p>
        </w:tc>
        <w:tc>
          <w:tcPr>
            <w:tcW w:w="778" w:type="dxa"/>
          </w:tcPr>
          <w:p w:rsidR="00424E68" w:rsidRDefault="00424E68" w:rsidP="00402657">
            <w:pPr>
              <w:pStyle w:val="TableText"/>
            </w:pPr>
            <w:r>
              <w:t>2</w:t>
            </w:r>
          </w:p>
        </w:tc>
        <w:tc>
          <w:tcPr>
            <w:tcW w:w="4624" w:type="dxa"/>
          </w:tcPr>
          <w:p w:rsidR="00424E68" w:rsidRDefault="00424E68" w:rsidP="00402657">
            <w:pPr>
              <w:pStyle w:val="TableText"/>
            </w:pPr>
            <w:r w:rsidRPr="00574DF6">
              <w:t xml:space="preserve">Count ~ </w:t>
            </w:r>
            <w:proofErr w:type="spellStart"/>
            <w:r w:rsidRPr="00574DF6">
              <w:t>YearStd</w:t>
            </w:r>
            <w:proofErr w:type="spellEnd"/>
            <w:r w:rsidRPr="00574DF6">
              <w:t xml:space="preserve"> + (</w:t>
            </w:r>
            <w:proofErr w:type="spellStart"/>
            <w:r w:rsidRPr="00574DF6">
              <w:t>YearStd</w:t>
            </w:r>
            <w:proofErr w:type="spellEnd"/>
            <w:r w:rsidRPr="00574DF6">
              <w:t>||</w:t>
            </w:r>
            <w:proofErr w:type="spellStart"/>
            <w:r w:rsidRPr="00574DF6">
              <w:t>fRC</w:t>
            </w:r>
            <w:proofErr w:type="spellEnd"/>
            <w:r w:rsidRPr="00574DF6">
              <w:t>/</w:t>
            </w:r>
            <w:proofErr w:type="spellStart"/>
            <w:r w:rsidRPr="00574DF6">
              <w:t>fUA</w:t>
            </w:r>
            <w:proofErr w:type="spellEnd"/>
            <w:r w:rsidRPr="00574DF6">
              <w:t>) + (1|Obs)</w:t>
            </w:r>
          </w:p>
        </w:tc>
        <w:tc>
          <w:tcPr>
            <w:tcW w:w="826" w:type="dxa"/>
          </w:tcPr>
          <w:p w:rsidR="00424E68" w:rsidRDefault="00424E68" w:rsidP="00402657">
            <w:pPr>
              <w:pStyle w:val="TableText"/>
            </w:pPr>
            <w:r>
              <w:t>66515</w:t>
            </w:r>
          </w:p>
        </w:tc>
        <w:tc>
          <w:tcPr>
            <w:tcW w:w="1306" w:type="dxa"/>
          </w:tcPr>
          <w:p w:rsidR="00424E68" w:rsidRDefault="00424E68" w:rsidP="00402657">
            <w:pPr>
              <w:pStyle w:val="TableText"/>
            </w:pPr>
            <w:r>
              <w:t>85.4</w:t>
            </w:r>
          </w:p>
        </w:tc>
        <w:tc>
          <w:tcPr>
            <w:tcW w:w="1147" w:type="dxa"/>
          </w:tcPr>
          <w:p w:rsidR="00424E68" w:rsidRDefault="00424E68" w:rsidP="00402657">
            <w:pPr>
              <w:pStyle w:val="TableText"/>
            </w:pPr>
            <w:r>
              <w:t>TRUE</w:t>
            </w:r>
          </w:p>
        </w:tc>
        <w:tc>
          <w:tcPr>
            <w:tcW w:w="815" w:type="dxa"/>
          </w:tcPr>
          <w:p w:rsidR="00424E68" w:rsidRDefault="00424E68" w:rsidP="00402657">
            <w:pPr>
              <w:pStyle w:val="TableText"/>
            </w:pPr>
            <w:r>
              <w:t>-2.58</w:t>
            </w:r>
          </w:p>
        </w:tc>
        <w:tc>
          <w:tcPr>
            <w:tcW w:w="1078" w:type="dxa"/>
          </w:tcPr>
          <w:p w:rsidR="00424E68" w:rsidRDefault="00424E68" w:rsidP="00402657">
            <w:pPr>
              <w:pStyle w:val="TableText"/>
            </w:pPr>
            <w:r>
              <w:t>-3.24</w:t>
            </w:r>
          </w:p>
        </w:tc>
        <w:tc>
          <w:tcPr>
            <w:tcW w:w="1068" w:type="dxa"/>
          </w:tcPr>
          <w:p w:rsidR="00424E68" w:rsidRDefault="00424E68" w:rsidP="00402657">
            <w:pPr>
              <w:pStyle w:val="TableText"/>
            </w:pPr>
            <w:r>
              <w:t>-1.92</w:t>
            </w:r>
          </w:p>
        </w:tc>
        <w:tc>
          <w:tcPr>
            <w:tcW w:w="1048" w:type="dxa"/>
          </w:tcPr>
          <w:p w:rsidR="00424E68" w:rsidRDefault="00424E68" w:rsidP="00402657">
            <w:pPr>
              <w:pStyle w:val="TableText"/>
            </w:pPr>
            <w:r>
              <w:t>1.32</w:t>
            </w:r>
          </w:p>
        </w:tc>
      </w:tr>
      <w:tr w:rsidR="00424E68" w:rsidTr="000B02B9">
        <w:trPr>
          <w:jc w:val="center"/>
        </w:trPr>
        <w:tc>
          <w:tcPr>
            <w:tcW w:w="964" w:type="dxa"/>
          </w:tcPr>
          <w:p w:rsidR="00424E68" w:rsidRDefault="00424E68" w:rsidP="00402657">
            <w:pPr>
              <w:pStyle w:val="TableText"/>
            </w:pPr>
          </w:p>
        </w:tc>
        <w:tc>
          <w:tcPr>
            <w:tcW w:w="778" w:type="dxa"/>
          </w:tcPr>
          <w:p w:rsidR="00424E68" w:rsidRPr="00784FA4" w:rsidRDefault="00424E68" w:rsidP="00402657">
            <w:pPr>
              <w:pStyle w:val="TableText"/>
              <w:rPr>
                <w:b/>
              </w:rPr>
            </w:pPr>
            <w:r w:rsidRPr="00784FA4">
              <w:rPr>
                <w:b/>
              </w:rPr>
              <w:t>3</w:t>
            </w:r>
          </w:p>
        </w:tc>
        <w:tc>
          <w:tcPr>
            <w:tcW w:w="4624" w:type="dxa"/>
          </w:tcPr>
          <w:p w:rsidR="00424E68" w:rsidRPr="001909B6" w:rsidRDefault="00424E68" w:rsidP="00402657">
            <w:pPr>
              <w:pStyle w:val="TableText"/>
              <w:rPr>
                <w:b/>
              </w:rPr>
            </w:pPr>
            <w:r w:rsidRPr="00574DF6">
              <w:rPr>
                <w:b/>
              </w:rPr>
              <w:t xml:space="preserve">Count ~ </w:t>
            </w:r>
            <w:proofErr w:type="spellStart"/>
            <w:r w:rsidRPr="00574DF6">
              <w:rPr>
                <w:b/>
              </w:rPr>
              <w:t>YearStd</w:t>
            </w:r>
            <w:proofErr w:type="spellEnd"/>
            <w:r w:rsidRPr="00574DF6">
              <w:rPr>
                <w:b/>
              </w:rPr>
              <w:t xml:space="preserve"> + (</w:t>
            </w:r>
            <w:proofErr w:type="spellStart"/>
            <w:r w:rsidRPr="00574DF6">
              <w:rPr>
                <w:b/>
              </w:rPr>
              <w:t>YearStd</w:t>
            </w:r>
            <w:proofErr w:type="spellEnd"/>
            <w:r w:rsidRPr="00574DF6">
              <w:rPr>
                <w:b/>
              </w:rPr>
              <w:t>||</w:t>
            </w:r>
            <w:proofErr w:type="spellStart"/>
            <w:r w:rsidRPr="00574DF6">
              <w:rPr>
                <w:b/>
              </w:rPr>
              <w:t>fRC</w:t>
            </w:r>
            <w:proofErr w:type="spellEnd"/>
            <w:r w:rsidRPr="00574DF6">
              <w:rPr>
                <w:b/>
              </w:rPr>
              <w:t>/</w:t>
            </w:r>
            <w:proofErr w:type="spellStart"/>
            <w:r w:rsidRPr="00574DF6">
              <w:rPr>
                <w:b/>
              </w:rPr>
              <w:t>fUA</w:t>
            </w:r>
            <w:proofErr w:type="spellEnd"/>
            <w:r w:rsidRPr="00574DF6">
              <w:rPr>
                <w:b/>
              </w:rPr>
              <w:t>/</w:t>
            </w:r>
            <w:proofErr w:type="spellStart"/>
            <w:r w:rsidRPr="00574DF6">
              <w:rPr>
                <w:b/>
              </w:rPr>
              <w:t>fAU</w:t>
            </w:r>
            <w:proofErr w:type="spellEnd"/>
            <w:r w:rsidRPr="00574DF6">
              <w:rPr>
                <w:b/>
              </w:rPr>
              <w:t>) + (1|Obs)</w:t>
            </w:r>
          </w:p>
        </w:tc>
        <w:tc>
          <w:tcPr>
            <w:tcW w:w="826" w:type="dxa"/>
          </w:tcPr>
          <w:p w:rsidR="00424E68" w:rsidRPr="00784FA4" w:rsidRDefault="00424E68" w:rsidP="00402657">
            <w:pPr>
              <w:pStyle w:val="TableText"/>
              <w:rPr>
                <w:b/>
              </w:rPr>
            </w:pPr>
            <w:r w:rsidRPr="00784FA4">
              <w:rPr>
                <w:b/>
              </w:rPr>
              <w:t>66395</w:t>
            </w:r>
          </w:p>
        </w:tc>
        <w:tc>
          <w:tcPr>
            <w:tcW w:w="1306" w:type="dxa"/>
          </w:tcPr>
          <w:p w:rsidR="00424E68" w:rsidRPr="00784FA4" w:rsidRDefault="00424E68" w:rsidP="00402657">
            <w:pPr>
              <w:pStyle w:val="TableText"/>
              <w:rPr>
                <w:b/>
              </w:rPr>
            </w:pPr>
            <w:r w:rsidRPr="00784FA4">
              <w:rPr>
                <w:b/>
              </w:rPr>
              <w:t>206</w:t>
            </w:r>
          </w:p>
        </w:tc>
        <w:tc>
          <w:tcPr>
            <w:tcW w:w="1147" w:type="dxa"/>
          </w:tcPr>
          <w:p w:rsidR="00424E68" w:rsidRPr="00784FA4" w:rsidRDefault="00424E68" w:rsidP="00402657">
            <w:pPr>
              <w:pStyle w:val="TableText"/>
              <w:rPr>
                <w:b/>
              </w:rPr>
            </w:pPr>
            <w:r w:rsidRPr="00784FA4">
              <w:rPr>
                <w:b/>
              </w:rPr>
              <w:t>FALSE</w:t>
            </w:r>
          </w:p>
        </w:tc>
        <w:tc>
          <w:tcPr>
            <w:tcW w:w="815" w:type="dxa"/>
          </w:tcPr>
          <w:p w:rsidR="00424E68" w:rsidRPr="00784FA4" w:rsidRDefault="00424E68" w:rsidP="00402657">
            <w:pPr>
              <w:pStyle w:val="TableText"/>
              <w:rPr>
                <w:b/>
              </w:rPr>
            </w:pPr>
            <w:r w:rsidRPr="00784FA4">
              <w:rPr>
                <w:b/>
              </w:rPr>
              <w:t>-2.58</w:t>
            </w:r>
          </w:p>
        </w:tc>
        <w:tc>
          <w:tcPr>
            <w:tcW w:w="1078" w:type="dxa"/>
          </w:tcPr>
          <w:p w:rsidR="00424E68" w:rsidRPr="00784FA4" w:rsidRDefault="00424E68" w:rsidP="00402657">
            <w:pPr>
              <w:pStyle w:val="TableText"/>
              <w:rPr>
                <w:b/>
              </w:rPr>
            </w:pPr>
            <w:r w:rsidRPr="00784FA4">
              <w:rPr>
                <w:b/>
              </w:rPr>
              <w:t>-3.3</w:t>
            </w:r>
          </w:p>
        </w:tc>
        <w:tc>
          <w:tcPr>
            <w:tcW w:w="1068" w:type="dxa"/>
          </w:tcPr>
          <w:p w:rsidR="00424E68" w:rsidRPr="00784FA4" w:rsidRDefault="00424E68" w:rsidP="00402657">
            <w:pPr>
              <w:pStyle w:val="TableText"/>
              <w:rPr>
                <w:b/>
              </w:rPr>
            </w:pPr>
            <w:r w:rsidRPr="00784FA4">
              <w:rPr>
                <w:b/>
              </w:rPr>
              <w:t>-1.86</w:t>
            </w:r>
          </w:p>
        </w:tc>
        <w:tc>
          <w:tcPr>
            <w:tcW w:w="1048" w:type="dxa"/>
          </w:tcPr>
          <w:p w:rsidR="00424E68" w:rsidRPr="00784FA4" w:rsidRDefault="00424E68" w:rsidP="00402657">
            <w:pPr>
              <w:pStyle w:val="TableText"/>
              <w:rPr>
                <w:b/>
              </w:rPr>
            </w:pPr>
            <w:r w:rsidRPr="00784FA4">
              <w:rPr>
                <w:b/>
              </w:rPr>
              <w:t>1.44</w:t>
            </w:r>
          </w:p>
        </w:tc>
      </w:tr>
      <w:tr w:rsidR="00424E68" w:rsidTr="000B02B9">
        <w:trPr>
          <w:jc w:val="center"/>
        </w:trPr>
        <w:tc>
          <w:tcPr>
            <w:tcW w:w="964" w:type="dxa"/>
          </w:tcPr>
          <w:p w:rsidR="00424E68" w:rsidRDefault="00424E68" w:rsidP="00402657">
            <w:pPr>
              <w:pStyle w:val="TableText"/>
            </w:pPr>
          </w:p>
        </w:tc>
        <w:tc>
          <w:tcPr>
            <w:tcW w:w="778" w:type="dxa"/>
          </w:tcPr>
          <w:p w:rsidR="00424E68" w:rsidRDefault="00424E68" w:rsidP="00402657">
            <w:pPr>
              <w:pStyle w:val="TableText"/>
            </w:pPr>
            <w:r>
              <w:t>4</w:t>
            </w:r>
          </w:p>
        </w:tc>
        <w:tc>
          <w:tcPr>
            <w:tcW w:w="4624" w:type="dxa"/>
          </w:tcPr>
          <w:p w:rsidR="00424E68" w:rsidRDefault="00424E68" w:rsidP="00402657">
            <w:pPr>
              <w:pStyle w:val="TableText"/>
            </w:pPr>
            <w:r w:rsidRPr="00574DF6">
              <w:t xml:space="preserve">Count ~ </w:t>
            </w:r>
            <w:proofErr w:type="spellStart"/>
            <w:r w:rsidRPr="00574DF6">
              <w:t>YearStd</w:t>
            </w:r>
            <w:proofErr w:type="spellEnd"/>
            <w:r w:rsidRPr="00574DF6">
              <w:t xml:space="preserve"> + (</w:t>
            </w:r>
            <w:proofErr w:type="spellStart"/>
            <w:r w:rsidRPr="00574DF6">
              <w:t>YearStd</w:t>
            </w:r>
            <w:proofErr w:type="spellEnd"/>
            <w:r w:rsidRPr="00574DF6">
              <w:t>||</w:t>
            </w:r>
            <w:proofErr w:type="spellStart"/>
            <w:r w:rsidRPr="00574DF6">
              <w:t>fRC</w:t>
            </w:r>
            <w:proofErr w:type="spellEnd"/>
            <w:r w:rsidRPr="00574DF6">
              <w:t>/</w:t>
            </w:r>
            <w:proofErr w:type="spellStart"/>
            <w:r w:rsidRPr="00574DF6">
              <w:t>fAU</w:t>
            </w:r>
            <w:proofErr w:type="spellEnd"/>
            <w:r w:rsidRPr="00574DF6">
              <w:t>) + (1|Obs)</w:t>
            </w:r>
          </w:p>
        </w:tc>
        <w:tc>
          <w:tcPr>
            <w:tcW w:w="826" w:type="dxa"/>
          </w:tcPr>
          <w:p w:rsidR="00424E68" w:rsidRDefault="00424E68" w:rsidP="00402657">
            <w:pPr>
              <w:pStyle w:val="TableText"/>
            </w:pPr>
            <w:r>
              <w:t>66414</w:t>
            </w:r>
          </w:p>
        </w:tc>
        <w:tc>
          <w:tcPr>
            <w:tcW w:w="1306" w:type="dxa"/>
          </w:tcPr>
          <w:p w:rsidR="00424E68" w:rsidRDefault="00424E68" w:rsidP="00402657">
            <w:pPr>
              <w:pStyle w:val="TableText"/>
            </w:pPr>
            <w:r>
              <w:t>66.4</w:t>
            </w:r>
          </w:p>
        </w:tc>
        <w:tc>
          <w:tcPr>
            <w:tcW w:w="1147" w:type="dxa"/>
          </w:tcPr>
          <w:p w:rsidR="00424E68" w:rsidRDefault="00424E68" w:rsidP="00402657">
            <w:pPr>
              <w:pStyle w:val="TableText"/>
            </w:pPr>
            <w:r>
              <w:t>TRUE</w:t>
            </w:r>
          </w:p>
        </w:tc>
        <w:tc>
          <w:tcPr>
            <w:tcW w:w="815" w:type="dxa"/>
          </w:tcPr>
          <w:p w:rsidR="00424E68" w:rsidRDefault="00424E68" w:rsidP="00402657">
            <w:pPr>
              <w:pStyle w:val="TableText"/>
            </w:pPr>
            <w:r>
              <w:t>-2.58</w:t>
            </w:r>
          </w:p>
        </w:tc>
        <w:tc>
          <w:tcPr>
            <w:tcW w:w="1078" w:type="dxa"/>
          </w:tcPr>
          <w:p w:rsidR="00424E68" w:rsidRDefault="00424E68" w:rsidP="00402657">
            <w:pPr>
              <w:pStyle w:val="TableText"/>
            </w:pPr>
            <w:r>
              <w:t>-3.29</w:t>
            </w:r>
          </w:p>
        </w:tc>
        <w:tc>
          <w:tcPr>
            <w:tcW w:w="1068" w:type="dxa"/>
          </w:tcPr>
          <w:p w:rsidR="00424E68" w:rsidRDefault="00424E68" w:rsidP="00402657">
            <w:pPr>
              <w:pStyle w:val="TableText"/>
            </w:pPr>
            <w:r>
              <w:t>-1.87</w:t>
            </w:r>
          </w:p>
        </w:tc>
        <w:tc>
          <w:tcPr>
            <w:tcW w:w="1048" w:type="dxa"/>
          </w:tcPr>
          <w:p w:rsidR="00424E68" w:rsidRDefault="00424E68" w:rsidP="00402657">
            <w:pPr>
              <w:pStyle w:val="TableText"/>
            </w:pPr>
            <w:r>
              <w:t>1.42</w:t>
            </w:r>
          </w:p>
        </w:tc>
      </w:tr>
      <w:tr w:rsidR="00424E68" w:rsidTr="000B02B9">
        <w:trPr>
          <w:jc w:val="center"/>
        </w:trPr>
        <w:tc>
          <w:tcPr>
            <w:tcW w:w="964" w:type="dxa"/>
          </w:tcPr>
          <w:p w:rsidR="00424E68" w:rsidRDefault="00424E68" w:rsidP="00402657">
            <w:pPr>
              <w:pStyle w:val="TableText"/>
            </w:pPr>
          </w:p>
        </w:tc>
        <w:tc>
          <w:tcPr>
            <w:tcW w:w="778" w:type="dxa"/>
          </w:tcPr>
          <w:p w:rsidR="00424E68" w:rsidRDefault="00424E68" w:rsidP="00402657">
            <w:pPr>
              <w:pStyle w:val="TableText"/>
            </w:pPr>
          </w:p>
        </w:tc>
        <w:tc>
          <w:tcPr>
            <w:tcW w:w="4624" w:type="dxa"/>
          </w:tcPr>
          <w:p w:rsidR="00424E68" w:rsidRPr="00574DF6" w:rsidRDefault="00424E68" w:rsidP="00402657">
            <w:pPr>
              <w:pStyle w:val="TableText"/>
            </w:pPr>
          </w:p>
        </w:tc>
        <w:tc>
          <w:tcPr>
            <w:tcW w:w="826" w:type="dxa"/>
          </w:tcPr>
          <w:p w:rsidR="00424E68" w:rsidRDefault="00424E68" w:rsidP="00402657">
            <w:pPr>
              <w:pStyle w:val="TableText"/>
            </w:pPr>
          </w:p>
        </w:tc>
        <w:tc>
          <w:tcPr>
            <w:tcW w:w="1306" w:type="dxa"/>
          </w:tcPr>
          <w:p w:rsidR="00424E68" w:rsidRDefault="00424E68" w:rsidP="00402657">
            <w:pPr>
              <w:pStyle w:val="TableText"/>
            </w:pPr>
          </w:p>
        </w:tc>
        <w:tc>
          <w:tcPr>
            <w:tcW w:w="1147" w:type="dxa"/>
          </w:tcPr>
          <w:p w:rsidR="00424E68" w:rsidRDefault="00424E68" w:rsidP="00402657">
            <w:pPr>
              <w:pStyle w:val="TableText"/>
            </w:pPr>
          </w:p>
        </w:tc>
        <w:tc>
          <w:tcPr>
            <w:tcW w:w="815" w:type="dxa"/>
          </w:tcPr>
          <w:p w:rsidR="00424E68" w:rsidRDefault="00424E68" w:rsidP="00402657">
            <w:pPr>
              <w:pStyle w:val="TableText"/>
            </w:pPr>
          </w:p>
        </w:tc>
        <w:tc>
          <w:tcPr>
            <w:tcW w:w="1078" w:type="dxa"/>
          </w:tcPr>
          <w:p w:rsidR="00424E68" w:rsidRDefault="00424E68" w:rsidP="00402657">
            <w:pPr>
              <w:pStyle w:val="TableText"/>
            </w:pPr>
          </w:p>
        </w:tc>
        <w:tc>
          <w:tcPr>
            <w:tcW w:w="1068" w:type="dxa"/>
          </w:tcPr>
          <w:p w:rsidR="00424E68" w:rsidRDefault="00424E68" w:rsidP="00402657">
            <w:pPr>
              <w:pStyle w:val="TableText"/>
            </w:pPr>
          </w:p>
        </w:tc>
        <w:tc>
          <w:tcPr>
            <w:tcW w:w="1048" w:type="dxa"/>
          </w:tcPr>
          <w:p w:rsidR="00424E68" w:rsidRDefault="00424E68" w:rsidP="00402657">
            <w:pPr>
              <w:pStyle w:val="TableText"/>
            </w:pPr>
          </w:p>
        </w:tc>
      </w:tr>
      <w:tr w:rsidR="00424E68" w:rsidTr="000B02B9">
        <w:trPr>
          <w:jc w:val="center"/>
        </w:trPr>
        <w:tc>
          <w:tcPr>
            <w:tcW w:w="964" w:type="dxa"/>
          </w:tcPr>
          <w:p w:rsidR="00424E68" w:rsidRDefault="00424E68" w:rsidP="00402657">
            <w:pPr>
              <w:pStyle w:val="TableText"/>
            </w:pPr>
            <w:r>
              <w:t>Fantail</w:t>
            </w:r>
          </w:p>
        </w:tc>
        <w:tc>
          <w:tcPr>
            <w:tcW w:w="778" w:type="dxa"/>
          </w:tcPr>
          <w:p w:rsidR="00424E68" w:rsidRDefault="00424E68" w:rsidP="00402657">
            <w:pPr>
              <w:pStyle w:val="TableText"/>
            </w:pPr>
            <w:r>
              <w:t>1</w:t>
            </w:r>
          </w:p>
        </w:tc>
        <w:tc>
          <w:tcPr>
            <w:tcW w:w="4624" w:type="dxa"/>
          </w:tcPr>
          <w:p w:rsidR="00424E68" w:rsidRDefault="00424E68" w:rsidP="00402657">
            <w:pPr>
              <w:pStyle w:val="TableText"/>
            </w:pPr>
            <w:r w:rsidRPr="00574DF6">
              <w:t xml:space="preserve">Count ~ </w:t>
            </w:r>
            <w:proofErr w:type="spellStart"/>
            <w:r w:rsidRPr="00574DF6">
              <w:t>YearStd</w:t>
            </w:r>
            <w:proofErr w:type="spellEnd"/>
            <w:r w:rsidRPr="00574DF6">
              <w:t xml:space="preserve"> + (</w:t>
            </w:r>
            <w:proofErr w:type="spellStart"/>
            <w:r w:rsidRPr="00574DF6">
              <w:t>YearStd</w:t>
            </w:r>
            <w:proofErr w:type="spellEnd"/>
            <w:r w:rsidRPr="00574DF6">
              <w:t>||</w:t>
            </w:r>
            <w:proofErr w:type="spellStart"/>
            <w:r w:rsidRPr="00574DF6">
              <w:t>fRC</w:t>
            </w:r>
            <w:proofErr w:type="spellEnd"/>
            <w:r w:rsidRPr="00574DF6">
              <w:t>) + (1|Obs)</w:t>
            </w:r>
          </w:p>
        </w:tc>
        <w:tc>
          <w:tcPr>
            <w:tcW w:w="826" w:type="dxa"/>
          </w:tcPr>
          <w:p w:rsidR="00424E68" w:rsidRDefault="00424E68" w:rsidP="00402657">
            <w:pPr>
              <w:pStyle w:val="TableText"/>
            </w:pPr>
            <w:r>
              <w:t>40874</w:t>
            </w:r>
          </w:p>
        </w:tc>
        <w:tc>
          <w:tcPr>
            <w:tcW w:w="1306" w:type="dxa"/>
          </w:tcPr>
          <w:p w:rsidR="00424E68" w:rsidRDefault="00424E68" w:rsidP="00402657">
            <w:pPr>
              <w:pStyle w:val="TableText"/>
            </w:pPr>
            <w:r>
              <w:t>20.3</w:t>
            </w:r>
          </w:p>
        </w:tc>
        <w:tc>
          <w:tcPr>
            <w:tcW w:w="1147" w:type="dxa"/>
          </w:tcPr>
          <w:p w:rsidR="00424E68" w:rsidRDefault="00424E68" w:rsidP="00402657">
            <w:pPr>
              <w:pStyle w:val="TableText"/>
            </w:pPr>
            <w:r>
              <w:t>TRUE</w:t>
            </w:r>
          </w:p>
        </w:tc>
        <w:tc>
          <w:tcPr>
            <w:tcW w:w="815" w:type="dxa"/>
          </w:tcPr>
          <w:p w:rsidR="00424E68" w:rsidRDefault="00424E68" w:rsidP="00402657">
            <w:pPr>
              <w:pStyle w:val="TableText"/>
            </w:pPr>
            <w:r>
              <w:t>0.529</w:t>
            </w:r>
          </w:p>
        </w:tc>
        <w:tc>
          <w:tcPr>
            <w:tcW w:w="1078" w:type="dxa"/>
          </w:tcPr>
          <w:p w:rsidR="00424E68" w:rsidRDefault="00424E68" w:rsidP="00402657">
            <w:pPr>
              <w:pStyle w:val="TableText"/>
            </w:pPr>
            <w:r>
              <w:t>-1.84</w:t>
            </w:r>
          </w:p>
        </w:tc>
        <w:tc>
          <w:tcPr>
            <w:tcW w:w="1068" w:type="dxa"/>
          </w:tcPr>
          <w:p w:rsidR="00424E68" w:rsidRDefault="00424E68" w:rsidP="00402657">
            <w:pPr>
              <w:pStyle w:val="TableText"/>
            </w:pPr>
            <w:r>
              <w:t>2.9</w:t>
            </w:r>
          </w:p>
        </w:tc>
        <w:tc>
          <w:tcPr>
            <w:tcW w:w="1048" w:type="dxa"/>
          </w:tcPr>
          <w:p w:rsidR="00424E68" w:rsidRDefault="00424E68" w:rsidP="00402657">
            <w:pPr>
              <w:pStyle w:val="TableText"/>
            </w:pPr>
            <w:r>
              <w:t>4.74</w:t>
            </w:r>
          </w:p>
        </w:tc>
      </w:tr>
      <w:tr w:rsidR="00424E68" w:rsidTr="000B02B9">
        <w:trPr>
          <w:jc w:val="center"/>
        </w:trPr>
        <w:tc>
          <w:tcPr>
            <w:tcW w:w="964" w:type="dxa"/>
          </w:tcPr>
          <w:p w:rsidR="00424E68" w:rsidRDefault="00424E68" w:rsidP="00402657">
            <w:pPr>
              <w:pStyle w:val="TableText"/>
            </w:pPr>
          </w:p>
        </w:tc>
        <w:tc>
          <w:tcPr>
            <w:tcW w:w="778" w:type="dxa"/>
          </w:tcPr>
          <w:p w:rsidR="00424E68" w:rsidRDefault="00424E68" w:rsidP="00402657">
            <w:pPr>
              <w:pStyle w:val="TableText"/>
            </w:pPr>
            <w:r>
              <w:t>2</w:t>
            </w:r>
          </w:p>
        </w:tc>
        <w:tc>
          <w:tcPr>
            <w:tcW w:w="4624" w:type="dxa"/>
          </w:tcPr>
          <w:p w:rsidR="00424E68" w:rsidRDefault="00424E68" w:rsidP="00402657">
            <w:pPr>
              <w:pStyle w:val="TableText"/>
            </w:pPr>
            <w:r w:rsidRPr="00574DF6">
              <w:t xml:space="preserve">Count ~ </w:t>
            </w:r>
            <w:proofErr w:type="spellStart"/>
            <w:r w:rsidRPr="00574DF6">
              <w:t>YearStd</w:t>
            </w:r>
            <w:proofErr w:type="spellEnd"/>
            <w:r w:rsidRPr="00574DF6">
              <w:t xml:space="preserve"> + (</w:t>
            </w:r>
            <w:proofErr w:type="spellStart"/>
            <w:r w:rsidRPr="00574DF6">
              <w:t>YearStd</w:t>
            </w:r>
            <w:proofErr w:type="spellEnd"/>
            <w:r w:rsidRPr="00574DF6">
              <w:t>||</w:t>
            </w:r>
            <w:proofErr w:type="spellStart"/>
            <w:r w:rsidRPr="00574DF6">
              <w:t>fRC</w:t>
            </w:r>
            <w:proofErr w:type="spellEnd"/>
            <w:r w:rsidRPr="00574DF6">
              <w:t>/</w:t>
            </w:r>
            <w:proofErr w:type="spellStart"/>
            <w:r w:rsidRPr="00574DF6">
              <w:t>fUA</w:t>
            </w:r>
            <w:proofErr w:type="spellEnd"/>
            <w:r w:rsidRPr="00574DF6">
              <w:t>) + (1|Obs)</w:t>
            </w:r>
          </w:p>
        </w:tc>
        <w:tc>
          <w:tcPr>
            <w:tcW w:w="826" w:type="dxa"/>
          </w:tcPr>
          <w:p w:rsidR="00424E68" w:rsidRDefault="00424E68" w:rsidP="00402657">
            <w:pPr>
              <w:pStyle w:val="TableText"/>
            </w:pPr>
            <w:r>
              <w:t>40449</w:t>
            </w:r>
          </w:p>
        </w:tc>
        <w:tc>
          <w:tcPr>
            <w:tcW w:w="1306" w:type="dxa"/>
          </w:tcPr>
          <w:p w:rsidR="00424E68" w:rsidRDefault="00424E68" w:rsidP="00402657">
            <w:pPr>
              <w:pStyle w:val="TableText"/>
            </w:pPr>
            <w:r>
              <w:t>48</w:t>
            </w:r>
          </w:p>
        </w:tc>
        <w:tc>
          <w:tcPr>
            <w:tcW w:w="1147" w:type="dxa"/>
          </w:tcPr>
          <w:p w:rsidR="00424E68" w:rsidRDefault="00424E68" w:rsidP="00402657">
            <w:pPr>
              <w:pStyle w:val="TableText"/>
            </w:pPr>
            <w:r>
              <w:t>TRUE</w:t>
            </w:r>
          </w:p>
        </w:tc>
        <w:tc>
          <w:tcPr>
            <w:tcW w:w="815" w:type="dxa"/>
          </w:tcPr>
          <w:p w:rsidR="00424E68" w:rsidRDefault="00424E68" w:rsidP="00402657">
            <w:pPr>
              <w:pStyle w:val="TableText"/>
            </w:pPr>
            <w:r>
              <w:t>0.399</w:t>
            </w:r>
          </w:p>
        </w:tc>
        <w:tc>
          <w:tcPr>
            <w:tcW w:w="1078" w:type="dxa"/>
          </w:tcPr>
          <w:p w:rsidR="00424E68" w:rsidRDefault="00424E68" w:rsidP="00402657">
            <w:pPr>
              <w:pStyle w:val="TableText"/>
            </w:pPr>
            <w:r>
              <w:t>-1.88</w:t>
            </w:r>
          </w:p>
        </w:tc>
        <w:tc>
          <w:tcPr>
            <w:tcW w:w="1068" w:type="dxa"/>
          </w:tcPr>
          <w:p w:rsidR="00424E68" w:rsidRDefault="00424E68" w:rsidP="00402657">
            <w:pPr>
              <w:pStyle w:val="TableText"/>
            </w:pPr>
            <w:r>
              <w:t>2.68</w:t>
            </w:r>
          </w:p>
        </w:tc>
        <w:tc>
          <w:tcPr>
            <w:tcW w:w="1048" w:type="dxa"/>
          </w:tcPr>
          <w:p w:rsidR="00424E68" w:rsidRDefault="00424E68" w:rsidP="00402657">
            <w:pPr>
              <w:pStyle w:val="TableText"/>
            </w:pPr>
            <w:r>
              <w:t>4.56</w:t>
            </w:r>
          </w:p>
        </w:tc>
      </w:tr>
      <w:tr w:rsidR="00424E68" w:rsidTr="000B02B9">
        <w:trPr>
          <w:jc w:val="center"/>
        </w:trPr>
        <w:tc>
          <w:tcPr>
            <w:tcW w:w="964" w:type="dxa"/>
          </w:tcPr>
          <w:p w:rsidR="00424E68" w:rsidRDefault="00424E68" w:rsidP="00402657">
            <w:pPr>
              <w:pStyle w:val="TableText"/>
            </w:pPr>
          </w:p>
        </w:tc>
        <w:tc>
          <w:tcPr>
            <w:tcW w:w="778" w:type="dxa"/>
          </w:tcPr>
          <w:p w:rsidR="00424E68" w:rsidRPr="00784FA4" w:rsidRDefault="00424E68" w:rsidP="00402657">
            <w:pPr>
              <w:pStyle w:val="TableText"/>
              <w:rPr>
                <w:b/>
              </w:rPr>
            </w:pPr>
            <w:r w:rsidRPr="00784FA4">
              <w:rPr>
                <w:b/>
              </w:rPr>
              <w:t>3</w:t>
            </w:r>
          </w:p>
        </w:tc>
        <w:tc>
          <w:tcPr>
            <w:tcW w:w="4624" w:type="dxa"/>
          </w:tcPr>
          <w:p w:rsidR="00424E68" w:rsidRPr="001909B6" w:rsidRDefault="00424E68" w:rsidP="00402657">
            <w:pPr>
              <w:pStyle w:val="TableText"/>
              <w:rPr>
                <w:b/>
              </w:rPr>
            </w:pPr>
            <w:r w:rsidRPr="00574DF6">
              <w:rPr>
                <w:b/>
              </w:rPr>
              <w:t xml:space="preserve">Count ~ </w:t>
            </w:r>
            <w:proofErr w:type="spellStart"/>
            <w:r w:rsidRPr="00574DF6">
              <w:rPr>
                <w:b/>
              </w:rPr>
              <w:t>YearStd</w:t>
            </w:r>
            <w:proofErr w:type="spellEnd"/>
            <w:r w:rsidRPr="00574DF6">
              <w:rPr>
                <w:b/>
              </w:rPr>
              <w:t xml:space="preserve"> + (</w:t>
            </w:r>
            <w:proofErr w:type="spellStart"/>
            <w:r w:rsidRPr="00574DF6">
              <w:rPr>
                <w:b/>
              </w:rPr>
              <w:t>YearStd</w:t>
            </w:r>
            <w:proofErr w:type="spellEnd"/>
            <w:r w:rsidRPr="00574DF6">
              <w:rPr>
                <w:b/>
              </w:rPr>
              <w:t>||</w:t>
            </w:r>
            <w:proofErr w:type="spellStart"/>
            <w:r w:rsidRPr="00574DF6">
              <w:rPr>
                <w:b/>
              </w:rPr>
              <w:t>fRC</w:t>
            </w:r>
            <w:proofErr w:type="spellEnd"/>
            <w:r w:rsidRPr="00574DF6">
              <w:rPr>
                <w:b/>
              </w:rPr>
              <w:t>/</w:t>
            </w:r>
            <w:proofErr w:type="spellStart"/>
            <w:r w:rsidRPr="00574DF6">
              <w:rPr>
                <w:b/>
              </w:rPr>
              <w:t>fUA</w:t>
            </w:r>
            <w:proofErr w:type="spellEnd"/>
            <w:r w:rsidRPr="00574DF6">
              <w:rPr>
                <w:b/>
              </w:rPr>
              <w:t>/</w:t>
            </w:r>
            <w:proofErr w:type="spellStart"/>
            <w:r w:rsidRPr="00574DF6">
              <w:rPr>
                <w:b/>
              </w:rPr>
              <w:t>fAU</w:t>
            </w:r>
            <w:proofErr w:type="spellEnd"/>
            <w:r w:rsidRPr="00574DF6">
              <w:rPr>
                <w:b/>
              </w:rPr>
              <w:t>) + (1|Obs)</w:t>
            </w:r>
          </w:p>
        </w:tc>
        <w:tc>
          <w:tcPr>
            <w:tcW w:w="826" w:type="dxa"/>
          </w:tcPr>
          <w:p w:rsidR="00424E68" w:rsidRPr="00784FA4" w:rsidRDefault="00424E68" w:rsidP="00402657">
            <w:pPr>
              <w:pStyle w:val="TableText"/>
              <w:rPr>
                <w:b/>
              </w:rPr>
            </w:pPr>
            <w:r w:rsidRPr="00784FA4">
              <w:rPr>
                <w:b/>
              </w:rPr>
              <w:t>39893</w:t>
            </w:r>
          </w:p>
        </w:tc>
        <w:tc>
          <w:tcPr>
            <w:tcW w:w="1306" w:type="dxa"/>
          </w:tcPr>
          <w:p w:rsidR="00424E68" w:rsidRPr="00784FA4" w:rsidRDefault="00424E68" w:rsidP="00402657">
            <w:pPr>
              <w:pStyle w:val="TableText"/>
              <w:rPr>
                <w:b/>
              </w:rPr>
            </w:pPr>
            <w:r w:rsidRPr="00784FA4">
              <w:rPr>
                <w:b/>
              </w:rPr>
              <w:t>167</w:t>
            </w:r>
          </w:p>
        </w:tc>
        <w:tc>
          <w:tcPr>
            <w:tcW w:w="1147" w:type="dxa"/>
          </w:tcPr>
          <w:p w:rsidR="00424E68" w:rsidRPr="00784FA4" w:rsidRDefault="00424E68" w:rsidP="00402657">
            <w:pPr>
              <w:pStyle w:val="TableText"/>
              <w:rPr>
                <w:b/>
              </w:rPr>
            </w:pPr>
            <w:r w:rsidRPr="00784FA4">
              <w:rPr>
                <w:b/>
              </w:rPr>
              <w:t>FALSE</w:t>
            </w:r>
          </w:p>
        </w:tc>
        <w:tc>
          <w:tcPr>
            <w:tcW w:w="815" w:type="dxa"/>
          </w:tcPr>
          <w:p w:rsidR="00424E68" w:rsidRPr="00784FA4" w:rsidRDefault="00424E68" w:rsidP="00402657">
            <w:pPr>
              <w:pStyle w:val="TableText"/>
              <w:rPr>
                <w:b/>
              </w:rPr>
            </w:pPr>
            <w:r w:rsidRPr="00784FA4">
              <w:rPr>
                <w:b/>
              </w:rPr>
              <w:t>0.175</w:t>
            </w:r>
          </w:p>
        </w:tc>
        <w:tc>
          <w:tcPr>
            <w:tcW w:w="1078" w:type="dxa"/>
          </w:tcPr>
          <w:p w:rsidR="00424E68" w:rsidRPr="00784FA4" w:rsidRDefault="00424E68" w:rsidP="00402657">
            <w:pPr>
              <w:pStyle w:val="TableText"/>
              <w:rPr>
                <w:b/>
              </w:rPr>
            </w:pPr>
            <w:r w:rsidRPr="00784FA4">
              <w:rPr>
                <w:b/>
              </w:rPr>
              <w:t>-2.06</w:t>
            </w:r>
          </w:p>
        </w:tc>
        <w:tc>
          <w:tcPr>
            <w:tcW w:w="1068" w:type="dxa"/>
          </w:tcPr>
          <w:p w:rsidR="00424E68" w:rsidRPr="00784FA4" w:rsidRDefault="00424E68" w:rsidP="00402657">
            <w:pPr>
              <w:pStyle w:val="TableText"/>
              <w:rPr>
                <w:b/>
              </w:rPr>
            </w:pPr>
            <w:r w:rsidRPr="00784FA4">
              <w:rPr>
                <w:b/>
              </w:rPr>
              <w:t>2.41</w:t>
            </w:r>
          </w:p>
        </w:tc>
        <w:tc>
          <w:tcPr>
            <w:tcW w:w="1048" w:type="dxa"/>
          </w:tcPr>
          <w:p w:rsidR="00424E68" w:rsidRPr="00784FA4" w:rsidRDefault="00424E68" w:rsidP="00402657">
            <w:pPr>
              <w:pStyle w:val="TableText"/>
              <w:rPr>
                <w:b/>
              </w:rPr>
            </w:pPr>
            <w:r w:rsidRPr="00784FA4">
              <w:rPr>
                <w:b/>
              </w:rPr>
              <w:t>4.47</w:t>
            </w:r>
          </w:p>
        </w:tc>
      </w:tr>
      <w:tr w:rsidR="00424E68" w:rsidTr="000B02B9">
        <w:trPr>
          <w:jc w:val="center"/>
        </w:trPr>
        <w:tc>
          <w:tcPr>
            <w:tcW w:w="964" w:type="dxa"/>
          </w:tcPr>
          <w:p w:rsidR="00424E68" w:rsidRDefault="00424E68" w:rsidP="00402657">
            <w:pPr>
              <w:pStyle w:val="TableText"/>
            </w:pPr>
          </w:p>
        </w:tc>
        <w:tc>
          <w:tcPr>
            <w:tcW w:w="778" w:type="dxa"/>
          </w:tcPr>
          <w:p w:rsidR="00424E68" w:rsidRDefault="00424E68" w:rsidP="00402657">
            <w:pPr>
              <w:pStyle w:val="TableText"/>
            </w:pPr>
            <w:r>
              <w:t>4</w:t>
            </w:r>
          </w:p>
        </w:tc>
        <w:tc>
          <w:tcPr>
            <w:tcW w:w="4624" w:type="dxa"/>
          </w:tcPr>
          <w:p w:rsidR="00424E68" w:rsidRDefault="00424E68" w:rsidP="00402657">
            <w:pPr>
              <w:pStyle w:val="TableText"/>
            </w:pPr>
            <w:r w:rsidRPr="00574DF6">
              <w:t xml:space="preserve">Count ~ </w:t>
            </w:r>
            <w:proofErr w:type="spellStart"/>
            <w:r w:rsidRPr="00574DF6">
              <w:t>YearStd</w:t>
            </w:r>
            <w:proofErr w:type="spellEnd"/>
            <w:r w:rsidRPr="00574DF6">
              <w:t xml:space="preserve"> + (</w:t>
            </w:r>
            <w:proofErr w:type="spellStart"/>
            <w:r w:rsidRPr="00574DF6">
              <w:t>YearStd</w:t>
            </w:r>
            <w:proofErr w:type="spellEnd"/>
            <w:r w:rsidRPr="00574DF6">
              <w:t>||</w:t>
            </w:r>
            <w:proofErr w:type="spellStart"/>
            <w:r w:rsidRPr="00574DF6">
              <w:t>fRC</w:t>
            </w:r>
            <w:proofErr w:type="spellEnd"/>
            <w:r w:rsidRPr="00574DF6">
              <w:t>/</w:t>
            </w:r>
            <w:proofErr w:type="spellStart"/>
            <w:r w:rsidRPr="00574DF6">
              <w:t>fAU</w:t>
            </w:r>
            <w:proofErr w:type="spellEnd"/>
            <w:r w:rsidRPr="00574DF6">
              <w:t>) + (1|Obs)</w:t>
            </w:r>
          </w:p>
        </w:tc>
        <w:tc>
          <w:tcPr>
            <w:tcW w:w="826" w:type="dxa"/>
          </w:tcPr>
          <w:p w:rsidR="00424E68" w:rsidRDefault="00424E68" w:rsidP="00402657">
            <w:pPr>
              <w:pStyle w:val="TableText"/>
            </w:pPr>
            <w:r>
              <w:t>39950</w:t>
            </w:r>
          </w:p>
        </w:tc>
        <w:tc>
          <w:tcPr>
            <w:tcW w:w="1306" w:type="dxa"/>
          </w:tcPr>
          <w:p w:rsidR="00424E68" w:rsidRDefault="00424E68" w:rsidP="00402657">
            <w:pPr>
              <w:pStyle w:val="TableText"/>
            </w:pPr>
            <w:r>
              <w:t>87.6</w:t>
            </w:r>
          </w:p>
        </w:tc>
        <w:tc>
          <w:tcPr>
            <w:tcW w:w="1147" w:type="dxa"/>
          </w:tcPr>
          <w:p w:rsidR="00424E68" w:rsidRDefault="00424E68" w:rsidP="00402657">
            <w:pPr>
              <w:pStyle w:val="TableText"/>
            </w:pPr>
            <w:r>
              <w:t>TRUE</w:t>
            </w:r>
          </w:p>
        </w:tc>
        <w:tc>
          <w:tcPr>
            <w:tcW w:w="815" w:type="dxa"/>
          </w:tcPr>
          <w:p w:rsidR="00424E68" w:rsidRDefault="00424E68" w:rsidP="00402657">
            <w:pPr>
              <w:pStyle w:val="TableText"/>
            </w:pPr>
            <w:r>
              <w:t>0.222</w:t>
            </w:r>
          </w:p>
        </w:tc>
        <w:tc>
          <w:tcPr>
            <w:tcW w:w="1078" w:type="dxa"/>
          </w:tcPr>
          <w:p w:rsidR="00424E68" w:rsidRDefault="00424E68" w:rsidP="00402657">
            <w:pPr>
              <w:pStyle w:val="TableText"/>
            </w:pPr>
            <w:r>
              <w:t>-2.07</w:t>
            </w:r>
          </w:p>
        </w:tc>
        <w:tc>
          <w:tcPr>
            <w:tcW w:w="1068" w:type="dxa"/>
          </w:tcPr>
          <w:p w:rsidR="00424E68" w:rsidRDefault="00424E68" w:rsidP="00402657">
            <w:pPr>
              <w:pStyle w:val="TableText"/>
            </w:pPr>
            <w:r>
              <w:t>2.52</w:t>
            </w:r>
          </w:p>
        </w:tc>
        <w:tc>
          <w:tcPr>
            <w:tcW w:w="1048" w:type="dxa"/>
          </w:tcPr>
          <w:p w:rsidR="00424E68" w:rsidRDefault="00424E68" w:rsidP="00402657">
            <w:pPr>
              <w:pStyle w:val="TableText"/>
            </w:pPr>
            <w:r>
              <w:t>4.59</w:t>
            </w:r>
          </w:p>
        </w:tc>
      </w:tr>
      <w:tr w:rsidR="00424E68" w:rsidTr="000B02B9">
        <w:trPr>
          <w:jc w:val="center"/>
        </w:trPr>
        <w:tc>
          <w:tcPr>
            <w:tcW w:w="964" w:type="dxa"/>
          </w:tcPr>
          <w:p w:rsidR="00424E68" w:rsidRDefault="00424E68" w:rsidP="00402657">
            <w:pPr>
              <w:pStyle w:val="TableText"/>
            </w:pPr>
          </w:p>
        </w:tc>
        <w:tc>
          <w:tcPr>
            <w:tcW w:w="778" w:type="dxa"/>
          </w:tcPr>
          <w:p w:rsidR="00424E68" w:rsidRDefault="00424E68" w:rsidP="00402657">
            <w:pPr>
              <w:pStyle w:val="TableText"/>
            </w:pPr>
          </w:p>
        </w:tc>
        <w:tc>
          <w:tcPr>
            <w:tcW w:w="4624" w:type="dxa"/>
          </w:tcPr>
          <w:p w:rsidR="00424E68" w:rsidRPr="00574DF6" w:rsidRDefault="00424E68" w:rsidP="00402657">
            <w:pPr>
              <w:pStyle w:val="TableText"/>
            </w:pPr>
          </w:p>
        </w:tc>
        <w:tc>
          <w:tcPr>
            <w:tcW w:w="826" w:type="dxa"/>
          </w:tcPr>
          <w:p w:rsidR="00424E68" w:rsidRDefault="00424E68" w:rsidP="00402657">
            <w:pPr>
              <w:pStyle w:val="TableText"/>
            </w:pPr>
          </w:p>
        </w:tc>
        <w:tc>
          <w:tcPr>
            <w:tcW w:w="1306" w:type="dxa"/>
          </w:tcPr>
          <w:p w:rsidR="00424E68" w:rsidRDefault="00424E68" w:rsidP="00402657">
            <w:pPr>
              <w:pStyle w:val="TableText"/>
            </w:pPr>
          </w:p>
        </w:tc>
        <w:tc>
          <w:tcPr>
            <w:tcW w:w="1147" w:type="dxa"/>
          </w:tcPr>
          <w:p w:rsidR="00424E68" w:rsidRDefault="00424E68" w:rsidP="00402657">
            <w:pPr>
              <w:pStyle w:val="TableText"/>
            </w:pPr>
          </w:p>
        </w:tc>
        <w:tc>
          <w:tcPr>
            <w:tcW w:w="815" w:type="dxa"/>
          </w:tcPr>
          <w:p w:rsidR="00424E68" w:rsidRDefault="00424E68" w:rsidP="00402657">
            <w:pPr>
              <w:pStyle w:val="TableText"/>
            </w:pPr>
          </w:p>
        </w:tc>
        <w:tc>
          <w:tcPr>
            <w:tcW w:w="1078" w:type="dxa"/>
          </w:tcPr>
          <w:p w:rsidR="00424E68" w:rsidRDefault="00424E68" w:rsidP="00402657">
            <w:pPr>
              <w:pStyle w:val="TableText"/>
            </w:pPr>
          </w:p>
        </w:tc>
        <w:tc>
          <w:tcPr>
            <w:tcW w:w="1068" w:type="dxa"/>
          </w:tcPr>
          <w:p w:rsidR="00424E68" w:rsidRDefault="00424E68" w:rsidP="00402657">
            <w:pPr>
              <w:pStyle w:val="TableText"/>
            </w:pPr>
          </w:p>
        </w:tc>
        <w:tc>
          <w:tcPr>
            <w:tcW w:w="1048" w:type="dxa"/>
          </w:tcPr>
          <w:p w:rsidR="00424E68" w:rsidRDefault="00424E68" w:rsidP="00402657">
            <w:pPr>
              <w:pStyle w:val="TableText"/>
            </w:pPr>
          </w:p>
        </w:tc>
      </w:tr>
      <w:tr w:rsidR="00424E68" w:rsidTr="000B02B9">
        <w:trPr>
          <w:jc w:val="center"/>
        </w:trPr>
        <w:tc>
          <w:tcPr>
            <w:tcW w:w="964" w:type="dxa"/>
          </w:tcPr>
          <w:p w:rsidR="00424E68" w:rsidRDefault="00424E68" w:rsidP="00255FAE">
            <w:pPr>
              <w:pStyle w:val="TableText"/>
            </w:pPr>
            <w:r>
              <w:t>Silvereye</w:t>
            </w:r>
          </w:p>
        </w:tc>
        <w:tc>
          <w:tcPr>
            <w:tcW w:w="778" w:type="dxa"/>
          </w:tcPr>
          <w:p w:rsidR="00424E68" w:rsidRDefault="00424E68" w:rsidP="00255FAE">
            <w:pPr>
              <w:pStyle w:val="TableText"/>
            </w:pPr>
            <w:r>
              <w:t>1</w:t>
            </w:r>
          </w:p>
        </w:tc>
        <w:tc>
          <w:tcPr>
            <w:tcW w:w="4624" w:type="dxa"/>
          </w:tcPr>
          <w:p w:rsidR="00424E68" w:rsidRDefault="00424E68" w:rsidP="00255FAE">
            <w:pPr>
              <w:pStyle w:val="TableText"/>
            </w:pPr>
            <w:r w:rsidRPr="00574DF6">
              <w:t xml:space="preserve">Count ~ </w:t>
            </w:r>
            <w:proofErr w:type="spellStart"/>
            <w:r w:rsidRPr="00574DF6">
              <w:t>YearStd</w:t>
            </w:r>
            <w:proofErr w:type="spellEnd"/>
            <w:r w:rsidRPr="00574DF6">
              <w:t xml:space="preserve"> + (</w:t>
            </w:r>
            <w:proofErr w:type="spellStart"/>
            <w:r w:rsidRPr="00574DF6">
              <w:t>YearStd</w:t>
            </w:r>
            <w:proofErr w:type="spellEnd"/>
            <w:r w:rsidRPr="00574DF6">
              <w:t>||</w:t>
            </w:r>
            <w:proofErr w:type="spellStart"/>
            <w:r w:rsidRPr="00574DF6">
              <w:t>fRC</w:t>
            </w:r>
            <w:proofErr w:type="spellEnd"/>
            <w:r w:rsidRPr="00574DF6">
              <w:t>) + (1|Obs)</w:t>
            </w:r>
          </w:p>
        </w:tc>
        <w:tc>
          <w:tcPr>
            <w:tcW w:w="826" w:type="dxa"/>
          </w:tcPr>
          <w:p w:rsidR="00424E68" w:rsidRDefault="00424E68" w:rsidP="00255FAE">
            <w:pPr>
              <w:pStyle w:val="TableText"/>
            </w:pPr>
            <w:r>
              <w:t>106553</w:t>
            </w:r>
          </w:p>
        </w:tc>
        <w:tc>
          <w:tcPr>
            <w:tcW w:w="1306" w:type="dxa"/>
          </w:tcPr>
          <w:p w:rsidR="00424E68" w:rsidRDefault="00424E68" w:rsidP="00255FAE">
            <w:pPr>
              <w:pStyle w:val="TableText"/>
            </w:pPr>
            <w:r>
              <w:t>20.6</w:t>
            </w:r>
          </w:p>
        </w:tc>
        <w:tc>
          <w:tcPr>
            <w:tcW w:w="1147" w:type="dxa"/>
          </w:tcPr>
          <w:p w:rsidR="00424E68" w:rsidRDefault="00424E68" w:rsidP="00255FAE">
            <w:pPr>
              <w:pStyle w:val="TableText"/>
            </w:pPr>
            <w:r>
              <w:t>TRUE</w:t>
            </w:r>
          </w:p>
        </w:tc>
        <w:tc>
          <w:tcPr>
            <w:tcW w:w="815" w:type="dxa"/>
          </w:tcPr>
          <w:p w:rsidR="00424E68" w:rsidRDefault="00424E68" w:rsidP="00255FAE">
            <w:pPr>
              <w:pStyle w:val="TableText"/>
            </w:pPr>
            <w:r>
              <w:t>-8.19</w:t>
            </w:r>
          </w:p>
        </w:tc>
        <w:tc>
          <w:tcPr>
            <w:tcW w:w="1078" w:type="dxa"/>
          </w:tcPr>
          <w:p w:rsidR="00424E68" w:rsidRDefault="00424E68" w:rsidP="00255FAE">
            <w:pPr>
              <w:pStyle w:val="TableText"/>
            </w:pPr>
            <w:r>
              <w:t>-9.9</w:t>
            </w:r>
          </w:p>
        </w:tc>
        <w:tc>
          <w:tcPr>
            <w:tcW w:w="1068" w:type="dxa"/>
          </w:tcPr>
          <w:p w:rsidR="00424E68" w:rsidRDefault="00424E68" w:rsidP="00255FAE">
            <w:pPr>
              <w:pStyle w:val="TableText"/>
            </w:pPr>
            <w:r>
              <w:t>-6.47</w:t>
            </w:r>
          </w:p>
        </w:tc>
        <w:tc>
          <w:tcPr>
            <w:tcW w:w="1048" w:type="dxa"/>
          </w:tcPr>
          <w:p w:rsidR="00424E68" w:rsidRDefault="00424E68" w:rsidP="00255FAE">
            <w:pPr>
              <w:pStyle w:val="TableText"/>
            </w:pPr>
            <w:r>
              <w:t>3.43</w:t>
            </w:r>
          </w:p>
        </w:tc>
      </w:tr>
      <w:tr w:rsidR="00424E68" w:rsidTr="000B02B9">
        <w:trPr>
          <w:jc w:val="center"/>
        </w:trPr>
        <w:tc>
          <w:tcPr>
            <w:tcW w:w="964" w:type="dxa"/>
          </w:tcPr>
          <w:p w:rsidR="00424E68" w:rsidRDefault="00424E68" w:rsidP="00255FAE">
            <w:pPr>
              <w:pStyle w:val="TableText"/>
            </w:pPr>
          </w:p>
        </w:tc>
        <w:tc>
          <w:tcPr>
            <w:tcW w:w="778" w:type="dxa"/>
          </w:tcPr>
          <w:p w:rsidR="00424E68" w:rsidRDefault="00424E68" w:rsidP="00255FAE">
            <w:pPr>
              <w:pStyle w:val="TableText"/>
            </w:pPr>
            <w:r>
              <w:t>2</w:t>
            </w:r>
          </w:p>
        </w:tc>
        <w:tc>
          <w:tcPr>
            <w:tcW w:w="4624" w:type="dxa"/>
          </w:tcPr>
          <w:p w:rsidR="00424E68" w:rsidRDefault="00424E68" w:rsidP="00255FAE">
            <w:pPr>
              <w:pStyle w:val="TableText"/>
            </w:pPr>
            <w:r w:rsidRPr="00574DF6">
              <w:t xml:space="preserve">Count ~ </w:t>
            </w:r>
            <w:proofErr w:type="spellStart"/>
            <w:r w:rsidRPr="00574DF6">
              <w:t>YearStd</w:t>
            </w:r>
            <w:proofErr w:type="spellEnd"/>
            <w:r w:rsidRPr="00574DF6">
              <w:t xml:space="preserve"> + (</w:t>
            </w:r>
            <w:proofErr w:type="spellStart"/>
            <w:r w:rsidRPr="00574DF6">
              <w:t>YearStd</w:t>
            </w:r>
            <w:proofErr w:type="spellEnd"/>
            <w:r w:rsidRPr="00574DF6">
              <w:t>||</w:t>
            </w:r>
            <w:proofErr w:type="spellStart"/>
            <w:r w:rsidRPr="00574DF6">
              <w:t>fRC</w:t>
            </w:r>
            <w:proofErr w:type="spellEnd"/>
            <w:r w:rsidRPr="00574DF6">
              <w:t>/</w:t>
            </w:r>
            <w:proofErr w:type="spellStart"/>
            <w:r w:rsidRPr="00574DF6">
              <w:t>fUA</w:t>
            </w:r>
            <w:proofErr w:type="spellEnd"/>
            <w:r w:rsidRPr="00574DF6">
              <w:t>) + (1|Obs)</w:t>
            </w:r>
          </w:p>
        </w:tc>
        <w:tc>
          <w:tcPr>
            <w:tcW w:w="826" w:type="dxa"/>
          </w:tcPr>
          <w:p w:rsidR="00424E68" w:rsidRDefault="00424E68" w:rsidP="00255FAE">
            <w:pPr>
              <w:pStyle w:val="TableText"/>
            </w:pPr>
            <w:r>
              <w:t>106412</w:t>
            </w:r>
          </w:p>
        </w:tc>
        <w:tc>
          <w:tcPr>
            <w:tcW w:w="1306" w:type="dxa"/>
          </w:tcPr>
          <w:p w:rsidR="00424E68" w:rsidRDefault="00424E68" w:rsidP="00255FAE">
            <w:pPr>
              <w:pStyle w:val="TableText"/>
            </w:pPr>
            <w:r>
              <w:t>61</w:t>
            </w:r>
          </w:p>
        </w:tc>
        <w:tc>
          <w:tcPr>
            <w:tcW w:w="1147" w:type="dxa"/>
          </w:tcPr>
          <w:p w:rsidR="00424E68" w:rsidRDefault="00424E68" w:rsidP="00255FAE">
            <w:pPr>
              <w:pStyle w:val="TableText"/>
            </w:pPr>
            <w:r>
              <w:t>TRUE</w:t>
            </w:r>
          </w:p>
        </w:tc>
        <w:tc>
          <w:tcPr>
            <w:tcW w:w="815" w:type="dxa"/>
          </w:tcPr>
          <w:p w:rsidR="00424E68" w:rsidRDefault="00424E68" w:rsidP="00255FAE">
            <w:pPr>
              <w:pStyle w:val="TableText"/>
            </w:pPr>
            <w:r>
              <w:t>-8.32</w:t>
            </w:r>
          </w:p>
        </w:tc>
        <w:tc>
          <w:tcPr>
            <w:tcW w:w="1078" w:type="dxa"/>
          </w:tcPr>
          <w:p w:rsidR="00424E68" w:rsidRDefault="00424E68" w:rsidP="00255FAE">
            <w:pPr>
              <w:pStyle w:val="TableText"/>
            </w:pPr>
            <w:r>
              <w:t>-10</w:t>
            </w:r>
          </w:p>
        </w:tc>
        <w:tc>
          <w:tcPr>
            <w:tcW w:w="1068" w:type="dxa"/>
          </w:tcPr>
          <w:p w:rsidR="00424E68" w:rsidRDefault="00424E68" w:rsidP="00255FAE">
            <w:pPr>
              <w:pStyle w:val="TableText"/>
            </w:pPr>
            <w:r>
              <w:t>-6.61</w:t>
            </w:r>
          </w:p>
        </w:tc>
        <w:tc>
          <w:tcPr>
            <w:tcW w:w="1048" w:type="dxa"/>
          </w:tcPr>
          <w:p w:rsidR="00424E68" w:rsidRDefault="00424E68" w:rsidP="00255FAE">
            <w:pPr>
              <w:pStyle w:val="TableText"/>
            </w:pPr>
            <w:r>
              <w:t>3.41</w:t>
            </w:r>
          </w:p>
        </w:tc>
      </w:tr>
      <w:tr w:rsidR="00424E68" w:rsidTr="000B02B9">
        <w:trPr>
          <w:jc w:val="center"/>
        </w:trPr>
        <w:tc>
          <w:tcPr>
            <w:tcW w:w="964" w:type="dxa"/>
          </w:tcPr>
          <w:p w:rsidR="00424E68" w:rsidRDefault="00424E68" w:rsidP="00255FAE">
            <w:pPr>
              <w:pStyle w:val="TableText"/>
            </w:pPr>
          </w:p>
        </w:tc>
        <w:tc>
          <w:tcPr>
            <w:tcW w:w="778" w:type="dxa"/>
          </w:tcPr>
          <w:p w:rsidR="00424E68" w:rsidRPr="001909B6" w:rsidRDefault="00424E68" w:rsidP="00255FAE">
            <w:pPr>
              <w:pStyle w:val="TableText"/>
              <w:rPr>
                <w:b/>
              </w:rPr>
            </w:pPr>
            <w:r w:rsidRPr="001909B6">
              <w:rPr>
                <w:b/>
              </w:rPr>
              <w:t>3</w:t>
            </w:r>
          </w:p>
        </w:tc>
        <w:tc>
          <w:tcPr>
            <w:tcW w:w="4624" w:type="dxa"/>
          </w:tcPr>
          <w:p w:rsidR="00424E68" w:rsidRPr="001909B6" w:rsidRDefault="00424E68" w:rsidP="00255FAE">
            <w:pPr>
              <w:pStyle w:val="TableText"/>
              <w:rPr>
                <w:b/>
              </w:rPr>
            </w:pPr>
            <w:r w:rsidRPr="00574DF6">
              <w:rPr>
                <w:b/>
              </w:rPr>
              <w:t xml:space="preserve">Count ~ </w:t>
            </w:r>
            <w:proofErr w:type="spellStart"/>
            <w:r w:rsidRPr="00574DF6">
              <w:rPr>
                <w:b/>
              </w:rPr>
              <w:t>YearStd</w:t>
            </w:r>
            <w:proofErr w:type="spellEnd"/>
            <w:r w:rsidRPr="00574DF6">
              <w:rPr>
                <w:b/>
              </w:rPr>
              <w:t xml:space="preserve"> + (</w:t>
            </w:r>
            <w:proofErr w:type="spellStart"/>
            <w:r w:rsidRPr="00574DF6">
              <w:rPr>
                <w:b/>
              </w:rPr>
              <w:t>YearStd</w:t>
            </w:r>
            <w:proofErr w:type="spellEnd"/>
            <w:r w:rsidRPr="00574DF6">
              <w:rPr>
                <w:b/>
              </w:rPr>
              <w:t>||</w:t>
            </w:r>
            <w:proofErr w:type="spellStart"/>
            <w:r w:rsidRPr="00574DF6">
              <w:rPr>
                <w:b/>
              </w:rPr>
              <w:t>fRC</w:t>
            </w:r>
            <w:proofErr w:type="spellEnd"/>
            <w:r w:rsidRPr="00574DF6">
              <w:rPr>
                <w:b/>
              </w:rPr>
              <w:t>/</w:t>
            </w:r>
            <w:proofErr w:type="spellStart"/>
            <w:r w:rsidRPr="00574DF6">
              <w:rPr>
                <w:b/>
              </w:rPr>
              <w:t>fUA</w:t>
            </w:r>
            <w:proofErr w:type="spellEnd"/>
            <w:r w:rsidRPr="00574DF6">
              <w:rPr>
                <w:b/>
              </w:rPr>
              <w:t>/</w:t>
            </w:r>
            <w:proofErr w:type="spellStart"/>
            <w:r w:rsidRPr="00574DF6">
              <w:rPr>
                <w:b/>
              </w:rPr>
              <w:t>fAU</w:t>
            </w:r>
            <w:proofErr w:type="spellEnd"/>
            <w:r w:rsidRPr="00574DF6">
              <w:rPr>
                <w:b/>
              </w:rPr>
              <w:t>) + (1|Obs)</w:t>
            </w:r>
          </w:p>
        </w:tc>
        <w:tc>
          <w:tcPr>
            <w:tcW w:w="826" w:type="dxa"/>
          </w:tcPr>
          <w:p w:rsidR="00424E68" w:rsidRPr="001909B6" w:rsidRDefault="00424E68" w:rsidP="00255FAE">
            <w:pPr>
              <w:pStyle w:val="TableText"/>
              <w:rPr>
                <w:b/>
              </w:rPr>
            </w:pPr>
            <w:r w:rsidRPr="001909B6">
              <w:rPr>
                <w:b/>
              </w:rPr>
              <w:t>106216</w:t>
            </w:r>
          </w:p>
        </w:tc>
        <w:tc>
          <w:tcPr>
            <w:tcW w:w="1306" w:type="dxa"/>
          </w:tcPr>
          <w:p w:rsidR="00424E68" w:rsidRPr="001909B6" w:rsidRDefault="00424E68" w:rsidP="00255FAE">
            <w:pPr>
              <w:pStyle w:val="TableText"/>
              <w:rPr>
                <w:b/>
              </w:rPr>
            </w:pPr>
            <w:r w:rsidRPr="001909B6">
              <w:rPr>
                <w:b/>
              </w:rPr>
              <w:t>173</w:t>
            </w:r>
          </w:p>
        </w:tc>
        <w:tc>
          <w:tcPr>
            <w:tcW w:w="1147" w:type="dxa"/>
          </w:tcPr>
          <w:p w:rsidR="00424E68" w:rsidRPr="001909B6" w:rsidRDefault="00424E68" w:rsidP="00255FAE">
            <w:pPr>
              <w:pStyle w:val="TableText"/>
              <w:rPr>
                <w:b/>
              </w:rPr>
            </w:pPr>
            <w:r w:rsidRPr="001909B6">
              <w:rPr>
                <w:b/>
              </w:rPr>
              <w:t>FALSE</w:t>
            </w:r>
          </w:p>
        </w:tc>
        <w:tc>
          <w:tcPr>
            <w:tcW w:w="815" w:type="dxa"/>
          </w:tcPr>
          <w:p w:rsidR="00424E68" w:rsidRPr="001909B6" w:rsidRDefault="00424E68" w:rsidP="00255FAE">
            <w:pPr>
              <w:pStyle w:val="TableText"/>
              <w:rPr>
                <w:b/>
              </w:rPr>
            </w:pPr>
            <w:r w:rsidRPr="001909B6">
              <w:rPr>
                <w:b/>
              </w:rPr>
              <w:t>-8.33</w:t>
            </w:r>
          </w:p>
        </w:tc>
        <w:tc>
          <w:tcPr>
            <w:tcW w:w="1078" w:type="dxa"/>
          </w:tcPr>
          <w:p w:rsidR="00424E68" w:rsidRPr="001909B6" w:rsidRDefault="00424E68" w:rsidP="00255FAE">
            <w:pPr>
              <w:pStyle w:val="TableText"/>
              <w:rPr>
                <w:b/>
              </w:rPr>
            </w:pPr>
            <w:r w:rsidRPr="001909B6">
              <w:rPr>
                <w:b/>
              </w:rPr>
              <w:t>-9.96</w:t>
            </w:r>
          </w:p>
        </w:tc>
        <w:tc>
          <w:tcPr>
            <w:tcW w:w="1068" w:type="dxa"/>
          </w:tcPr>
          <w:p w:rsidR="00424E68" w:rsidRPr="001909B6" w:rsidRDefault="00424E68" w:rsidP="00255FAE">
            <w:pPr>
              <w:pStyle w:val="TableText"/>
              <w:rPr>
                <w:b/>
              </w:rPr>
            </w:pPr>
            <w:r w:rsidRPr="001909B6">
              <w:rPr>
                <w:b/>
              </w:rPr>
              <w:t>-6.7</w:t>
            </w:r>
          </w:p>
        </w:tc>
        <w:tc>
          <w:tcPr>
            <w:tcW w:w="1048" w:type="dxa"/>
          </w:tcPr>
          <w:p w:rsidR="00424E68" w:rsidRPr="001909B6" w:rsidRDefault="00424E68" w:rsidP="00255FAE">
            <w:pPr>
              <w:pStyle w:val="TableText"/>
              <w:rPr>
                <w:b/>
              </w:rPr>
            </w:pPr>
            <w:r w:rsidRPr="001909B6">
              <w:rPr>
                <w:b/>
              </w:rPr>
              <w:t>3.26</w:t>
            </w:r>
          </w:p>
        </w:tc>
      </w:tr>
      <w:tr w:rsidR="00424E68" w:rsidTr="000B02B9">
        <w:trPr>
          <w:jc w:val="center"/>
        </w:trPr>
        <w:tc>
          <w:tcPr>
            <w:tcW w:w="964" w:type="dxa"/>
          </w:tcPr>
          <w:p w:rsidR="00424E68" w:rsidRDefault="00424E68" w:rsidP="00255FAE">
            <w:pPr>
              <w:pStyle w:val="TableText"/>
            </w:pPr>
          </w:p>
        </w:tc>
        <w:tc>
          <w:tcPr>
            <w:tcW w:w="778" w:type="dxa"/>
          </w:tcPr>
          <w:p w:rsidR="00424E68" w:rsidRDefault="00424E68" w:rsidP="00255FAE">
            <w:pPr>
              <w:pStyle w:val="TableText"/>
            </w:pPr>
            <w:r>
              <w:t>4</w:t>
            </w:r>
          </w:p>
        </w:tc>
        <w:tc>
          <w:tcPr>
            <w:tcW w:w="4624" w:type="dxa"/>
          </w:tcPr>
          <w:p w:rsidR="00424E68" w:rsidRDefault="00424E68" w:rsidP="00255FAE">
            <w:pPr>
              <w:pStyle w:val="TableText"/>
            </w:pPr>
            <w:r w:rsidRPr="00574DF6">
              <w:t xml:space="preserve">Count ~ </w:t>
            </w:r>
            <w:proofErr w:type="spellStart"/>
            <w:r w:rsidRPr="00574DF6">
              <w:t>YearStd</w:t>
            </w:r>
            <w:proofErr w:type="spellEnd"/>
            <w:r w:rsidRPr="00574DF6">
              <w:t xml:space="preserve"> + (</w:t>
            </w:r>
            <w:proofErr w:type="spellStart"/>
            <w:r w:rsidRPr="00574DF6">
              <w:t>YearStd</w:t>
            </w:r>
            <w:proofErr w:type="spellEnd"/>
            <w:r w:rsidRPr="00574DF6">
              <w:t>||</w:t>
            </w:r>
            <w:proofErr w:type="spellStart"/>
            <w:r w:rsidRPr="00574DF6">
              <w:t>fRC</w:t>
            </w:r>
            <w:proofErr w:type="spellEnd"/>
            <w:r w:rsidRPr="00574DF6">
              <w:t>/</w:t>
            </w:r>
            <w:proofErr w:type="spellStart"/>
            <w:r w:rsidRPr="00574DF6">
              <w:t>fAU</w:t>
            </w:r>
            <w:proofErr w:type="spellEnd"/>
            <w:r w:rsidRPr="00574DF6">
              <w:t>) + (1|Obs)</w:t>
            </w:r>
          </w:p>
        </w:tc>
        <w:tc>
          <w:tcPr>
            <w:tcW w:w="826" w:type="dxa"/>
          </w:tcPr>
          <w:p w:rsidR="00424E68" w:rsidRDefault="00424E68" w:rsidP="00255FAE">
            <w:pPr>
              <w:pStyle w:val="TableText"/>
            </w:pPr>
            <w:r>
              <w:t>106241</w:t>
            </w:r>
          </w:p>
        </w:tc>
        <w:tc>
          <w:tcPr>
            <w:tcW w:w="1306" w:type="dxa"/>
          </w:tcPr>
          <w:p w:rsidR="00424E68" w:rsidRDefault="00424E68" w:rsidP="00255FAE">
            <w:pPr>
              <w:pStyle w:val="TableText"/>
            </w:pPr>
            <w:r>
              <w:t>76.3</w:t>
            </w:r>
          </w:p>
        </w:tc>
        <w:tc>
          <w:tcPr>
            <w:tcW w:w="1147" w:type="dxa"/>
          </w:tcPr>
          <w:p w:rsidR="00424E68" w:rsidRDefault="00424E68" w:rsidP="00255FAE">
            <w:pPr>
              <w:pStyle w:val="TableText"/>
            </w:pPr>
            <w:r>
              <w:t>TRUE</w:t>
            </w:r>
          </w:p>
        </w:tc>
        <w:tc>
          <w:tcPr>
            <w:tcW w:w="815" w:type="dxa"/>
          </w:tcPr>
          <w:p w:rsidR="00424E68" w:rsidRDefault="00424E68" w:rsidP="00255FAE">
            <w:pPr>
              <w:pStyle w:val="TableText"/>
            </w:pPr>
            <w:r>
              <w:t>-8.3</w:t>
            </w:r>
          </w:p>
        </w:tc>
        <w:tc>
          <w:tcPr>
            <w:tcW w:w="1078" w:type="dxa"/>
          </w:tcPr>
          <w:p w:rsidR="00424E68" w:rsidRDefault="00424E68" w:rsidP="00255FAE">
            <w:pPr>
              <w:pStyle w:val="TableText"/>
            </w:pPr>
            <w:r>
              <w:t>-9.94</w:t>
            </w:r>
          </w:p>
        </w:tc>
        <w:tc>
          <w:tcPr>
            <w:tcW w:w="1068" w:type="dxa"/>
          </w:tcPr>
          <w:p w:rsidR="00424E68" w:rsidRDefault="00424E68" w:rsidP="00255FAE">
            <w:pPr>
              <w:pStyle w:val="TableText"/>
            </w:pPr>
            <w:r>
              <w:t>-6.66</w:t>
            </w:r>
          </w:p>
        </w:tc>
        <w:tc>
          <w:tcPr>
            <w:tcW w:w="1048" w:type="dxa"/>
          </w:tcPr>
          <w:p w:rsidR="00424E68" w:rsidRDefault="00424E68" w:rsidP="00255FAE">
            <w:pPr>
              <w:pStyle w:val="TableText"/>
            </w:pPr>
            <w:r>
              <w:t>3.29</w:t>
            </w:r>
          </w:p>
        </w:tc>
      </w:tr>
      <w:tr w:rsidR="00424E68" w:rsidTr="000B02B9">
        <w:trPr>
          <w:jc w:val="center"/>
        </w:trPr>
        <w:tc>
          <w:tcPr>
            <w:tcW w:w="964" w:type="dxa"/>
          </w:tcPr>
          <w:p w:rsidR="00424E68" w:rsidRDefault="00424E68" w:rsidP="00402657">
            <w:pPr>
              <w:pStyle w:val="TableText"/>
            </w:pPr>
          </w:p>
        </w:tc>
        <w:tc>
          <w:tcPr>
            <w:tcW w:w="778" w:type="dxa"/>
          </w:tcPr>
          <w:p w:rsidR="00424E68" w:rsidRDefault="00424E68" w:rsidP="00402657">
            <w:pPr>
              <w:pStyle w:val="TableText"/>
            </w:pPr>
          </w:p>
        </w:tc>
        <w:tc>
          <w:tcPr>
            <w:tcW w:w="4624" w:type="dxa"/>
          </w:tcPr>
          <w:p w:rsidR="00424E68" w:rsidRPr="00574DF6" w:rsidRDefault="00424E68" w:rsidP="00402657">
            <w:pPr>
              <w:pStyle w:val="TableText"/>
            </w:pPr>
          </w:p>
        </w:tc>
        <w:tc>
          <w:tcPr>
            <w:tcW w:w="826" w:type="dxa"/>
          </w:tcPr>
          <w:p w:rsidR="00424E68" w:rsidRDefault="00424E68" w:rsidP="00402657">
            <w:pPr>
              <w:pStyle w:val="TableText"/>
            </w:pPr>
          </w:p>
        </w:tc>
        <w:tc>
          <w:tcPr>
            <w:tcW w:w="1306" w:type="dxa"/>
          </w:tcPr>
          <w:p w:rsidR="00424E68" w:rsidRDefault="00424E68" w:rsidP="00402657">
            <w:pPr>
              <w:pStyle w:val="TableText"/>
            </w:pPr>
          </w:p>
        </w:tc>
        <w:tc>
          <w:tcPr>
            <w:tcW w:w="1147" w:type="dxa"/>
          </w:tcPr>
          <w:p w:rsidR="00424E68" w:rsidRDefault="00424E68" w:rsidP="00402657">
            <w:pPr>
              <w:pStyle w:val="TableText"/>
            </w:pPr>
          </w:p>
        </w:tc>
        <w:tc>
          <w:tcPr>
            <w:tcW w:w="815" w:type="dxa"/>
          </w:tcPr>
          <w:p w:rsidR="00424E68" w:rsidRDefault="00424E68" w:rsidP="00402657">
            <w:pPr>
              <w:pStyle w:val="TableText"/>
            </w:pPr>
          </w:p>
        </w:tc>
        <w:tc>
          <w:tcPr>
            <w:tcW w:w="1078" w:type="dxa"/>
          </w:tcPr>
          <w:p w:rsidR="00424E68" w:rsidRDefault="00424E68" w:rsidP="00402657">
            <w:pPr>
              <w:pStyle w:val="TableText"/>
            </w:pPr>
          </w:p>
        </w:tc>
        <w:tc>
          <w:tcPr>
            <w:tcW w:w="1068" w:type="dxa"/>
          </w:tcPr>
          <w:p w:rsidR="00424E68" w:rsidRDefault="00424E68" w:rsidP="00402657">
            <w:pPr>
              <w:pStyle w:val="TableText"/>
            </w:pPr>
          </w:p>
        </w:tc>
        <w:tc>
          <w:tcPr>
            <w:tcW w:w="1048" w:type="dxa"/>
          </w:tcPr>
          <w:p w:rsidR="00424E68" w:rsidRDefault="00424E68" w:rsidP="00402657">
            <w:pPr>
              <w:pStyle w:val="TableText"/>
            </w:pPr>
          </w:p>
        </w:tc>
      </w:tr>
      <w:tr w:rsidR="00424E68" w:rsidTr="000B02B9">
        <w:trPr>
          <w:jc w:val="center"/>
        </w:trPr>
        <w:tc>
          <w:tcPr>
            <w:tcW w:w="964" w:type="dxa"/>
          </w:tcPr>
          <w:p w:rsidR="00424E68" w:rsidRDefault="00E22771" w:rsidP="00402657">
            <w:pPr>
              <w:pStyle w:val="TableText"/>
            </w:pPr>
            <w:r>
              <w:t>Tūī</w:t>
            </w:r>
          </w:p>
        </w:tc>
        <w:tc>
          <w:tcPr>
            <w:tcW w:w="778" w:type="dxa"/>
          </w:tcPr>
          <w:p w:rsidR="00424E68" w:rsidRDefault="00424E68" w:rsidP="00402657">
            <w:pPr>
              <w:pStyle w:val="TableText"/>
            </w:pPr>
            <w:r>
              <w:t>1</w:t>
            </w:r>
          </w:p>
        </w:tc>
        <w:tc>
          <w:tcPr>
            <w:tcW w:w="4624" w:type="dxa"/>
          </w:tcPr>
          <w:p w:rsidR="00424E68" w:rsidRDefault="00424E68" w:rsidP="00402657">
            <w:pPr>
              <w:pStyle w:val="TableText"/>
            </w:pPr>
            <w:r w:rsidRPr="00574DF6">
              <w:t xml:space="preserve">Count ~ </w:t>
            </w:r>
            <w:proofErr w:type="spellStart"/>
            <w:r w:rsidRPr="00574DF6">
              <w:t>YearStd</w:t>
            </w:r>
            <w:proofErr w:type="spellEnd"/>
            <w:r w:rsidRPr="00574DF6">
              <w:t xml:space="preserve"> + (</w:t>
            </w:r>
            <w:proofErr w:type="spellStart"/>
            <w:r w:rsidRPr="00574DF6">
              <w:t>YearStd</w:t>
            </w:r>
            <w:proofErr w:type="spellEnd"/>
            <w:r w:rsidRPr="00574DF6">
              <w:t>||</w:t>
            </w:r>
            <w:proofErr w:type="spellStart"/>
            <w:r w:rsidRPr="00574DF6">
              <w:t>fRC</w:t>
            </w:r>
            <w:proofErr w:type="spellEnd"/>
            <w:r w:rsidRPr="00574DF6">
              <w:t>) + (1|Obs)</w:t>
            </w:r>
          </w:p>
        </w:tc>
        <w:tc>
          <w:tcPr>
            <w:tcW w:w="826" w:type="dxa"/>
          </w:tcPr>
          <w:p w:rsidR="00424E68" w:rsidRDefault="00424E68" w:rsidP="00402657">
            <w:pPr>
              <w:pStyle w:val="TableText"/>
            </w:pPr>
            <w:r>
              <w:t>47113</w:t>
            </w:r>
          </w:p>
        </w:tc>
        <w:tc>
          <w:tcPr>
            <w:tcW w:w="1306" w:type="dxa"/>
          </w:tcPr>
          <w:p w:rsidR="00424E68" w:rsidRDefault="00424E68" w:rsidP="00402657">
            <w:pPr>
              <w:pStyle w:val="TableText"/>
            </w:pPr>
            <w:r>
              <w:t>16</w:t>
            </w:r>
          </w:p>
        </w:tc>
        <w:tc>
          <w:tcPr>
            <w:tcW w:w="1147" w:type="dxa"/>
          </w:tcPr>
          <w:p w:rsidR="00424E68" w:rsidRDefault="00424E68" w:rsidP="00402657">
            <w:pPr>
              <w:pStyle w:val="TableText"/>
            </w:pPr>
            <w:r>
              <w:t>TRUE</w:t>
            </w:r>
          </w:p>
        </w:tc>
        <w:tc>
          <w:tcPr>
            <w:tcW w:w="815" w:type="dxa"/>
          </w:tcPr>
          <w:p w:rsidR="00424E68" w:rsidRDefault="00424E68" w:rsidP="00402657">
            <w:pPr>
              <w:pStyle w:val="TableText"/>
            </w:pPr>
            <w:r>
              <w:t>0.481</w:t>
            </w:r>
          </w:p>
        </w:tc>
        <w:tc>
          <w:tcPr>
            <w:tcW w:w="1078" w:type="dxa"/>
          </w:tcPr>
          <w:p w:rsidR="00424E68" w:rsidRDefault="00424E68" w:rsidP="00402657">
            <w:pPr>
              <w:pStyle w:val="TableText"/>
            </w:pPr>
            <w:r>
              <w:t>-0.656</w:t>
            </w:r>
          </w:p>
        </w:tc>
        <w:tc>
          <w:tcPr>
            <w:tcW w:w="1068" w:type="dxa"/>
          </w:tcPr>
          <w:p w:rsidR="00424E68" w:rsidRDefault="00424E68" w:rsidP="00402657">
            <w:pPr>
              <w:pStyle w:val="TableText"/>
            </w:pPr>
            <w:r>
              <w:t>1.62</w:t>
            </w:r>
          </w:p>
        </w:tc>
        <w:tc>
          <w:tcPr>
            <w:tcW w:w="1048" w:type="dxa"/>
          </w:tcPr>
          <w:p w:rsidR="00424E68" w:rsidRDefault="00424E68" w:rsidP="00402657">
            <w:pPr>
              <w:pStyle w:val="TableText"/>
            </w:pPr>
            <w:r>
              <w:t>2.27</w:t>
            </w:r>
          </w:p>
        </w:tc>
      </w:tr>
      <w:tr w:rsidR="00424E68" w:rsidTr="000B02B9">
        <w:trPr>
          <w:jc w:val="center"/>
        </w:trPr>
        <w:tc>
          <w:tcPr>
            <w:tcW w:w="964" w:type="dxa"/>
          </w:tcPr>
          <w:p w:rsidR="00424E68" w:rsidRDefault="00424E68" w:rsidP="00402657">
            <w:pPr>
              <w:pStyle w:val="TableText"/>
            </w:pPr>
          </w:p>
        </w:tc>
        <w:tc>
          <w:tcPr>
            <w:tcW w:w="778" w:type="dxa"/>
          </w:tcPr>
          <w:p w:rsidR="00424E68" w:rsidRDefault="00424E68" w:rsidP="00402657">
            <w:pPr>
              <w:pStyle w:val="TableText"/>
            </w:pPr>
            <w:r>
              <w:t>2</w:t>
            </w:r>
          </w:p>
        </w:tc>
        <w:tc>
          <w:tcPr>
            <w:tcW w:w="4624" w:type="dxa"/>
          </w:tcPr>
          <w:p w:rsidR="00424E68" w:rsidRDefault="00424E68" w:rsidP="00402657">
            <w:pPr>
              <w:pStyle w:val="TableText"/>
            </w:pPr>
            <w:r w:rsidRPr="00574DF6">
              <w:t xml:space="preserve">Count ~ </w:t>
            </w:r>
            <w:proofErr w:type="spellStart"/>
            <w:r w:rsidRPr="00574DF6">
              <w:t>YearStd</w:t>
            </w:r>
            <w:proofErr w:type="spellEnd"/>
            <w:r w:rsidRPr="00574DF6">
              <w:t xml:space="preserve"> + (</w:t>
            </w:r>
            <w:proofErr w:type="spellStart"/>
            <w:r w:rsidRPr="00574DF6">
              <w:t>YearStd</w:t>
            </w:r>
            <w:proofErr w:type="spellEnd"/>
            <w:r w:rsidRPr="00574DF6">
              <w:t>||</w:t>
            </w:r>
            <w:proofErr w:type="spellStart"/>
            <w:r w:rsidRPr="00574DF6">
              <w:t>fRC</w:t>
            </w:r>
            <w:proofErr w:type="spellEnd"/>
            <w:r w:rsidRPr="00574DF6">
              <w:t>/</w:t>
            </w:r>
            <w:proofErr w:type="spellStart"/>
            <w:r w:rsidRPr="00574DF6">
              <w:t>fUA</w:t>
            </w:r>
            <w:proofErr w:type="spellEnd"/>
            <w:r w:rsidRPr="00574DF6">
              <w:t>) + (1|Obs)</w:t>
            </w:r>
          </w:p>
        </w:tc>
        <w:tc>
          <w:tcPr>
            <w:tcW w:w="826" w:type="dxa"/>
          </w:tcPr>
          <w:p w:rsidR="00424E68" w:rsidRDefault="00424E68" w:rsidP="00402657">
            <w:pPr>
              <w:pStyle w:val="TableText"/>
            </w:pPr>
            <w:r>
              <w:t>46423</w:t>
            </w:r>
          </w:p>
        </w:tc>
        <w:tc>
          <w:tcPr>
            <w:tcW w:w="1306" w:type="dxa"/>
          </w:tcPr>
          <w:p w:rsidR="00424E68" w:rsidRDefault="00424E68" w:rsidP="00402657">
            <w:pPr>
              <w:pStyle w:val="TableText"/>
            </w:pPr>
            <w:r>
              <w:t>75.9</w:t>
            </w:r>
          </w:p>
        </w:tc>
        <w:tc>
          <w:tcPr>
            <w:tcW w:w="1147" w:type="dxa"/>
          </w:tcPr>
          <w:p w:rsidR="00424E68" w:rsidRDefault="00424E68" w:rsidP="00402657">
            <w:pPr>
              <w:pStyle w:val="TableText"/>
            </w:pPr>
            <w:r>
              <w:t>TRUE</w:t>
            </w:r>
          </w:p>
        </w:tc>
        <w:tc>
          <w:tcPr>
            <w:tcW w:w="815" w:type="dxa"/>
          </w:tcPr>
          <w:p w:rsidR="00424E68" w:rsidRDefault="00424E68" w:rsidP="00402657">
            <w:pPr>
              <w:pStyle w:val="TableText"/>
            </w:pPr>
            <w:r>
              <w:t>0.761</w:t>
            </w:r>
          </w:p>
        </w:tc>
        <w:tc>
          <w:tcPr>
            <w:tcW w:w="1078" w:type="dxa"/>
          </w:tcPr>
          <w:p w:rsidR="00424E68" w:rsidRDefault="00424E68" w:rsidP="00402657">
            <w:pPr>
              <w:pStyle w:val="TableText"/>
            </w:pPr>
            <w:r>
              <w:t>-1.09</w:t>
            </w:r>
          </w:p>
        </w:tc>
        <w:tc>
          <w:tcPr>
            <w:tcW w:w="1068" w:type="dxa"/>
          </w:tcPr>
          <w:p w:rsidR="00424E68" w:rsidRDefault="00424E68" w:rsidP="00402657">
            <w:pPr>
              <w:pStyle w:val="TableText"/>
            </w:pPr>
            <w:r>
              <w:t>2.61</w:t>
            </w:r>
          </w:p>
        </w:tc>
        <w:tc>
          <w:tcPr>
            <w:tcW w:w="1048" w:type="dxa"/>
          </w:tcPr>
          <w:p w:rsidR="00424E68" w:rsidRDefault="00424E68" w:rsidP="00402657">
            <w:pPr>
              <w:pStyle w:val="TableText"/>
            </w:pPr>
            <w:r>
              <w:t>3.69</w:t>
            </w:r>
          </w:p>
        </w:tc>
      </w:tr>
      <w:tr w:rsidR="00424E68" w:rsidRPr="001909B6" w:rsidTr="000B02B9">
        <w:trPr>
          <w:jc w:val="center"/>
        </w:trPr>
        <w:tc>
          <w:tcPr>
            <w:tcW w:w="964" w:type="dxa"/>
          </w:tcPr>
          <w:p w:rsidR="00424E68" w:rsidRPr="001909B6" w:rsidRDefault="00424E68" w:rsidP="00402657">
            <w:pPr>
              <w:pStyle w:val="TableText"/>
              <w:rPr>
                <w:b/>
              </w:rPr>
            </w:pPr>
          </w:p>
        </w:tc>
        <w:tc>
          <w:tcPr>
            <w:tcW w:w="778" w:type="dxa"/>
          </w:tcPr>
          <w:p w:rsidR="00424E68" w:rsidRPr="001909B6" w:rsidRDefault="00424E68" w:rsidP="00402657">
            <w:pPr>
              <w:pStyle w:val="TableText"/>
              <w:rPr>
                <w:b/>
              </w:rPr>
            </w:pPr>
            <w:r w:rsidRPr="001909B6">
              <w:rPr>
                <w:b/>
              </w:rPr>
              <w:t>3</w:t>
            </w:r>
          </w:p>
        </w:tc>
        <w:tc>
          <w:tcPr>
            <w:tcW w:w="4624" w:type="dxa"/>
          </w:tcPr>
          <w:p w:rsidR="00424E68" w:rsidRPr="001909B6" w:rsidRDefault="00424E68" w:rsidP="00402657">
            <w:pPr>
              <w:pStyle w:val="TableText"/>
              <w:rPr>
                <w:b/>
              </w:rPr>
            </w:pPr>
            <w:r w:rsidRPr="00574DF6">
              <w:rPr>
                <w:b/>
              </w:rPr>
              <w:t xml:space="preserve">Count ~ </w:t>
            </w:r>
            <w:proofErr w:type="spellStart"/>
            <w:r w:rsidRPr="00574DF6">
              <w:rPr>
                <w:b/>
              </w:rPr>
              <w:t>YearStd</w:t>
            </w:r>
            <w:proofErr w:type="spellEnd"/>
            <w:r w:rsidRPr="00574DF6">
              <w:rPr>
                <w:b/>
              </w:rPr>
              <w:t xml:space="preserve"> + (</w:t>
            </w:r>
            <w:proofErr w:type="spellStart"/>
            <w:r w:rsidRPr="00574DF6">
              <w:rPr>
                <w:b/>
              </w:rPr>
              <w:t>YearStd</w:t>
            </w:r>
            <w:proofErr w:type="spellEnd"/>
            <w:r w:rsidRPr="00574DF6">
              <w:rPr>
                <w:b/>
              </w:rPr>
              <w:t>||</w:t>
            </w:r>
            <w:proofErr w:type="spellStart"/>
            <w:r w:rsidRPr="00574DF6">
              <w:rPr>
                <w:b/>
              </w:rPr>
              <w:t>fRC</w:t>
            </w:r>
            <w:proofErr w:type="spellEnd"/>
            <w:r w:rsidRPr="00574DF6">
              <w:rPr>
                <w:b/>
              </w:rPr>
              <w:t>/</w:t>
            </w:r>
            <w:proofErr w:type="spellStart"/>
            <w:r w:rsidRPr="00574DF6">
              <w:rPr>
                <w:b/>
              </w:rPr>
              <w:t>fUA</w:t>
            </w:r>
            <w:proofErr w:type="spellEnd"/>
            <w:r w:rsidRPr="00574DF6">
              <w:rPr>
                <w:b/>
              </w:rPr>
              <w:t>/</w:t>
            </w:r>
            <w:proofErr w:type="spellStart"/>
            <w:r w:rsidRPr="00574DF6">
              <w:rPr>
                <w:b/>
              </w:rPr>
              <w:t>fAU</w:t>
            </w:r>
            <w:proofErr w:type="spellEnd"/>
            <w:r w:rsidRPr="00574DF6">
              <w:rPr>
                <w:b/>
              </w:rPr>
              <w:t>) + (1|Obs)</w:t>
            </w:r>
          </w:p>
        </w:tc>
        <w:tc>
          <w:tcPr>
            <w:tcW w:w="826" w:type="dxa"/>
          </w:tcPr>
          <w:p w:rsidR="00424E68" w:rsidRPr="001909B6" w:rsidRDefault="00424E68" w:rsidP="00402657">
            <w:pPr>
              <w:pStyle w:val="TableText"/>
              <w:rPr>
                <w:b/>
              </w:rPr>
            </w:pPr>
            <w:r w:rsidRPr="001909B6">
              <w:rPr>
                <w:b/>
              </w:rPr>
              <w:t>45576</w:t>
            </w:r>
          </w:p>
        </w:tc>
        <w:tc>
          <w:tcPr>
            <w:tcW w:w="1306" w:type="dxa"/>
          </w:tcPr>
          <w:p w:rsidR="00424E68" w:rsidRPr="001909B6" w:rsidRDefault="00424E68" w:rsidP="00402657">
            <w:pPr>
              <w:pStyle w:val="TableText"/>
              <w:rPr>
                <w:b/>
              </w:rPr>
            </w:pPr>
            <w:r w:rsidRPr="001909B6">
              <w:rPr>
                <w:b/>
              </w:rPr>
              <w:t>226</w:t>
            </w:r>
          </w:p>
        </w:tc>
        <w:tc>
          <w:tcPr>
            <w:tcW w:w="1147" w:type="dxa"/>
          </w:tcPr>
          <w:p w:rsidR="00424E68" w:rsidRPr="001909B6" w:rsidRDefault="00424E68" w:rsidP="00402657">
            <w:pPr>
              <w:pStyle w:val="TableText"/>
              <w:rPr>
                <w:b/>
              </w:rPr>
            </w:pPr>
            <w:r w:rsidRPr="001909B6">
              <w:rPr>
                <w:b/>
              </w:rPr>
              <w:t>TRUE</w:t>
            </w:r>
          </w:p>
        </w:tc>
        <w:tc>
          <w:tcPr>
            <w:tcW w:w="815" w:type="dxa"/>
          </w:tcPr>
          <w:p w:rsidR="00424E68" w:rsidRPr="001909B6" w:rsidRDefault="00424E68" w:rsidP="00402657">
            <w:pPr>
              <w:pStyle w:val="TableText"/>
              <w:rPr>
                <w:b/>
              </w:rPr>
            </w:pPr>
            <w:r w:rsidRPr="001909B6">
              <w:rPr>
                <w:b/>
              </w:rPr>
              <w:t>0.569</w:t>
            </w:r>
          </w:p>
        </w:tc>
        <w:tc>
          <w:tcPr>
            <w:tcW w:w="1078" w:type="dxa"/>
          </w:tcPr>
          <w:p w:rsidR="00424E68" w:rsidRPr="001909B6" w:rsidRDefault="00424E68" w:rsidP="00402657">
            <w:pPr>
              <w:pStyle w:val="TableText"/>
              <w:rPr>
                <w:b/>
              </w:rPr>
            </w:pPr>
            <w:r w:rsidRPr="001909B6">
              <w:rPr>
                <w:b/>
              </w:rPr>
              <w:t>-1.46</w:t>
            </w:r>
          </w:p>
        </w:tc>
        <w:tc>
          <w:tcPr>
            <w:tcW w:w="1068" w:type="dxa"/>
          </w:tcPr>
          <w:p w:rsidR="00424E68" w:rsidRPr="001909B6" w:rsidRDefault="00424E68" w:rsidP="00402657">
            <w:pPr>
              <w:pStyle w:val="TableText"/>
              <w:rPr>
                <w:b/>
              </w:rPr>
            </w:pPr>
            <w:r w:rsidRPr="001909B6">
              <w:rPr>
                <w:b/>
              </w:rPr>
              <w:t>2.6</w:t>
            </w:r>
          </w:p>
        </w:tc>
        <w:tc>
          <w:tcPr>
            <w:tcW w:w="1048" w:type="dxa"/>
          </w:tcPr>
          <w:p w:rsidR="00424E68" w:rsidRPr="001909B6" w:rsidRDefault="00424E68" w:rsidP="00402657">
            <w:pPr>
              <w:pStyle w:val="TableText"/>
              <w:rPr>
                <w:b/>
              </w:rPr>
            </w:pPr>
            <w:r w:rsidRPr="001909B6">
              <w:rPr>
                <w:b/>
              </w:rPr>
              <w:t>4.06</w:t>
            </w:r>
          </w:p>
        </w:tc>
      </w:tr>
      <w:tr w:rsidR="00424E68" w:rsidTr="000B02B9">
        <w:trPr>
          <w:jc w:val="center"/>
        </w:trPr>
        <w:tc>
          <w:tcPr>
            <w:tcW w:w="964" w:type="dxa"/>
          </w:tcPr>
          <w:p w:rsidR="00424E68" w:rsidRDefault="00424E68" w:rsidP="00402657">
            <w:pPr>
              <w:pStyle w:val="TableText"/>
            </w:pPr>
          </w:p>
        </w:tc>
        <w:tc>
          <w:tcPr>
            <w:tcW w:w="778" w:type="dxa"/>
          </w:tcPr>
          <w:p w:rsidR="00424E68" w:rsidRDefault="00424E68" w:rsidP="00402657">
            <w:pPr>
              <w:pStyle w:val="TableText"/>
            </w:pPr>
            <w:r>
              <w:t>4</w:t>
            </w:r>
          </w:p>
        </w:tc>
        <w:tc>
          <w:tcPr>
            <w:tcW w:w="4624" w:type="dxa"/>
          </w:tcPr>
          <w:p w:rsidR="00424E68" w:rsidRDefault="00424E68" w:rsidP="00402657">
            <w:pPr>
              <w:pStyle w:val="TableText"/>
            </w:pPr>
            <w:r w:rsidRPr="00574DF6">
              <w:t xml:space="preserve">Count ~ </w:t>
            </w:r>
            <w:proofErr w:type="spellStart"/>
            <w:r w:rsidRPr="00574DF6">
              <w:t>YearStd</w:t>
            </w:r>
            <w:proofErr w:type="spellEnd"/>
            <w:r w:rsidRPr="00574DF6">
              <w:t xml:space="preserve"> + (</w:t>
            </w:r>
            <w:proofErr w:type="spellStart"/>
            <w:r w:rsidRPr="00574DF6">
              <w:t>YearStd</w:t>
            </w:r>
            <w:proofErr w:type="spellEnd"/>
            <w:r w:rsidRPr="00574DF6">
              <w:t>||</w:t>
            </w:r>
            <w:proofErr w:type="spellStart"/>
            <w:r w:rsidRPr="00574DF6">
              <w:t>fRC</w:t>
            </w:r>
            <w:proofErr w:type="spellEnd"/>
            <w:r w:rsidRPr="00574DF6">
              <w:t>/</w:t>
            </w:r>
            <w:proofErr w:type="spellStart"/>
            <w:r w:rsidRPr="00574DF6">
              <w:t>fAU</w:t>
            </w:r>
            <w:proofErr w:type="spellEnd"/>
            <w:r w:rsidRPr="00574DF6">
              <w:t>) + (1|Obs)</w:t>
            </w:r>
          </w:p>
        </w:tc>
        <w:tc>
          <w:tcPr>
            <w:tcW w:w="826" w:type="dxa"/>
          </w:tcPr>
          <w:p w:rsidR="00424E68" w:rsidRDefault="00424E68" w:rsidP="00402657">
            <w:pPr>
              <w:pStyle w:val="TableText"/>
            </w:pPr>
            <w:r>
              <w:t>45687</w:t>
            </w:r>
          </w:p>
        </w:tc>
        <w:tc>
          <w:tcPr>
            <w:tcW w:w="1306" w:type="dxa"/>
          </w:tcPr>
          <w:p w:rsidR="00424E68" w:rsidRDefault="00424E68" w:rsidP="00402657">
            <w:pPr>
              <w:pStyle w:val="TableText"/>
            </w:pPr>
            <w:r>
              <w:t>97.5</w:t>
            </w:r>
          </w:p>
        </w:tc>
        <w:tc>
          <w:tcPr>
            <w:tcW w:w="1147" w:type="dxa"/>
          </w:tcPr>
          <w:p w:rsidR="00424E68" w:rsidRDefault="00424E68" w:rsidP="00402657">
            <w:pPr>
              <w:pStyle w:val="TableText"/>
            </w:pPr>
            <w:r>
              <w:t>TRUE</w:t>
            </w:r>
          </w:p>
        </w:tc>
        <w:tc>
          <w:tcPr>
            <w:tcW w:w="815" w:type="dxa"/>
          </w:tcPr>
          <w:p w:rsidR="00424E68" w:rsidRDefault="00424E68" w:rsidP="00402657">
            <w:pPr>
              <w:pStyle w:val="TableText"/>
            </w:pPr>
            <w:r>
              <w:t>0.612</w:t>
            </w:r>
          </w:p>
        </w:tc>
        <w:tc>
          <w:tcPr>
            <w:tcW w:w="1078" w:type="dxa"/>
          </w:tcPr>
          <w:p w:rsidR="00424E68" w:rsidRDefault="00424E68" w:rsidP="00402657">
            <w:pPr>
              <w:pStyle w:val="TableText"/>
            </w:pPr>
            <w:r>
              <w:t>-0.955</w:t>
            </w:r>
          </w:p>
        </w:tc>
        <w:tc>
          <w:tcPr>
            <w:tcW w:w="1068" w:type="dxa"/>
          </w:tcPr>
          <w:p w:rsidR="00424E68" w:rsidRDefault="00424E68" w:rsidP="00402657">
            <w:pPr>
              <w:pStyle w:val="TableText"/>
            </w:pPr>
            <w:r>
              <w:t>2.18</w:t>
            </w:r>
          </w:p>
        </w:tc>
        <w:tc>
          <w:tcPr>
            <w:tcW w:w="1048" w:type="dxa"/>
          </w:tcPr>
          <w:p w:rsidR="00424E68" w:rsidRDefault="00424E68" w:rsidP="00402657">
            <w:pPr>
              <w:pStyle w:val="TableText"/>
            </w:pPr>
            <w:r>
              <w:t>3.14</w:t>
            </w:r>
          </w:p>
        </w:tc>
      </w:tr>
    </w:tbl>
    <w:p w:rsidR="00574DF6" w:rsidRDefault="00574DF6" w:rsidP="000B02B9">
      <w:pPr>
        <w:pStyle w:val="BodyText"/>
      </w:pPr>
    </w:p>
    <w:p w:rsidR="00574DF6" w:rsidRPr="00CE03E9" w:rsidRDefault="00082805" w:rsidP="00CE03E9">
      <w:pPr>
        <w:pStyle w:val="BodyText"/>
        <w:sectPr w:rsidR="00574DF6" w:rsidRPr="00CE03E9" w:rsidSect="00A83BAE">
          <w:pgSz w:w="16840" w:h="11907" w:orient="landscape" w:code="9"/>
          <w:pgMar w:top="1418" w:right="1701" w:bottom="1418" w:left="1701" w:header="567" w:footer="567" w:gutter="567"/>
          <w:cols w:space="720"/>
          <w:docGrid w:linePitch="299"/>
        </w:sectPr>
      </w:pPr>
      <w:r>
        <w:t>Note the best-fit models (based on AIC values) are highlighted in bold. Time = time taken to run the model. Converge = whether the model converged to a stable solution or not. CI = confidence interval. CI width is the difference between the lower CI and upper CI (see figure 8).</w:t>
      </w:r>
    </w:p>
    <w:p w:rsidR="004D4C08" w:rsidRPr="00465267" w:rsidRDefault="004D4C08" w:rsidP="004D4C08">
      <w:pPr>
        <w:pStyle w:val="Heading2"/>
      </w:pPr>
      <w:bookmarkStart w:id="28" w:name="_Toc427250826"/>
      <w:r>
        <w:t>Preliminary results</w:t>
      </w:r>
      <w:bookmarkEnd w:id="28"/>
    </w:p>
    <w:p w:rsidR="00C65E39" w:rsidRDefault="00C65E39" w:rsidP="00C65E39">
      <w:pPr>
        <w:pStyle w:val="Heading3"/>
      </w:pPr>
      <w:r>
        <w:t xml:space="preserve">Derived national </w:t>
      </w:r>
      <w:r w:rsidR="00E84167">
        <w:t xml:space="preserve">abundance </w:t>
      </w:r>
      <w:r>
        <w:t>trend estimates</w:t>
      </w:r>
    </w:p>
    <w:p w:rsidR="00F06FFB" w:rsidRDefault="00F06FFB" w:rsidP="00F06FFB">
      <w:pPr>
        <w:pStyle w:val="BodyText"/>
      </w:pPr>
      <w:r>
        <w:t xml:space="preserve">For each species, </w:t>
      </w:r>
      <w:r w:rsidR="00E84167">
        <w:t xml:space="preserve">abundance </w:t>
      </w:r>
      <w:r>
        <w:t xml:space="preserve">trend estimates were broadly comparable across the four candidate models, but more variable for fantail and </w:t>
      </w:r>
      <w:r w:rsidR="00E22771">
        <w:t>tūī</w:t>
      </w:r>
      <w:r>
        <w:t xml:space="preserve"> (where the trends were closer to zero) than the othe</w:t>
      </w:r>
      <w:r w:rsidR="00367017">
        <w:t>r two species (</w:t>
      </w:r>
      <w:r w:rsidR="00494026">
        <w:t>table</w:t>
      </w:r>
      <w:r w:rsidR="00367017">
        <w:t xml:space="preserve"> 2; </w:t>
      </w:r>
      <w:r w:rsidR="00494026">
        <w:t>figure</w:t>
      </w:r>
      <w:r w:rsidR="00367017">
        <w:t xml:space="preserve"> 8</w:t>
      </w:r>
      <w:r>
        <w:t xml:space="preserve">). The trend estimates indicate a decline in blackbird and silvereye counts, and no change in fantail or </w:t>
      </w:r>
      <w:r w:rsidR="00E22771">
        <w:t>tūī</w:t>
      </w:r>
      <w:r>
        <w:t xml:space="preserve"> counts. </w:t>
      </w:r>
    </w:p>
    <w:p w:rsidR="001562CB" w:rsidRDefault="001562CB" w:rsidP="00141DE2">
      <w:pPr>
        <w:pStyle w:val="BodyText"/>
      </w:pPr>
    </w:p>
    <w:p w:rsidR="00141DE2" w:rsidRDefault="00141DE2" w:rsidP="00141DE2">
      <w:pPr>
        <w:pStyle w:val="BodyText"/>
      </w:pPr>
      <w:r>
        <w:t>Overall, trend estimates for blackbird were more precise than those for the other three species (based on the confidence in</w:t>
      </w:r>
      <w:r w:rsidR="00367017">
        <w:t xml:space="preserve">terval widths; </w:t>
      </w:r>
      <w:r w:rsidR="00494026">
        <w:t>table</w:t>
      </w:r>
      <w:r w:rsidR="00367017">
        <w:t xml:space="preserve"> 2; </w:t>
      </w:r>
      <w:r w:rsidR="00494026">
        <w:t>figure</w:t>
      </w:r>
      <w:r w:rsidR="00367017">
        <w:t xml:space="preserve"> 8</w:t>
      </w:r>
      <w:r>
        <w:t xml:space="preserve">). For blackbird and silvereye, the confidence </w:t>
      </w:r>
      <w:r w:rsidRPr="001562CB">
        <w:t xml:space="preserve">intervals excluded zero, giving us some assurance that the declining trends for these </w:t>
      </w:r>
      <w:r w:rsidRPr="00F60035">
        <w:t>species are reliable</w:t>
      </w:r>
      <w:r w:rsidR="00873BEB" w:rsidRPr="00F60035">
        <w:t xml:space="preserve">. </w:t>
      </w:r>
      <w:r w:rsidR="00E22771" w:rsidRPr="00F60035">
        <w:t xml:space="preserve">The plots show the modelled slopes from </w:t>
      </w:r>
      <w:r w:rsidR="00494026">
        <w:t>table</w:t>
      </w:r>
      <w:r w:rsidR="00E22771" w:rsidRPr="00F60035">
        <w:t xml:space="preserve"> 2 with the confidence intervals. If the confidence intervals overlap with zero (the horizontal line in </w:t>
      </w:r>
      <w:r w:rsidR="00494026">
        <w:t>figure</w:t>
      </w:r>
      <w:r w:rsidR="00E22771" w:rsidRPr="00F60035">
        <w:t xml:space="preserve"> </w:t>
      </w:r>
      <w:r w:rsidR="00F60035" w:rsidRPr="00F60035">
        <w:t>8</w:t>
      </w:r>
      <w:r w:rsidR="00E22771" w:rsidRPr="00F60035">
        <w:t>) we conclude that the slope</w:t>
      </w:r>
      <w:r w:rsidR="00F60035" w:rsidRPr="00F60035">
        <w:t xml:space="preserve"> estimate</w:t>
      </w:r>
      <w:r w:rsidR="00E22771" w:rsidRPr="00F60035">
        <w:t xml:space="preserve"> is not reliable </w:t>
      </w:r>
      <w:r w:rsidR="00E84167">
        <w:t>(</w:t>
      </w:r>
      <w:proofErr w:type="spellStart"/>
      <w:r w:rsidR="00DB4A9D">
        <w:t>ie</w:t>
      </w:r>
      <w:proofErr w:type="spellEnd"/>
      <w:r w:rsidR="00DB4A9D">
        <w:t>,</w:t>
      </w:r>
      <w:r w:rsidR="00E22771" w:rsidRPr="00F60035">
        <w:t xml:space="preserve"> there is no trend in the co</w:t>
      </w:r>
      <w:r w:rsidR="00F60035" w:rsidRPr="00F60035">
        <w:t>unt data</w:t>
      </w:r>
      <w:r w:rsidR="00E84167">
        <w:t>)</w:t>
      </w:r>
      <w:r w:rsidR="00F60035" w:rsidRPr="00F60035">
        <w:t>. This is the case for fantail and tūī. However, for b</w:t>
      </w:r>
      <w:r w:rsidR="00E22771" w:rsidRPr="00F60035">
        <w:t xml:space="preserve">lackbird and </w:t>
      </w:r>
      <w:r w:rsidR="00F60035" w:rsidRPr="00F60035">
        <w:t>s</w:t>
      </w:r>
      <w:r w:rsidR="00E22771" w:rsidRPr="00F60035">
        <w:t>ilvereye, the confidence intervals do not overlap zero</w:t>
      </w:r>
      <w:r w:rsidR="00E84167">
        <w:t>,</w:t>
      </w:r>
      <w:r w:rsidR="00E22771" w:rsidRPr="00F60035">
        <w:t xml:space="preserve"> </w:t>
      </w:r>
      <w:r w:rsidR="00F60035" w:rsidRPr="00F60035">
        <w:t>indicating</w:t>
      </w:r>
      <w:r w:rsidR="00E22771" w:rsidRPr="00F60035">
        <w:t xml:space="preserve"> that </w:t>
      </w:r>
      <w:r w:rsidR="00F60035" w:rsidRPr="00F60035">
        <w:t xml:space="preserve">both species are </w:t>
      </w:r>
      <w:r w:rsidR="00F60035">
        <w:t xml:space="preserve">genuinely </w:t>
      </w:r>
      <w:r w:rsidR="00F60035" w:rsidRPr="00F60035">
        <w:t>declining.</w:t>
      </w:r>
    </w:p>
    <w:p w:rsidR="005F6734" w:rsidRDefault="005F6734" w:rsidP="00141DE2">
      <w:pPr>
        <w:pStyle w:val="BodyText"/>
      </w:pPr>
    </w:p>
    <w:p w:rsidR="00F35D87" w:rsidRDefault="00F35D87" w:rsidP="00141DE2">
      <w:pPr>
        <w:pStyle w:val="BodyText"/>
      </w:pPr>
    </w:p>
    <w:p w:rsidR="00F35D87" w:rsidRDefault="00F35D87" w:rsidP="00F35D87">
      <w:pPr>
        <w:pStyle w:val="Figureheading"/>
      </w:pPr>
      <w:bookmarkStart w:id="29" w:name="_Toc430354517"/>
      <w:r>
        <w:t xml:space="preserve">Figure 8: </w:t>
      </w:r>
      <w:r>
        <w:tab/>
        <w:t>Garden bird abundance trend estimates with 95% confidence intervals extracted from the four candidate models fitted (table 2)</w:t>
      </w:r>
      <w:bookmarkEnd w:id="29"/>
    </w:p>
    <w:p w:rsidR="000E3538" w:rsidRDefault="00DA57F8" w:rsidP="00F35D87">
      <w:pPr>
        <w:pStyle w:val="BodyText"/>
      </w:pPr>
      <w:r>
        <w:rPr>
          <w:noProof/>
          <w:lang w:eastAsia="en-NZ"/>
        </w:rPr>
        <w:drawing>
          <wp:inline distT="0" distB="0" distL="0" distR="0" wp14:anchorId="7197F4A5" wp14:editId="6D915E24">
            <wp:extent cx="5400040" cy="37728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00040" cy="3772828"/>
                    </a:xfrm>
                    <a:prstGeom prst="rect">
                      <a:avLst/>
                    </a:prstGeom>
                  </pic:spPr>
                </pic:pic>
              </a:graphicData>
            </a:graphic>
          </wp:inline>
        </w:drawing>
      </w:r>
    </w:p>
    <w:p w:rsidR="00221077" w:rsidRDefault="00221077" w:rsidP="00F35D87">
      <w:pPr>
        <w:pStyle w:val="BodyText"/>
      </w:pPr>
    </w:p>
    <w:p w:rsidR="008B7BAC" w:rsidRDefault="008B7BAC" w:rsidP="00F35D87">
      <w:pPr>
        <w:pStyle w:val="BodyText"/>
      </w:pPr>
      <w:r>
        <w:br w:type="page"/>
      </w:r>
    </w:p>
    <w:p w:rsidR="00C65E39" w:rsidRDefault="00C65E39" w:rsidP="00C65E39">
      <w:pPr>
        <w:pStyle w:val="Heading3"/>
      </w:pPr>
      <w:r>
        <w:t>Comparison with trends from weighted averages</w:t>
      </w:r>
    </w:p>
    <w:p w:rsidR="009A2289" w:rsidRDefault="007C3A70" w:rsidP="005F6734">
      <w:pPr>
        <w:pStyle w:val="BodyText"/>
      </w:pPr>
      <w:r>
        <w:t xml:space="preserve">To evaluate how our models performed relative to the current approach used to report on national garden bird trends </w:t>
      </w:r>
      <w:r w:rsidRPr="00977E8C">
        <w:t>(</w:t>
      </w:r>
      <w:r w:rsidR="00494026">
        <w:t>figure</w:t>
      </w:r>
      <w:r w:rsidRPr="00977E8C">
        <w:t xml:space="preserve"> 1)</w:t>
      </w:r>
      <w:r>
        <w:t>, we</w:t>
      </w:r>
      <w:r w:rsidR="00977E8C" w:rsidRPr="00977E8C">
        <w:t xml:space="preserve"> fitted a linear model (</w:t>
      </w:r>
      <w:r w:rsidR="0050107E" w:rsidRPr="00261B59">
        <w:t xml:space="preserve">M0, </w:t>
      </w:r>
      <w:r w:rsidR="00977E8C" w:rsidRPr="00261B59">
        <w:t xml:space="preserve">using the </w:t>
      </w:r>
      <w:r w:rsidR="00977E8C" w:rsidRPr="00962F36">
        <w:rPr>
          <w:rStyle w:val="R-codeChar"/>
        </w:rPr>
        <w:t>lm</w:t>
      </w:r>
      <w:r w:rsidR="00977E8C" w:rsidRPr="00261B59">
        <w:t xml:space="preserve"> function in </w:t>
      </w:r>
      <w:r w:rsidR="00977E8C" w:rsidRPr="00962F36">
        <w:rPr>
          <w:rStyle w:val="R-codeChar"/>
        </w:rPr>
        <w:t>R</w:t>
      </w:r>
      <w:r w:rsidR="00977E8C" w:rsidRPr="00261B59">
        <w:t xml:space="preserve">) to the </w:t>
      </w:r>
      <w:r w:rsidR="00B633A3" w:rsidRPr="00261B59">
        <w:t>log-tran</w:t>
      </w:r>
      <w:r w:rsidR="00B633A3">
        <w:t xml:space="preserve">sformed </w:t>
      </w:r>
      <w:r w:rsidR="00977E8C" w:rsidRPr="00977E8C">
        <w:t>weighted national average estimates for 2008</w:t>
      </w:r>
      <w:r w:rsidR="0050107E">
        <w:t>–</w:t>
      </w:r>
      <w:r w:rsidR="00977E8C" w:rsidRPr="00977E8C">
        <w:t>2010</w:t>
      </w:r>
      <w:r>
        <w:t xml:space="preserve"> with year as a fixed effect</w:t>
      </w:r>
      <w:r w:rsidR="00977E8C" w:rsidRPr="00977E8C">
        <w:t xml:space="preserve"> to estimate the slope (and 95% CIs). Overall</w:t>
      </w:r>
      <w:r w:rsidR="005F6734" w:rsidRPr="00977E8C">
        <w:t xml:space="preserve">, </w:t>
      </w:r>
      <w:r w:rsidR="00DA57F8" w:rsidRPr="00977E8C">
        <w:t>the</w:t>
      </w:r>
      <w:r w:rsidR="00977E8C" w:rsidRPr="00977E8C">
        <w:t xml:space="preserve"> direction of the</w:t>
      </w:r>
      <w:r w:rsidR="00DA57F8" w:rsidRPr="00977E8C">
        <w:t xml:space="preserve"> estimated trends derived from </w:t>
      </w:r>
      <w:r w:rsidR="00977E8C" w:rsidRPr="00977E8C">
        <w:t>M</w:t>
      </w:r>
      <w:r w:rsidR="00DA57F8" w:rsidRPr="00977E8C">
        <w:t>odels 1</w:t>
      </w:r>
      <w:r w:rsidR="00977E8C" w:rsidRPr="00977E8C">
        <w:t>–</w:t>
      </w:r>
      <w:r w:rsidR="00DA57F8" w:rsidRPr="00977E8C">
        <w:t xml:space="preserve">4 reflected those calculated based on the weighted national level trends </w:t>
      </w:r>
      <w:r w:rsidR="00977E8C" w:rsidRPr="00977E8C">
        <w:t>(</w:t>
      </w:r>
      <w:r w:rsidR="00494026">
        <w:t>figure</w:t>
      </w:r>
      <w:r w:rsidR="00DA57F8" w:rsidRPr="00977E8C">
        <w:t xml:space="preserve"> </w:t>
      </w:r>
      <w:r w:rsidR="00367017">
        <w:t>9</w:t>
      </w:r>
      <w:r w:rsidR="00977E8C" w:rsidRPr="00977E8C">
        <w:t xml:space="preserve">): negative trends for blackbird and silvereye and positive trends for fantail and </w:t>
      </w:r>
      <w:r w:rsidR="00E22771">
        <w:t>tūī</w:t>
      </w:r>
      <w:r w:rsidR="00977E8C" w:rsidRPr="00977E8C">
        <w:t>. However</w:t>
      </w:r>
      <w:r w:rsidR="00261B59">
        <w:t>,</w:t>
      </w:r>
      <w:r w:rsidR="00977E8C" w:rsidRPr="00977E8C">
        <w:t xml:space="preserve"> the point estimates for the trends differed b</w:t>
      </w:r>
      <w:r>
        <w:t>etween the modelling approaches. The</w:t>
      </w:r>
      <w:r w:rsidR="00977E8C" w:rsidRPr="00977E8C">
        <w:t xml:space="preserve"> confidence intervals for the trends derived from the weighted national averages </w:t>
      </w:r>
      <w:r>
        <w:t>were</w:t>
      </w:r>
      <w:r w:rsidR="00977E8C" w:rsidRPr="00977E8C">
        <w:t xml:space="preserve"> much wider than those derived from Models 1–4.</w:t>
      </w:r>
      <w:r w:rsidR="00F268B3">
        <w:t xml:space="preserve"> </w:t>
      </w:r>
      <w:r w:rsidR="00E22771">
        <w:t xml:space="preserve">This demonstrates that </w:t>
      </w:r>
      <w:r w:rsidR="00F268B3">
        <w:t xml:space="preserve">inclusion </w:t>
      </w:r>
      <w:r w:rsidR="00261B59">
        <w:t xml:space="preserve">in our models </w:t>
      </w:r>
      <w:r w:rsidR="00F268B3">
        <w:t>of random effects explicitly account</w:t>
      </w:r>
      <w:r w:rsidR="00E22771">
        <w:t>ing</w:t>
      </w:r>
      <w:r w:rsidR="00F268B3">
        <w:t xml:space="preserve"> for spatial variation in sampling effort delivers greater precision (</w:t>
      </w:r>
      <w:proofErr w:type="spellStart"/>
      <w:r w:rsidR="00DB4A9D">
        <w:t>ie</w:t>
      </w:r>
      <w:proofErr w:type="spellEnd"/>
      <w:r w:rsidR="00DB4A9D">
        <w:t>,</w:t>
      </w:r>
      <w:r w:rsidR="00F268B3">
        <w:t xml:space="preserve"> the confidence intervals are much smaller).</w:t>
      </w:r>
    </w:p>
    <w:p w:rsidR="005F6734" w:rsidRDefault="005F6734" w:rsidP="00F35D87">
      <w:pPr>
        <w:pStyle w:val="BodyText"/>
      </w:pPr>
    </w:p>
    <w:p w:rsidR="00F35D87" w:rsidRDefault="00F35D87" w:rsidP="00F35D87">
      <w:pPr>
        <w:pStyle w:val="BodyText"/>
      </w:pPr>
    </w:p>
    <w:p w:rsidR="00F35D87" w:rsidRDefault="00F35D87" w:rsidP="00F35D87">
      <w:pPr>
        <w:pStyle w:val="Figureheading"/>
      </w:pPr>
      <w:bookmarkStart w:id="30" w:name="_Toc430354518"/>
      <w:r>
        <w:t xml:space="preserve">Figure 9: </w:t>
      </w:r>
      <w:r>
        <w:tab/>
        <w:t>Slope estimates (95% CI) derived from a linear model fitted to the weighted national estimates (M0; figure 1) versus the linear mixed effects models fitted using the full dataset for the urban areas (M1–M4; table 2)</w:t>
      </w:r>
      <w:bookmarkEnd w:id="30"/>
    </w:p>
    <w:p w:rsidR="0017514A" w:rsidRDefault="00CA7422" w:rsidP="00F35D87">
      <w:pPr>
        <w:pStyle w:val="BodyText"/>
      </w:pPr>
      <w:r>
        <w:rPr>
          <w:noProof/>
          <w:lang w:eastAsia="en-NZ"/>
        </w:rPr>
        <w:drawing>
          <wp:inline distT="0" distB="0" distL="0" distR="0" wp14:anchorId="7CD5832F" wp14:editId="2616A8DF">
            <wp:extent cx="5400040" cy="3770655"/>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00040" cy="3770655"/>
                    </a:xfrm>
                    <a:prstGeom prst="rect">
                      <a:avLst/>
                    </a:prstGeom>
                  </pic:spPr>
                </pic:pic>
              </a:graphicData>
            </a:graphic>
          </wp:inline>
        </w:drawing>
      </w:r>
    </w:p>
    <w:p w:rsidR="00CA7422" w:rsidRDefault="00CA7422" w:rsidP="00F35D87">
      <w:pPr>
        <w:pStyle w:val="BodyText"/>
      </w:pPr>
    </w:p>
    <w:p w:rsidR="00C65E39" w:rsidRDefault="00C65E39" w:rsidP="00F35D87">
      <w:pPr>
        <w:pStyle w:val="BodyText"/>
      </w:pPr>
      <w:r>
        <w:br w:type="page"/>
      </w:r>
    </w:p>
    <w:p w:rsidR="00C65E39" w:rsidRDefault="00C65E39" w:rsidP="00C65E39">
      <w:pPr>
        <w:pStyle w:val="Heading3"/>
      </w:pPr>
      <w:r>
        <w:t>Comparison with alert thresholds</w:t>
      </w:r>
    </w:p>
    <w:p w:rsidR="00F06FFB" w:rsidRDefault="00F06FFB" w:rsidP="00F06FFB">
      <w:pPr>
        <w:pStyle w:val="BodyText"/>
      </w:pPr>
      <w:r>
        <w:t>To understand the significance of these trends from a management per</w:t>
      </w:r>
      <w:r w:rsidR="00F268B3">
        <w:t>sp</w:t>
      </w:r>
      <w:r>
        <w:t>e</w:t>
      </w:r>
      <w:r w:rsidR="00F268B3">
        <w:t>c</w:t>
      </w:r>
      <w:r>
        <w:t>tive, we also considered the trend estimates (and their respective confidence intervals) in relation to some hypothetical alert thresholds (</w:t>
      </w:r>
      <w:r w:rsidR="00494026">
        <w:t>figure</w:t>
      </w:r>
      <w:r>
        <w:t xml:space="preserve"> </w:t>
      </w:r>
      <w:r w:rsidR="00367017">
        <w:t>10</w:t>
      </w:r>
      <w:r>
        <w:t>). These alert thresholds are based on the system used by the British Trust for Ornithology</w:t>
      </w:r>
      <w:r>
        <w:rPr>
          <w:rStyle w:val="FootnoteReference"/>
        </w:rPr>
        <w:footnoteReference w:id="5"/>
      </w:r>
      <w:r>
        <w:t xml:space="preserve"> to draw attention to </w:t>
      </w:r>
      <w:r w:rsidR="00261B59">
        <w:t xml:space="preserve">emerging </w:t>
      </w:r>
      <w:r>
        <w:t>population declines that may be of conservation concern. The system seeks to identify rapid declines (&gt;50%) and moderate declines (&gt;25% but &lt;50%), with declines being measured at different timescales depending on the data available (ideally the most recent 25</w:t>
      </w:r>
      <w:r w:rsidR="00C73C44">
        <w:t>-</w:t>
      </w:r>
      <w:r>
        <w:t>, 10</w:t>
      </w:r>
      <w:r w:rsidR="00C73C44">
        <w:t>-</w:t>
      </w:r>
      <w:r>
        <w:t xml:space="preserve"> or 5</w:t>
      </w:r>
      <w:r w:rsidR="00C73C44">
        <w:t>-</w:t>
      </w:r>
      <w:r>
        <w:t>year periods).</w:t>
      </w:r>
    </w:p>
    <w:p w:rsidR="00F06FFB" w:rsidRDefault="00F06FFB" w:rsidP="00F06FFB">
      <w:pPr>
        <w:pStyle w:val="BodyText"/>
      </w:pPr>
    </w:p>
    <w:p w:rsidR="00F06FFB" w:rsidRDefault="00F06FFB" w:rsidP="00F06FFB">
      <w:pPr>
        <w:pStyle w:val="BodyText"/>
      </w:pPr>
      <w:r>
        <w:t xml:space="preserve">In </w:t>
      </w:r>
      <w:r w:rsidR="00494026">
        <w:t>figure</w:t>
      </w:r>
      <w:r>
        <w:t xml:space="preserve"> </w:t>
      </w:r>
      <w:r w:rsidR="00367017">
        <w:t>10</w:t>
      </w:r>
      <w:r>
        <w:t xml:space="preserve">, the red and amber alert thresholds </w:t>
      </w:r>
      <w:r w:rsidR="00C73C44">
        <w:t>(–</w:t>
      </w:r>
      <w:r>
        <w:t xml:space="preserve">2.76% and </w:t>
      </w:r>
      <w:r w:rsidR="00C73C44">
        <w:t>–</w:t>
      </w:r>
      <w:r>
        <w:t xml:space="preserve">1.15% pa respectively) identify species heading for a rapid or moderate decline in 25 years if the current trend is sustained (Baillie </w:t>
      </w:r>
      <w:r w:rsidR="00DD0AE2">
        <w:t>and</w:t>
      </w:r>
      <w:r>
        <w:t xml:space="preserve"> </w:t>
      </w:r>
      <w:proofErr w:type="spellStart"/>
      <w:r>
        <w:t>Rehfisch</w:t>
      </w:r>
      <w:proofErr w:type="spellEnd"/>
      <w:r w:rsidR="00494026">
        <w:t>,</w:t>
      </w:r>
      <w:r>
        <w:t xml:space="preserve"> 2006</w:t>
      </w:r>
      <w:r w:rsidR="004D4B80">
        <w:t xml:space="preserve">; Appendix </w:t>
      </w:r>
      <w:r w:rsidR="001D0ED7">
        <w:t>C</w:t>
      </w:r>
      <w:r>
        <w:t>). The blue and green alert thresholds (0.893% and 1.64% pa respectively) illustrate hypothetical trends for an increase in bird counts equivalent to a 25% and 50% increase over a 25 year period, which might be used to indicate an improvement in the population status of a species. Inspecting the trend estimates (derived from models M1–M4) in relation to the alert thresholds show</w:t>
      </w:r>
      <w:r w:rsidR="00C73C44">
        <w:t>s</w:t>
      </w:r>
      <w:r>
        <w:t xml:space="preserve"> that the silvereye has clearly breached the red alert threshold (</w:t>
      </w:r>
      <w:r w:rsidR="00494026">
        <w:t>figure</w:t>
      </w:r>
      <w:r>
        <w:t xml:space="preserve"> </w:t>
      </w:r>
      <w:r w:rsidR="00367017">
        <w:t>10</w:t>
      </w:r>
      <w:r>
        <w:t xml:space="preserve">). At the same time, the blackbird has breached an amber threshold and possibly a red one (as indicated by the confidence interval). Both fantail and </w:t>
      </w:r>
      <w:r w:rsidR="00E22771">
        <w:t>tūī</w:t>
      </w:r>
      <w:r>
        <w:t xml:space="preserve"> trends have not raised alerts. The trend estimates derived from </w:t>
      </w:r>
      <w:r w:rsidR="00C73C44">
        <w:t xml:space="preserve">the </w:t>
      </w:r>
      <w:r>
        <w:t xml:space="preserve">weighted national average model (M0; </w:t>
      </w:r>
      <w:r w:rsidR="00494026">
        <w:t>figure</w:t>
      </w:r>
      <w:r>
        <w:t xml:space="preserve"> 1) would have failed to raise the amber and red alerts for blackbird and silvereye, as the confidence intervals for those trend estimates were wide, especially for silvereye.</w:t>
      </w:r>
    </w:p>
    <w:p w:rsidR="009B18B8" w:rsidRDefault="009B18B8" w:rsidP="009B18B8">
      <w:pPr>
        <w:pStyle w:val="BodyText"/>
      </w:pPr>
    </w:p>
    <w:p w:rsidR="00F35D87" w:rsidRDefault="00F35D87" w:rsidP="009B18B8">
      <w:pPr>
        <w:pStyle w:val="BodyText"/>
      </w:pPr>
    </w:p>
    <w:p w:rsidR="00F35D87" w:rsidRDefault="00F35D87" w:rsidP="00F35D87">
      <w:pPr>
        <w:pStyle w:val="Figureheading"/>
      </w:pPr>
      <w:bookmarkStart w:id="31" w:name="_Toc430354519"/>
      <w:r>
        <w:t xml:space="preserve">Figure 10: </w:t>
      </w:r>
      <w:r>
        <w:tab/>
        <w:t>Garden bird abundance trend estimates with 95% confidence intervals extracted from the four fitted models (M1–M4) and one linear (M0) model (figure 9) in relation to ‘alert thresholds’</w:t>
      </w:r>
      <w:bookmarkEnd w:id="31"/>
    </w:p>
    <w:p w:rsidR="00DA57F8" w:rsidRDefault="00CA7422" w:rsidP="00F35D87">
      <w:pPr>
        <w:pStyle w:val="BodyText"/>
      </w:pPr>
      <w:r>
        <w:rPr>
          <w:noProof/>
          <w:lang w:eastAsia="en-NZ"/>
        </w:rPr>
        <w:drawing>
          <wp:inline distT="0" distB="0" distL="0" distR="0" wp14:anchorId="4E594429" wp14:editId="5198A7DE">
            <wp:extent cx="5400040" cy="3770655"/>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00040" cy="3770655"/>
                    </a:xfrm>
                    <a:prstGeom prst="rect">
                      <a:avLst/>
                    </a:prstGeom>
                  </pic:spPr>
                </pic:pic>
              </a:graphicData>
            </a:graphic>
          </wp:inline>
        </w:drawing>
      </w:r>
    </w:p>
    <w:p w:rsidR="001B266A" w:rsidRPr="00BE0CB1" w:rsidRDefault="004F4545" w:rsidP="001B266A">
      <w:pPr>
        <w:pStyle w:val="Heading3"/>
      </w:pPr>
      <w:r>
        <w:t>Assessing t</w:t>
      </w:r>
      <w:r w:rsidR="001B266A" w:rsidRPr="00BE0CB1">
        <w:t xml:space="preserve">rends </w:t>
      </w:r>
      <w:r>
        <w:t>at finer spatial scales (</w:t>
      </w:r>
      <w:r w:rsidR="001B266A" w:rsidRPr="00BE0CB1">
        <w:t>regions and area units</w:t>
      </w:r>
      <w:r>
        <w:t>)</w:t>
      </w:r>
    </w:p>
    <w:p w:rsidR="00F06FFB" w:rsidRDefault="00F06FFB" w:rsidP="00F35D87">
      <w:pPr>
        <w:pStyle w:val="BodyText"/>
      </w:pPr>
      <w:r w:rsidRPr="00BE0CB1">
        <w:t xml:space="preserve">One of the advantages of explicitly incorporating the various sources of spatial variation in sampling effort into the models is </w:t>
      </w:r>
      <w:r w:rsidR="00AD69AF">
        <w:t xml:space="preserve">that </w:t>
      </w:r>
      <w:r w:rsidRPr="00BE0CB1">
        <w:t>it allows us to estimate t</w:t>
      </w:r>
      <w:r>
        <w:t>rends at finer spatial scales</w:t>
      </w:r>
      <w:r w:rsidR="00F268B3">
        <w:t xml:space="preserve"> and with greater precision (</w:t>
      </w:r>
      <w:r w:rsidR="00494026">
        <w:t>figure</w:t>
      </w:r>
      <w:r w:rsidR="00F268B3">
        <w:t xml:space="preserve"> </w:t>
      </w:r>
      <w:r w:rsidR="00367017">
        <w:t>9</w:t>
      </w:r>
      <w:r w:rsidR="00F268B3">
        <w:t>).</w:t>
      </w:r>
    </w:p>
    <w:p w:rsidR="00F06FFB" w:rsidRDefault="00F06FFB" w:rsidP="00F35D87">
      <w:pPr>
        <w:pStyle w:val="BodyText"/>
      </w:pPr>
    </w:p>
    <w:p w:rsidR="00F06FFB" w:rsidRDefault="00F06FFB" w:rsidP="00F35D87">
      <w:pPr>
        <w:pStyle w:val="BodyText"/>
      </w:pPr>
      <w:r w:rsidRPr="0019442A">
        <w:t>Figure 1</w:t>
      </w:r>
      <w:r w:rsidR="00367017">
        <w:t>1</w:t>
      </w:r>
      <w:r w:rsidRPr="0019442A">
        <w:t xml:space="preserve"> shows regional trend estimates (and 95% CIs) for each species. Regional trend</w:t>
      </w:r>
      <w:r>
        <w:t xml:space="preserve"> estimates were particularly variable for silvereye and, to a lesser extent, fantail but fairly consistent for blackbird. Despite the large variability in trend estimates for silvereye, the declining trend is consistently greater than the red alert threshold </w:t>
      </w:r>
      <w:r w:rsidR="00AD69AF">
        <w:t>(–</w:t>
      </w:r>
      <w:r>
        <w:t xml:space="preserve">2.73% pa) across regions. For fantail, there was strong evidence for a declining trend equivalent to an amber alert </w:t>
      </w:r>
      <w:r w:rsidR="00AD69AF">
        <w:t xml:space="preserve">status </w:t>
      </w:r>
      <w:r>
        <w:t>but possibly also a red alert</w:t>
      </w:r>
      <w:r w:rsidR="00AD69AF">
        <w:t xml:space="preserve"> status</w:t>
      </w:r>
      <w:r>
        <w:t>, in two regions: Canterbury and Wellington. There was no evidence of positive trends for any species or region, at this level of analysis.</w:t>
      </w:r>
    </w:p>
    <w:p w:rsidR="00F06FFB" w:rsidRPr="00BE0CB1" w:rsidRDefault="00F06FFB" w:rsidP="00F35D87">
      <w:pPr>
        <w:pStyle w:val="BodyText"/>
      </w:pPr>
    </w:p>
    <w:p w:rsidR="00F06FFB" w:rsidRPr="009B18B8" w:rsidRDefault="00F06FFB" w:rsidP="00F35D87">
      <w:pPr>
        <w:pStyle w:val="BodyText"/>
      </w:pPr>
      <w:r w:rsidRPr="009B18B8">
        <w:t>Figure</w:t>
      </w:r>
      <w:r w:rsidR="00AD69AF">
        <w:t>s</w:t>
      </w:r>
      <w:r w:rsidRPr="009B18B8">
        <w:t xml:space="preserve"> </w:t>
      </w:r>
      <w:r>
        <w:t>1</w:t>
      </w:r>
      <w:r w:rsidR="00367017">
        <w:t>2</w:t>
      </w:r>
      <w:r w:rsidRPr="009B18B8">
        <w:t xml:space="preserve"> and </w:t>
      </w:r>
      <w:r>
        <w:t>1</w:t>
      </w:r>
      <w:r w:rsidR="00367017">
        <w:t>3</w:t>
      </w:r>
      <w:r>
        <w:t xml:space="preserve"> </w:t>
      </w:r>
      <w:r w:rsidRPr="009B18B8">
        <w:t xml:space="preserve">show examples of maps </w:t>
      </w:r>
      <w:r>
        <w:t>of</w:t>
      </w:r>
      <w:r w:rsidRPr="009B18B8">
        <w:t xml:space="preserve"> baseline counts and trends at finer resolutions</w:t>
      </w:r>
      <w:r>
        <w:t>, specifically how these metrics</w:t>
      </w:r>
      <w:r w:rsidRPr="009B18B8">
        <w:t xml:space="preserve"> vary among Area Units in Dunedin. </w:t>
      </w:r>
      <w:r>
        <w:t xml:space="preserve">In the future, where feasible, such maps should also include measures of uncertainty in the estimates. This information could be used to highlight which Area Units would benefit from increased sampling effort and, thus, targeted campaigns, if information at this resolution </w:t>
      </w:r>
      <w:r w:rsidR="00F268B3">
        <w:t>were</w:t>
      </w:r>
      <w:r>
        <w:t xml:space="preserve"> considered valuable.</w:t>
      </w:r>
    </w:p>
    <w:p w:rsidR="00F06FFB" w:rsidRDefault="00F06FFB" w:rsidP="00F35D87">
      <w:pPr>
        <w:pStyle w:val="BodyText"/>
        <w:rPr>
          <w:highlight w:val="yellow"/>
        </w:rPr>
      </w:pPr>
    </w:p>
    <w:p w:rsidR="00F06FFB" w:rsidRPr="00BE0CB1" w:rsidRDefault="006745D5" w:rsidP="00F35D87">
      <w:pPr>
        <w:pStyle w:val="BodyText"/>
      </w:pPr>
      <w:r>
        <w:t>It</w:t>
      </w:r>
      <w:r w:rsidR="00F06FFB">
        <w:t xml:space="preserve"> is important to note here that e</w:t>
      </w:r>
      <w:r w:rsidR="00F06FFB" w:rsidRPr="00BE0CB1">
        <w:t>xtracting and interpret</w:t>
      </w:r>
      <w:r w:rsidR="00F268B3">
        <w:t>ing</w:t>
      </w:r>
      <w:r w:rsidR="00F06FFB" w:rsidRPr="00BE0CB1">
        <w:t xml:space="preserve"> the confidence interval</w:t>
      </w:r>
      <w:r w:rsidR="00F06FFB">
        <w:t xml:space="preserve">s for regional trend estimates </w:t>
      </w:r>
      <w:r w:rsidR="00F06FFB" w:rsidRPr="00BE0CB1">
        <w:t xml:space="preserve">using the </w:t>
      </w:r>
      <w:r w:rsidR="00F06FFB" w:rsidRPr="00962F36">
        <w:rPr>
          <w:rStyle w:val="R-codeChar"/>
        </w:rPr>
        <w:t>lme4</w:t>
      </w:r>
      <w:r w:rsidR="00F06FFB" w:rsidRPr="00BE0CB1">
        <w:t xml:space="preserve"> package</w:t>
      </w:r>
      <w:r w:rsidRPr="006745D5">
        <w:t xml:space="preserve"> </w:t>
      </w:r>
      <w:r w:rsidRPr="00BE0CB1">
        <w:t>was quite challenging</w:t>
      </w:r>
      <w:r>
        <w:t xml:space="preserve"> and</w:t>
      </w:r>
      <w:r w:rsidR="00F06FFB" w:rsidRPr="00BE0CB1">
        <w:t xml:space="preserve"> required specialist analytical programming skills. An alternative is to fit the models in a Bayesian context where credible intervals for derived parameters</w:t>
      </w:r>
      <w:r>
        <w:t>,</w:t>
      </w:r>
      <w:r w:rsidR="00F06FFB" w:rsidRPr="00BE0CB1">
        <w:t xml:space="preserve"> such as regional level trends </w:t>
      </w:r>
      <w:proofErr w:type="spellStart"/>
      <w:r w:rsidR="00F06FFB" w:rsidRPr="00BE0CB1">
        <w:t>etc</w:t>
      </w:r>
      <w:proofErr w:type="spellEnd"/>
      <w:r>
        <w:t>,</w:t>
      </w:r>
      <w:r w:rsidR="00F06FFB" w:rsidRPr="00BE0CB1">
        <w:t xml:space="preserve"> c</w:t>
      </w:r>
      <w:r w:rsidR="00AD09B3">
        <w:t>an be</w:t>
      </w:r>
      <w:r w:rsidR="00E22771">
        <w:t xml:space="preserve"> relatively</w:t>
      </w:r>
      <w:r w:rsidR="00AD09B3">
        <w:t xml:space="preserve"> straightforward </w:t>
      </w:r>
      <w:r w:rsidR="00F06FFB">
        <w:t xml:space="preserve">(Appendix </w:t>
      </w:r>
      <w:r w:rsidR="001D0ED7">
        <w:t>D</w:t>
      </w:r>
      <w:r w:rsidR="00F06FFB">
        <w:t>)</w:t>
      </w:r>
      <w:r w:rsidR="00F06FFB" w:rsidRPr="00BE0CB1">
        <w:t xml:space="preserve">. Disadvantages of fitting models in a Bayesian context </w:t>
      </w:r>
      <w:r>
        <w:t>are that</w:t>
      </w:r>
      <w:r w:rsidRPr="00BE0CB1">
        <w:t xml:space="preserve"> </w:t>
      </w:r>
      <w:r w:rsidR="00AD09B3">
        <w:t>it also requires specialist skills, takes longer to run the models</w:t>
      </w:r>
      <w:r w:rsidR="00F06FFB" w:rsidRPr="00BE0CB1">
        <w:t xml:space="preserve"> (minutes/hours rather than seconds), and</w:t>
      </w:r>
      <w:r w:rsidR="00AD09B3">
        <w:t xml:space="preserve"> the associated power analyses present</w:t>
      </w:r>
      <w:r w:rsidR="00F06FFB" w:rsidRPr="00BE0CB1">
        <w:t xml:space="preserve"> increased difficulty.</w:t>
      </w:r>
      <w:r w:rsidR="00F268B3">
        <w:t xml:space="preserve"> For these reasons, we </w:t>
      </w:r>
      <w:r w:rsidR="00AD09B3">
        <w:t>focussed on the use of</w:t>
      </w:r>
      <w:r w:rsidR="00F268B3">
        <w:t xml:space="preserve"> </w:t>
      </w:r>
      <w:r w:rsidR="00AD09B3">
        <w:t xml:space="preserve">the </w:t>
      </w:r>
      <w:r w:rsidR="00AD09B3" w:rsidRPr="00962F36">
        <w:rPr>
          <w:rStyle w:val="R-codeChar"/>
        </w:rPr>
        <w:t>lme4</w:t>
      </w:r>
      <w:r w:rsidR="00AD09B3">
        <w:t xml:space="preserve"> models to derive some preliminary regional trend estimates</w:t>
      </w:r>
      <w:r w:rsidR="00F268B3">
        <w:t xml:space="preserve"> here.</w:t>
      </w:r>
    </w:p>
    <w:p w:rsidR="00BE0CB1" w:rsidRPr="00BE0CB1" w:rsidRDefault="00BE0CB1" w:rsidP="00F35D87">
      <w:pPr>
        <w:pStyle w:val="BodyText"/>
      </w:pPr>
    </w:p>
    <w:p w:rsidR="00BE0CB1" w:rsidRDefault="00BE0CB1" w:rsidP="00F35D87">
      <w:pPr>
        <w:pStyle w:val="BodyText"/>
        <w:rPr>
          <w:highlight w:val="yellow"/>
        </w:rPr>
        <w:sectPr w:rsidR="00BE0CB1" w:rsidSect="00A83BAE">
          <w:pgSz w:w="11907" w:h="16840" w:code="9"/>
          <w:pgMar w:top="1701" w:right="1418" w:bottom="1701" w:left="1418" w:header="567" w:footer="567" w:gutter="567"/>
          <w:cols w:space="720"/>
          <w:docGrid w:linePitch="299"/>
        </w:sectPr>
      </w:pPr>
    </w:p>
    <w:p w:rsidR="00402AD8" w:rsidRDefault="00402AD8" w:rsidP="00402AD8">
      <w:pPr>
        <w:pStyle w:val="Figureheading"/>
      </w:pPr>
      <w:bookmarkStart w:id="32" w:name="_Toc430354520"/>
      <w:r w:rsidRPr="00471155">
        <w:t>Figure</w:t>
      </w:r>
      <w:r>
        <w:t xml:space="preserve"> 11: </w:t>
      </w:r>
      <w:r>
        <w:tab/>
        <w:t>R</w:t>
      </w:r>
      <w:r w:rsidRPr="00471155">
        <w:t xml:space="preserve">egional </w:t>
      </w:r>
      <w:r>
        <w:t xml:space="preserve">abundance </w:t>
      </w:r>
      <w:r w:rsidRPr="00471155">
        <w:t>trend estimates (and 95% CI) extracted from model M4 (</w:t>
      </w:r>
      <w:r>
        <w:t>table</w:t>
      </w:r>
      <w:r w:rsidRPr="00471155">
        <w:t xml:space="preserve"> 2)</w:t>
      </w:r>
      <w:bookmarkEnd w:id="32"/>
    </w:p>
    <w:p w:rsidR="00471155" w:rsidRDefault="005C39C8" w:rsidP="00402AD8">
      <w:pPr>
        <w:pStyle w:val="BodyText"/>
      </w:pPr>
      <w:r>
        <w:rPr>
          <w:noProof/>
          <w:lang w:eastAsia="en-NZ"/>
        </w:rPr>
        <w:drawing>
          <wp:inline distT="0" distB="0" distL="0" distR="0" wp14:anchorId="686CDAB8" wp14:editId="330FB457">
            <wp:extent cx="5128768" cy="324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128768" cy="3240000"/>
                    </a:xfrm>
                    <a:prstGeom prst="rect">
                      <a:avLst/>
                    </a:prstGeom>
                  </pic:spPr>
                </pic:pic>
              </a:graphicData>
            </a:graphic>
          </wp:inline>
        </w:drawing>
      </w:r>
    </w:p>
    <w:p w:rsidR="00402AD8" w:rsidRDefault="00402AD8" w:rsidP="00402AD8">
      <w:pPr>
        <w:pStyle w:val="BodyText"/>
      </w:pPr>
    </w:p>
    <w:p w:rsidR="00471155" w:rsidRDefault="005C39C8" w:rsidP="00402AD8">
      <w:pPr>
        <w:pStyle w:val="BodyText"/>
        <w:rPr>
          <w:highlight w:val="yellow"/>
        </w:rPr>
      </w:pPr>
      <w:r>
        <w:rPr>
          <w:noProof/>
          <w:lang w:eastAsia="en-NZ"/>
        </w:rPr>
        <w:drawing>
          <wp:inline distT="0" distB="0" distL="0" distR="0" wp14:anchorId="7C862BDE" wp14:editId="424DE1AE">
            <wp:extent cx="5128768" cy="324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128768" cy="3240000"/>
                    </a:xfrm>
                    <a:prstGeom prst="rect">
                      <a:avLst/>
                    </a:prstGeom>
                  </pic:spPr>
                </pic:pic>
              </a:graphicData>
            </a:graphic>
          </wp:inline>
        </w:drawing>
      </w:r>
    </w:p>
    <w:p w:rsidR="00D23486" w:rsidRDefault="00B87662" w:rsidP="00402AD8">
      <w:pPr>
        <w:pStyle w:val="BodyText"/>
      </w:pPr>
      <w:r>
        <w:t>Note d</w:t>
      </w:r>
      <w:r w:rsidRPr="00B87662">
        <w:t>ashed lines indicate alert thresholds: red = –2.73, amber = –1.14, blue = 0.893, green = 0.164. Solid vertical line shows a value of zero (</w:t>
      </w:r>
      <w:proofErr w:type="spellStart"/>
      <w:r w:rsidRPr="00B87662">
        <w:t>ie</w:t>
      </w:r>
      <w:proofErr w:type="spellEnd"/>
      <w:r w:rsidRPr="00B87662">
        <w:t>, no trend).</w:t>
      </w:r>
      <w:r w:rsidR="00D23486">
        <w:br w:type="page"/>
      </w:r>
    </w:p>
    <w:p w:rsidR="00AF13D8" w:rsidRPr="00D23486" w:rsidRDefault="00AF13D8" w:rsidP="00AF13D8">
      <w:pPr>
        <w:pStyle w:val="Figureheading"/>
      </w:pPr>
      <w:bookmarkStart w:id="33" w:name="_Toc430354521"/>
      <w:r w:rsidRPr="00D23486">
        <w:t>Figure 11 (continued)</w:t>
      </w:r>
      <w:bookmarkEnd w:id="33"/>
    </w:p>
    <w:p w:rsidR="0050107E" w:rsidRPr="00AF13D8" w:rsidRDefault="00D23486" w:rsidP="00AF13D8">
      <w:pPr>
        <w:pStyle w:val="BodyText"/>
        <w:rPr>
          <w:highlight w:val="yellow"/>
        </w:rPr>
      </w:pPr>
      <w:r w:rsidRPr="00AF13D8">
        <w:rPr>
          <w:noProof/>
          <w:lang w:eastAsia="en-NZ"/>
        </w:rPr>
        <w:drawing>
          <wp:inline distT="0" distB="0" distL="0" distR="0" wp14:anchorId="40D7979E" wp14:editId="29E06636">
            <wp:extent cx="5128768" cy="324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128768" cy="3240000"/>
                    </a:xfrm>
                    <a:prstGeom prst="rect">
                      <a:avLst/>
                    </a:prstGeom>
                  </pic:spPr>
                </pic:pic>
              </a:graphicData>
            </a:graphic>
          </wp:inline>
        </w:drawing>
      </w:r>
    </w:p>
    <w:p w:rsidR="00D23486" w:rsidRPr="00AF13D8" w:rsidRDefault="00D23486" w:rsidP="00AF13D8">
      <w:pPr>
        <w:pStyle w:val="BodyText"/>
        <w:rPr>
          <w:highlight w:val="yellow"/>
        </w:rPr>
      </w:pPr>
    </w:p>
    <w:p w:rsidR="00D23486" w:rsidRPr="00AF13D8" w:rsidRDefault="00D23486" w:rsidP="00AF13D8">
      <w:pPr>
        <w:pStyle w:val="BodyText"/>
        <w:rPr>
          <w:highlight w:val="yellow"/>
        </w:rPr>
      </w:pPr>
      <w:r w:rsidRPr="00AF13D8">
        <w:rPr>
          <w:noProof/>
          <w:lang w:eastAsia="en-NZ"/>
        </w:rPr>
        <w:drawing>
          <wp:inline distT="0" distB="0" distL="0" distR="0" wp14:anchorId="20BDE8FB" wp14:editId="309FA3FA">
            <wp:extent cx="5128773" cy="324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128773" cy="3240000"/>
                    </a:xfrm>
                    <a:prstGeom prst="rect">
                      <a:avLst/>
                    </a:prstGeom>
                  </pic:spPr>
                </pic:pic>
              </a:graphicData>
            </a:graphic>
          </wp:inline>
        </w:drawing>
      </w:r>
    </w:p>
    <w:p w:rsidR="00B87662" w:rsidRDefault="00B87662" w:rsidP="00B87662">
      <w:r>
        <w:t>Note d</w:t>
      </w:r>
      <w:r w:rsidRPr="00471155">
        <w:t xml:space="preserve">ashed lines indicate alert thresholds: red = </w:t>
      </w:r>
      <w:r>
        <w:t>–</w:t>
      </w:r>
      <w:r w:rsidRPr="00471155">
        <w:t xml:space="preserve">2.73, amber = </w:t>
      </w:r>
      <w:r>
        <w:t>–</w:t>
      </w:r>
      <w:r w:rsidRPr="00471155">
        <w:t>1.14, blue = 0.893, green = 0.164</w:t>
      </w:r>
      <w:r>
        <w:t>. Solid vertical line shows a value of zero (</w:t>
      </w:r>
      <w:proofErr w:type="spellStart"/>
      <w:r>
        <w:t>ie</w:t>
      </w:r>
      <w:proofErr w:type="spellEnd"/>
      <w:r>
        <w:t>, no trend).</w:t>
      </w:r>
    </w:p>
    <w:p w:rsidR="00471155" w:rsidRDefault="00471155" w:rsidP="00B87662"/>
    <w:p w:rsidR="00AF13D8" w:rsidRDefault="00AF13D8" w:rsidP="00AF13D8">
      <w:pPr>
        <w:pStyle w:val="Figureheading"/>
      </w:pPr>
      <w:bookmarkStart w:id="34" w:name="_Toc430354522"/>
      <w:r>
        <w:t xml:space="preserve">Figure 12: </w:t>
      </w:r>
      <w:r>
        <w:tab/>
        <w:t>Baseline bird counts and abundance trend estimates (top and bottom panels respectively) for silvereye in relation to Area Units within Dunedin (baseline and slope estimates were derived from Model 4; table 2)</w:t>
      </w:r>
      <w:bookmarkEnd w:id="34"/>
    </w:p>
    <w:p w:rsidR="005F6734" w:rsidRPr="00AF13D8" w:rsidRDefault="0006425F" w:rsidP="00AF13D8">
      <w:pPr>
        <w:pStyle w:val="BodyText"/>
      </w:pPr>
      <w:r w:rsidRPr="00AF13D8">
        <w:rPr>
          <w:noProof/>
          <w:lang w:eastAsia="en-NZ"/>
        </w:rPr>
        <w:drawing>
          <wp:inline distT="0" distB="0" distL="0" distR="0" wp14:anchorId="77626989" wp14:editId="1577A40F">
            <wp:extent cx="5400040" cy="7637780"/>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eye_AU_MAP.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rsidR="00C65E39" w:rsidRPr="00CE03E9" w:rsidRDefault="00C65E39" w:rsidP="00CE03E9">
      <w:pPr>
        <w:pStyle w:val="BodyText"/>
      </w:pPr>
      <w:r w:rsidRPr="00CE03E9">
        <w:br w:type="page"/>
      </w:r>
    </w:p>
    <w:p w:rsidR="00CE03E9" w:rsidRDefault="00CE03E9" w:rsidP="00CE03E9">
      <w:pPr>
        <w:pStyle w:val="Figureheading"/>
      </w:pPr>
      <w:bookmarkStart w:id="35" w:name="_Toc430354523"/>
      <w:r>
        <w:t xml:space="preserve">Figure 13: </w:t>
      </w:r>
      <w:r>
        <w:tab/>
        <w:t>Baseline bird counts and abundance trend estimates (top and bottom panels respectively) for tūī in relation to Area Units within Dunedin (baseline and slope estimates were derived from Model 4; table 2)</w:t>
      </w:r>
      <w:bookmarkEnd w:id="35"/>
    </w:p>
    <w:p w:rsidR="00FB1DB8" w:rsidRPr="00CE03E9" w:rsidRDefault="00FB1DB8" w:rsidP="00CE03E9">
      <w:pPr>
        <w:pStyle w:val="BodyText"/>
      </w:pPr>
      <w:r w:rsidRPr="00CE03E9">
        <w:rPr>
          <w:noProof/>
          <w:lang w:eastAsia="en-NZ"/>
        </w:rPr>
        <w:drawing>
          <wp:inline distT="0" distB="0" distL="0" distR="0" wp14:anchorId="29DD8D85" wp14:editId="338AF864">
            <wp:extent cx="5400040" cy="763778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i_AU_Map.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rsidR="00C65E39" w:rsidRPr="00CE03E9" w:rsidRDefault="00C65E39" w:rsidP="00CE03E9">
      <w:pPr>
        <w:pStyle w:val="BodyText"/>
      </w:pPr>
      <w:r>
        <w:br w:type="page"/>
      </w:r>
    </w:p>
    <w:p w:rsidR="00F06FFB" w:rsidRDefault="00F06FFB" w:rsidP="00F06FFB">
      <w:pPr>
        <w:pStyle w:val="Heading2"/>
      </w:pPr>
      <w:bookmarkStart w:id="36" w:name="_Toc423434881"/>
      <w:bookmarkStart w:id="37" w:name="_Toc427250827"/>
      <w:r>
        <w:t>R</w:t>
      </w:r>
      <w:r w:rsidRPr="000C319E">
        <w:t>ecommendations</w:t>
      </w:r>
      <w:r>
        <w:t xml:space="preserve"> for future analysis</w:t>
      </w:r>
      <w:bookmarkEnd w:id="36"/>
      <w:bookmarkEnd w:id="37"/>
    </w:p>
    <w:p w:rsidR="00F06FFB" w:rsidRDefault="00F06FFB" w:rsidP="00B0240E">
      <w:pPr>
        <w:pStyle w:val="BodyText"/>
      </w:pPr>
      <w:r>
        <w:t xml:space="preserve">Future analyses should explore the effects of varying the following model specifications: </w:t>
      </w:r>
    </w:p>
    <w:p w:rsidR="00402AD8" w:rsidRDefault="00402AD8" w:rsidP="00B0240E">
      <w:pPr>
        <w:pStyle w:val="BodyText"/>
      </w:pPr>
    </w:p>
    <w:p w:rsidR="00F06FFB" w:rsidRPr="00B52E41" w:rsidRDefault="00F06FFB" w:rsidP="00F06FFB">
      <w:pPr>
        <w:pStyle w:val="Bullet"/>
        <w:tabs>
          <w:tab w:val="clear" w:pos="397"/>
          <w:tab w:val="num" w:pos="794"/>
        </w:tabs>
      </w:pPr>
      <w:r w:rsidRPr="00B52E41">
        <w:rPr>
          <w:b/>
        </w:rPr>
        <w:t xml:space="preserve">Species distributions </w:t>
      </w:r>
      <w:r w:rsidR="00D64555">
        <w:rPr>
          <w:b/>
        </w:rPr>
        <w:t>versus</w:t>
      </w:r>
      <w:r w:rsidRPr="00B52E41">
        <w:rPr>
          <w:b/>
        </w:rPr>
        <w:t xml:space="preserve"> abundance:</w:t>
      </w:r>
      <w:r w:rsidRPr="00B52E41">
        <w:t xml:space="preserve"> For some species, especially those with low abundance estimates, modelling changes in their distribution rather than abundance could be a more sensitive indicator of change.</w:t>
      </w:r>
    </w:p>
    <w:p w:rsidR="00F06FFB" w:rsidRPr="00B52E41" w:rsidRDefault="00F06FFB" w:rsidP="00F06FFB">
      <w:pPr>
        <w:pStyle w:val="Bullet"/>
        <w:tabs>
          <w:tab w:val="clear" w:pos="397"/>
          <w:tab w:val="num" w:pos="794"/>
        </w:tabs>
      </w:pPr>
      <w:r w:rsidRPr="00B52E41">
        <w:rPr>
          <w:b/>
        </w:rPr>
        <w:t>Fixed effects:</w:t>
      </w:r>
      <w:r w:rsidRPr="00B52E41">
        <w:t xml:space="preserve"> Explore variation in habitat variables among gardens and the higher level spatial units. </w:t>
      </w:r>
    </w:p>
    <w:p w:rsidR="00F06FFB" w:rsidRPr="00B52E41" w:rsidRDefault="00F06FFB" w:rsidP="00F06FFB">
      <w:pPr>
        <w:pStyle w:val="Bullet"/>
        <w:tabs>
          <w:tab w:val="clear" w:pos="397"/>
          <w:tab w:val="num" w:pos="794"/>
        </w:tabs>
      </w:pPr>
      <w:r w:rsidRPr="00B52E41">
        <w:rPr>
          <w:b/>
        </w:rPr>
        <w:t xml:space="preserve">Random effects: </w:t>
      </w:r>
      <w:r w:rsidRPr="00B52E41">
        <w:t xml:space="preserve">Models with correlation between the random slope and intercept have not been considered, nor have models without an </w:t>
      </w:r>
      <w:proofErr w:type="spellStart"/>
      <w:r w:rsidRPr="00B52E41">
        <w:t>overdispersion</w:t>
      </w:r>
      <w:proofErr w:type="spellEnd"/>
      <w:r w:rsidRPr="00B52E41">
        <w:t xml:space="preserve"> term. Including identifiers to account for repeated measures from individual gardens would help verify whether early NZGBS participants were</w:t>
      </w:r>
      <w:r>
        <w:t xml:space="preserve"> a</w:t>
      </w:r>
      <w:r w:rsidRPr="00B52E41">
        <w:t xml:space="preserve"> biased subset of the population (</w:t>
      </w:r>
      <w:proofErr w:type="spellStart"/>
      <w:r w:rsidR="00DB4A9D">
        <w:t>eg</w:t>
      </w:r>
      <w:proofErr w:type="spellEnd"/>
      <w:r w:rsidR="00DB4A9D">
        <w:t>,</w:t>
      </w:r>
      <w:r w:rsidRPr="00B52E41">
        <w:t xml:space="preserve"> were more likely to include those gardens with more birds or feeding activity). This is important because this may bias the trend estimates. As the sample sizes increase, we expect that it will be possible to include finer scale measures </w:t>
      </w:r>
      <w:r>
        <w:t>(</w:t>
      </w:r>
      <w:proofErr w:type="spellStart"/>
      <w:r w:rsidR="00DB4A9D">
        <w:t>eg</w:t>
      </w:r>
      <w:proofErr w:type="spellEnd"/>
      <w:r w:rsidR="00DB4A9D">
        <w:t>,</w:t>
      </w:r>
      <w:r w:rsidRPr="00B52E41">
        <w:t xml:space="preserve"> </w:t>
      </w:r>
      <w:proofErr w:type="spellStart"/>
      <w:r w:rsidRPr="00B52E41">
        <w:t>meshblock</w:t>
      </w:r>
      <w:proofErr w:type="spellEnd"/>
      <w:r>
        <w:t>)</w:t>
      </w:r>
      <w:r w:rsidRPr="00B52E41">
        <w:t>.</w:t>
      </w:r>
    </w:p>
    <w:p w:rsidR="00F06FFB" w:rsidRDefault="00F06FFB" w:rsidP="00F06FFB">
      <w:pPr>
        <w:pStyle w:val="Bullet"/>
      </w:pPr>
      <w:r w:rsidRPr="00B52E41">
        <w:rPr>
          <w:b/>
        </w:rPr>
        <w:t xml:space="preserve">Weighting: </w:t>
      </w:r>
      <w:r w:rsidRPr="00312ECD">
        <w:t xml:space="preserve">Current NZGBS trends are calculated </w:t>
      </w:r>
      <w:r w:rsidR="00781C82">
        <w:t xml:space="preserve">using </w:t>
      </w:r>
      <w:r w:rsidRPr="00312ECD">
        <w:t>w</w:t>
      </w:r>
      <w:r w:rsidRPr="00CE5ED0">
        <w:t>eight</w:t>
      </w:r>
      <w:r w:rsidR="00781C82">
        <w:t xml:space="preserve">ed </w:t>
      </w:r>
      <w:r w:rsidRPr="00B52E41">
        <w:t xml:space="preserve">national estimates in relation to the proportion of gardens per region. Where the finest spatial levels/units are not of similar size, models may perform better with some sort of weighting. </w:t>
      </w:r>
      <w:r>
        <w:t>There is a n</w:t>
      </w:r>
      <w:r w:rsidRPr="00B52E41">
        <w:t>eed to establish a</w:t>
      </w:r>
      <w:r>
        <w:t xml:space="preserve"> clearer definition of exactly what is being measured, to determine which weighting process is appropriate.</w:t>
      </w:r>
    </w:p>
    <w:p w:rsidR="00F06FFB" w:rsidRPr="000366FD" w:rsidRDefault="00F06FFB" w:rsidP="00F06FFB">
      <w:pPr>
        <w:pStyle w:val="Bullet"/>
      </w:pPr>
      <w:r w:rsidRPr="000366FD">
        <w:rPr>
          <w:b/>
        </w:rPr>
        <w:t xml:space="preserve">Model convergence, evaluation, coefficients and confidence intervals: </w:t>
      </w:r>
      <w:r w:rsidRPr="000366FD">
        <w:t xml:space="preserve">The </w:t>
      </w:r>
      <w:r w:rsidRPr="00962F36">
        <w:rPr>
          <w:rStyle w:val="R-codeChar"/>
        </w:rPr>
        <w:t>lme4</w:t>
      </w:r>
      <w:r w:rsidRPr="00C83945">
        <w:t xml:space="preserve"> models need exploring further to untangle some of convergence issues identified in </w:t>
      </w:r>
      <w:r w:rsidR="00494026" w:rsidRPr="00C83945">
        <w:t>table</w:t>
      </w:r>
      <w:r w:rsidRPr="00C83945">
        <w:t xml:space="preserve"> 2.</w:t>
      </w:r>
      <w:r w:rsidRPr="00C83945">
        <w:rPr>
          <w:b/>
        </w:rPr>
        <w:t xml:space="preserve"> </w:t>
      </w:r>
      <w:r w:rsidRPr="00C83945">
        <w:t>It was also t</w:t>
      </w:r>
      <w:r w:rsidRPr="00B0240E">
        <w:t xml:space="preserve">echnically challenging to extract and interpret CIs at </w:t>
      </w:r>
      <w:r w:rsidR="00962F36" w:rsidRPr="00B0240E">
        <w:t>finer spatial scales (Region, Area Unit)</w:t>
      </w:r>
      <w:r w:rsidRPr="00B0240E">
        <w:t xml:space="preserve"> from </w:t>
      </w:r>
      <w:r w:rsidRPr="00962F36">
        <w:rPr>
          <w:rStyle w:val="R-codeChar"/>
        </w:rPr>
        <w:t>lme4</w:t>
      </w:r>
      <w:r w:rsidRPr="00C83945">
        <w:t xml:space="preserve"> models, </w:t>
      </w:r>
      <w:r w:rsidRPr="00B0240E">
        <w:t>and required specialist analytical programming skills.</w:t>
      </w:r>
      <w:r w:rsidRPr="000366FD">
        <w:t xml:space="preserve"> An alternative is to fit the models in a Bayesian context (Appendix </w:t>
      </w:r>
      <w:r w:rsidR="001D0ED7">
        <w:t>D</w:t>
      </w:r>
      <w:r w:rsidRPr="000366FD">
        <w:t xml:space="preserve">). An advantage of </w:t>
      </w:r>
      <w:r>
        <w:t>a Bayesian context</w:t>
      </w:r>
      <w:r w:rsidRPr="000366FD">
        <w:t xml:space="preserve"> is that we can evaluate the model for convergence directly. Furthermore, credible intervals for derived parameters</w:t>
      </w:r>
      <w:r w:rsidR="00797AC4">
        <w:t>,</w:t>
      </w:r>
      <w:r w:rsidRPr="000366FD">
        <w:t xml:space="preserve"> such as regional level trends </w:t>
      </w:r>
      <w:proofErr w:type="spellStart"/>
      <w:r w:rsidRPr="000366FD">
        <w:t>etc</w:t>
      </w:r>
      <w:proofErr w:type="spellEnd"/>
      <w:r w:rsidR="00797AC4">
        <w:t>,</w:t>
      </w:r>
      <w:r w:rsidRPr="000366FD">
        <w:t xml:space="preserve"> can be computed easily. </w:t>
      </w:r>
      <w:r>
        <w:t>However, d</w:t>
      </w:r>
      <w:r w:rsidRPr="000366FD">
        <w:t xml:space="preserve">isadvantages of fitting models in a Bayesian context is the run time (minutes/hours rather than seconds), and </w:t>
      </w:r>
      <w:r>
        <w:t>an</w:t>
      </w:r>
      <w:r w:rsidRPr="000366FD">
        <w:t xml:space="preserve"> increased difficulty with power analysis.</w:t>
      </w:r>
    </w:p>
    <w:p w:rsidR="00F06FFB" w:rsidRPr="00B52E41" w:rsidRDefault="00F06FFB" w:rsidP="00F06FFB">
      <w:pPr>
        <w:pStyle w:val="Bullet"/>
        <w:tabs>
          <w:tab w:val="clear" w:pos="397"/>
          <w:tab w:val="num" w:pos="794"/>
        </w:tabs>
        <w:rPr>
          <w:b/>
        </w:rPr>
      </w:pPr>
      <w:r w:rsidRPr="00B52E41">
        <w:rPr>
          <w:b/>
        </w:rPr>
        <w:t xml:space="preserve">Smoothing population trends: </w:t>
      </w:r>
      <w:r>
        <w:t>O</w:t>
      </w:r>
      <w:r w:rsidRPr="00B52E41">
        <w:t>ur analysis focussed on linear trend analyses</w:t>
      </w:r>
      <w:r>
        <w:t>,</w:t>
      </w:r>
      <w:r w:rsidRPr="00B52E41">
        <w:t xml:space="preserve"> but smoothed trends are recommended to distinguish between short-term fluctuations (resulting from a combination of natural variation and sampling error) and long</w:t>
      </w:r>
      <w:r w:rsidR="00797AC4">
        <w:t>-</w:t>
      </w:r>
      <w:r w:rsidRPr="00B52E41">
        <w:t>term trends (</w:t>
      </w:r>
      <w:proofErr w:type="spellStart"/>
      <w:r w:rsidRPr="00B52E41">
        <w:t>Fewster</w:t>
      </w:r>
      <w:proofErr w:type="spellEnd"/>
      <w:r w:rsidRPr="00B52E41">
        <w:t xml:space="preserve"> et al</w:t>
      </w:r>
      <w:r w:rsidR="00494026">
        <w:t>,</w:t>
      </w:r>
      <w:r w:rsidRPr="00B52E41">
        <w:t xml:space="preserve"> 2000). These</w:t>
      </w:r>
      <w:r w:rsidR="00797AC4">
        <w:t>,</w:t>
      </w:r>
      <w:r w:rsidRPr="00B52E41">
        <w:t xml:space="preserve"> however</w:t>
      </w:r>
      <w:r w:rsidR="00797AC4">
        <w:t>,</w:t>
      </w:r>
      <w:r w:rsidRPr="00B52E41">
        <w:t xml:space="preserve"> may require longer-term data sets.</w:t>
      </w:r>
    </w:p>
    <w:p w:rsidR="00BF02B5" w:rsidRDefault="00BF02B5">
      <w:pPr>
        <w:jc w:val="left"/>
      </w:pPr>
      <w:r>
        <w:br w:type="page"/>
      </w:r>
    </w:p>
    <w:p w:rsidR="00A40314" w:rsidRDefault="00DC272F" w:rsidP="00E41091">
      <w:pPr>
        <w:pStyle w:val="Heading1"/>
        <w:numPr>
          <w:ilvl w:val="0"/>
          <w:numId w:val="9"/>
        </w:numPr>
      </w:pPr>
      <w:bookmarkStart w:id="38" w:name="_Toc427250828"/>
      <w:r>
        <w:t>Power analysis</w:t>
      </w:r>
      <w:bookmarkEnd w:id="38"/>
    </w:p>
    <w:p w:rsidR="00D64555" w:rsidRDefault="00D64555" w:rsidP="00D64555">
      <w:pPr>
        <w:pStyle w:val="BodyText"/>
      </w:pPr>
      <w:r w:rsidRPr="004D4B80">
        <w:t>Power refers to the statistical power to detect a given trend (effect) or, more importantly, to reject the null hypothesis that there is no trend. Power is increased through large numbers of samples, low variability among those samples, and a consistent direction of change across replicate samples.</w:t>
      </w:r>
    </w:p>
    <w:p w:rsidR="00D64555" w:rsidRDefault="00D64555" w:rsidP="00D64555">
      <w:pPr>
        <w:pStyle w:val="BodyText"/>
      </w:pPr>
    </w:p>
    <w:p w:rsidR="006231C1" w:rsidRPr="006231C1" w:rsidRDefault="004C0F3F" w:rsidP="006231C1">
      <w:pPr>
        <w:pStyle w:val="BodyText"/>
      </w:pPr>
      <w:r>
        <w:t>Here, w</w:t>
      </w:r>
      <w:r w:rsidR="006231C1" w:rsidRPr="006231C1">
        <w:t xml:space="preserve">e use power analyses to assess the ability of current and future datasets to detect a range of specified population trends for our focal species. We use an </w:t>
      </w:r>
      <w:r w:rsidR="006231C1" w:rsidRPr="006231C1">
        <w:rPr>
          <w:rStyle w:val="R-codeChar"/>
          <w:rFonts w:ascii="Times New Roman" w:hAnsi="Times New Roman"/>
        </w:rPr>
        <w:t>R</w:t>
      </w:r>
      <w:r w:rsidR="006231C1" w:rsidRPr="006231C1">
        <w:t xml:space="preserve"> package, </w:t>
      </w:r>
      <w:proofErr w:type="spellStart"/>
      <w:r w:rsidR="006231C1" w:rsidRPr="00962F36">
        <w:rPr>
          <w:rStyle w:val="R-codeChar"/>
        </w:rPr>
        <w:t>simr</w:t>
      </w:r>
      <w:proofErr w:type="spellEnd"/>
      <w:r w:rsidR="006231C1" w:rsidRPr="00CB1FA4">
        <w:t>, built</w:t>
      </w:r>
      <w:r w:rsidR="006231C1" w:rsidRPr="006231C1">
        <w:t xml:space="preserve"> to make it simple to run simulation experiments to determine whether a given sampling design has sufficient power to make a specific inference (Green </w:t>
      </w:r>
      <w:r w:rsidR="00DD0AE2">
        <w:t>and</w:t>
      </w:r>
      <w:r w:rsidR="006231C1" w:rsidRPr="006231C1">
        <w:t xml:space="preserve"> MacLeod, in review). The package includes tools for </w:t>
      </w:r>
      <w:r w:rsidR="00CB1FA4">
        <w:t xml:space="preserve">(1) </w:t>
      </w:r>
      <w:r w:rsidR="006231C1" w:rsidRPr="006231C1">
        <w:t>running a simple power analysis for a specified design and (2) calculating power curves to assess the trade-off between power and sampling size.</w:t>
      </w:r>
    </w:p>
    <w:p w:rsidR="006231C1" w:rsidRPr="006231C1" w:rsidRDefault="006231C1" w:rsidP="006231C1">
      <w:pPr>
        <w:pStyle w:val="BodyText"/>
      </w:pPr>
    </w:p>
    <w:p w:rsidR="006231C1" w:rsidRPr="006231C1" w:rsidRDefault="006231C1" w:rsidP="006231C1">
      <w:pPr>
        <w:pStyle w:val="Heading2"/>
      </w:pPr>
      <w:bookmarkStart w:id="39" w:name="_Toc427250829"/>
      <w:r w:rsidRPr="006231C1">
        <w:t>Current data: Using linear mixed models</w:t>
      </w:r>
      <w:bookmarkEnd w:id="39"/>
    </w:p>
    <w:p w:rsidR="006231C1" w:rsidRDefault="00FD152D" w:rsidP="006231C1">
      <w:pPr>
        <w:pStyle w:val="BodyText"/>
      </w:pPr>
      <w:r>
        <w:t>Here w</w:t>
      </w:r>
      <w:r w:rsidRPr="006231C1">
        <w:t xml:space="preserve">e focussed on fantail and </w:t>
      </w:r>
      <w:r>
        <w:t>tūī</w:t>
      </w:r>
      <w:r w:rsidRPr="006231C1">
        <w:t xml:space="preserve"> because the confidence intervals of their trend estimates overlapped zero</w:t>
      </w:r>
      <w:r w:rsidR="004C0F3F">
        <w:t xml:space="preserve"> (</w:t>
      </w:r>
      <w:r w:rsidR="00494026">
        <w:t>figure</w:t>
      </w:r>
      <w:r w:rsidR="004C0F3F">
        <w:t xml:space="preserve"> 9)</w:t>
      </w:r>
      <w:r w:rsidRPr="006231C1">
        <w:t xml:space="preserve">. </w:t>
      </w:r>
      <w:r w:rsidR="006231C1" w:rsidRPr="006231C1">
        <w:t xml:space="preserve">Using the current dataset (2008–2014) for </w:t>
      </w:r>
      <w:r w:rsidR="004C0F3F">
        <w:t>each of these species,</w:t>
      </w:r>
      <w:r w:rsidR="006231C1" w:rsidRPr="006231C1">
        <w:t xml:space="preserve"> we explored the power to detect a range of </w:t>
      </w:r>
      <w:r w:rsidR="00962F36">
        <w:t xml:space="preserve">simulated </w:t>
      </w:r>
      <w:r w:rsidR="006231C1" w:rsidRPr="006231C1">
        <w:t xml:space="preserve">trends using the alert thresholds illustrated in </w:t>
      </w:r>
      <w:r w:rsidR="00494026">
        <w:t>figure</w:t>
      </w:r>
      <w:r w:rsidR="006231C1" w:rsidRPr="006231C1">
        <w:t xml:space="preserve"> 11 (red </w:t>
      </w:r>
      <w:r w:rsidR="006C3C52">
        <w:t xml:space="preserve">alert </w:t>
      </w:r>
      <w:r w:rsidR="006231C1" w:rsidRPr="006231C1">
        <w:t xml:space="preserve">= </w:t>
      </w:r>
      <w:r w:rsidR="00CB1FA4">
        <w:t>–</w:t>
      </w:r>
      <w:r w:rsidR="006231C1" w:rsidRPr="006231C1">
        <w:t>2.73%</w:t>
      </w:r>
      <w:r w:rsidR="006C3C52">
        <w:t xml:space="preserve"> change </w:t>
      </w:r>
      <w:r w:rsidR="006C3C52" w:rsidRPr="006231C1">
        <w:t>per annum</w:t>
      </w:r>
      <w:r w:rsidR="006231C1" w:rsidRPr="006231C1">
        <w:t xml:space="preserve">, amber = </w:t>
      </w:r>
      <w:r w:rsidR="00CB1FA4">
        <w:t>–</w:t>
      </w:r>
      <w:r w:rsidR="006231C1" w:rsidRPr="006231C1">
        <w:t xml:space="preserve">1.14%, no change = 0%, blue = 0.893%, green =1.64%). </w:t>
      </w:r>
    </w:p>
    <w:p w:rsidR="006231C1" w:rsidRDefault="006231C1" w:rsidP="006231C1">
      <w:pPr>
        <w:pStyle w:val="BodyText"/>
      </w:pPr>
    </w:p>
    <w:p w:rsidR="006231C1" w:rsidRDefault="006231C1" w:rsidP="006231C1">
      <w:pPr>
        <w:pStyle w:val="BodyText"/>
      </w:pPr>
      <w:r w:rsidRPr="006231C1">
        <w:t xml:space="preserve">The power analysis tests </w:t>
      </w:r>
      <w:r w:rsidR="00962F36" w:rsidRPr="006231C1">
        <w:t xml:space="preserve">were run </w:t>
      </w:r>
      <w:r w:rsidR="00962F36">
        <w:t xml:space="preserve">to evaluate the power to detect the simulated trends </w:t>
      </w:r>
      <w:r w:rsidRPr="006231C1">
        <w:t xml:space="preserve">using </w:t>
      </w:r>
      <w:r w:rsidRPr="006C3C52">
        <w:t xml:space="preserve">the </w:t>
      </w:r>
      <w:proofErr w:type="spellStart"/>
      <w:r w:rsidRPr="00962F36">
        <w:rPr>
          <w:rStyle w:val="R-codeChar"/>
        </w:rPr>
        <w:t>powerSim</w:t>
      </w:r>
      <w:proofErr w:type="spellEnd"/>
      <w:r w:rsidRPr="006C3C52">
        <w:t xml:space="preserve"> function in the </w:t>
      </w:r>
      <w:r w:rsidRPr="00962F36">
        <w:rPr>
          <w:rStyle w:val="R-codeChar"/>
        </w:rPr>
        <w:t>R</w:t>
      </w:r>
      <w:r w:rsidRPr="006C3C52">
        <w:t xml:space="preserve"> package, </w:t>
      </w:r>
      <w:proofErr w:type="spellStart"/>
      <w:r w:rsidRPr="00962F36">
        <w:rPr>
          <w:rStyle w:val="R-codeChar"/>
        </w:rPr>
        <w:t>simr</w:t>
      </w:r>
      <w:proofErr w:type="spellEnd"/>
      <w:r w:rsidRPr="006C3C52">
        <w:t>,</w:t>
      </w:r>
      <w:r w:rsidRPr="006231C1">
        <w:t xml:space="preserve"> for 100 simulations. These analyses were based on the linear mixed model </w:t>
      </w:r>
      <w:r w:rsidR="006C3C52">
        <w:t>that</w:t>
      </w:r>
      <w:r w:rsidR="006C3C52" w:rsidRPr="006231C1">
        <w:t xml:space="preserve"> </w:t>
      </w:r>
      <w:r w:rsidRPr="006231C1">
        <w:t xml:space="preserve">included Region in the random effects (M1, </w:t>
      </w:r>
      <w:r w:rsidR="00494026">
        <w:t>table</w:t>
      </w:r>
      <w:r w:rsidRPr="006231C1">
        <w:t xml:space="preserve"> 2). </w:t>
      </w:r>
      <w:r w:rsidR="009507A9">
        <w:t>In such tests, 80% power is generally deemed ‘sufficient’.</w:t>
      </w:r>
    </w:p>
    <w:p w:rsidR="006231C1" w:rsidRDefault="006231C1" w:rsidP="006231C1">
      <w:pPr>
        <w:pStyle w:val="BodyText"/>
      </w:pPr>
    </w:p>
    <w:p w:rsidR="006231C1" w:rsidRDefault="006231C1" w:rsidP="006231C1">
      <w:pPr>
        <w:pStyle w:val="BodyText"/>
      </w:pPr>
      <w:r w:rsidRPr="006231C1">
        <w:t>Based on th</w:t>
      </w:r>
      <w:r w:rsidR="006C3C52">
        <w:t>is</w:t>
      </w:r>
      <w:r w:rsidRPr="006231C1">
        <w:t xml:space="preserve"> model and the current dataset, there was low power to detect any of the </w:t>
      </w:r>
      <w:r w:rsidR="0043594A">
        <w:t>simulated</w:t>
      </w:r>
      <w:r w:rsidRPr="006231C1">
        <w:t xml:space="preserve"> trends, except a red-alert declining trend</w:t>
      </w:r>
      <w:r w:rsidR="00240A5E">
        <w:t xml:space="preserve"> for tūī</w:t>
      </w:r>
      <w:r w:rsidRPr="006231C1">
        <w:t xml:space="preserve"> (</w:t>
      </w:r>
      <w:r w:rsidR="006C3C52">
        <w:t>–</w:t>
      </w:r>
      <w:r w:rsidRPr="006231C1">
        <w:t>2.</w:t>
      </w:r>
      <w:r w:rsidR="0043594A">
        <w:t xml:space="preserve">73% pa; </w:t>
      </w:r>
      <w:r w:rsidR="00494026">
        <w:t>figure</w:t>
      </w:r>
      <w:r>
        <w:t xml:space="preserve"> 15</w:t>
      </w:r>
      <w:r w:rsidRPr="006231C1">
        <w:t>).</w:t>
      </w:r>
    </w:p>
    <w:p w:rsidR="006231C1" w:rsidRPr="006231C1" w:rsidRDefault="006231C1" w:rsidP="006231C1">
      <w:pPr>
        <w:pStyle w:val="BodyText"/>
      </w:pPr>
    </w:p>
    <w:p w:rsidR="006231C1" w:rsidRPr="006231C1" w:rsidRDefault="006231C1" w:rsidP="006231C1">
      <w:pPr>
        <w:pStyle w:val="BodyText"/>
      </w:pPr>
    </w:p>
    <w:p w:rsidR="00402AD8" w:rsidRDefault="00402AD8" w:rsidP="00402AD8">
      <w:pPr>
        <w:pStyle w:val="Figureheading"/>
      </w:pPr>
      <w:bookmarkStart w:id="40" w:name="_Toc430354524"/>
      <w:r>
        <w:t xml:space="preserve">Figure 15: </w:t>
      </w:r>
      <w:r>
        <w:tab/>
        <w:t>Power of current NZGBS dataset to detect a range of simulated trends equivalent to the alert thresholds. Analyses are based model M1; table 2</w:t>
      </w:r>
      <w:bookmarkEnd w:id="40"/>
    </w:p>
    <w:p w:rsidR="006231C1" w:rsidRDefault="00A45D90" w:rsidP="004C0F3F">
      <w:pPr>
        <w:pStyle w:val="BodyText"/>
        <w:jc w:val="center"/>
        <w:rPr>
          <w:noProof/>
          <w:lang w:eastAsia="en-NZ"/>
        </w:rPr>
      </w:pPr>
      <w:r>
        <w:rPr>
          <w:noProof/>
          <w:lang w:eastAsia="en-NZ"/>
        </w:rPr>
        <w:drawing>
          <wp:inline distT="0" distB="0" distL="0" distR="0" wp14:anchorId="7567DC55" wp14:editId="2C7C9813">
            <wp:extent cx="5400040" cy="34113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00040" cy="3411371"/>
                    </a:xfrm>
                    <a:prstGeom prst="rect">
                      <a:avLst/>
                    </a:prstGeom>
                  </pic:spPr>
                </pic:pic>
              </a:graphicData>
            </a:graphic>
          </wp:inline>
        </w:drawing>
      </w:r>
    </w:p>
    <w:p w:rsidR="006231C1" w:rsidRDefault="006231C1" w:rsidP="006231C1">
      <w:pPr>
        <w:pStyle w:val="Heading2"/>
      </w:pPr>
      <w:bookmarkStart w:id="41" w:name="_Toc427250830"/>
      <w:r>
        <w:t>Future datasets: Using linear mixed models</w:t>
      </w:r>
      <w:bookmarkEnd w:id="41"/>
    </w:p>
    <w:p w:rsidR="007C6E30" w:rsidRPr="000575CA" w:rsidRDefault="00032D99" w:rsidP="005D24DF">
      <w:pPr>
        <w:pStyle w:val="BodyText"/>
      </w:pPr>
      <w:r>
        <w:t>For all species, except silvereye (which has clearly already breached a red</w:t>
      </w:r>
      <w:r w:rsidR="006C3C52">
        <w:t xml:space="preserve"> </w:t>
      </w:r>
      <w:r>
        <w:t xml:space="preserve">alert; </w:t>
      </w:r>
      <w:r w:rsidR="00494026">
        <w:t>figure</w:t>
      </w:r>
      <w:r>
        <w:t xml:space="preserve"> 11), we </w:t>
      </w:r>
      <w:r w:rsidR="006231C1">
        <w:t>predict the power of future datasets to detect specified trends of interest</w:t>
      </w:r>
      <w:r>
        <w:t>. To do this</w:t>
      </w:r>
      <w:r w:rsidR="006231C1">
        <w:t xml:space="preserve">, we </w:t>
      </w:r>
      <w:r>
        <w:t>add</w:t>
      </w:r>
      <w:r w:rsidR="006231C1">
        <w:t xml:space="preserve"> </w:t>
      </w:r>
      <w:r>
        <w:t>new</w:t>
      </w:r>
      <w:r w:rsidR="006231C1">
        <w:t xml:space="preserve"> </w:t>
      </w:r>
      <w:r>
        <w:t xml:space="preserve">simulated </w:t>
      </w:r>
      <w:r w:rsidR="006231C1">
        <w:t xml:space="preserve">NZGBS data for </w:t>
      </w:r>
      <w:r w:rsidR="006231C1" w:rsidRPr="0032418F">
        <w:t xml:space="preserve">an additional </w:t>
      </w:r>
      <w:r w:rsidR="006231C1">
        <w:t>five</w:t>
      </w:r>
      <w:r w:rsidR="006231C1" w:rsidRPr="0032418F">
        <w:t xml:space="preserve"> years (</w:t>
      </w:r>
      <w:r w:rsidR="006231C1">
        <w:t xml:space="preserve">equivalent to </w:t>
      </w:r>
      <w:r w:rsidR="006231C1" w:rsidRPr="0032418F">
        <w:t>2008–2019</w:t>
      </w:r>
      <w:r w:rsidR="006231C1">
        <w:t>, a total of 12 years</w:t>
      </w:r>
      <w:r w:rsidR="006231C1" w:rsidRPr="0032418F">
        <w:t xml:space="preserve">). </w:t>
      </w:r>
      <w:r>
        <w:t xml:space="preserve">We increased the number of sampling years in the NZGBS dataset using the </w:t>
      </w:r>
      <w:r w:rsidRPr="00962F36">
        <w:rPr>
          <w:rStyle w:val="R-codeChar"/>
        </w:rPr>
        <w:t>extend</w:t>
      </w:r>
      <w:r w:rsidRPr="000575CA">
        <w:t xml:space="preserve"> function in </w:t>
      </w:r>
      <w:proofErr w:type="spellStart"/>
      <w:r w:rsidRPr="00962F36">
        <w:rPr>
          <w:rStyle w:val="R-codeChar"/>
        </w:rPr>
        <w:t>simr</w:t>
      </w:r>
      <w:proofErr w:type="spellEnd"/>
      <w:r w:rsidRPr="000575CA">
        <w:t>.</w:t>
      </w:r>
    </w:p>
    <w:p w:rsidR="007C6E30" w:rsidRDefault="007C6E30" w:rsidP="005D24DF">
      <w:pPr>
        <w:pStyle w:val="BodyText"/>
      </w:pPr>
    </w:p>
    <w:p w:rsidR="006231C1" w:rsidRDefault="007C6E30" w:rsidP="006231C1">
      <w:pPr>
        <w:pStyle w:val="BodyText"/>
      </w:pPr>
      <w:r>
        <w:t>W</w:t>
      </w:r>
      <w:r w:rsidR="006231C1">
        <w:t xml:space="preserve">e </w:t>
      </w:r>
      <w:r>
        <w:t xml:space="preserve">then </w:t>
      </w:r>
      <w:r w:rsidR="006231C1">
        <w:t xml:space="preserve">simulated </w:t>
      </w:r>
      <w:r w:rsidR="005D24DF">
        <w:t>an</w:t>
      </w:r>
      <w:r w:rsidR="006231C1" w:rsidRPr="0032418F">
        <w:t xml:space="preserve"> amber</w:t>
      </w:r>
      <w:r w:rsidR="005D24DF">
        <w:t>-</w:t>
      </w:r>
      <w:r w:rsidR="006231C1" w:rsidRPr="0032418F">
        <w:t xml:space="preserve">alert </w:t>
      </w:r>
      <w:r w:rsidR="006231C1">
        <w:t xml:space="preserve">trend </w:t>
      </w:r>
      <w:r w:rsidR="000575CA">
        <w:t>(–</w:t>
      </w:r>
      <w:r w:rsidR="006231C1">
        <w:t>1.14</w:t>
      </w:r>
      <w:r w:rsidR="006231C1" w:rsidRPr="0032418F">
        <w:t>% pa)</w:t>
      </w:r>
      <w:r>
        <w:t xml:space="preserve"> </w:t>
      </w:r>
      <w:r w:rsidR="000216A8">
        <w:t xml:space="preserve">for all three species, and a red-alert for fantail </w:t>
      </w:r>
      <w:r w:rsidR="000575CA">
        <w:t>(–</w:t>
      </w:r>
      <w:r w:rsidR="000216A8">
        <w:t>2.73% pa)</w:t>
      </w:r>
      <w:r>
        <w:t xml:space="preserve">. Using </w:t>
      </w:r>
      <w:r w:rsidR="006231C1">
        <w:t xml:space="preserve">the </w:t>
      </w:r>
      <w:proofErr w:type="spellStart"/>
      <w:r w:rsidR="006231C1" w:rsidRPr="00962F36">
        <w:rPr>
          <w:rStyle w:val="R-codeChar"/>
        </w:rPr>
        <w:t>powerCurve</w:t>
      </w:r>
      <w:proofErr w:type="spellEnd"/>
      <w:r w:rsidR="006231C1" w:rsidRPr="000575CA">
        <w:t xml:space="preserve"> function in </w:t>
      </w:r>
      <w:proofErr w:type="spellStart"/>
      <w:r w:rsidR="006231C1" w:rsidRPr="00962F36">
        <w:rPr>
          <w:rStyle w:val="R-codeChar"/>
        </w:rPr>
        <w:t>simr</w:t>
      </w:r>
      <w:proofErr w:type="spellEnd"/>
      <w:r w:rsidRPr="000575CA">
        <w:t>,</w:t>
      </w:r>
      <w:r w:rsidRPr="007C6E30">
        <w:t xml:space="preserve"> we</w:t>
      </w:r>
      <w:r w:rsidR="000216A8">
        <w:t xml:space="preserve"> simulated ten sampling events over the extended dataset and </w:t>
      </w:r>
      <w:r w:rsidR="006231C1">
        <w:t>test</w:t>
      </w:r>
      <w:r>
        <w:t>ed</w:t>
      </w:r>
      <w:r w:rsidR="006231C1">
        <w:t xml:space="preserve"> the power of the cumulative dataset (from 2008 onwards) to detect the simulated trends. </w:t>
      </w:r>
      <w:r>
        <w:t>(</w:t>
      </w:r>
      <w:r w:rsidR="006231C1">
        <w:t>A minimum of three annual samples were required, hence sampling events were simulated from 2010 onwards.</w:t>
      </w:r>
      <w:r>
        <w:t>)</w:t>
      </w:r>
    </w:p>
    <w:p w:rsidR="00032D99" w:rsidRDefault="00032D99" w:rsidP="006231C1">
      <w:pPr>
        <w:pStyle w:val="BodyText"/>
      </w:pPr>
    </w:p>
    <w:p w:rsidR="006231C1" w:rsidRDefault="00032D99" w:rsidP="006231C1">
      <w:pPr>
        <w:pStyle w:val="BodyText"/>
      </w:pPr>
      <w:r>
        <w:t>We used</w:t>
      </w:r>
      <w:r w:rsidRPr="0032418F">
        <w:t xml:space="preserve"> a simplified</w:t>
      </w:r>
      <w:r>
        <w:t xml:space="preserve"> linear mixed</w:t>
      </w:r>
      <w:r w:rsidRPr="0032418F">
        <w:t xml:space="preserve"> model that accounted for </w:t>
      </w:r>
      <w:proofErr w:type="spellStart"/>
      <w:r w:rsidRPr="0032418F">
        <w:t>overdispersed</w:t>
      </w:r>
      <w:proofErr w:type="spellEnd"/>
      <w:r w:rsidRPr="0032418F">
        <w:t xml:space="preserve"> counts but did not include any random effects</w:t>
      </w:r>
      <w:r>
        <w:t xml:space="preserve"> as a basis for these power analyses</w:t>
      </w:r>
      <w:r w:rsidRPr="0032418F">
        <w:t>. We also used a faster approximation command (</w:t>
      </w:r>
      <w:proofErr w:type="spellStart"/>
      <w:r w:rsidRPr="003830BA">
        <w:rPr>
          <w:rStyle w:val="R-codeChar"/>
        </w:rPr>
        <w:t>nAGQ</w:t>
      </w:r>
      <w:proofErr w:type="spellEnd"/>
      <w:r w:rsidRPr="003830BA">
        <w:rPr>
          <w:rStyle w:val="R-codeChar"/>
        </w:rPr>
        <w:t xml:space="preserve"> = 0</w:t>
      </w:r>
      <w:r w:rsidRPr="000575CA">
        <w:t>)</w:t>
      </w:r>
      <w:r w:rsidRPr="0032418F">
        <w:t xml:space="preserve"> to speed up the power calculations. </w:t>
      </w:r>
      <w:r>
        <w:t>Using this approach, we</w:t>
      </w:r>
      <w:r w:rsidRPr="0032418F">
        <w:t xml:space="preserve"> get similar results to the larger models for the national trend and so they can give us indicative results for power </w:t>
      </w:r>
      <w:r w:rsidRPr="007C6E30">
        <w:t xml:space="preserve">analyses </w:t>
      </w:r>
      <w:r>
        <w:t>(</w:t>
      </w:r>
      <w:r w:rsidRPr="007C6E30">
        <w:t>but probably give inflated power relative to results based on M1</w:t>
      </w:r>
      <w:r>
        <w:t>–</w:t>
      </w:r>
      <w:r w:rsidRPr="007C6E30">
        <w:t>M4</w:t>
      </w:r>
      <w:r>
        <w:t>;</w:t>
      </w:r>
      <w:r w:rsidRPr="007C6E30">
        <w:t xml:space="preserve"> </w:t>
      </w:r>
      <w:r w:rsidR="00494026">
        <w:t>table</w:t>
      </w:r>
      <w:r w:rsidRPr="007C6E30">
        <w:t xml:space="preserve"> 2).</w:t>
      </w:r>
    </w:p>
    <w:p w:rsidR="00032D99" w:rsidRDefault="00032D99" w:rsidP="006231C1">
      <w:pPr>
        <w:pStyle w:val="BodyText"/>
      </w:pPr>
    </w:p>
    <w:p w:rsidR="000575CA" w:rsidRDefault="007C6E30" w:rsidP="004C0F3F">
      <w:pPr>
        <w:pStyle w:val="BodyText"/>
      </w:pPr>
      <w:r>
        <w:t>For the detection of amber alerts, t</w:t>
      </w:r>
      <w:r w:rsidR="006231C1">
        <w:t>here was &gt;80% power for blac</w:t>
      </w:r>
      <w:r>
        <w:t xml:space="preserve">kbird after </w:t>
      </w:r>
      <w:r w:rsidR="000575CA">
        <w:t xml:space="preserve">six </w:t>
      </w:r>
      <w:r>
        <w:t>years of sampling,</w:t>
      </w:r>
      <w:r w:rsidR="006231C1">
        <w:t xml:space="preserve"> but for </w:t>
      </w:r>
      <w:r w:rsidR="00E22771">
        <w:t>tūī</w:t>
      </w:r>
      <w:r w:rsidR="006231C1">
        <w:t xml:space="preserve"> it would take eight years</w:t>
      </w:r>
      <w:r>
        <w:t xml:space="preserve"> (</w:t>
      </w:r>
      <w:r w:rsidR="00494026">
        <w:t>figure</w:t>
      </w:r>
      <w:r>
        <w:t xml:space="preserve"> 16)</w:t>
      </w:r>
      <w:r w:rsidR="006231C1">
        <w:t xml:space="preserve">. There was no power to detect an amber alert for fantail </w:t>
      </w:r>
      <w:r w:rsidR="009507A9">
        <w:t xml:space="preserve">for the full 12 </w:t>
      </w:r>
      <w:r w:rsidR="006231C1">
        <w:t xml:space="preserve">years </w:t>
      </w:r>
      <w:r w:rsidR="000575CA">
        <w:t xml:space="preserve">(figure 17) </w:t>
      </w:r>
      <w:r w:rsidR="006231C1">
        <w:t>(note the large confidence intervals for this plot are due to the low number of simulations used</w:t>
      </w:r>
      <w:r w:rsidR="000575CA">
        <w:t>;</w:t>
      </w:r>
      <w:r w:rsidR="006231C1">
        <w:t xml:space="preserve"> n = 10). </w:t>
      </w:r>
      <w:r w:rsidR="000216A8">
        <w:t xml:space="preserve">For the detection of </w:t>
      </w:r>
      <w:r w:rsidR="009507A9">
        <w:t xml:space="preserve">a </w:t>
      </w:r>
      <w:r w:rsidR="000216A8">
        <w:t>red alert</w:t>
      </w:r>
      <w:r w:rsidR="009507A9">
        <w:t xml:space="preserve"> for fantail</w:t>
      </w:r>
      <w:r w:rsidR="006231C1">
        <w:t xml:space="preserve">, </w:t>
      </w:r>
      <w:r w:rsidR="000216A8">
        <w:t>there is predicted to be sufficient power to detect such a trend</w:t>
      </w:r>
      <w:r w:rsidR="006231C1">
        <w:t xml:space="preserve"> after </w:t>
      </w:r>
      <w:r w:rsidR="000575CA">
        <w:t xml:space="preserve">six </w:t>
      </w:r>
      <w:r w:rsidR="006231C1">
        <w:t>years sampling</w:t>
      </w:r>
      <w:r w:rsidR="000216A8">
        <w:t xml:space="preserve"> (</w:t>
      </w:r>
      <w:r w:rsidR="00494026">
        <w:t>figure</w:t>
      </w:r>
      <w:r w:rsidR="000216A8">
        <w:t xml:space="preserve"> 17)</w:t>
      </w:r>
      <w:r w:rsidR="006231C1">
        <w:t>.</w:t>
      </w:r>
    </w:p>
    <w:p w:rsidR="00402AD8" w:rsidRDefault="00402AD8" w:rsidP="00402AD8">
      <w:pPr>
        <w:pStyle w:val="Figureheading"/>
      </w:pPr>
      <w:bookmarkStart w:id="42" w:name="_Toc430354525"/>
      <w:r w:rsidRPr="000C3A2D">
        <w:t xml:space="preserve">Figure </w:t>
      </w:r>
      <w:r>
        <w:t>16:</w:t>
      </w:r>
      <w:r w:rsidRPr="000C3A2D">
        <w:t xml:space="preserve"> </w:t>
      </w:r>
      <w:r>
        <w:tab/>
        <w:t xml:space="preserve">Power to detect a simulated </w:t>
      </w:r>
      <w:r w:rsidRPr="000C3A2D">
        <w:t>amber alert</w:t>
      </w:r>
      <w:r>
        <w:t xml:space="preserve"> in relation to the number of sampling years (based on a simplified linear mixed effects model) for blackbird and </w:t>
      </w:r>
      <w:proofErr w:type="spellStart"/>
      <w:r>
        <w:t>tūī</w:t>
      </w:r>
      <w:bookmarkEnd w:id="42"/>
      <w:proofErr w:type="spellEnd"/>
    </w:p>
    <w:p w:rsidR="00A45D90" w:rsidRPr="000C3A2D" w:rsidRDefault="0057460B" w:rsidP="00402AD8">
      <w:pPr>
        <w:pStyle w:val="BodyText"/>
      </w:pPr>
      <w:r>
        <w:rPr>
          <w:noProof/>
          <w:lang w:eastAsia="en-NZ"/>
        </w:rPr>
        <w:drawing>
          <wp:inline distT="0" distB="0" distL="0" distR="0" wp14:anchorId="42E2D9A8" wp14:editId="13C4EA2F">
            <wp:extent cx="4843837" cy="306000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843837" cy="3060000"/>
                    </a:xfrm>
                    <a:prstGeom prst="rect">
                      <a:avLst/>
                    </a:prstGeom>
                  </pic:spPr>
                </pic:pic>
              </a:graphicData>
            </a:graphic>
          </wp:inline>
        </w:drawing>
      </w:r>
    </w:p>
    <w:p w:rsidR="00E62EB0" w:rsidRDefault="00B00235" w:rsidP="00402AD8">
      <w:pPr>
        <w:pStyle w:val="BodyText"/>
      </w:pPr>
      <w:r>
        <w:t>Note c</w:t>
      </w:r>
      <w:r w:rsidRPr="00B00235">
        <w:t>onfidence intervals were based on 100 simulations.</w:t>
      </w:r>
    </w:p>
    <w:p w:rsidR="00402AD8" w:rsidRDefault="00402AD8" w:rsidP="00402AD8">
      <w:pPr>
        <w:pStyle w:val="BodyText"/>
      </w:pPr>
    </w:p>
    <w:p w:rsidR="00E62EB0" w:rsidRPr="00447B06" w:rsidRDefault="00402AD8" w:rsidP="00402AD8">
      <w:pPr>
        <w:pStyle w:val="Figureheading"/>
      </w:pPr>
      <w:bookmarkStart w:id="43" w:name="_Toc430354526"/>
      <w:r w:rsidRPr="000C3A2D">
        <w:t xml:space="preserve">Figure </w:t>
      </w:r>
      <w:r>
        <w:t>17:</w:t>
      </w:r>
      <w:r w:rsidRPr="000C3A2D">
        <w:t xml:space="preserve"> </w:t>
      </w:r>
      <w:r>
        <w:tab/>
        <w:t>Power to detect a simulated red</w:t>
      </w:r>
      <w:r w:rsidRPr="000C3A2D">
        <w:t xml:space="preserve"> alert</w:t>
      </w:r>
      <w:r>
        <w:t xml:space="preserve"> and amber alert in relation to the number of sampling years (based on a simplified linear mixed effects model) for fantail</w:t>
      </w:r>
      <w:bookmarkEnd w:id="43"/>
    </w:p>
    <w:p w:rsidR="007C6E30" w:rsidRDefault="0057460B" w:rsidP="00402AD8">
      <w:pPr>
        <w:pStyle w:val="BodyText"/>
        <w:rPr>
          <w:highlight w:val="yellow"/>
        </w:rPr>
      </w:pPr>
      <w:r>
        <w:rPr>
          <w:noProof/>
          <w:lang w:eastAsia="en-NZ"/>
        </w:rPr>
        <w:drawing>
          <wp:inline distT="0" distB="0" distL="0" distR="0" wp14:anchorId="0458D2FC" wp14:editId="5EA2D314">
            <wp:extent cx="4843836" cy="306000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843836" cy="3060000"/>
                    </a:xfrm>
                    <a:prstGeom prst="rect">
                      <a:avLst/>
                    </a:prstGeom>
                  </pic:spPr>
                </pic:pic>
              </a:graphicData>
            </a:graphic>
          </wp:inline>
        </w:drawing>
      </w:r>
    </w:p>
    <w:p w:rsidR="001270FB" w:rsidRDefault="00B00235" w:rsidP="00402AD8">
      <w:pPr>
        <w:pStyle w:val="BodyText"/>
      </w:pPr>
      <w:r>
        <w:t>Note c</w:t>
      </w:r>
      <w:r w:rsidRPr="00B00235">
        <w:t>onfidence intervals were based on 100 simulations.</w:t>
      </w:r>
      <w:r w:rsidR="001270FB">
        <w:br w:type="page"/>
      </w:r>
    </w:p>
    <w:p w:rsidR="004C0F3F" w:rsidRDefault="00A843B3" w:rsidP="004C0F3F">
      <w:pPr>
        <w:pStyle w:val="Heading2"/>
      </w:pPr>
      <w:bookmarkStart w:id="44" w:name="_Toc427250831"/>
      <w:r>
        <w:t>Future datasets: Using</w:t>
      </w:r>
      <w:r w:rsidR="004C0F3F">
        <w:t xml:space="preserve"> weighted national averages</w:t>
      </w:r>
      <w:bookmarkEnd w:id="44"/>
    </w:p>
    <w:p w:rsidR="004C0F3F" w:rsidRDefault="004C0F3F" w:rsidP="004C0F3F">
      <w:pPr>
        <w:pStyle w:val="BodyText"/>
      </w:pPr>
      <w:r>
        <w:t>For comparison, we then predicted the power of future iterations of the NZGBS datasets to detect specified trends based on the weighted national averages approach that is currently used (</w:t>
      </w:r>
      <w:r w:rsidR="00494026">
        <w:t>figure</w:t>
      </w:r>
      <w:r>
        <w:t xml:space="preserve"> 1).</w:t>
      </w:r>
    </w:p>
    <w:p w:rsidR="004C0F3F" w:rsidRDefault="004C0F3F" w:rsidP="004C0F3F">
      <w:pPr>
        <w:pStyle w:val="BodyText"/>
      </w:pPr>
    </w:p>
    <w:p w:rsidR="004C0F3F" w:rsidRDefault="004C0F3F" w:rsidP="004C0F3F">
      <w:pPr>
        <w:pStyle w:val="BodyText"/>
      </w:pPr>
      <w:r>
        <w:t>For the detection of amber alerts (</w:t>
      </w:r>
      <w:r w:rsidR="00494026">
        <w:t>figure</w:t>
      </w:r>
      <w:r>
        <w:t xml:space="preserve"> 18), there is only likely to be sufficient power (&gt;80%) to detect if such a decline were occurring in blackbirds. There is no such power for the other three species. Even for blackbirds, it is predicted to take until 2019 (12 survey years) for such power to be achieved.</w:t>
      </w:r>
    </w:p>
    <w:p w:rsidR="004C0F3F" w:rsidRDefault="004C0F3F" w:rsidP="004C0F3F">
      <w:pPr>
        <w:pStyle w:val="BodyText"/>
      </w:pPr>
    </w:p>
    <w:p w:rsidR="004C0F3F" w:rsidRDefault="004C0F3F" w:rsidP="004C0F3F">
      <w:pPr>
        <w:pStyle w:val="BodyText"/>
      </w:pPr>
      <w:r>
        <w:t>For the detection of red alerts (</w:t>
      </w:r>
      <w:r w:rsidR="00494026">
        <w:t>figure</w:t>
      </w:r>
      <w:r>
        <w:t xml:space="preserve"> 18), there is predicted to be sufficient power to detect such a decline in blackbirds after 8 years (2015) and in fantail and tūī after 10 years (2017). There is no such power for silvereyes; extended analyses (not presented here) indicate that it would take 19 years (</w:t>
      </w:r>
      <w:proofErr w:type="spellStart"/>
      <w:r w:rsidR="00DB4A9D">
        <w:t>ie</w:t>
      </w:r>
      <w:proofErr w:type="spellEnd"/>
      <w:r w:rsidR="00DB4A9D">
        <w:t>,</w:t>
      </w:r>
      <w:r>
        <w:t xml:space="preserve"> until 2026) to detect such a decline in this species.</w:t>
      </w:r>
    </w:p>
    <w:p w:rsidR="004C0F3F" w:rsidRDefault="004C0F3F" w:rsidP="004C0F3F">
      <w:pPr>
        <w:jc w:val="left"/>
      </w:pPr>
    </w:p>
    <w:p w:rsidR="004C0F3F" w:rsidRDefault="004C0F3F" w:rsidP="004C0F3F">
      <w:pPr>
        <w:pStyle w:val="BodyText"/>
      </w:pPr>
      <w:r>
        <w:t>This comparison illustrates the greater power of the analytical approaches suggested here to detect such population trends.</w:t>
      </w:r>
    </w:p>
    <w:p w:rsidR="004C0F3F" w:rsidRDefault="004C0F3F" w:rsidP="004C0F3F">
      <w:pPr>
        <w:jc w:val="left"/>
      </w:pPr>
    </w:p>
    <w:p w:rsidR="00402AD8" w:rsidRDefault="00402AD8" w:rsidP="004C0F3F">
      <w:pPr>
        <w:jc w:val="left"/>
      </w:pPr>
    </w:p>
    <w:p w:rsidR="00402AD8" w:rsidRDefault="00402AD8" w:rsidP="00402AD8">
      <w:pPr>
        <w:pStyle w:val="Figureheading"/>
      </w:pPr>
      <w:bookmarkStart w:id="45" w:name="_Toc430354527"/>
      <w:r>
        <w:t xml:space="preserve">Figure 18: </w:t>
      </w:r>
      <w:r>
        <w:tab/>
        <w:t xml:space="preserve">Power to detect amber (black points and lines) and red (grey points and lines) </w:t>
      </w:r>
      <w:r w:rsidR="00FA163C">
        <w:t>a</w:t>
      </w:r>
      <w:r>
        <w:t>lert trends derived using the national weighted averages (figure 1)</w:t>
      </w:r>
      <w:bookmarkEnd w:id="45"/>
    </w:p>
    <w:p w:rsidR="00B46AC7" w:rsidRDefault="00B46AC7" w:rsidP="00B46AC7">
      <w:pPr>
        <w:pStyle w:val="BodyText"/>
      </w:pPr>
      <w:r>
        <w:rPr>
          <w:noProof/>
          <w:lang w:eastAsia="en-NZ"/>
        </w:rPr>
        <w:drawing>
          <wp:inline distT="0" distB="0" distL="0" distR="0" wp14:anchorId="278895B0" wp14:editId="3DE3383C">
            <wp:extent cx="5400040" cy="34113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00040" cy="3411371"/>
                    </a:xfrm>
                    <a:prstGeom prst="rect">
                      <a:avLst/>
                    </a:prstGeom>
                  </pic:spPr>
                </pic:pic>
              </a:graphicData>
            </a:graphic>
          </wp:inline>
        </w:drawing>
      </w:r>
    </w:p>
    <w:p w:rsidR="00B46AC7" w:rsidRDefault="00B46AC7" w:rsidP="00B46AC7">
      <w:pPr>
        <w:pStyle w:val="BodyText"/>
      </w:pPr>
    </w:p>
    <w:p w:rsidR="001270FB" w:rsidRPr="0096033A" w:rsidRDefault="001270FB" w:rsidP="001270FB"/>
    <w:p w:rsidR="00943169" w:rsidRDefault="00943169">
      <w:pPr>
        <w:jc w:val="left"/>
      </w:pPr>
      <w:r>
        <w:br w:type="page"/>
      </w:r>
    </w:p>
    <w:p w:rsidR="00943169" w:rsidRDefault="00943169" w:rsidP="00943169">
      <w:pPr>
        <w:pStyle w:val="Heading1"/>
      </w:pPr>
      <w:bookmarkStart w:id="46" w:name="_Toc427250832"/>
      <w:r>
        <w:t>5 Conclusions</w:t>
      </w:r>
      <w:bookmarkEnd w:id="46"/>
    </w:p>
    <w:p w:rsidR="00943169" w:rsidRDefault="00943169" w:rsidP="00943169">
      <w:pPr>
        <w:pStyle w:val="BodyText"/>
      </w:pPr>
      <w:r>
        <w:t>This report highlights some opportunities and challenges for making the NZGBS data more accessible, reliable and flexible</w:t>
      </w:r>
      <w:r w:rsidRPr="004A08E8">
        <w:t xml:space="preserve"> </w:t>
      </w:r>
      <w:r>
        <w:t>for reporting on status and trends in common garden birds.</w:t>
      </w:r>
      <w:r w:rsidRPr="00712CB3">
        <w:t xml:space="preserve"> </w:t>
      </w:r>
      <w:r>
        <w:t>In particular, it considers the benefits of merging the NZGBS data (2008–2014) with spatial layers provided by Statistics New Zealand, using four common garden bird species as examples to illustrate the approach: blackbird, fantail, silvereye and tūī.</w:t>
      </w:r>
    </w:p>
    <w:p w:rsidR="00943169" w:rsidRDefault="00943169" w:rsidP="00943169">
      <w:pPr>
        <w:pStyle w:val="Heading2"/>
      </w:pPr>
      <w:bookmarkStart w:id="47" w:name="_Toc427250833"/>
      <w:r w:rsidRPr="00002003">
        <w:t>Opportunities</w:t>
      </w:r>
      <w:r>
        <w:t xml:space="preserve"> for data improvement</w:t>
      </w:r>
      <w:bookmarkEnd w:id="47"/>
    </w:p>
    <w:p w:rsidR="00943169" w:rsidRPr="00131DD4" w:rsidRDefault="00943169" w:rsidP="00943169">
      <w:pPr>
        <w:pStyle w:val="BodyText"/>
      </w:pPr>
      <w:r>
        <w:t>Potential benefits of refining the spatial resolution of the NZGBS dataset in the future include:</w:t>
      </w:r>
    </w:p>
    <w:p w:rsidR="00943169" w:rsidRDefault="00943169" w:rsidP="00402AD8">
      <w:pPr>
        <w:pStyle w:val="BodyText"/>
        <w:numPr>
          <w:ilvl w:val="0"/>
          <w:numId w:val="37"/>
        </w:numPr>
        <w:ind w:left="426"/>
      </w:pPr>
      <w:r w:rsidRPr="00943169">
        <w:rPr>
          <w:b/>
        </w:rPr>
        <w:t>Facilitating data confidentiality and sharing:</w:t>
      </w:r>
      <w:r>
        <w:t xml:space="preserve"> </w:t>
      </w:r>
      <w:r w:rsidR="00E5241E">
        <w:t>M</w:t>
      </w:r>
      <w:r>
        <w:t xml:space="preserve">erging the NZGBS data with the Statistics NZ spatial layers (depicting boundaries for Region, Urban Area, Area Unit, </w:t>
      </w:r>
      <w:proofErr w:type="spellStart"/>
      <w:proofErr w:type="gramStart"/>
      <w:r>
        <w:t>Meshblock</w:t>
      </w:r>
      <w:proofErr w:type="spellEnd"/>
      <w:proofErr w:type="gramEnd"/>
      <w:r>
        <w:t>) allows for sharing</w:t>
      </w:r>
      <w:r w:rsidRPr="0050107E">
        <w:t xml:space="preserve"> </w:t>
      </w:r>
      <w:r>
        <w:t xml:space="preserve">the NZGBS data at a finer spatial resolution, without providing confidential information about the participants and survey locations. </w:t>
      </w:r>
    </w:p>
    <w:p w:rsidR="00943169" w:rsidRPr="0045188A" w:rsidRDefault="00943169" w:rsidP="00402AD8">
      <w:pPr>
        <w:pStyle w:val="BodyText"/>
        <w:numPr>
          <w:ilvl w:val="0"/>
          <w:numId w:val="37"/>
        </w:numPr>
        <w:ind w:left="426"/>
        <w:rPr>
          <w:b/>
        </w:rPr>
      </w:pPr>
      <w:r>
        <w:rPr>
          <w:b/>
        </w:rPr>
        <w:t xml:space="preserve">Calculating biodiversity metrics using a flexible and harmonised approach: </w:t>
      </w:r>
      <w:r w:rsidR="00E5241E">
        <w:t>R</w:t>
      </w:r>
      <w:r>
        <w:t>ecent advances in statistical modelling techniques</w:t>
      </w:r>
      <w:r w:rsidR="00E5241E">
        <w:t xml:space="preserve"> demonstrate the potential for cost-effectively calculating consistent metrics at multiple spatial scales</w:t>
      </w:r>
      <w:r>
        <w:t xml:space="preserve">. The analyses </w:t>
      </w:r>
      <w:r w:rsidRPr="0050107E">
        <w:t xml:space="preserve">explicitly account for </w:t>
      </w:r>
      <w:r>
        <w:t>variation in sampling effort over space and time using</w:t>
      </w:r>
      <w:r w:rsidRPr="0050107E">
        <w:t xml:space="preserve"> the full data set </w:t>
      </w:r>
      <w:r>
        <w:t>(</w:t>
      </w:r>
      <w:proofErr w:type="spellStart"/>
      <w:r w:rsidR="00DB4A9D">
        <w:t>ie</w:t>
      </w:r>
      <w:proofErr w:type="spellEnd"/>
      <w:r w:rsidR="00DB4A9D">
        <w:t>,</w:t>
      </w:r>
      <w:r>
        <w:t xml:space="preserve"> fitting models at the garden level </w:t>
      </w:r>
      <w:r w:rsidRPr="0050107E">
        <w:t>rather than modelling based on derived regional or national averages</w:t>
      </w:r>
      <w:r>
        <w:t xml:space="preserve">). Comparable metrics (baseline count and trend estimates) can </w:t>
      </w:r>
      <w:r w:rsidR="00E5241E">
        <w:t xml:space="preserve">then </w:t>
      </w:r>
      <w:r>
        <w:t>be derived simultaneously</w:t>
      </w:r>
      <w:r w:rsidRPr="002F0CAD">
        <w:t xml:space="preserve"> </w:t>
      </w:r>
      <w:r>
        <w:t>(from the same model) for reporting at national, regional and local scales.</w:t>
      </w:r>
    </w:p>
    <w:p w:rsidR="00943169" w:rsidRPr="0050107E" w:rsidRDefault="00943169" w:rsidP="00402AD8">
      <w:pPr>
        <w:pStyle w:val="BodyText"/>
        <w:numPr>
          <w:ilvl w:val="0"/>
          <w:numId w:val="37"/>
        </w:numPr>
        <w:ind w:left="426"/>
        <w:rPr>
          <w:b/>
        </w:rPr>
      </w:pPr>
      <w:r w:rsidRPr="0050107E">
        <w:rPr>
          <w:b/>
        </w:rPr>
        <w:t xml:space="preserve">Enhancing the inferences drawn from </w:t>
      </w:r>
      <w:r>
        <w:rPr>
          <w:b/>
        </w:rPr>
        <w:t>existing</w:t>
      </w:r>
      <w:r w:rsidRPr="0050107E">
        <w:rPr>
          <w:b/>
        </w:rPr>
        <w:t xml:space="preserve"> data: </w:t>
      </w:r>
      <w:r w:rsidR="00E5241E">
        <w:t>U</w:t>
      </w:r>
      <w:r w:rsidRPr="0050107E">
        <w:t>sing the full data set</w:t>
      </w:r>
      <w:r>
        <w:t xml:space="preserve"> </w:t>
      </w:r>
      <w:r w:rsidRPr="0050107E">
        <w:t>and explicitly accounting for spatial variation</w:t>
      </w:r>
      <w:r>
        <w:t xml:space="preserve"> (</w:t>
      </w:r>
      <w:r w:rsidRPr="0050107E">
        <w:t>rather than modelling based on derived regional or national averages</w:t>
      </w:r>
      <w:r>
        <w:t>)</w:t>
      </w:r>
      <w:r w:rsidR="00E5241E">
        <w:t xml:space="preserve"> facilitates greater precision of derived metrics</w:t>
      </w:r>
      <w:r w:rsidRPr="0050107E">
        <w:t>.</w:t>
      </w:r>
      <w:r>
        <w:t xml:space="preserve"> Based on the full data set analyses, for example, the population trend estimates show blackbird and silvereye are declining and have clearly breached amber and red alert threshold</w:t>
      </w:r>
      <w:r w:rsidR="00415BB0">
        <w:t>s</w:t>
      </w:r>
      <w:r>
        <w:t xml:space="preserve"> respectively. This indicates that, if these current trends are sustained, blackbird and silvereye will respectively undergo moderate and rapid declines in 25 years. Trend estimates derived from a weighted national average model would not only have failed to raise these alerts for blackbird and silvereye, but would also have missed the declining trend for silvereye altogether. </w:t>
      </w:r>
    </w:p>
    <w:p w:rsidR="00943169" w:rsidRDefault="00943169" w:rsidP="00402AD8">
      <w:pPr>
        <w:pStyle w:val="BodyText"/>
        <w:numPr>
          <w:ilvl w:val="0"/>
          <w:numId w:val="37"/>
        </w:numPr>
        <w:ind w:left="426"/>
      </w:pPr>
      <w:r w:rsidRPr="006C3AEA">
        <w:rPr>
          <w:b/>
        </w:rPr>
        <w:t xml:space="preserve">Predicting the power of future datasets </w:t>
      </w:r>
      <w:r>
        <w:rPr>
          <w:b/>
        </w:rPr>
        <w:t>to</w:t>
      </w:r>
      <w:r w:rsidRPr="006C3AEA">
        <w:rPr>
          <w:b/>
        </w:rPr>
        <w:t xml:space="preserve"> detect </w:t>
      </w:r>
      <w:r>
        <w:rPr>
          <w:b/>
        </w:rPr>
        <w:t xml:space="preserve">specified </w:t>
      </w:r>
      <w:r w:rsidRPr="006C3AEA">
        <w:rPr>
          <w:b/>
        </w:rPr>
        <w:t>trends:</w:t>
      </w:r>
      <w:r>
        <w:t xml:space="preserve"> To evaluate the power of future datasets to detect specified trends of interest, new NZGBS data and sampling events were simulated for an additional five years (equivalent to 2008–2019, a total of 12 years). By using the full data set analysis approach rather than weighted averages one, the time taken to achieve &gt;80% power for the detection of amber alerts for blackbird, for example, was halved from 12 to </w:t>
      </w:r>
      <w:r w:rsidR="00E5241E">
        <w:t xml:space="preserve">6 </w:t>
      </w:r>
      <w:r>
        <w:t>years. This comparison illustrates the greater power of the analytical approaches suggested here to detect such trends.</w:t>
      </w:r>
    </w:p>
    <w:p w:rsidR="00415BB0" w:rsidRDefault="00943169" w:rsidP="00402AD8">
      <w:pPr>
        <w:pStyle w:val="BodyText"/>
        <w:numPr>
          <w:ilvl w:val="0"/>
          <w:numId w:val="37"/>
        </w:numPr>
        <w:ind w:left="426"/>
      </w:pPr>
      <w:r>
        <w:rPr>
          <w:b/>
        </w:rPr>
        <w:t>Interpreting and c</w:t>
      </w:r>
      <w:r w:rsidRPr="0050107E">
        <w:rPr>
          <w:b/>
        </w:rPr>
        <w:t xml:space="preserve">ommunicating results: </w:t>
      </w:r>
      <w:r>
        <w:t>C</w:t>
      </w:r>
      <w:r w:rsidRPr="00EE6143">
        <w:t>ritically evaluat</w:t>
      </w:r>
      <w:r>
        <w:t>ing</w:t>
      </w:r>
      <w:r w:rsidRPr="00EE6143">
        <w:t xml:space="preserve"> the </w:t>
      </w:r>
      <w:r>
        <w:t xml:space="preserve">precision and power of estimates derived from existing and future </w:t>
      </w:r>
      <w:r w:rsidRPr="00EE6143">
        <w:t>NZGBS</w:t>
      </w:r>
      <w:r>
        <w:t xml:space="preserve"> datasets also helps inform</w:t>
      </w:r>
      <w:r>
        <w:rPr>
          <w:b/>
        </w:rPr>
        <w:t xml:space="preserve"> </w:t>
      </w:r>
      <w:r w:rsidRPr="00EE6143">
        <w:t>the reporting process, allowing the</w:t>
      </w:r>
      <w:r>
        <w:t xml:space="preserve"> user to identify fit-for-purpose biodiversity metrics. Specifically, we illustrate the potential use of a standardised set of alert thresholds to help the audience identify population trends that might be of conservation concern. </w:t>
      </w:r>
      <w:r w:rsidR="00415BB0">
        <w:t>In addition, o</w:t>
      </w:r>
      <w:r w:rsidR="00415BB0" w:rsidRPr="00C72601">
        <w:t>ver 85% of</w:t>
      </w:r>
      <w:r w:rsidR="00415BB0">
        <w:rPr>
          <w:b/>
        </w:rPr>
        <w:t xml:space="preserve"> </w:t>
      </w:r>
      <w:r w:rsidR="00415BB0">
        <w:t>participants (n = c. 3500) in a survey on the NZGBS indicated a preference for maps, in particular, but also written summaries with images for reporting results. The potential for b</w:t>
      </w:r>
      <w:r w:rsidR="00415BB0" w:rsidRPr="0050107E">
        <w:t>etter visual presentation of results</w:t>
      </w:r>
      <w:r w:rsidR="00415BB0">
        <w:t xml:space="preserve"> using maps</w:t>
      </w:r>
      <w:r w:rsidR="00415BB0" w:rsidRPr="0050107E">
        <w:t xml:space="preserve"> </w:t>
      </w:r>
      <w:r w:rsidR="00415BB0">
        <w:t>is demonstrated.</w:t>
      </w:r>
    </w:p>
    <w:p w:rsidR="00415BB0" w:rsidRDefault="00943169" w:rsidP="00402AD8">
      <w:pPr>
        <w:pStyle w:val="BodyText"/>
        <w:numPr>
          <w:ilvl w:val="0"/>
          <w:numId w:val="37"/>
        </w:numPr>
        <w:ind w:left="426"/>
      </w:pPr>
      <w:r w:rsidRPr="00415BB0">
        <w:rPr>
          <w:b/>
        </w:rPr>
        <w:t xml:space="preserve">Informing future monitoring: </w:t>
      </w:r>
      <w:r w:rsidR="00415BB0">
        <w:t>W</w:t>
      </w:r>
      <w:r w:rsidR="00415BB0" w:rsidRPr="00F73104">
        <w:t>ays to improve the resolution of the data</w:t>
      </w:r>
      <w:r w:rsidR="00415BB0">
        <w:t xml:space="preserve"> could be explored by plotting and evaluating trends in participation in the NZGBS at different spatial scales. This information could be used as a basis for campaigns to engage the public and enhance the survey.</w:t>
      </w:r>
    </w:p>
    <w:p w:rsidR="00943169" w:rsidRPr="00002003" w:rsidRDefault="00943169" w:rsidP="00943169">
      <w:pPr>
        <w:pStyle w:val="Heading2"/>
      </w:pPr>
      <w:bookmarkStart w:id="48" w:name="_Toc427250834"/>
      <w:r>
        <w:t>Future c</w:t>
      </w:r>
      <w:r w:rsidRPr="00002003">
        <w:t>hallenges</w:t>
      </w:r>
      <w:r>
        <w:t xml:space="preserve"> for data improvement</w:t>
      </w:r>
      <w:bookmarkEnd w:id="48"/>
    </w:p>
    <w:p w:rsidR="00943169" w:rsidRDefault="00943169" w:rsidP="00943169">
      <w:pPr>
        <w:jc w:val="left"/>
      </w:pPr>
      <w:r>
        <w:t>Potential future challenges associated with managing and using the NZGBS datasets include:</w:t>
      </w:r>
    </w:p>
    <w:p w:rsidR="00943169" w:rsidRPr="00943169" w:rsidRDefault="00943169" w:rsidP="00402AD8">
      <w:pPr>
        <w:pStyle w:val="BodyText"/>
        <w:numPr>
          <w:ilvl w:val="0"/>
          <w:numId w:val="38"/>
        </w:numPr>
        <w:ind w:left="284"/>
        <w:rPr>
          <w:b/>
        </w:rPr>
      </w:pPr>
      <w:r w:rsidRPr="00943169">
        <w:rPr>
          <w:b/>
        </w:rPr>
        <w:t xml:space="preserve">Establishing an enduring and cost-effective data management system: </w:t>
      </w:r>
      <w:r>
        <w:t>Currently, the</w:t>
      </w:r>
      <w:r w:rsidRPr="00496B5C">
        <w:t xml:space="preserve"> NZGBS data</w:t>
      </w:r>
      <w:r>
        <w:t>, which</w:t>
      </w:r>
      <w:r w:rsidRPr="00496B5C">
        <w:t xml:space="preserve"> are </w:t>
      </w:r>
      <w:r>
        <w:t>stored in MS Excel spreadsheets in varying formats, are manually edited by the survey organiser</w:t>
      </w:r>
      <w:r w:rsidRPr="00496B5C">
        <w:t xml:space="preserve">. </w:t>
      </w:r>
      <w:r>
        <w:t>Establishing a secure and enduring framework for gathering, editing and storing the NZGBS data in a consistent format in the future should be a top priority. This will require financial support at the set-up phase but also, at a reduced rate, for ongoing maintenance.</w:t>
      </w:r>
    </w:p>
    <w:p w:rsidR="00943169" w:rsidRPr="00394FBA" w:rsidRDefault="00943169" w:rsidP="00402AD8">
      <w:pPr>
        <w:pStyle w:val="BodyText"/>
        <w:numPr>
          <w:ilvl w:val="0"/>
          <w:numId w:val="38"/>
        </w:numPr>
        <w:ind w:left="284"/>
        <w:rPr>
          <w:b/>
        </w:rPr>
      </w:pPr>
      <w:r>
        <w:rPr>
          <w:b/>
        </w:rPr>
        <w:t xml:space="preserve">Clarifying the metrics of interest: </w:t>
      </w:r>
      <w:r>
        <w:t>Options for editing the data and refining the analyses presented in this report include considering</w:t>
      </w:r>
      <w:r w:rsidRPr="001B04EA">
        <w:t xml:space="preserve"> </w:t>
      </w:r>
      <w:r>
        <w:t xml:space="preserve">whether: </w:t>
      </w:r>
    </w:p>
    <w:p w:rsidR="00943169" w:rsidRPr="00394FBA" w:rsidRDefault="00E5241E" w:rsidP="00943169">
      <w:pPr>
        <w:pStyle w:val="Bullet"/>
        <w:tabs>
          <w:tab w:val="clear" w:pos="397"/>
          <w:tab w:val="num" w:pos="794"/>
        </w:tabs>
        <w:ind w:left="794"/>
        <w:rPr>
          <w:b/>
        </w:rPr>
      </w:pPr>
      <w:r>
        <w:t xml:space="preserve">species </w:t>
      </w:r>
      <w:r w:rsidR="00943169">
        <w:t>distribution metrics are more sensitive for monitoring change than abundance for some species (</w:t>
      </w:r>
      <w:proofErr w:type="spellStart"/>
      <w:r w:rsidR="00DB4A9D">
        <w:t>eg</w:t>
      </w:r>
      <w:proofErr w:type="spellEnd"/>
      <w:r w:rsidR="00DB4A9D">
        <w:t>,</w:t>
      </w:r>
      <w:r w:rsidR="00943169">
        <w:t xml:space="preserve"> fantail) </w:t>
      </w:r>
    </w:p>
    <w:p w:rsidR="00943169" w:rsidRPr="00394FBA" w:rsidRDefault="00E5241E" w:rsidP="00943169">
      <w:pPr>
        <w:pStyle w:val="Bullet"/>
        <w:tabs>
          <w:tab w:val="clear" w:pos="397"/>
          <w:tab w:val="num" w:pos="794"/>
        </w:tabs>
        <w:ind w:left="794"/>
      </w:pPr>
      <w:r>
        <w:t>o</w:t>
      </w:r>
      <w:r w:rsidRPr="00394FBA">
        <w:t xml:space="preserve">ther </w:t>
      </w:r>
      <w:r w:rsidR="00943169" w:rsidRPr="00394FBA">
        <w:t>sources of sampling bias need to be accounted for (</w:t>
      </w:r>
      <w:proofErr w:type="spellStart"/>
      <w:r w:rsidR="00DB4A9D">
        <w:t>eg</w:t>
      </w:r>
      <w:proofErr w:type="spellEnd"/>
      <w:r w:rsidR="00DB4A9D">
        <w:t>,</w:t>
      </w:r>
      <w:r w:rsidR="00943169" w:rsidRPr="00394FBA">
        <w:t xml:space="preserve"> whether early NZGBS participants </w:t>
      </w:r>
      <w:r w:rsidR="00943169">
        <w:t>had more birds in their gardens or were</w:t>
      </w:r>
      <w:r w:rsidR="00943169" w:rsidRPr="00394FBA">
        <w:t xml:space="preserve"> </w:t>
      </w:r>
      <w:r w:rsidR="00943169">
        <w:t>more likely to feed birds</w:t>
      </w:r>
      <w:r w:rsidR="00943169" w:rsidRPr="00394FBA">
        <w:t>)</w:t>
      </w:r>
    </w:p>
    <w:p w:rsidR="00943169" w:rsidRPr="00E135AA" w:rsidRDefault="00943169" w:rsidP="00943169">
      <w:pPr>
        <w:pStyle w:val="Bullet"/>
        <w:tabs>
          <w:tab w:val="clear" w:pos="397"/>
          <w:tab w:val="num" w:pos="794"/>
        </w:tabs>
        <w:ind w:left="794"/>
      </w:pPr>
      <w:r>
        <w:t>V</w:t>
      </w:r>
      <w:r w:rsidRPr="00E135AA">
        <w:t>ariation in the n</w:t>
      </w:r>
      <w:r>
        <w:t>u</w:t>
      </w:r>
      <w:r w:rsidRPr="00E135AA">
        <w:t>mber and density of gardens within different spatial units</w:t>
      </w:r>
      <w:r>
        <w:t>/levels</w:t>
      </w:r>
      <w:r w:rsidRPr="00E135AA">
        <w:t xml:space="preserve"> (</w:t>
      </w:r>
      <w:proofErr w:type="spellStart"/>
      <w:r w:rsidR="00DB4A9D">
        <w:t>eg</w:t>
      </w:r>
      <w:proofErr w:type="spellEnd"/>
      <w:r w:rsidR="00DB4A9D">
        <w:t>,</w:t>
      </w:r>
      <w:r w:rsidRPr="00E135AA">
        <w:t xml:space="preserve"> region, urban area)</w:t>
      </w:r>
      <w:r>
        <w:t xml:space="preserve"> is necessary</w:t>
      </w:r>
    </w:p>
    <w:p w:rsidR="00943169" w:rsidRPr="00E135AA" w:rsidRDefault="00E5241E" w:rsidP="00943169">
      <w:pPr>
        <w:pStyle w:val="Bullet"/>
        <w:tabs>
          <w:tab w:val="clear" w:pos="397"/>
          <w:tab w:val="num" w:pos="794"/>
        </w:tabs>
        <w:ind w:left="794"/>
        <w:rPr>
          <w:b/>
        </w:rPr>
      </w:pPr>
      <w:proofErr w:type="gramStart"/>
      <w:r>
        <w:t>including</w:t>
      </w:r>
      <w:proofErr w:type="gramEnd"/>
      <w:r>
        <w:t xml:space="preserve"> </w:t>
      </w:r>
      <w:r w:rsidR="00943169">
        <w:t>habitat variables (</w:t>
      </w:r>
      <w:proofErr w:type="spellStart"/>
      <w:r w:rsidR="00DB4A9D">
        <w:t>eg</w:t>
      </w:r>
      <w:proofErr w:type="spellEnd"/>
      <w:r w:rsidR="00DB4A9D">
        <w:t>,</w:t>
      </w:r>
      <w:r w:rsidR="00943169">
        <w:t xml:space="preserve"> feeding activities, garden type or residence densities) as predictor variables improves the model fit, increasing the power to detect change and interpretation of results, as indicated by earlier analyses.</w:t>
      </w:r>
    </w:p>
    <w:p w:rsidR="00943169" w:rsidRDefault="00943169" w:rsidP="00402AD8">
      <w:pPr>
        <w:pStyle w:val="BodyText"/>
        <w:numPr>
          <w:ilvl w:val="0"/>
          <w:numId w:val="38"/>
        </w:numPr>
        <w:ind w:left="426"/>
      </w:pPr>
      <w:r w:rsidRPr="00E135AA">
        <w:rPr>
          <w:b/>
        </w:rPr>
        <w:t>Calculating the metrics:</w:t>
      </w:r>
      <w:r>
        <w:t xml:space="preserve"> Some technical challenges associated with model fitting and extracting estimates need to be addressed before developing a standardised protocol suitable for calculating and reporting biodiversity metrics at different spatial scales.</w:t>
      </w:r>
    </w:p>
    <w:p w:rsidR="00943169" w:rsidRPr="00496B5C" w:rsidRDefault="00943169" w:rsidP="00402AD8">
      <w:pPr>
        <w:pStyle w:val="BodyText"/>
        <w:numPr>
          <w:ilvl w:val="0"/>
          <w:numId w:val="38"/>
        </w:numPr>
        <w:ind w:left="426"/>
      </w:pPr>
      <w:r>
        <w:rPr>
          <w:b/>
        </w:rPr>
        <w:t xml:space="preserve">Improving future datasets: </w:t>
      </w:r>
      <w:r>
        <w:t>Future</w:t>
      </w:r>
      <w:r w:rsidRPr="00F91554">
        <w:t xml:space="preserve"> power </w:t>
      </w:r>
      <w:r>
        <w:t>analyses could evaluate different strategies for improving NZGBS participation rates. The results of such analyses could in turn be used to target public campaigns to enhance engagement.</w:t>
      </w:r>
    </w:p>
    <w:p w:rsidR="00B46AC7" w:rsidRDefault="00B46AC7">
      <w:pPr>
        <w:jc w:val="left"/>
      </w:pPr>
      <w:r>
        <w:br w:type="page"/>
      </w:r>
    </w:p>
    <w:p w:rsidR="004F53AC" w:rsidRPr="004F53AC" w:rsidRDefault="00220272" w:rsidP="004F53AC">
      <w:pPr>
        <w:pStyle w:val="Heading1"/>
      </w:pPr>
      <w:bookmarkStart w:id="49" w:name="_Toc214704939"/>
      <w:bookmarkStart w:id="50" w:name="_Toc427250835"/>
      <w:r w:rsidRPr="005267D4">
        <w:t>Appendi</w:t>
      </w:r>
      <w:bookmarkEnd w:id="49"/>
      <w:r w:rsidR="00F06AA3">
        <w:t xml:space="preserve">x </w:t>
      </w:r>
      <w:r w:rsidR="00DD0AE2">
        <w:t>A</w:t>
      </w:r>
      <w:bookmarkEnd w:id="50"/>
    </w:p>
    <w:p w:rsidR="00F06AA3" w:rsidRDefault="003C56E6" w:rsidP="00F06AA3">
      <w:pPr>
        <w:pStyle w:val="Heading2"/>
      </w:pPr>
      <w:bookmarkStart w:id="51" w:name="_Toc427250836"/>
      <w:r>
        <w:t xml:space="preserve">Meta-data: identifier and </w:t>
      </w:r>
      <w:r w:rsidR="00F06AA3">
        <w:t>location</w:t>
      </w:r>
      <w:bookmarkEnd w:id="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6"/>
        <w:gridCol w:w="1334"/>
        <w:gridCol w:w="1347"/>
        <w:gridCol w:w="493"/>
        <w:gridCol w:w="504"/>
        <w:gridCol w:w="504"/>
        <w:gridCol w:w="504"/>
        <w:gridCol w:w="504"/>
        <w:gridCol w:w="504"/>
        <w:gridCol w:w="504"/>
        <w:gridCol w:w="500"/>
      </w:tblGrid>
      <w:tr w:rsidR="00F06AA3" w:rsidTr="00402AD8">
        <w:trPr>
          <w:trHeight w:val="288"/>
        </w:trPr>
        <w:tc>
          <w:tcPr>
            <w:tcW w:w="1076"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proofErr w:type="spellStart"/>
            <w:r>
              <w:t>column.names</w:t>
            </w:r>
            <w:proofErr w:type="spellEnd"/>
          </w:p>
        </w:tc>
        <w:tc>
          <w:tcPr>
            <w:tcW w:w="782"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r>
              <w:t>Data type</w:t>
            </w:r>
          </w:p>
        </w:tc>
        <w:tc>
          <w:tcPr>
            <w:tcW w:w="789"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r>
              <w:t>Data category</w:t>
            </w:r>
          </w:p>
        </w:tc>
        <w:tc>
          <w:tcPr>
            <w:tcW w:w="289"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r>
              <w:t>2007</w:t>
            </w:r>
          </w:p>
        </w:tc>
        <w:tc>
          <w:tcPr>
            <w:tcW w:w="295"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r>
              <w:t>2008</w:t>
            </w:r>
          </w:p>
        </w:tc>
        <w:tc>
          <w:tcPr>
            <w:tcW w:w="295"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r>
              <w:t>2009</w:t>
            </w:r>
          </w:p>
        </w:tc>
        <w:tc>
          <w:tcPr>
            <w:tcW w:w="295"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r>
              <w:t>2010</w:t>
            </w:r>
          </w:p>
        </w:tc>
        <w:tc>
          <w:tcPr>
            <w:tcW w:w="295"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r>
              <w:t>2011</w:t>
            </w:r>
          </w:p>
        </w:tc>
        <w:tc>
          <w:tcPr>
            <w:tcW w:w="295"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r>
              <w:t>2012</w:t>
            </w:r>
          </w:p>
        </w:tc>
        <w:tc>
          <w:tcPr>
            <w:tcW w:w="295"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r>
              <w:t>2013</w:t>
            </w:r>
          </w:p>
        </w:tc>
        <w:tc>
          <w:tcPr>
            <w:tcW w:w="293"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r>
              <w:t>2014</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Survey.ID</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Identifier</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SurveyID</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Identifier</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Easting</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Location</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Eastings</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Location</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lat</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Location</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long</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Location</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Northing</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Location</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Northings</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Location</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Post.code</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Location</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Postal.Address</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Location</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Postal.address</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Location</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Postal.address.if.different</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Location</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Postal.city</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Location</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Postal.postcode</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Location</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Postal.region</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Location</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Postal.suburb</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Location</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Postcode</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Location</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Region</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Location</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Survey.address</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Location</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Survey.Address</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Location</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Survey.city</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Location</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Survey.City</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Location</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Survey.postcode</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Location</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Survey.Postcode</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Location</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Survey.region</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Location</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Survey.Region</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Location</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Survey.Suburb</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Location</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Survey.suburb</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Location</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SurveyAddress</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Location</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SurveyCity</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Location</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surveyLocation</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Location</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SurveyPostcode</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Location</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SurveyRegion</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Location</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SurveySuburb</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Location</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bl>
    <w:p w:rsidR="00F06AA3" w:rsidRDefault="00F06AA3" w:rsidP="00F06AA3">
      <w:pPr>
        <w:pStyle w:val="Heading2"/>
      </w:pPr>
      <w:bookmarkStart w:id="52" w:name="_Toc427250837"/>
      <w:r>
        <w:t>Meta-data</w:t>
      </w:r>
      <w:r w:rsidR="003212F1">
        <w:t>:</w:t>
      </w:r>
      <w:r>
        <w:t xml:space="preserve"> dates, times, feeding and habitat</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6"/>
        <w:gridCol w:w="1334"/>
        <w:gridCol w:w="1347"/>
        <w:gridCol w:w="493"/>
        <w:gridCol w:w="504"/>
        <w:gridCol w:w="504"/>
        <w:gridCol w:w="504"/>
        <w:gridCol w:w="504"/>
        <w:gridCol w:w="504"/>
        <w:gridCol w:w="504"/>
        <w:gridCol w:w="500"/>
      </w:tblGrid>
      <w:tr w:rsidR="00F06AA3" w:rsidTr="00D12121">
        <w:trPr>
          <w:trHeight w:val="288"/>
        </w:trPr>
        <w:tc>
          <w:tcPr>
            <w:tcW w:w="1076"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proofErr w:type="spellStart"/>
            <w:r>
              <w:t>column.names</w:t>
            </w:r>
            <w:proofErr w:type="spellEnd"/>
          </w:p>
        </w:tc>
        <w:tc>
          <w:tcPr>
            <w:tcW w:w="782"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r>
              <w:t>Data type</w:t>
            </w:r>
          </w:p>
        </w:tc>
        <w:tc>
          <w:tcPr>
            <w:tcW w:w="789"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r>
              <w:t>Data category</w:t>
            </w:r>
          </w:p>
        </w:tc>
        <w:tc>
          <w:tcPr>
            <w:tcW w:w="289"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r>
              <w:t>2007</w:t>
            </w:r>
          </w:p>
        </w:tc>
        <w:tc>
          <w:tcPr>
            <w:tcW w:w="295"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r>
              <w:t>2008</w:t>
            </w:r>
          </w:p>
        </w:tc>
        <w:tc>
          <w:tcPr>
            <w:tcW w:w="295"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r>
              <w:t>2009</w:t>
            </w:r>
          </w:p>
        </w:tc>
        <w:tc>
          <w:tcPr>
            <w:tcW w:w="295"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r>
              <w:t>2010</w:t>
            </w:r>
          </w:p>
        </w:tc>
        <w:tc>
          <w:tcPr>
            <w:tcW w:w="295"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r>
              <w:t>2011</w:t>
            </w:r>
          </w:p>
        </w:tc>
        <w:tc>
          <w:tcPr>
            <w:tcW w:w="295"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r>
              <w:t>2012</w:t>
            </w:r>
          </w:p>
        </w:tc>
        <w:tc>
          <w:tcPr>
            <w:tcW w:w="295"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r>
              <w:t>2013</w:t>
            </w:r>
          </w:p>
        </w:tc>
        <w:tc>
          <w:tcPr>
            <w:tcW w:w="293"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r>
              <w:t>2014</w:t>
            </w:r>
          </w:p>
        </w:tc>
      </w:tr>
      <w:tr w:rsidR="00F06AA3" w:rsidTr="00D12121">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current.date</w:t>
            </w:r>
            <w:proofErr w:type="spellEnd"/>
            <w:r>
              <w:t>...time</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Date</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D12121">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date</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Date</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D12121">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Date</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Date</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D12121">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time</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Date</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D12121">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Time</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Date</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D12121">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BirdBath</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Feed</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D12121">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Bread</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Feed</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D12121">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Fat</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Feed</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D12121">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feedBirds</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Feed</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D12121">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feedingArea</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Feed</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D12121">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Feed.Birds</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Feed</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D12121">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Feeding.area</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Feed</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D12121">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Foods</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Feed</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D12121">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Fruit</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Feed</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D12121">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otherFood</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Feed</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D12121">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Seeds</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Feed</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D12121">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SugarWater</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Feed</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D12121">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waterBath</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Feed</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D12121">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areaSearched</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Habitat</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D12121">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Habitat</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Habitat</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D12121">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MajorTrees</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Habitat</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D12121">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otherSurveyArea</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Habitat</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D12121">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otherSurveyCat</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Habitat</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D12121">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SurveyArea</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Habitat</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D12121">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surveyCat</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Habitat</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D12121">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treesWithFlowers</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Habitat</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D12121">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treesWithFlowersQ</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Habitat</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D12121">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treesWithFruit</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Habitat</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D12121">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treesWithFruitQ</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Habitat</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bl>
    <w:p w:rsidR="00F06AA3" w:rsidRDefault="00F06AA3" w:rsidP="00402AD8">
      <w:pPr>
        <w:pStyle w:val="BodyText"/>
      </w:pPr>
      <w:r>
        <w:br w:type="page"/>
      </w:r>
    </w:p>
    <w:p w:rsidR="00F06AA3" w:rsidRDefault="00F06AA3" w:rsidP="00F06AA3">
      <w:pPr>
        <w:pStyle w:val="Heading2"/>
      </w:pPr>
      <w:bookmarkStart w:id="53" w:name="_Toc427250838"/>
      <w:r>
        <w:t>Meta-data</w:t>
      </w:r>
      <w:r w:rsidR="003212F1">
        <w:t>:</w:t>
      </w:r>
      <w:r>
        <w:t xml:space="preserve"> observers and data management</w:t>
      </w:r>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6"/>
        <w:gridCol w:w="1334"/>
        <w:gridCol w:w="1347"/>
        <w:gridCol w:w="493"/>
        <w:gridCol w:w="504"/>
        <w:gridCol w:w="504"/>
        <w:gridCol w:w="504"/>
        <w:gridCol w:w="504"/>
        <w:gridCol w:w="504"/>
        <w:gridCol w:w="504"/>
        <w:gridCol w:w="500"/>
      </w:tblGrid>
      <w:tr w:rsidR="00F06AA3" w:rsidTr="00D12121">
        <w:trPr>
          <w:trHeight w:val="288"/>
        </w:trPr>
        <w:tc>
          <w:tcPr>
            <w:tcW w:w="1076"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proofErr w:type="spellStart"/>
            <w:r>
              <w:t>column.names</w:t>
            </w:r>
            <w:proofErr w:type="spellEnd"/>
          </w:p>
        </w:tc>
        <w:tc>
          <w:tcPr>
            <w:tcW w:w="782"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r>
              <w:t>Data type</w:t>
            </w:r>
          </w:p>
        </w:tc>
        <w:tc>
          <w:tcPr>
            <w:tcW w:w="789"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r>
              <w:t>Data category</w:t>
            </w:r>
          </w:p>
        </w:tc>
        <w:tc>
          <w:tcPr>
            <w:tcW w:w="289"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r>
              <w:t>2007</w:t>
            </w:r>
          </w:p>
        </w:tc>
        <w:tc>
          <w:tcPr>
            <w:tcW w:w="295"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r>
              <w:t>2008</w:t>
            </w:r>
          </w:p>
        </w:tc>
        <w:tc>
          <w:tcPr>
            <w:tcW w:w="295"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r>
              <w:t>2009</w:t>
            </w:r>
          </w:p>
        </w:tc>
        <w:tc>
          <w:tcPr>
            <w:tcW w:w="295"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r>
              <w:t>2010</w:t>
            </w:r>
          </w:p>
        </w:tc>
        <w:tc>
          <w:tcPr>
            <w:tcW w:w="295"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r>
              <w:t>2011</w:t>
            </w:r>
          </w:p>
        </w:tc>
        <w:tc>
          <w:tcPr>
            <w:tcW w:w="295"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r>
              <w:t>2012</w:t>
            </w:r>
          </w:p>
        </w:tc>
        <w:tc>
          <w:tcPr>
            <w:tcW w:w="295"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r>
              <w:t>2013</w:t>
            </w:r>
          </w:p>
        </w:tc>
        <w:tc>
          <w:tcPr>
            <w:tcW w:w="293" w:type="pct"/>
            <w:shd w:val="clear" w:color="auto" w:fill="D9D9D9" w:themeFill="background1" w:themeFillShade="D9"/>
            <w:noWrap/>
            <w:tcMar>
              <w:top w:w="15" w:type="dxa"/>
              <w:left w:w="15" w:type="dxa"/>
              <w:bottom w:w="0" w:type="dxa"/>
              <w:right w:w="15" w:type="dxa"/>
            </w:tcMar>
            <w:vAlign w:val="bottom"/>
            <w:hideMark/>
          </w:tcPr>
          <w:p w:rsidR="00F06AA3" w:rsidRDefault="00F06AA3" w:rsidP="003C56E6">
            <w:pPr>
              <w:pStyle w:val="TableTextbold"/>
            </w:pPr>
            <w:r>
              <w:t>2014</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adults</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Observer</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Adults</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Observer</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Birth.date</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Observer</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birthdate</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Observer</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Birthdate</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Observer</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Child</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Observer</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children</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Observer</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Children</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Observer</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email</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Observer</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Email</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Observer</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first.name</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Observer</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First.name</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Observer</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Firstname</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Observer</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FirstName</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Observer</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ip</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Observer</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Last.name</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Observer</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phone</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Observer</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Phone</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Observer</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surname</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Observer</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Surname</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Observer</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title</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Observer</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Title</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Observer</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browser</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Data management</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Can.Contact</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Data management</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Can.contact</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Data management</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canContact</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Data management</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current</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Data management</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Data.Entry</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Data management</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Data.entry</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Data management</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proofErr w:type="spellStart"/>
            <w:r>
              <w:t>dataEntry</w:t>
            </w:r>
            <w:proofErr w:type="spellEnd"/>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Data management</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Verified</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Data management</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r w:rsidR="00F06AA3" w:rsidTr="00402AD8">
        <w:trPr>
          <w:trHeight w:val="288"/>
        </w:trPr>
        <w:tc>
          <w:tcPr>
            <w:tcW w:w="1076" w:type="pct"/>
            <w:shd w:val="clear" w:color="auto" w:fill="auto"/>
            <w:noWrap/>
            <w:tcMar>
              <w:top w:w="15" w:type="dxa"/>
              <w:left w:w="15" w:type="dxa"/>
              <w:bottom w:w="0" w:type="dxa"/>
              <w:right w:w="15" w:type="dxa"/>
            </w:tcMar>
            <w:vAlign w:val="bottom"/>
            <w:hideMark/>
          </w:tcPr>
          <w:p w:rsidR="00F06AA3" w:rsidRDefault="00F06AA3" w:rsidP="003C56E6">
            <w:pPr>
              <w:pStyle w:val="TableText"/>
            </w:pPr>
            <w:r>
              <w:t>volunteer</w:t>
            </w:r>
          </w:p>
        </w:tc>
        <w:tc>
          <w:tcPr>
            <w:tcW w:w="782" w:type="pct"/>
            <w:shd w:val="clear" w:color="auto" w:fill="auto"/>
            <w:noWrap/>
            <w:tcMar>
              <w:top w:w="15" w:type="dxa"/>
              <w:left w:w="15" w:type="dxa"/>
              <w:bottom w:w="0" w:type="dxa"/>
              <w:right w:w="15" w:type="dxa"/>
            </w:tcMar>
            <w:vAlign w:val="bottom"/>
            <w:hideMark/>
          </w:tcPr>
          <w:p w:rsidR="00F06AA3" w:rsidRDefault="00F06AA3" w:rsidP="003C56E6">
            <w:pPr>
              <w:pStyle w:val="TableText"/>
            </w:pPr>
            <w:r>
              <w:t>Meta-data</w:t>
            </w:r>
          </w:p>
        </w:tc>
        <w:tc>
          <w:tcPr>
            <w:tcW w:w="789" w:type="pct"/>
            <w:shd w:val="clear" w:color="auto" w:fill="auto"/>
            <w:noWrap/>
            <w:tcMar>
              <w:top w:w="15" w:type="dxa"/>
              <w:left w:w="15" w:type="dxa"/>
              <w:bottom w:w="0" w:type="dxa"/>
              <w:right w:w="15" w:type="dxa"/>
            </w:tcMar>
            <w:vAlign w:val="bottom"/>
            <w:hideMark/>
          </w:tcPr>
          <w:p w:rsidR="00F06AA3" w:rsidRDefault="00F06AA3" w:rsidP="003C56E6">
            <w:pPr>
              <w:pStyle w:val="TableText"/>
            </w:pPr>
            <w:r>
              <w:t>Data management</w:t>
            </w:r>
          </w:p>
        </w:tc>
        <w:tc>
          <w:tcPr>
            <w:tcW w:w="289"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5" w:type="pct"/>
            <w:shd w:val="clear" w:color="auto" w:fill="auto"/>
            <w:noWrap/>
            <w:tcMar>
              <w:top w:w="15" w:type="dxa"/>
              <w:left w:w="15" w:type="dxa"/>
              <w:bottom w:w="0" w:type="dxa"/>
              <w:right w:w="15" w:type="dxa"/>
            </w:tcMar>
            <w:vAlign w:val="bottom"/>
            <w:hideMark/>
          </w:tcPr>
          <w:p w:rsidR="00F06AA3" w:rsidRDefault="00F06AA3" w:rsidP="003C56E6">
            <w:pPr>
              <w:pStyle w:val="TableText"/>
            </w:pPr>
            <w:r>
              <w:t>0</w:t>
            </w:r>
          </w:p>
        </w:tc>
        <w:tc>
          <w:tcPr>
            <w:tcW w:w="293" w:type="pct"/>
            <w:shd w:val="clear" w:color="auto" w:fill="auto"/>
            <w:noWrap/>
            <w:tcMar>
              <w:top w:w="15" w:type="dxa"/>
              <w:left w:w="15" w:type="dxa"/>
              <w:bottom w:w="0" w:type="dxa"/>
              <w:right w:w="15" w:type="dxa"/>
            </w:tcMar>
            <w:vAlign w:val="bottom"/>
            <w:hideMark/>
          </w:tcPr>
          <w:p w:rsidR="00F06AA3" w:rsidRDefault="00F06AA3" w:rsidP="003C56E6">
            <w:pPr>
              <w:pStyle w:val="TableText"/>
            </w:pPr>
            <w:r>
              <w:t>1</w:t>
            </w:r>
          </w:p>
        </w:tc>
      </w:tr>
    </w:tbl>
    <w:p w:rsidR="006B4144" w:rsidRPr="00402AD8" w:rsidRDefault="00F06AA3" w:rsidP="00402AD8">
      <w:pPr>
        <w:pStyle w:val="BodyText"/>
      </w:pPr>
      <w:r w:rsidRPr="00402AD8">
        <w:t xml:space="preserve"> </w:t>
      </w:r>
      <w:r w:rsidRPr="00402AD8">
        <w:br w:type="page"/>
      </w:r>
    </w:p>
    <w:p w:rsidR="00A94142" w:rsidRDefault="00F06AA3" w:rsidP="00F06AA3">
      <w:pPr>
        <w:pStyle w:val="Heading1"/>
      </w:pPr>
      <w:bookmarkStart w:id="54" w:name="_Toc427250839"/>
      <w:r>
        <w:t xml:space="preserve">Appendix </w:t>
      </w:r>
      <w:r w:rsidR="00DD0AE2">
        <w:t>B</w:t>
      </w:r>
      <w:bookmarkEnd w:id="54"/>
      <w:r>
        <w:t xml:space="preserve"> </w:t>
      </w:r>
    </w:p>
    <w:p w:rsidR="00F06AA3" w:rsidRDefault="00F06AA3" w:rsidP="00F06AA3">
      <w:pPr>
        <w:pStyle w:val="Heading2"/>
      </w:pPr>
      <w:bookmarkStart w:id="55" w:name="_Toc427250840"/>
      <w:r>
        <w:t>Spatial data sources</w:t>
      </w:r>
      <w:bookmarkEnd w:id="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2576"/>
        <w:gridCol w:w="1092"/>
        <w:gridCol w:w="3437"/>
      </w:tblGrid>
      <w:tr w:rsidR="001471B5" w:rsidRPr="00054BE3" w:rsidTr="00402AD8">
        <w:trPr>
          <w:trHeight w:val="288"/>
          <w:jc w:val="center"/>
        </w:trPr>
        <w:tc>
          <w:tcPr>
            <w:tcW w:w="926" w:type="pct"/>
            <w:shd w:val="clear" w:color="auto" w:fill="D9D9D9" w:themeFill="background1" w:themeFillShade="D9"/>
            <w:noWrap/>
            <w:vAlign w:val="bottom"/>
            <w:hideMark/>
          </w:tcPr>
          <w:p w:rsidR="00054BE3" w:rsidRPr="00054BE3" w:rsidRDefault="00054BE3" w:rsidP="00D12121">
            <w:pPr>
              <w:pStyle w:val="TableTextbold"/>
              <w:rPr>
                <w:lang w:eastAsia="en-NZ"/>
              </w:rPr>
            </w:pPr>
            <w:r w:rsidRPr="00054BE3">
              <w:rPr>
                <w:lang w:eastAsia="en-NZ"/>
              </w:rPr>
              <w:t>Column name</w:t>
            </w:r>
          </w:p>
        </w:tc>
        <w:tc>
          <w:tcPr>
            <w:tcW w:w="1477" w:type="pct"/>
            <w:shd w:val="clear" w:color="auto" w:fill="D9D9D9" w:themeFill="background1" w:themeFillShade="D9"/>
            <w:noWrap/>
            <w:vAlign w:val="bottom"/>
            <w:hideMark/>
          </w:tcPr>
          <w:p w:rsidR="00054BE3" w:rsidRPr="00054BE3" w:rsidRDefault="00054BE3" w:rsidP="00D12121">
            <w:pPr>
              <w:pStyle w:val="TableTextbold"/>
              <w:rPr>
                <w:lang w:eastAsia="en-NZ"/>
              </w:rPr>
            </w:pPr>
            <w:r w:rsidRPr="00054BE3">
              <w:rPr>
                <w:lang w:eastAsia="en-NZ"/>
              </w:rPr>
              <w:t>Description</w:t>
            </w:r>
          </w:p>
        </w:tc>
        <w:tc>
          <w:tcPr>
            <w:tcW w:w="626" w:type="pct"/>
            <w:shd w:val="clear" w:color="auto" w:fill="D9D9D9" w:themeFill="background1" w:themeFillShade="D9"/>
            <w:noWrap/>
            <w:vAlign w:val="bottom"/>
            <w:hideMark/>
          </w:tcPr>
          <w:p w:rsidR="00054BE3" w:rsidRPr="00054BE3" w:rsidRDefault="00054BE3" w:rsidP="00D12121">
            <w:pPr>
              <w:pStyle w:val="TableTextbold"/>
              <w:rPr>
                <w:lang w:eastAsia="en-NZ"/>
              </w:rPr>
            </w:pPr>
            <w:r w:rsidRPr="00054BE3">
              <w:rPr>
                <w:lang w:eastAsia="en-NZ"/>
              </w:rPr>
              <w:t>Source</w:t>
            </w:r>
          </w:p>
        </w:tc>
        <w:tc>
          <w:tcPr>
            <w:tcW w:w="1971" w:type="pct"/>
            <w:shd w:val="clear" w:color="auto" w:fill="D9D9D9" w:themeFill="background1" w:themeFillShade="D9"/>
            <w:noWrap/>
            <w:vAlign w:val="bottom"/>
            <w:hideMark/>
          </w:tcPr>
          <w:p w:rsidR="00054BE3" w:rsidRPr="00054BE3" w:rsidRDefault="00054BE3" w:rsidP="00D12121">
            <w:pPr>
              <w:pStyle w:val="TableTextbold"/>
              <w:rPr>
                <w:lang w:eastAsia="en-NZ"/>
              </w:rPr>
            </w:pPr>
            <w:r w:rsidRPr="00054BE3">
              <w:rPr>
                <w:lang w:eastAsia="en-NZ"/>
              </w:rPr>
              <w:t>Source detail</w:t>
            </w:r>
          </w:p>
        </w:tc>
      </w:tr>
      <w:tr w:rsidR="001471B5" w:rsidRPr="00054BE3" w:rsidTr="00402AD8">
        <w:trPr>
          <w:trHeight w:val="288"/>
          <w:jc w:val="center"/>
        </w:trPr>
        <w:tc>
          <w:tcPr>
            <w:tcW w:w="926" w:type="pct"/>
            <w:shd w:val="clear" w:color="auto" w:fill="auto"/>
            <w:noWrap/>
            <w:vAlign w:val="bottom"/>
            <w:hideMark/>
          </w:tcPr>
          <w:p w:rsidR="00054BE3" w:rsidRPr="00054BE3" w:rsidRDefault="00054BE3" w:rsidP="00D12121">
            <w:pPr>
              <w:pStyle w:val="TableText"/>
              <w:rPr>
                <w:lang w:eastAsia="en-NZ"/>
              </w:rPr>
            </w:pPr>
            <w:r w:rsidRPr="00054BE3">
              <w:rPr>
                <w:lang w:eastAsia="en-NZ"/>
              </w:rPr>
              <w:t>ID</w:t>
            </w:r>
          </w:p>
        </w:tc>
        <w:tc>
          <w:tcPr>
            <w:tcW w:w="1477" w:type="pct"/>
            <w:shd w:val="clear" w:color="auto" w:fill="auto"/>
            <w:noWrap/>
            <w:vAlign w:val="bottom"/>
            <w:hideMark/>
          </w:tcPr>
          <w:p w:rsidR="00054BE3" w:rsidRPr="00054BE3" w:rsidRDefault="00054BE3" w:rsidP="00D12121">
            <w:pPr>
              <w:pStyle w:val="TableText"/>
              <w:rPr>
                <w:lang w:eastAsia="en-NZ"/>
              </w:rPr>
            </w:pPr>
            <w:r w:rsidRPr="00054BE3">
              <w:rPr>
                <w:lang w:eastAsia="en-NZ"/>
              </w:rPr>
              <w:t xml:space="preserve">Unique GBS observer </w:t>
            </w:r>
            <w:proofErr w:type="spellStart"/>
            <w:r w:rsidRPr="00054BE3">
              <w:rPr>
                <w:lang w:eastAsia="en-NZ"/>
              </w:rPr>
              <w:t>identifier_Year</w:t>
            </w:r>
            <w:proofErr w:type="spellEnd"/>
          </w:p>
        </w:tc>
        <w:tc>
          <w:tcPr>
            <w:tcW w:w="626" w:type="pct"/>
            <w:shd w:val="clear" w:color="auto" w:fill="auto"/>
            <w:noWrap/>
            <w:vAlign w:val="bottom"/>
            <w:hideMark/>
          </w:tcPr>
          <w:p w:rsidR="00054BE3" w:rsidRPr="00054BE3" w:rsidRDefault="00054BE3" w:rsidP="00D12121">
            <w:pPr>
              <w:pStyle w:val="TableText"/>
              <w:rPr>
                <w:lang w:eastAsia="en-NZ"/>
              </w:rPr>
            </w:pPr>
          </w:p>
        </w:tc>
        <w:tc>
          <w:tcPr>
            <w:tcW w:w="1971" w:type="pct"/>
            <w:shd w:val="clear" w:color="auto" w:fill="auto"/>
            <w:noWrap/>
            <w:vAlign w:val="bottom"/>
            <w:hideMark/>
          </w:tcPr>
          <w:p w:rsidR="00054BE3" w:rsidRPr="00054BE3" w:rsidRDefault="00054BE3" w:rsidP="00D12121">
            <w:pPr>
              <w:pStyle w:val="TableText"/>
              <w:rPr>
                <w:lang w:eastAsia="en-NZ"/>
              </w:rPr>
            </w:pPr>
            <w:r w:rsidRPr="00054BE3">
              <w:rPr>
                <w:lang w:eastAsia="en-NZ"/>
              </w:rPr>
              <w:t>Derived</w:t>
            </w:r>
          </w:p>
        </w:tc>
      </w:tr>
      <w:tr w:rsidR="001471B5" w:rsidRPr="00054BE3" w:rsidTr="00402AD8">
        <w:trPr>
          <w:trHeight w:val="288"/>
          <w:jc w:val="center"/>
        </w:trPr>
        <w:tc>
          <w:tcPr>
            <w:tcW w:w="926" w:type="pct"/>
            <w:shd w:val="clear" w:color="auto" w:fill="auto"/>
            <w:noWrap/>
            <w:vAlign w:val="bottom"/>
            <w:hideMark/>
          </w:tcPr>
          <w:p w:rsidR="00054BE3" w:rsidRPr="00054BE3" w:rsidRDefault="00054BE3" w:rsidP="00D12121">
            <w:pPr>
              <w:pStyle w:val="TableText"/>
              <w:rPr>
                <w:lang w:eastAsia="en-NZ"/>
              </w:rPr>
            </w:pPr>
            <w:r w:rsidRPr="00054BE3">
              <w:rPr>
                <w:lang w:eastAsia="en-NZ"/>
              </w:rPr>
              <w:t>FID</w:t>
            </w:r>
          </w:p>
        </w:tc>
        <w:tc>
          <w:tcPr>
            <w:tcW w:w="1477" w:type="pct"/>
            <w:shd w:val="clear" w:color="auto" w:fill="auto"/>
            <w:noWrap/>
            <w:vAlign w:val="bottom"/>
            <w:hideMark/>
          </w:tcPr>
          <w:p w:rsidR="00054BE3" w:rsidRPr="00054BE3" w:rsidRDefault="00054BE3" w:rsidP="00D12121">
            <w:pPr>
              <w:pStyle w:val="TableText"/>
              <w:rPr>
                <w:lang w:eastAsia="en-NZ"/>
              </w:rPr>
            </w:pPr>
            <w:r w:rsidRPr="00054BE3">
              <w:rPr>
                <w:lang w:eastAsia="en-NZ"/>
              </w:rPr>
              <w:t>GIS identifier</w:t>
            </w:r>
          </w:p>
        </w:tc>
        <w:tc>
          <w:tcPr>
            <w:tcW w:w="626" w:type="pct"/>
            <w:shd w:val="clear" w:color="auto" w:fill="auto"/>
            <w:noWrap/>
            <w:vAlign w:val="bottom"/>
            <w:hideMark/>
          </w:tcPr>
          <w:p w:rsidR="00054BE3" w:rsidRPr="00054BE3" w:rsidRDefault="00054BE3" w:rsidP="00D12121">
            <w:pPr>
              <w:pStyle w:val="TableText"/>
              <w:rPr>
                <w:lang w:eastAsia="en-NZ"/>
              </w:rPr>
            </w:pPr>
            <w:r w:rsidRPr="00054BE3">
              <w:rPr>
                <w:lang w:eastAsia="en-NZ"/>
              </w:rPr>
              <w:t>GIS</w:t>
            </w:r>
          </w:p>
        </w:tc>
        <w:tc>
          <w:tcPr>
            <w:tcW w:w="1971" w:type="pct"/>
            <w:shd w:val="clear" w:color="auto" w:fill="auto"/>
            <w:noWrap/>
            <w:vAlign w:val="bottom"/>
            <w:hideMark/>
          </w:tcPr>
          <w:p w:rsidR="00054BE3" w:rsidRPr="00054BE3" w:rsidRDefault="00054BE3" w:rsidP="00D12121">
            <w:pPr>
              <w:pStyle w:val="TableText"/>
              <w:rPr>
                <w:lang w:eastAsia="en-NZ"/>
              </w:rPr>
            </w:pPr>
          </w:p>
        </w:tc>
      </w:tr>
      <w:tr w:rsidR="001471B5" w:rsidRPr="00054BE3" w:rsidTr="00402AD8">
        <w:trPr>
          <w:trHeight w:val="288"/>
          <w:jc w:val="center"/>
        </w:trPr>
        <w:tc>
          <w:tcPr>
            <w:tcW w:w="926" w:type="pct"/>
            <w:shd w:val="clear" w:color="auto" w:fill="auto"/>
            <w:noWrap/>
            <w:vAlign w:val="bottom"/>
            <w:hideMark/>
          </w:tcPr>
          <w:p w:rsidR="00054BE3" w:rsidRPr="00054BE3" w:rsidRDefault="00054BE3" w:rsidP="00D12121">
            <w:pPr>
              <w:pStyle w:val="TableText"/>
              <w:rPr>
                <w:lang w:eastAsia="en-NZ"/>
              </w:rPr>
            </w:pPr>
            <w:proofErr w:type="spellStart"/>
            <w:r w:rsidRPr="00054BE3">
              <w:rPr>
                <w:lang w:eastAsia="en-NZ"/>
              </w:rPr>
              <w:t>SurveyID</w:t>
            </w:r>
            <w:proofErr w:type="spellEnd"/>
          </w:p>
        </w:tc>
        <w:tc>
          <w:tcPr>
            <w:tcW w:w="1477" w:type="pct"/>
            <w:shd w:val="clear" w:color="auto" w:fill="auto"/>
            <w:noWrap/>
            <w:vAlign w:val="bottom"/>
            <w:hideMark/>
          </w:tcPr>
          <w:p w:rsidR="00054BE3" w:rsidRPr="00054BE3" w:rsidRDefault="00054BE3" w:rsidP="00D12121">
            <w:pPr>
              <w:pStyle w:val="TableText"/>
              <w:rPr>
                <w:lang w:eastAsia="en-NZ"/>
              </w:rPr>
            </w:pPr>
            <w:r w:rsidRPr="00054BE3">
              <w:rPr>
                <w:lang w:eastAsia="en-NZ"/>
              </w:rPr>
              <w:t>Unique GBS observer identifier</w:t>
            </w:r>
          </w:p>
        </w:tc>
        <w:tc>
          <w:tcPr>
            <w:tcW w:w="626" w:type="pct"/>
            <w:shd w:val="clear" w:color="auto" w:fill="auto"/>
            <w:noWrap/>
            <w:vAlign w:val="bottom"/>
            <w:hideMark/>
          </w:tcPr>
          <w:p w:rsidR="00054BE3" w:rsidRPr="00054BE3" w:rsidRDefault="00054BE3" w:rsidP="00D12121">
            <w:pPr>
              <w:pStyle w:val="TableText"/>
              <w:rPr>
                <w:lang w:eastAsia="en-NZ"/>
              </w:rPr>
            </w:pPr>
            <w:r w:rsidRPr="00054BE3">
              <w:rPr>
                <w:lang w:eastAsia="en-NZ"/>
              </w:rPr>
              <w:t>GBS</w:t>
            </w:r>
          </w:p>
        </w:tc>
        <w:tc>
          <w:tcPr>
            <w:tcW w:w="1971" w:type="pct"/>
            <w:shd w:val="clear" w:color="auto" w:fill="auto"/>
            <w:noWrap/>
            <w:vAlign w:val="bottom"/>
            <w:hideMark/>
          </w:tcPr>
          <w:p w:rsidR="00054BE3" w:rsidRPr="00054BE3" w:rsidRDefault="00054BE3" w:rsidP="00D12121">
            <w:pPr>
              <w:pStyle w:val="TableText"/>
              <w:rPr>
                <w:lang w:eastAsia="en-NZ"/>
              </w:rPr>
            </w:pPr>
          </w:p>
        </w:tc>
      </w:tr>
      <w:tr w:rsidR="001471B5" w:rsidRPr="00054BE3" w:rsidTr="00402AD8">
        <w:trPr>
          <w:trHeight w:val="288"/>
          <w:jc w:val="center"/>
        </w:trPr>
        <w:tc>
          <w:tcPr>
            <w:tcW w:w="926" w:type="pct"/>
            <w:shd w:val="clear" w:color="auto" w:fill="auto"/>
            <w:noWrap/>
            <w:vAlign w:val="bottom"/>
            <w:hideMark/>
          </w:tcPr>
          <w:p w:rsidR="00054BE3" w:rsidRPr="00054BE3" w:rsidRDefault="00054BE3" w:rsidP="00D12121">
            <w:pPr>
              <w:pStyle w:val="TableText"/>
              <w:rPr>
                <w:lang w:eastAsia="en-NZ"/>
              </w:rPr>
            </w:pPr>
            <w:r w:rsidRPr="00054BE3">
              <w:rPr>
                <w:lang w:eastAsia="en-NZ"/>
              </w:rPr>
              <w:t>Date</w:t>
            </w:r>
          </w:p>
        </w:tc>
        <w:tc>
          <w:tcPr>
            <w:tcW w:w="1477" w:type="pct"/>
            <w:shd w:val="clear" w:color="auto" w:fill="auto"/>
            <w:noWrap/>
            <w:vAlign w:val="bottom"/>
            <w:hideMark/>
          </w:tcPr>
          <w:p w:rsidR="00054BE3" w:rsidRPr="00054BE3" w:rsidRDefault="00054BE3" w:rsidP="00D12121">
            <w:pPr>
              <w:pStyle w:val="TableText"/>
              <w:rPr>
                <w:lang w:eastAsia="en-NZ"/>
              </w:rPr>
            </w:pPr>
            <w:r w:rsidRPr="00054BE3">
              <w:rPr>
                <w:lang w:eastAsia="en-NZ"/>
              </w:rPr>
              <w:t>Survey date</w:t>
            </w:r>
          </w:p>
        </w:tc>
        <w:tc>
          <w:tcPr>
            <w:tcW w:w="626" w:type="pct"/>
            <w:shd w:val="clear" w:color="auto" w:fill="auto"/>
            <w:noWrap/>
            <w:vAlign w:val="bottom"/>
            <w:hideMark/>
          </w:tcPr>
          <w:p w:rsidR="00054BE3" w:rsidRPr="00054BE3" w:rsidRDefault="00054BE3" w:rsidP="00D12121">
            <w:pPr>
              <w:pStyle w:val="TableText"/>
              <w:rPr>
                <w:lang w:eastAsia="en-NZ"/>
              </w:rPr>
            </w:pPr>
            <w:r w:rsidRPr="00054BE3">
              <w:rPr>
                <w:lang w:eastAsia="en-NZ"/>
              </w:rPr>
              <w:t>GBS</w:t>
            </w:r>
          </w:p>
        </w:tc>
        <w:tc>
          <w:tcPr>
            <w:tcW w:w="1971" w:type="pct"/>
            <w:shd w:val="clear" w:color="auto" w:fill="auto"/>
            <w:noWrap/>
            <w:vAlign w:val="bottom"/>
            <w:hideMark/>
          </w:tcPr>
          <w:p w:rsidR="00054BE3" w:rsidRPr="00054BE3" w:rsidRDefault="00054BE3" w:rsidP="00D12121">
            <w:pPr>
              <w:pStyle w:val="TableText"/>
              <w:rPr>
                <w:lang w:eastAsia="en-NZ"/>
              </w:rPr>
            </w:pPr>
          </w:p>
        </w:tc>
      </w:tr>
      <w:tr w:rsidR="001471B5" w:rsidRPr="00054BE3" w:rsidTr="00402AD8">
        <w:trPr>
          <w:trHeight w:val="288"/>
          <w:jc w:val="center"/>
        </w:trPr>
        <w:tc>
          <w:tcPr>
            <w:tcW w:w="926" w:type="pct"/>
            <w:shd w:val="clear" w:color="auto" w:fill="auto"/>
            <w:noWrap/>
            <w:vAlign w:val="bottom"/>
            <w:hideMark/>
          </w:tcPr>
          <w:p w:rsidR="00054BE3" w:rsidRPr="00054BE3" w:rsidRDefault="00054BE3" w:rsidP="00D12121">
            <w:pPr>
              <w:pStyle w:val="TableText"/>
              <w:rPr>
                <w:lang w:eastAsia="en-NZ"/>
              </w:rPr>
            </w:pPr>
            <w:r w:rsidRPr="00054BE3">
              <w:rPr>
                <w:lang w:eastAsia="en-NZ"/>
              </w:rPr>
              <w:t>Region</w:t>
            </w:r>
          </w:p>
        </w:tc>
        <w:tc>
          <w:tcPr>
            <w:tcW w:w="1477" w:type="pct"/>
            <w:shd w:val="clear" w:color="auto" w:fill="auto"/>
            <w:noWrap/>
            <w:vAlign w:val="bottom"/>
            <w:hideMark/>
          </w:tcPr>
          <w:p w:rsidR="00054BE3" w:rsidRPr="00054BE3" w:rsidRDefault="00054BE3" w:rsidP="00D12121">
            <w:pPr>
              <w:pStyle w:val="TableText"/>
              <w:rPr>
                <w:lang w:eastAsia="en-NZ"/>
              </w:rPr>
            </w:pPr>
            <w:r w:rsidRPr="00054BE3">
              <w:rPr>
                <w:lang w:eastAsia="en-NZ"/>
              </w:rPr>
              <w:t>Region</w:t>
            </w:r>
          </w:p>
        </w:tc>
        <w:tc>
          <w:tcPr>
            <w:tcW w:w="626" w:type="pct"/>
            <w:shd w:val="clear" w:color="auto" w:fill="auto"/>
            <w:noWrap/>
            <w:vAlign w:val="bottom"/>
            <w:hideMark/>
          </w:tcPr>
          <w:p w:rsidR="00054BE3" w:rsidRPr="00054BE3" w:rsidRDefault="00054BE3" w:rsidP="00D12121">
            <w:pPr>
              <w:pStyle w:val="TableText"/>
              <w:rPr>
                <w:lang w:eastAsia="en-NZ"/>
              </w:rPr>
            </w:pPr>
            <w:r w:rsidRPr="00054BE3">
              <w:rPr>
                <w:lang w:eastAsia="en-NZ"/>
              </w:rPr>
              <w:t>GBS</w:t>
            </w:r>
          </w:p>
        </w:tc>
        <w:tc>
          <w:tcPr>
            <w:tcW w:w="1971" w:type="pct"/>
            <w:shd w:val="clear" w:color="auto" w:fill="auto"/>
            <w:noWrap/>
            <w:vAlign w:val="bottom"/>
            <w:hideMark/>
          </w:tcPr>
          <w:p w:rsidR="00054BE3" w:rsidRPr="00054BE3" w:rsidRDefault="00054BE3" w:rsidP="00D12121">
            <w:pPr>
              <w:pStyle w:val="TableText"/>
              <w:rPr>
                <w:lang w:eastAsia="en-NZ"/>
              </w:rPr>
            </w:pPr>
          </w:p>
        </w:tc>
      </w:tr>
      <w:tr w:rsidR="001471B5" w:rsidRPr="00054BE3" w:rsidTr="00402AD8">
        <w:trPr>
          <w:trHeight w:val="288"/>
          <w:jc w:val="center"/>
        </w:trPr>
        <w:tc>
          <w:tcPr>
            <w:tcW w:w="926" w:type="pct"/>
            <w:shd w:val="clear" w:color="auto" w:fill="auto"/>
            <w:noWrap/>
            <w:vAlign w:val="bottom"/>
            <w:hideMark/>
          </w:tcPr>
          <w:p w:rsidR="00054BE3" w:rsidRPr="00054BE3" w:rsidRDefault="00054BE3" w:rsidP="00D12121">
            <w:pPr>
              <w:pStyle w:val="TableText"/>
              <w:rPr>
                <w:lang w:eastAsia="en-NZ"/>
              </w:rPr>
            </w:pPr>
            <w:r w:rsidRPr="00054BE3">
              <w:rPr>
                <w:lang w:eastAsia="en-NZ"/>
              </w:rPr>
              <w:t>Easting</w:t>
            </w:r>
          </w:p>
        </w:tc>
        <w:tc>
          <w:tcPr>
            <w:tcW w:w="1477" w:type="pct"/>
            <w:shd w:val="clear" w:color="auto" w:fill="auto"/>
            <w:noWrap/>
            <w:vAlign w:val="bottom"/>
            <w:hideMark/>
          </w:tcPr>
          <w:p w:rsidR="00054BE3" w:rsidRPr="00054BE3" w:rsidRDefault="00054BE3" w:rsidP="00D12121">
            <w:pPr>
              <w:pStyle w:val="TableText"/>
              <w:rPr>
                <w:lang w:eastAsia="en-NZ"/>
              </w:rPr>
            </w:pPr>
            <w:r w:rsidRPr="00054BE3">
              <w:rPr>
                <w:lang w:eastAsia="en-NZ"/>
              </w:rPr>
              <w:t>Easting coordinate (NZTM2000 projection)</w:t>
            </w:r>
          </w:p>
        </w:tc>
        <w:tc>
          <w:tcPr>
            <w:tcW w:w="626" w:type="pct"/>
            <w:shd w:val="clear" w:color="auto" w:fill="auto"/>
            <w:noWrap/>
            <w:vAlign w:val="bottom"/>
            <w:hideMark/>
          </w:tcPr>
          <w:p w:rsidR="00054BE3" w:rsidRPr="00054BE3" w:rsidRDefault="00054BE3" w:rsidP="00D12121">
            <w:pPr>
              <w:pStyle w:val="TableText"/>
              <w:rPr>
                <w:lang w:eastAsia="en-NZ"/>
              </w:rPr>
            </w:pPr>
            <w:r w:rsidRPr="00054BE3">
              <w:rPr>
                <w:lang w:eastAsia="en-NZ"/>
              </w:rPr>
              <w:t>GIS</w:t>
            </w:r>
          </w:p>
        </w:tc>
        <w:tc>
          <w:tcPr>
            <w:tcW w:w="1971" w:type="pct"/>
            <w:shd w:val="clear" w:color="auto" w:fill="auto"/>
            <w:noWrap/>
            <w:vAlign w:val="bottom"/>
            <w:hideMark/>
          </w:tcPr>
          <w:p w:rsidR="00054BE3" w:rsidRPr="00054BE3" w:rsidRDefault="00054BE3" w:rsidP="00D12121">
            <w:pPr>
              <w:pStyle w:val="TableText"/>
              <w:rPr>
                <w:lang w:eastAsia="en-NZ"/>
              </w:rPr>
            </w:pPr>
            <w:r w:rsidRPr="00054BE3">
              <w:rPr>
                <w:lang w:eastAsia="en-NZ"/>
              </w:rPr>
              <w:t>Derived</w:t>
            </w:r>
          </w:p>
        </w:tc>
      </w:tr>
      <w:tr w:rsidR="001471B5" w:rsidRPr="00054BE3" w:rsidTr="00402AD8">
        <w:trPr>
          <w:trHeight w:val="288"/>
          <w:jc w:val="center"/>
        </w:trPr>
        <w:tc>
          <w:tcPr>
            <w:tcW w:w="926" w:type="pct"/>
            <w:shd w:val="clear" w:color="auto" w:fill="auto"/>
            <w:noWrap/>
            <w:vAlign w:val="bottom"/>
            <w:hideMark/>
          </w:tcPr>
          <w:p w:rsidR="00054BE3" w:rsidRPr="00054BE3" w:rsidRDefault="00054BE3" w:rsidP="00D12121">
            <w:pPr>
              <w:pStyle w:val="TableText"/>
              <w:rPr>
                <w:lang w:eastAsia="en-NZ"/>
              </w:rPr>
            </w:pPr>
            <w:r w:rsidRPr="00054BE3">
              <w:rPr>
                <w:lang w:eastAsia="en-NZ"/>
              </w:rPr>
              <w:t>Northing</w:t>
            </w:r>
          </w:p>
        </w:tc>
        <w:tc>
          <w:tcPr>
            <w:tcW w:w="1477" w:type="pct"/>
            <w:shd w:val="clear" w:color="auto" w:fill="auto"/>
            <w:noWrap/>
            <w:vAlign w:val="bottom"/>
            <w:hideMark/>
          </w:tcPr>
          <w:p w:rsidR="00054BE3" w:rsidRPr="00054BE3" w:rsidRDefault="00054BE3" w:rsidP="00D12121">
            <w:pPr>
              <w:pStyle w:val="TableText"/>
              <w:rPr>
                <w:lang w:eastAsia="en-NZ"/>
              </w:rPr>
            </w:pPr>
            <w:r w:rsidRPr="00054BE3">
              <w:rPr>
                <w:lang w:eastAsia="en-NZ"/>
              </w:rPr>
              <w:t>Northing coordinate (NZTM2000 projection)</w:t>
            </w:r>
          </w:p>
        </w:tc>
        <w:tc>
          <w:tcPr>
            <w:tcW w:w="626" w:type="pct"/>
            <w:shd w:val="clear" w:color="auto" w:fill="auto"/>
            <w:noWrap/>
            <w:vAlign w:val="bottom"/>
            <w:hideMark/>
          </w:tcPr>
          <w:p w:rsidR="00054BE3" w:rsidRPr="00054BE3" w:rsidRDefault="00054BE3" w:rsidP="00D12121">
            <w:pPr>
              <w:pStyle w:val="TableText"/>
              <w:rPr>
                <w:lang w:eastAsia="en-NZ"/>
              </w:rPr>
            </w:pPr>
            <w:r w:rsidRPr="00054BE3">
              <w:rPr>
                <w:lang w:eastAsia="en-NZ"/>
              </w:rPr>
              <w:t>GIS</w:t>
            </w:r>
          </w:p>
        </w:tc>
        <w:tc>
          <w:tcPr>
            <w:tcW w:w="1971" w:type="pct"/>
            <w:shd w:val="clear" w:color="auto" w:fill="auto"/>
            <w:noWrap/>
            <w:vAlign w:val="bottom"/>
            <w:hideMark/>
          </w:tcPr>
          <w:p w:rsidR="00054BE3" w:rsidRPr="00054BE3" w:rsidRDefault="00054BE3" w:rsidP="00D12121">
            <w:pPr>
              <w:pStyle w:val="TableText"/>
              <w:rPr>
                <w:lang w:eastAsia="en-NZ"/>
              </w:rPr>
            </w:pPr>
            <w:r w:rsidRPr="00054BE3">
              <w:rPr>
                <w:lang w:eastAsia="en-NZ"/>
              </w:rPr>
              <w:t>Derived</w:t>
            </w:r>
          </w:p>
        </w:tc>
      </w:tr>
      <w:tr w:rsidR="001471B5" w:rsidRPr="00054BE3" w:rsidTr="00402AD8">
        <w:trPr>
          <w:trHeight w:val="288"/>
          <w:jc w:val="center"/>
        </w:trPr>
        <w:tc>
          <w:tcPr>
            <w:tcW w:w="926" w:type="pct"/>
            <w:shd w:val="clear" w:color="auto" w:fill="auto"/>
            <w:noWrap/>
            <w:vAlign w:val="bottom"/>
            <w:hideMark/>
          </w:tcPr>
          <w:p w:rsidR="00054BE3" w:rsidRPr="00054BE3" w:rsidRDefault="00054BE3" w:rsidP="00D12121">
            <w:pPr>
              <w:pStyle w:val="TableText"/>
              <w:rPr>
                <w:lang w:eastAsia="en-NZ"/>
              </w:rPr>
            </w:pPr>
            <w:r w:rsidRPr="00054BE3">
              <w:rPr>
                <w:lang w:eastAsia="en-NZ"/>
              </w:rPr>
              <w:t>Year</w:t>
            </w:r>
          </w:p>
        </w:tc>
        <w:tc>
          <w:tcPr>
            <w:tcW w:w="1477" w:type="pct"/>
            <w:shd w:val="clear" w:color="auto" w:fill="auto"/>
            <w:noWrap/>
            <w:vAlign w:val="bottom"/>
            <w:hideMark/>
          </w:tcPr>
          <w:p w:rsidR="00054BE3" w:rsidRPr="00054BE3" w:rsidRDefault="00054BE3" w:rsidP="00D12121">
            <w:pPr>
              <w:pStyle w:val="TableText"/>
              <w:rPr>
                <w:lang w:eastAsia="en-NZ"/>
              </w:rPr>
            </w:pPr>
            <w:r w:rsidRPr="00054BE3">
              <w:rPr>
                <w:lang w:eastAsia="en-NZ"/>
              </w:rPr>
              <w:t>Year of survey</w:t>
            </w:r>
          </w:p>
        </w:tc>
        <w:tc>
          <w:tcPr>
            <w:tcW w:w="626" w:type="pct"/>
            <w:shd w:val="clear" w:color="auto" w:fill="auto"/>
            <w:noWrap/>
            <w:vAlign w:val="bottom"/>
            <w:hideMark/>
          </w:tcPr>
          <w:p w:rsidR="00054BE3" w:rsidRPr="00054BE3" w:rsidRDefault="00054BE3" w:rsidP="00D12121">
            <w:pPr>
              <w:pStyle w:val="TableText"/>
              <w:rPr>
                <w:lang w:eastAsia="en-NZ"/>
              </w:rPr>
            </w:pPr>
          </w:p>
        </w:tc>
        <w:tc>
          <w:tcPr>
            <w:tcW w:w="1971" w:type="pct"/>
            <w:shd w:val="clear" w:color="auto" w:fill="auto"/>
            <w:noWrap/>
            <w:vAlign w:val="bottom"/>
            <w:hideMark/>
          </w:tcPr>
          <w:p w:rsidR="00054BE3" w:rsidRPr="00054BE3" w:rsidRDefault="00054BE3" w:rsidP="00D12121">
            <w:pPr>
              <w:pStyle w:val="TableText"/>
              <w:rPr>
                <w:lang w:eastAsia="en-NZ"/>
              </w:rPr>
            </w:pPr>
            <w:r w:rsidRPr="00054BE3">
              <w:rPr>
                <w:lang w:eastAsia="en-NZ"/>
              </w:rPr>
              <w:t>Derived</w:t>
            </w:r>
          </w:p>
        </w:tc>
      </w:tr>
      <w:tr w:rsidR="001471B5" w:rsidRPr="00054BE3" w:rsidTr="00402AD8">
        <w:trPr>
          <w:trHeight w:val="288"/>
          <w:jc w:val="center"/>
        </w:trPr>
        <w:tc>
          <w:tcPr>
            <w:tcW w:w="926" w:type="pct"/>
            <w:shd w:val="clear" w:color="auto" w:fill="auto"/>
            <w:noWrap/>
            <w:vAlign w:val="bottom"/>
            <w:hideMark/>
          </w:tcPr>
          <w:p w:rsidR="00054BE3" w:rsidRPr="00054BE3" w:rsidRDefault="00054BE3" w:rsidP="00D12121">
            <w:pPr>
              <w:pStyle w:val="TableText"/>
              <w:rPr>
                <w:lang w:eastAsia="en-NZ"/>
              </w:rPr>
            </w:pPr>
            <w:r w:rsidRPr="00054BE3">
              <w:rPr>
                <w:lang w:eastAsia="en-NZ"/>
              </w:rPr>
              <w:t>RECC2015</w:t>
            </w:r>
          </w:p>
        </w:tc>
        <w:tc>
          <w:tcPr>
            <w:tcW w:w="1477" w:type="pct"/>
            <w:shd w:val="clear" w:color="auto" w:fill="auto"/>
            <w:noWrap/>
            <w:vAlign w:val="bottom"/>
            <w:hideMark/>
          </w:tcPr>
          <w:p w:rsidR="00054BE3" w:rsidRPr="00054BE3" w:rsidRDefault="00054BE3" w:rsidP="00D12121">
            <w:pPr>
              <w:pStyle w:val="TableText"/>
              <w:rPr>
                <w:lang w:eastAsia="en-NZ"/>
              </w:rPr>
            </w:pPr>
            <w:r w:rsidRPr="00054BE3">
              <w:rPr>
                <w:lang w:eastAsia="en-NZ"/>
              </w:rPr>
              <w:t>Regional councils identifier</w:t>
            </w:r>
          </w:p>
        </w:tc>
        <w:tc>
          <w:tcPr>
            <w:tcW w:w="626" w:type="pct"/>
            <w:shd w:val="clear" w:color="auto" w:fill="auto"/>
            <w:noWrap/>
            <w:vAlign w:val="bottom"/>
            <w:hideMark/>
          </w:tcPr>
          <w:p w:rsidR="00054BE3" w:rsidRPr="00054BE3" w:rsidRDefault="00054BE3" w:rsidP="00D12121">
            <w:pPr>
              <w:pStyle w:val="TableText"/>
              <w:rPr>
                <w:lang w:eastAsia="en-NZ"/>
              </w:rPr>
            </w:pPr>
            <w:r w:rsidRPr="00054BE3">
              <w:rPr>
                <w:lang w:eastAsia="en-NZ"/>
              </w:rPr>
              <w:t>STATSNZ</w:t>
            </w:r>
          </w:p>
        </w:tc>
        <w:tc>
          <w:tcPr>
            <w:tcW w:w="1971" w:type="pct"/>
            <w:shd w:val="clear" w:color="auto" w:fill="auto"/>
            <w:noWrap/>
            <w:vAlign w:val="bottom"/>
            <w:hideMark/>
          </w:tcPr>
          <w:p w:rsidR="00054BE3" w:rsidRPr="00054BE3" w:rsidRDefault="00054BE3" w:rsidP="00D12121">
            <w:pPr>
              <w:pStyle w:val="TableText"/>
              <w:rPr>
                <w:lang w:eastAsia="en-NZ"/>
              </w:rPr>
            </w:pPr>
            <w:r w:rsidRPr="00054BE3">
              <w:rPr>
                <w:lang w:eastAsia="en-NZ"/>
              </w:rPr>
              <w:t>ANZLIC Metadata 2015 Regional Councils</w:t>
            </w:r>
          </w:p>
        </w:tc>
      </w:tr>
      <w:tr w:rsidR="001471B5" w:rsidRPr="00054BE3" w:rsidTr="00402AD8">
        <w:trPr>
          <w:trHeight w:val="288"/>
          <w:jc w:val="center"/>
        </w:trPr>
        <w:tc>
          <w:tcPr>
            <w:tcW w:w="926" w:type="pct"/>
            <w:shd w:val="clear" w:color="auto" w:fill="auto"/>
            <w:noWrap/>
            <w:vAlign w:val="bottom"/>
            <w:hideMark/>
          </w:tcPr>
          <w:p w:rsidR="00054BE3" w:rsidRPr="00054BE3" w:rsidRDefault="00054BE3" w:rsidP="00D12121">
            <w:pPr>
              <w:pStyle w:val="TableText"/>
              <w:rPr>
                <w:lang w:eastAsia="en-NZ"/>
              </w:rPr>
            </w:pPr>
            <w:r w:rsidRPr="00054BE3">
              <w:rPr>
                <w:lang w:eastAsia="en-NZ"/>
              </w:rPr>
              <w:t>REGC2015_N</w:t>
            </w:r>
          </w:p>
        </w:tc>
        <w:tc>
          <w:tcPr>
            <w:tcW w:w="1477" w:type="pct"/>
            <w:shd w:val="clear" w:color="auto" w:fill="auto"/>
            <w:noWrap/>
            <w:vAlign w:val="bottom"/>
            <w:hideMark/>
          </w:tcPr>
          <w:p w:rsidR="00054BE3" w:rsidRPr="00054BE3" w:rsidRDefault="00054BE3" w:rsidP="00D12121">
            <w:pPr>
              <w:pStyle w:val="TableText"/>
              <w:rPr>
                <w:lang w:eastAsia="en-NZ"/>
              </w:rPr>
            </w:pPr>
            <w:r w:rsidRPr="00054BE3">
              <w:rPr>
                <w:lang w:eastAsia="en-NZ"/>
              </w:rPr>
              <w:t>Regional council name</w:t>
            </w:r>
          </w:p>
        </w:tc>
        <w:tc>
          <w:tcPr>
            <w:tcW w:w="626" w:type="pct"/>
            <w:shd w:val="clear" w:color="auto" w:fill="auto"/>
            <w:noWrap/>
            <w:vAlign w:val="bottom"/>
            <w:hideMark/>
          </w:tcPr>
          <w:p w:rsidR="00054BE3" w:rsidRPr="00054BE3" w:rsidRDefault="00054BE3" w:rsidP="00D12121">
            <w:pPr>
              <w:pStyle w:val="TableText"/>
              <w:rPr>
                <w:lang w:eastAsia="en-NZ"/>
              </w:rPr>
            </w:pPr>
            <w:r w:rsidRPr="00054BE3">
              <w:rPr>
                <w:lang w:eastAsia="en-NZ"/>
              </w:rPr>
              <w:t>STATSNZ</w:t>
            </w:r>
          </w:p>
        </w:tc>
        <w:tc>
          <w:tcPr>
            <w:tcW w:w="1971" w:type="pct"/>
            <w:shd w:val="clear" w:color="auto" w:fill="auto"/>
            <w:noWrap/>
            <w:vAlign w:val="bottom"/>
            <w:hideMark/>
          </w:tcPr>
          <w:p w:rsidR="00054BE3" w:rsidRPr="00054BE3" w:rsidRDefault="00054BE3" w:rsidP="00D12121">
            <w:pPr>
              <w:pStyle w:val="TableText"/>
              <w:rPr>
                <w:lang w:eastAsia="en-NZ"/>
              </w:rPr>
            </w:pPr>
            <w:r w:rsidRPr="00054BE3">
              <w:rPr>
                <w:lang w:eastAsia="en-NZ"/>
              </w:rPr>
              <w:t>ANZLIC Metadata 2015 Regional Councils</w:t>
            </w:r>
          </w:p>
        </w:tc>
      </w:tr>
      <w:tr w:rsidR="001471B5" w:rsidRPr="00054BE3" w:rsidTr="00402AD8">
        <w:trPr>
          <w:trHeight w:val="288"/>
          <w:jc w:val="center"/>
        </w:trPr>
        <w:tc>
          <w:tcPr>
            <w:tcW w:w="926" w:type="pct"/>
            <w:shd w:val="clear" w:color="auto" w:fill="auto"/>
            <w:noWrap/>
            <w:vAlign w:val="bottom"/>
            <w:hideMark/>
          </w:tcPr>
          <w:p w:rsidR="00054BE3" w:rsidRPr="00054BE3" w:rsidRDefault="00054BE3" w:rsidP="00D12121">
            <w:pPr>
              <w:pStyle w:val="TableText"/>
              <w:rPr>
                <w:lang w:eastAsia="en-NZ"/>
              </w:rPr>
            </w:pPr>
            <w:r w:rsidRPr="00054BE3">
              <w:rPr>
                <w:lang w:eastAsia="en-NZ"/>
              </w:rPr>
              <w:t>UA2015</w:t>
            </w:r>
          </w:p>
        </w:tc>
        <w:tc>
          <w:tcPr>
            <w:tcW w:w="1477" w:type="pct"/>
            <w:shd w:val="clear" w:color="auto" w:fill="auto"/>
            <w:noWrap/>
            <w:vAlign w:val="bottom"/>
            <w:hideMark/>
          </w:tcPr>
          <w:p w:rsidR="00054BE3" w:rsidRPr="00054BE3" w:rsidRDefault="00054BE3" w:rsidP="00D12121">
            <w:pPr>
              <w:pStyle w:val="TableText"/>
              <w:rPr>
                <w:lang w:eastAsia="en-NZ"/>
              </w:rPr>
            </w:pPr>
            <w:r w:rsidRPr="00054BE3">
              <w:rPr>
                <w:lang w:eastAsia="en-NZ"/>
              </w:rPr>
              <w:t>Urban area identifier</w:t>
            </w:r>
          </w:p>
        </w:tc>
        <w:tc>
          <w:tcPr>
            <w:tcW w:w="626" w:type="pct"/>
            <w:shd w:val="clear" w:color="auto" w:fill="auto"/>
            <w:noWrap/>
            <w:vAlign w:val="bottom"/>
            <w:hideMark/>
          </w:tcPr>
          <w:p w:rsidR="00054BE3" w:rsidRPr="00054BE3" w:rsidRDefault="00054BE3" w:rsidP="00D12121">
            <w:pPr>
              <w:pStyle w:val="TableText"/>
              <w:rPr>
                <w:lang w:eastAsia="en-NZ"/>
              </w:rPr>
            </w:pPr>
            <w:r w:rsidRPr="00054BE3">
              <w:rPr>
                <w:lang w:eastAsia="en-NZ"/>
              </w:rPr>
              <w:t>STATSNZ</w:t>
            </w:r>
          </w:p>
        </w:tc>
        <w:tc>
          <w:tcPr>
            <w:tcW w:w="1971" w:type="pct"/>
            <w:shd w:val="clear" w:color="auto" w:fill="auto"/>
            <w:noWrap/>
            <w:vAlign w:val="bottom"/>
            <w:hideMark/>
          </w:tcPr>
          <w:p w:rsidR="00054BE3" w:rsidRPr="00054BE3" w:rsidRDefault="00054BE3" w:rsidP="00D12121">
            <w:pPr>
              <w:pStyle w:val="TableText"/>
              <w:rPr>
                <w:lang w:eastAsia="en-NZ"/>
              </w:rPr>
            </w:pPr>
            <w:r w:rsidRPr="00054BE3">
              <w:rPr>
                <w:lang w:eastAsia="en-NZ"/>
              </w:rPr>
              <w:t>ANZLIC Metadata 2015 Urban Areas</w:t>
            </w:r>
          </w:p>
        </w:tc>
      </w:tr>
      <w:tr w:rsidR="001471B5" w:rsidRPr="00054BE3" w:rsidTr="00402AD8">
        <w:trPr>
          <w:trHeight w:val="288"/>
          <w:jc w:val="center"/>
        </w:trPr>
        <w:tc>
          <w:tcPr>
            <w:tcW w:w="926" w:type="pct"/>
            <w:shd w:val="clear" w:color="auto" w:fill="auto"/>
            <w:noWrap/>
            <w:vAlign w:val="bottom"/>
            <w:hideMark/>
          </w:tcPr>
          <w:p w:rsidR="00054BE3" w:rsidRPr="00054BE3" w:rsidRDefault="00054BE3" w:rsidP="00D12121">
            <w:pPr>
              <w:pStyle w:val="TableText"/>
              <w:rPr>
                <w:lang w:eastAsia="en-NZ"/>
              </w:rPr>
            </w:pPr>
            <w:r w:rsidRPr="00054BE3">
              <w:rPr>
                <w:lang w:eastAsia="en-NZ"/>
              </w:rPr>
              <w:t>UA2015_NAM</w:t>
            </w:r>
          </w:p>
        </w:tc>
        <w:tc>
          <w:tcPr>
            <w:tcW w:w="1477" w:type="pct"/>
            <w:shd w:val="clear" w:color="auto" w:fill="auto"/>
            <w:noWrap/>
            <w:vAlign w:val="bottom"/>
            <w:hideMark/>
          </w:tcPr>
          <w:p w:rsidR="00054BE3" w:rsidRPr="00054BE3" w:rsidRDefault="00054BE3" w:rsidP="00D12121">
            <w:pPr>
              <w:pStyle w:val="TableText"/>
              <w:rPr>
                <w:lang w:eastAsia="en-NZ"/>
              </w:rPr>
            </w:pPr>
            <w:r w:rsidRPr="00054BE3">
              <w:rPr>
                <w:lang w:eastAsia="en-NZ"/>
              </w:rPr>
              <w:t>Urban area name</w:t>
            </w:r>
          </w:p>
        </w:tc>
        <w:tc>
          <w:tcPr>
            <w:tcW w:w="626" w:type="pct"/>
            <w:shd w:val="clear" w:color="auto" w:fill="auto"/>
            <w:noWrap/>
            <w:vAlign w:val="bottom"/>
            <w:hideMark/>
          </w:tcPr>
          <w:p w:rsidR="00054BE3" w:rsidRPr="00054BE3" w:rsidRDefault="00054BE3" w:rsidP="00D12121">
            <w:pPr>
              <w:pStyle w:val="TableText"/>
              <w:rPr>
                <w:lang w:eastAsia="en-NZ"/>
              </w:rPr>
            </w:pPr>
            <w:r w:rsidRPr="00054BE3">
              <w:rPr>
                <w:lang w:eastAsia="en-NZ"/>
              </w:rPr>
              <w:t>STATSNZ</w:t>
            </w:r>
          </w:p>
        </w:tc>
        <w:tc>
          <w:tcPr>
            <w:tcW w:w="1971" w:type="pct"/>
            <w:shd w:val="clear" w:color="auto" w:fill="auto"/>
            <w:noWrap/>
            <w:vAlign w:val="bottom"/>
            <w:hideMark/>
          </w:tcPr>
          <w:p w:rsidR="00054BE3" w:rsidRPr="00054BE3" w:rsidRDefault="00054BE3" w:rsidP="00D12121">
            <w:pPr>
              <w:pStyle w:val="TableText"/>
              <w:rPr>
                <w:lang w:eastAsia="en-NZ"/>
              </w:rPr>
            </w:pPr>
            <w:r w:rsidRPr="00054BE3">
              <w:rPr>
                <w:lang w:eastAsia="en-NZ"/>
              </w:rPr>
              <w:t>ANZLIC Metadata 2015 Urban Areas</w:t>
            </w:r>
          </w:p>
        </w:tc>
      </w:tr>
      <w:tr w:rsidR="001471B5" w:rsidRPr="00054BE3" w:rsidTr="00402AD8">
        <w:trPr>
          <w:trHeight w:val="288"/>
          <w:jc w:val="center"/>
        </w:trPr>
        <w:tc>
          <w:tcPr>
            <w:tcW w:w="926" w:type="pct"/>
            <w:shd w:val="clear" w:color="auto" w:fill="auto"/>
            <w:noWrap/>
            <w:vAlign w:val="bottom"/>
            <w:hideMark/>
          </w:tcPr>
          <w:p w:rsidR="00054BE3" w:rsidRPr="00054BE3" w:rsidRDefault="00054BE3" w:rsidP="00D12121">
            <w:pPr>
              <w:pStyle w:val="TableText"/>
              <w:rPr>
                <w:lang w:eastAsia="en-NZ"/>
              </w:rPr>
            </w:pPr>
            <w:r w:rsidRPr="00054BE3">
              <w:rPr>
                <w:lang w:eastAsia="en-NZ"/>
              </w:rPr>
              <w:t>AU2015</w:t>
            </w:r>
          </w:p>
        </w:tc>
        <w:tc>
          <w:tcPr>
            <w:tcW w:w="1477" w:type="pct"/>
            <w:shd w:val="clear" w:color="auto" w:fill="auto"/>
            <w:noWrap/>
            <w:vAlign w:val="bottom"/>
            <w:hideMark/>
          </w:tcPr>
          <w:p w:rsidR="00054BE3" w:rsidRPr="00054BE3" w:rsidRDefault="00054BE3" w:rsidP="00D12121">
            <w:pPr>
              <w:pStyle w:val="TableText"/>
              <w:rPr>
                <w:lang w:eastAsia="en-NZ"/>
              </w:rPr>
            </w:pPr>
            <w:r w:rsidRPr="00054BE3">
              <w:rPr>
                <w:lang w:eastAsia="en-NZ"/>
              </w:rPr>
              <w:t>Area unit identifier</w:t>
            </w:r>
          </w:p>
        </w:tc>
        <w:tc>
          <w:tcPr>
            <w:tcW w:w="626" w:type="pct"/>
            <w:shd w:val="clear" w:color="auto" w:fill="auto"/>
            <w:noWrap/>
            <w:vAlign w:val="bottom"/>
            <w:hideMark/>
          </w:tcPr>
          <w:p w:rsidR="00054BE3" w:rsidRPr="00054BE3" w:rsidRDefault="00054BE3" w:rsidP="00D12121">
            <w:pPr>
              <w:pStyle w:val="TableText"/>
              <w:rPr>
                <w:lang w:eastAsia="en-NZ"/>
              </w:rPr>
            </w:pPr>
            <w:r w:rsidRPr="00054BE3">
              <w:rPr>
                <w:lang w:eastAsia="en-NZ"/>
              </w:rPr>
              <w:t>STATSNZ</w:t>
            </w:r>
          </w:p>
        </w:tc>
        <w:tc>
          <w:tcPr>
            <w:tcW w:w="1971" w:type="pct"/>
            <w:shd w:val="clear" w:color="auto" w:fill="auto"/>
            <w:noWrap/>
            <w:vAlign w:val="bottom"/>
            <w:hideMark/>
          </w:tcPr>
          <w:p w:rsidR="00054BE3" w:rsidRPr="00054BE3" w:rsidRDefault="00054BE3" w:rsidP="00D12121">
            <w:pPr>
              <w:pStyle w:val="TableText"/>
              <w:rPr>
                <w:lang w:eastAsia="en-NZ"/>
              </w:rPr>
            </w:pPr>
            <w:r w:rsidRPr="00054BE3">
              <w:rPr>
                <w:lang w:eastAsia="en-NZ"/>
              </w:rPr>
              <w:t>ANZLIC Metadata 2015 Area Units</w:t>
            </w:r>
          </w:p>
        </w:tc>
      </w:tr>
      <w:tr w:rsidR="001471B5" w:rsidRPr="00054BE3" w:rsidTr="00402AD8">
        <w:trPr>
          <w:trHeight w:val="288"/>
          <w:jc w:val="center"/>
        </w:trPr>
        <w:tc>
          <w:tcPr>
            <w:tcW w:w="926" w:type="pct"/>
            <w:shd w:val="clear" w:color="auto" w:fill="auto"/>
            <w:noWrap/>
            <w:vAlign w:val="bottom"/>
            <w:hideMark/>
          </w:tcPr>
          <w:p w:rsidR="00054BE3" w:rsidRPr="00054BE3" w:rsidRDefault="00054BE3" w:rsidP="00D12121">
            <w:pPr>
              <w:pStyle w:val="TableText"/>
              <w:rPr>
                <w:lang w:eastAsia="en-NZ"/>
              </w:rPr>
            </w:pPr>
            <w:r w:rsidRPr="00054BE3">
              <w:rPr>
                <w:lang w:eastAsia="en-NZ"/>
              </w:rPr>
              <w:t>AU2015_NAM</w:t>
            </w:r>
          </w:p>
        </w:tc>
        <w:tc>
          <w:tcPr>
            <w:tcW w:w="1477" w:type="pct"/>
            <w:shd w:val="clear" w:color="auto" w:fill="auto"/>
            <w:noWrap/>
            <w:vAlign w:val="bottom"/>
            <w:hideMark/>
          </w:tcPr>
          <w:p w:rsidR="00054BE3" w:rsidRPr="00054BE3" w:rsidRDefault="00054BE3" w:rsidP="00D12121">
            <w:pPr>
              <w:pStyle w:val="TableText"/>
              <w:rPr>
                <w:lang w:eastAsia="en-NZ"/>
              </w:rPr>
            </w:pPr>
            <w:r w:rsidRPr="00054BE3">
              <w:rPr>
                <w:lang w:eastAsia="en-NZ"/>
              </w:rPr>
              <w:t>Area unit name</w:t>
            </w:r>
          </w:p>
        </w:tc>
        <w:tc>
          <w:tcPr>
            <w:tcW w:w="626" w:type="pct"/>
            <w:shd w:val="clear" w:color="auto" w:fill="auto"/>
            <w:noWrap/>
            <w:vAlign w:val="bottom"/>
            <w:hideMark/>
          </w:tcPr>
          <w:p w:rsidR="00054BE3" w:rsidRPr="00054BE3" w:rsidRDefault="00054BE3" w:rsidP="00D12121">
            <w:pPr>
              <w:pStyle w:val="TableText"/>
              <w:rPr>
                <w:lang w:eastAsia="en-NZ"/>
              </w:rPr>
            </w:pPr>
            <w:r w:rsidRPr="00054BE3">
              <w:rPr>
                <w:lang w:eastAsia="en-NZ"/>
              </w:rPr>
              <w:t>STATSNZ</w:t>
            </w:r>
          </w:p>
        </w:tc>
        <w:tc>
          <w:tcPr>
            <w:tcW w:w="1971" w:type="pct"/>
            <w:shd w:val="clear" w:color="auto" w:fill="auto"/>
            <w:noWrap/>
            <w:vAlign w:val="bottom"/>
            <w:hideMark/>
          </w:tcPr>
          <w:p w:rsidR="00054BE3" w:rsidRPr="00054BE3" w:rsidRDefault="00054BE3" w:rsidP="00D12121">
            <w:pPr>
              <w:pStyle w:val="TableText"/>
              <w:rPr>
                <w:lang w:eastAsia="en-NZ"/>
              </w:rPr>
            </w:pPr>
            <w:r w:rsidRPr="00054BE3">
              <w:rPr>
                <w:lang w:eastAsia="en-NZ"/>
              </w:rPr>
              <w:t>ANZLIC Metadata 2015 Area Units</w:t>
            </w:r>
          </w:p>
        </w:tc>
      </w:tr>
      <w:tr w:rsidR="001471B5" w:rsidRPr="00054BE3" w:rsidTr="00402AD8">
        <w:trPr>
          <w:trHeight w:val="288"/>
          <w:jc w:val="center"/>
        </w:trPr>
        <w:tc>
          <w:tcPr>
            <w:tcW w:w="926" w:type="pct"/>
            <w:shd w:val="clear" w:color="auto" w:fill="auto"/>
            <w:noWrap/>
            <w:vAlign w:val="bottom"/>
            <w:hideMark/>
          </w:tcPr>
          <w:p w:rsidR="00054BE3" w:rsidRPr="00054BE3" w:rsidRDefault="00054BE3" w:rsidP="00D12121">
            <w:pPr>
              <w:pStyle w:val="TableText"/>
              <w:rPr>
                <w:lang w:eastAsia="en-NZ"/>
              </w:rPr>
            </w:pPr>
            <w:r w:rsidRPr="00054BE3">
              <w:rPr>
                <w:lang w:eastAsia="en-NZ"/>
              </w:rPr>
              <w:t>MB2015</w:t>
            </w:r>
          </w:p>
        </w:tc>
        <w:tc>
          <w:tcPr>
            <w:tcW w:w="1477" w:type="pct"/>
            <w:shd w:val="clear" w:color="auto" w:fill="auto"/>
            <w:noWrap/>
            <w:vAlign w:val="bottom"/>
            <w:hideMark/>
          </w:tcPr>
          <w:p w:rsidR="00054BE3" w:rsidRPr="00054BE3" w:rsidRDefault="00054BE3" w:rsidP="00D12121">
            <w:pPr>
              <w:pStyle w:val="TableText"/>
              <w:rPr>
                <w:lang w:eastAsia="en-NZ"/>
              </w:rPr>
            </w:pPr>
            <w:proofErr w:type="spellStart"/>
            <w:r w:rsidRPr="00054BE3">
              <w:rPr>
                <w:lang w:eastAsia="en-NZ"/>
              </w:rPr>
              <w:t>Meshblock</w:t>
            </w:r>
            <w:proofErr w:type="spellEnd"/>
            <w:r w:rsidRPr="00054BE3">
              <w:rPr>
                <w:lang w:eastAsia="en-NZ"/>
              </w:rPr>
              <w:t xml:space="preserve"> number</w:t>
            </w:r>
          </w:p>
        </w:tc>
        <w:tc>
          <w:tcPr>
            <w:tcW w:w="626" w:type="pct"/>
            <w:shd w:val="clear" w:color="auto" w:fill="auto"/>
            <w:noWrap/>
            <w:vAlign w:val="bottom"/>
            <w:hideMark/>
          </w:tcPr>
          <w:p w:rsidR="00054BE3" w:rsidRPr="00054BE3" w:rsidRDefault="00054BE3" w:rsidP="00D12121">
            <w:pPr>
              <w:pStyle w:val="TableText"/>
              <w:rPr>
                <w:lang w:eastAsia="en-NZ"/>
              </w:rPr>
            </w:pPr>
            <w:r w:rsidRPr="00054BE3">
              <w:rPr>
                <w:lang w:eastAsia="en-NZ"/>
              </w:rPr>
              <w:t>STATSNZ</w:t>
            </w:r>
          </w:p>
        </w:tc>
        <w:tc>
          <w:tcPr>
            <w:tcW w:w="1971" w:type="pct"/>
            <w:shd w:val="clear" w:color="auto" w:fill="auto"/>
            <w:noWrap/>
            <w:vAlign w:val="bottom"/>
            <w:hideMark/>
          </w:tcPr>
          <w:p w:rsidR="00054BE3" w:rsidRPr="00054BE3" w:rsidRDefault="00054BE3" w:rsidP="00D12121">
            <w:pPr>
              <w:pStyle w:val="TableText"/>
              <w:rPr>
                <w:lang w:eastAsia="en-NZ"/>
              </w:rPr>
            </w:pPr>
            <w:r w:rsidRPr="00054BE3">
              <w:rPr>
                <w:lang w:eastAsia="en-NZ"/>
              </w:rPr>
              <w:t xml:space="preserve">ANZLIC Metadata 2015 </w:t>
            </w:r>
            <w:proofErr w:type="spellStart"/>
            <w:r w:rsidRPr="00054BE3">
              <w:rPr>
                <w:lang w:eastAsia="en-NZ"/>
              </w:rPr>
              <w:t>Meshblocks</w:t>
            </w:r>
            <w:proofErr w:type="spellEnd"/>
            <w:r w:rsidRPr="00054BE3">
              <w:rPr>
                <w:lang w:eastAsia="en-NZ"/>
              </w:rPr>
              <w:t xml:space="preserve"> Annual Pattern</w:t>
            </w:r>
          </w:p>
        </w:tc>
      </w:tr>
      <w:tr w:rsidR="001471B5" w:rsidRPr="00054BE3" w:rsidTr="00402AD8">
        <w:trPr>
          <w:trHeight w:val="288"/>
          <w:jc w:val="center"/>
        </w:trPr>
        <w:tc>
          <w:tcPr>
            <w:tcW w:w="926" w:type="pct"/>
            <w:shd w:val="clear" w:color="auto" w:fill="auto"/>
            <w:noWrap/>
            <w:vAlign w:val="bottom"/>
            <w:hideMark/>
          </w:tcPr>
          <w:p w:rsidR="00054BE3" w:rsidRPr="00054BE3" w:rsidRDefault="00054BE3" w:rsidP="00D12121">
            <w:pPr>
              <w:pStyle w:val="TableText"/>
              <w:rPr>
                <w:lang w:eastAsia="en-NZ"/>
              </w:rPr>
            </w:pPr>
            <w:r w:rsidRPr="00054BE3">
              <w:rPr>
                <w:lang w:eastAsia="en-NZ"/>
              </w:rPr>
              <w:t>LAND</w:t>
            </w:r>
          </w:p>
        </w:tc>
        <w:tc>
          <w:tcPr>
            <w:tcW w:w="1477" w:type="pct"/>
            <w:shd w:val="clear" w:color="auto" w:fill="auto"/>
            <w:noWrap/>
            <w:vAlign w:val="bottom"/>
            <w:hideMark/>
          </w:tcPr>
          <w:p w:rsidR="00054BE3" w:rsidRPr="00054BE3" w:rsidRDefault="00054BE3" w:rsidP="00D12121">
            <w:pPr>
              <w:pStyle w:val="TableText"/>
              <w:rPr>
                <w:lang w:eastAsia="en-NZ"/>
              </w:rPr>
            </w:pPr>
            <w:r w:rsidRPr="00054BE3">
              <w:rPr>
                <w:lang w:eastAsia="en-NZ"/>
              </w:rPr>
              <w:t>Whether on land or not</w:t>
            </w:r>
          </w:p>
        </w:tc>
        <w:tc>
          <w:tcPr>
            <w:tcW w:w="626" w:type="pct"/>
            <w:shd w:val="clear" w:color="auto" w:fill="auto"/>
            <w:noWrap/>
            <w:vAlign w:val="bottom"/>
            <w:hideMark/>
          </w:tcPr>
          <w:p w:rsidR="00054BE3" w:rsidRPr="00054BE3" w:rsidRDefault="00054BE3" w:rsidP="00D12121">
            <w:pPr>
              <w:pStyle w:val="TableText"/>
              <w:rPr>
                <w:lang w:eastAsia="en-NZ"/>
              </w:rPr>
            </w:pPr>
            <w:r w:rsidRPr="00054BE3">
              <w:rPr>
                <w:lang w:eastAsia="en-NZ"/>
              </w:rPr>
              <w:t>STATSNZ</w:t>
            </w:r>
          </w:p>
        </w:tc>
        <w:tc>
          <w:tcPr>
            <w:tcW w:w="1971" w:type="pct"/>
            <w:shd w:val="clear" w:color="auto" w:fill="auto"/>
            <w:noWrap/>
            <w:vAlign w:val="bottom"/>
            <w:hideMark/>
          </w:tcPr>
          <w:p w:rsidR="00054BE3" w:rsidRPr="00054BE3" w:rsidRDefault="00054BE3" w:rsidP="00D12121">
            <w:pPr>
              <w:pStyle w:val="TableText"/>
              <w:rPr>
                <w:lang w:eastAsia="en-NZ"/>
              </w:rPr>
            </w:pPr>
            <w:r w:rsidRPr="00054BE3">
              <w:rPr>
                <w:lang w:eastAsia="en-NZ"/>
              </w:rPr>
              <w:t xml:space="preserve">ANZLIC Metadata 2015 </w:t>
            </w:r>
            <w:proofErr w:type="spellStart"/>
            <w:r w:rsidRPr="00054BE3">
              <w:rPr>
                <w:lang w:eastAsia="en-NZ"/>
              </w:rPr>
              <w:t>Meshblocks</w:t>
            </w:r>
            <w:proofErr w:type="spellEnd"/>
            <w:r w:rsidRPr="00054BE3">
              <w:rPr>
                <w:lang w:eastAsia="en-NZ"/>
              </w:rPr>
              <w:t xml:space="preserve"> Annual Pattern</w:t>
            </w:r>
          </w:p>
        </w:tc>
      </w:tr>
      <w:tr w:rsidR="001471B5" w:rsidRPr="00054BE3" w:rsidTr="00402AD8">
        <w:trPr>
          <w:trHeight w:val="288"/>
          <w:jc w:val="center"/>
        </w:trPr>
        <w:tc>
          <w:tcPr>
            <w:tcW w:w="926" w:type="pct"/>
            <w:shd w:val="clear" w:color="auto" w:fill="auto"/>
            <w:noWrap/>
            <w:vAlign w:val="bottom"/>
            <w:hideMark/>
          </w:tcPr>
          <w:p w:rsidR="00054BE3" w:rsidRPr="00054BE3" w:rsidRDefault="00054BE3" w:rsidP="00D12121">
            <w:pPr>
              <w:pStyle w:val="TableText"/>
              <w:rPr>
                <w:lang w:eastAsia="en-NZ"/>
              </w:rPr>
            </w:pPr>
            <w:r w:rsidRPr="00054BE3">
              <w:rPr>
                <w:lang w:eastAsia="en-NZ"/>
              </w:rPr>
              <w:t>LAND_NAME</w:t>
            </w:r>
          </w:p>
        </w:tc>
        <w:tc>
          <w:tcPr>
            <w:tcW w:w="1477" w:type="pct"/>
            <w:shd w:val="clear" w:color="auto" w:fill="auto"/>
            <w:noWrap/>
            <w:vAlign w:val="bottom"/>
            <w:hideMark/>
          </w:tcPr>
          <w:p w:rsidR="00054BE3" w:rsidRPr="00054BE3" w:rsidRDefault="00054BE3" w:rsidP="00D12121">
            <w:pPr>
              <w:pStyle w:val="TableText"/>
              <w:rPr>
                <w:lang w:eastAsia="en-NZ"/>
              </w:rPr>
            </w:pPr>
            <w:r w:rsidRPr="00054BE3">
              <w:rPr>
                <w:lang w:eastAsia="en-NZ"/>
              </w:rPr>
              <w:t>Type</w:t>
            </w:r>
          </w:p>
        </w:tc>
        <w:tc>
          <w:tcPr>
            <w:tcW w:w="626" w:type="pct"/>
            <w:shd w:val="clear" w:color="auto" w:fill="auto"/>
            <w:noWrap/>
            <w:vAlign w:val="bottom"/>
            <w:hideMark/>
          </w:tcPr>
          <w:p w:rsidR="00054BE3" w:rsidRPr="00054BE3" w:rsidRDefault="00054BE3" w:rsidP="00D12121">
            <w:pPr>
              <w:pStyle w:val="TableText"/>
              <w:rPr>
                <w:lang w:eastAsia="en-NZ"/>
              </w:rPr>
            </w:pPr>
            <w:r w:rsidRPr="00054BE3">
              <w:rPr>
                <w:lang w:eastAsia="en-NZ"/>
              </w:rPr>
              <w:t>STATSNZ</w:t>
            </w:r>
          </w:p>
        </w:tc>
        <w:tc>
          <w:tcPr>
            <w:tcW w:w="1971" w:type="pct"/>
            <w:shd w:val="clear" w:color="auto" w:fill="auto"/>
            <w:noWrap/>
            <w:vAlign w:val="bottom"/>
            <w:hideMark/>
          </w:tcPr>
          <w:p w:rsidR="00054BE3" w:rsidRPr="00054BE3" w:rsidRDefault="00054BE3" w:rsidP="00D12121">
            <w:pPr>
              <w:pStyle w:val="TableText"/>
              <w:rPr>
                <w:lang w:eastAsia="en-NZ"/>
              </w:rPr>
            </w:pPr>
            <w:r w:rsidRPr="00054BE3">
              <w:rPr>
                <w:lang w:eastAsia="en-NZ"/>
              </w:rPr>
              <w:t xml:space="preserve">ANZLIC Metadata 2015 </w:t>
            </w:r>
            <w:proofErr w:type="spellStart"/>
            <w:r w:rsidRPr="00054BE3">
              <w:rPr>
                <w:lang w:eastAsia="en-NZ"/>
              </w:rPr>
              <w:t>Meshblocks</w:t>
            </w:r>
            <w:proofErr w:type="spellEnd"/>
            <w:r w:rsidRPr="00054BE3">
              <w:rPr>
                <w:lang w:eastAsia="en-NZ"/>
              </w:rPr>
              <w:t xml:space="preserve"> Annual Pattern</w:t>
            </w:r>
          </w:p>
        </w:tc>
      </w:tr>
      <w:tr w:rsidR="001471B5" w:rsidRPr="00054BE3" w:rsidTr="00402AD8">
        <w:trPr>
          <w:trHeight w:val="288"/>
          <w:jc w:val="center"/>
        </w:trPr>
        <w:tc>
          <w:tcPr>
            <w:tcW w:w="926" w:type="pct"/>
            <w:shd w:val="clear" w:color="auto" w:fill="auto"/>
            <w:noWrap/>
            <w:vAlign w:val="bottom"/>
            <w:hideMark/>
          </w:tcPr>
          <w:p w:rsidR="00054BE3" w:rsidRPr="00054BE3" w:rsidRDefault="00E22771" w:rsidP="00D12121">
            <w:pPr>
              <w:pStyle w:val="TableText"/>
              <w:rPr>
                <w:lang w:eastAsia="en-NZ"/>
              </w:rPr>
            </w:pPr>
            <w:r>
              <w:rPr>
                <w:lang w:eastAsia="en-NZ"/>
              </w:rPr>
              <w:t>Tūī</w:t>
            </w:r>
          </w:p>
        </w:tc>
        <w:tc>
          <w:tcPr>
            <w:tcW w:w="1477" w:type="pct"/>
            <w:shd w:val="clear" w:color="auto" w:fill="auto"/>
            <w:noWrap/>
            <w:vAlign w:val="bottom"/>
            <w:hideMark/>
          </w:tcPr>
          <w:p w:rsidR="00054BE3" w:rsidRPr="00054BE3" w:rsidRDefault="00054BE3" w:rsidP="00D12121">
            <w:pPr>
              <w:pStyle w:val="TableText"/>
              <w:rPr>
                <w:lang w:eastAsia="en-NZ"/>
              </w:rPr>
            </w:pPr>
            <w:r w:rsidRPr="00054BE3">
              <w:rPr>
                <w:lang w:eastAsia="en-NZ"/>
              </w:rPr>
              <w:t xml:space="preserve">Number of </w:t>
            </w:r>
            <w:proofErr w:type="spellStart"/>
            <w:r w:rsidR="00E22771">
              <w:rPr>
                <w:lang w:eastAsia="en-NZ"/>
              </w:rPr>
              <w:t>tūī</w:t>
            </w:r>
            <w:r w:rsidRPr="00054BE3">
              <w:rPr>
                <w:lang w:eastAsia="en-NZ"/>
              </w:rPr>
              <w:t>s</w:t>
            </w:r>
            <w:proofErr w:type="spellEnd"/>
            <w:r w:rsidRPr="00054BE3">
              <w:rPr>
                <w:lang w:eastAsia="en-NZ"/>
              </w:rPr>
              <w:t xml:space="preserve"> counted</w:t>
            </w:r>
          </w:p>
        </w:tc>
        <w:tc>
          <w:tcPr>
            <w:tcW w:w="626" w:type="pct"/>
            <w:shd w:val="clear" w:color="auto" w:fill="auto"/>
            <w:noWrap/>
            <w:vAlign w:val="bottom"/>
            <w:hideMark/>
          </w:tcPr>
          <w:p w:rsidR="00054BE3" w:rsidRPr="00054BE3" w:rsidRDefault="00054BE3" w:rsidP="00D12121">
            <w:pPr>
              <w:pStyle w:val="TableText"/>
              <w:rPr>
                <w:lang w:eastAsia="en-NZ"/>
              </w:rPr>
            </w:pPr>
            <w:r w:rsidRPr="00054BE3">
              <w:rPr>
                <w:lang w:eastAsia="en-NZ"/>
              </w:rPr>
              <w:t>GBS</w:t>
            </w:r>
          </w:p>
        </w:tc>
        <w:tc>
          <w:tcPr>
            <w:tcW w:w="1971" w:type="pct"/>
            <w:shd w:val="clear" w:color="auto" w:fill="auto"/>
            <w:noWrap/>
            <w:vAlign w:val="bottom"/>
            <w:hideMark/>
          </w:tcPr>
          <w:p w:rsidR="00054BE3" w:rsidRPr="00054BE3" w:rsidRDefault="00054BE3" w:rsidP="00D12121">
            <w:pPr>
              <w:pStyle w:val="TableText"/>
              <w:rPr>
                <w:lang w:eastAsia="en-NZ"/>
              </w:rPr>
            </w:pPr>
          </w:p>
        </w:tc>
      </w:tr>
      <w:tr w:rsidR="001471B5" w:rsidRPr="00054BE3" w:rsidTr="00402AD8">
        <w:trPr>
          <w:trHeight w:val="288"/>
          <w:jc w:val="center"/>
        </w:trPr>
        <w:tc>
          <w:tcPr>
            <w:tcW w:w="926" w:type="pct"/>
            <w:shd w:val="clear" w:color="auto" w:fill="auto"/>
            <w:noWrap/>
            <w:vAlign w:val="bottom"/>
            <w:hideMark/>
          </w:tcPr>
          <w:p w:rsidR="00054BE3" w:rsidRPr="00054BE3" w:rsidRDefault="00054BE3" w:rsidP="00D12121">
            <w:pPr>
              <w:pStyle w:val="TableText"/>
              <w:rPr>
                <w:lang w:eastAsia="en-NZ"/>
              </w:rPr>
            </w:pPr>
            <w:r w:rsidRPr="00054BE3">
              <w:rPr>
                <w:lang w:eastAsia="en-NZ"/>
              </w:rPr>
              <w:t>Blackbird</w:t>
            </w:r>
          </w:p>
        </w:tc>
        <w:tc>
          <w:tcPr>
            <w:tcW w:w="1477" w:type="pct"/>
            <w:shd w:val="clear" w:color="auto" w:fill="auto"/>
            <w:noWrap/>
            <w:vAlign w:val="bottom"/>
            <w:hideMark/>
          </w:tcPr>
          <w:p w:rsidR="00054BE3" w:rsidRPr="00054BE3" w:rsidRDefault="00054BE3" w:rsidP="00D12121">
            <w:pPr>
              <w:pStyle w:val="TableText"/>
              <w:rPr>
                <w:lang w:eastAsia="en-NZ"/>
              </w:rPr>
            </w:pPr>
            <w:r w:rsidRPr="00054BE3">
              <w:rPr>
                <w:lang w:eastAsia="en-NZ"/>
              </w:rPr>
              <w:t>Number of blackbirds counted</w:t>
            </w:r>
          </w:p>
        </w:tc>
        <w:tc>
          <w:tcPr>
            <w:tcW w:w="626" w:type="pct"/>
            <w:shd w:val="clear" w:color="auto" w:fill="auto"/>
            <w:noWrap/>
            <w:vAlign w:val="bottom"/>
            <w:hideMark/>
          </w:tcPr>
          <w:p w:rsidR="00054BE3" w:rsidRPr="00054BE3" w:rsidRDefault="00054BE3" w:rsidP="00D12121">
            <w:pPr>
              <w:pStyle w:val="TableText"/>
              <w:rPr>
                <w:lang w:eastAsia="en-NZ"/>
              </w:rPr>
            </w:pPr>
            <w:r w:rsidRPr="00054BE3">
              <w:rPr>
                <w:lang w:eastAsia="en-NZ"/>
              </w:rPr>
              <w:t>GBS</w:t>
            </w:r>
          </w:p>
        </w:tc>
        <w:tc>
          <w:tcPr>
            <w:tcW w:w="1971" w:type="pct"/>
            <w:shd w:val="clear" w:color="auto" w:fill="auto"/>
            <w:noWrap/>
            <w:vAlign w:val="bottom"/>
            <w:hideMark/>
          </w:tcPr>
          <w:p w:rsidR="00054BE3" w:rsidRPr="00054BE3" w:rsidRDefault="00054BE3" w:rsidP="00D12121">
            <w:pPr>
              <w:pStyle w:val="TableText"/>
              <w:rPr>
                <w:lang w:eastAsia="en-NZ"/>
              </w:rPr>
            </w:pPr>
          </w:p>
        </w:tc>
      </w:tr>
      <w:tr w:rsidR="001471B5" w:rsidRPr="00054BE3" w:rsidTr="00402AD8">
        <w:trPr>
          <w:trHeight w:val="288"/>
          <w:jc w:val="center"/>
        </w:trPr>
        <w:tc>
          <w:tcPr>
            <w:tcW w:w="926" w:type="pct"/>
            <w:shd w:val="clear" w:color="auto" w:fill="auto"/>
            <w:noWrap/>
            <w:vAlign w:val="bottom"/>
            <w:hideMark/>
          </w:tcPr>
          <w:p w:rsidR="00054BE3" w:rsidRPr="00054BE3" w:rsidRDefault="00054BE3" w:rsidP="00D12121">
            <w:pPr>
              <w:pStyle w:val="TableText"/>
              <w:rPr>
                <w:lang w:eastAsia="en-NZ"/>
              </w:rPr>
            </w:pPr>
            <w:r w:rsidRPr="00054BE3">
              <w:rPr>
                <w:lang w:eastAsia="en-NZ"/>
              </w:rPr>
              <w:t>Silvereye</w:t>
            </w:r>
          </w:p>
        </w:tc>
        <w:tc>
          <w:tcPr>
            <w:tcW w:w="1477" w:type="pct"/>
            <w:shd w:val="clear" w:color="auto" w:fill="auto"/>
            <w:noWrap/>
            <w:vAlign w:val="bottom"/>
            <w:hideMark/>
          </w:tcPr>
          <w:p w:rsidR="00054BE3" w:rsidRPr="00054BE3" w:rsidRDefault="00054BE3" w:rsidP="00D12121">
            <w:pPr>
              <w:pStyle w:val="TableText"/>
              <w:rPr>
                <w:lang w:eastAsia="en-NZ"/>
              </w:rPr>
            </w:pPr>
            <w:r w:rsidRPr="00054BE3">
              <w:rPr>
                <w:lang w:eastAsia="en-NZ"/>
              </w:rPr>
              <w:t>Number of silvereyes counted</w:t>
            </w:r>
          </w:p>
        </w:tc>
        <w:tc>
          <w:tcPr>
            <w:tcW w:w="626" w:type="pct"/>
            <w:shd w:val="clear" w:color="auto" w:fill="auto"/>
            <w:noWrap/>
            <w:vAlign w:val="bottom"/>
            <w:hideMark/>
          </w:tcPr>
          <w:p w:rsidR="00054BE3" w:rsidRPr="00054BE3" w:rsidRDefault="00054BE3" w:rsidP="00D12121">
            <w:pPr>
              <w:pStyle w:val="TableText"/>
              <w:rPr>
                <w:lang w:eastAsia="en-NZ"/>
              </w:rPr>
            </w:pPr>
            <w:r w:rsidRPr="00054BE3">
              <w:rPr>
                <w:lang w:eastAsia="en-NZ"/>
              </w:rPr>
              <w:t>GBS</w:t>
            </w:r>
          </w:p>
        </w:tc>
        <w:tc>
          <w:tcPr>
            <w:tcW w:w="1971" w:type="pct"/>
            <w:shd w:val="clear" w:color="auto" w:fill="auto"/>
            <w:noWrap/>
            <w:vAlign w:val="bottom"/>
            <w:hideMark/>
          </w:tcPr>
          <w:p w:rsidR="00054BE3" w:rsidRPr="00054BE3" w:rsidRDefault="00054BE3" w:rsidP="00D12121">
            <w:pPr>
              <w:pStyle w:val="TableText"/>
              <w:rPr>
                <w:lang w:eastAsia="en-NZ"/>
              </w:rPr>
            </w:pPr>
          </w:p>
        </w:tc>
      </w:tr>
      <w:tr w:rsidR="001471B5" w:rsidRPr="00054BE3" w:rsidTr="00402AD8">
        <w:trPr>
          <w:trHeight w:val="288"/>
          <w:jc w:val="center"/>
        </w:trPr>
        <w:tc>
          <w:tcPr>
            <w:tcW w:w="926" w:type="pct"/>
            <w:shd w:val="clear" w:color="auto" w:fill="auto"/>
            <w:noWrap/>
            <w:vAlign w:val="bottom"/>
            <w:hideMark/>
          </w:tcPr>
          <w:p w:rsidR="00054BE3" w:rsidRPr="00054BE3" w:rsidRDefault="00054BE3" w:rsidP="00D12121">
            <w:pPr>
              <w:pStyle w:val="TableText"/>
              <w:rPr>
                <w:lang w:eastAsia="en-NZ"/>
              </w:rPr>
            </w:pPr>
            <w:r w:rsidRPr="00054BE3">
              <w:rPr>
                <w:lang w:eastAsia="en-NZ"/>
              </w:rPr>
              <w:t>Fantail</w:t>
            </w:r>
          </w:p>
        </w:tc>
        <w:tc>
          <w:tcPr>
            <w:tcW w:w="1477" w:type="pct"/>
            <w:shd w:val="clear" w:color="auto" w:fill="auto"/>
            <w:noWrap/>
            <w:vAlign w:val="bottom"/>
            <w:hideMark/>
          </w:tcPr>
          <w:p w:rsidR="00054BE3" w:rsidRPr="00054BE3" w:rsidRDefault="00054BE3" w:rsidP="00D12121">
            <w:pPr>
              <w:pStyle w:val="TableText"/>
              <w:rPr>
                <w:lang w:eastAsia="en-NZ"/>
              </w:rPr>
            </w:pPr>
            <w:r w:rsidRPr="00054BE3">
              <w:rPr>
                <w:lang w:eastAsia="en-NZ"/>
              </w:rPr>
              <w:t>Number of fantails counted</w:t>
            </w:r>
          </w:p>
        </w:tc>
        <w:tc>
          <w:tcPr>
            <w:tcW w:w="626" w:type="pct"/>
            <w:shd w:val="clear" w:color="auto" w:fill="auto"/>
            <w:noWrap/>
            <w:vAlign w:val="bottom"/>
            <w:hideMark/>
          </w:tcPr>
          <w:p w:rsidR="00054BE3" w:rsidRPr="00054BE3" w:rsidRDefault="00054BE3" w:rsidP="00D12121">
            <w:pPr>
              <w:pStyle w:val="TableText"/>
              <w:rPr>
                <w:lang w:eastAsia="en-NZ"/>
              </w:rPr>
            </w:pPr>
            <w:r w:rsidRPr="00054BE3">
              <w:rPr>
                <w:lang w:eastAsia="en-NZ"/>
              </w:rPr>
              <w:t>GBS</w:t>
            </w:r>
          </w:p>
        </w:tc>
        <w:tc>
          <w:tcPr>
            <w:tcW w:w="1971" w:type="pct"/>
            <w:shd w:val="clear" w:color="auto" w:fill="auto"/>
            <w:noWrap/>
            <w:vAlign w:val="bottom"/>
            <w:hideMark/>
          </w:tcPr>
          <w:p w:rsidR="00054BE3" w:rsidRPr="00054BE3" w:rsidRDefault="00054BE3" w:rsidP="00D12121">
            <w:pPr>
              <w:pStyle w:val="TableText"/>
              <w:rPr>
                <w:lang w:eastAsia="en-NZ"/>
              </w:rPr>
            </w:pPr>
          </w:p>
        </w:tc>
      </w:tr>
    </w:tbl>
    <w:p w:rsidR="00E41091" w:rsidRDefault="00E41091" w:rsidP="004D4B80">
      <w:pPr>
        <w:pStyle w:val="BodyText"/>
      </w:pPr>
    </w:p>
    <w:p w:rsidR="00943169" w:rsidRPr="00943169" w:rsidRDefault="00943169" w:rsidP="00943169">
      <w:pPr>
        <w:pStyle w:val="Note"/>
        <w:rPr>
          <w:b/>
        </w:rPr>
      </w:pPr>
      <w:r w:rsidRPr="00943169">
        <w:rPr>
          <w:b/>
        </w:rPr>
        <w:t>Notes:</w:t>
      </w:r>
    </w:p>
    <w:p w:rsidR="00393246" w:rsidRDefault="00393246" w:rsidP="00943169">
      <w:pPr>
        <w:pStyle w:val="Note"/>
      </w:pPr>
      <w:r>
        <w:t>GIS = Geographic Information System (ArcMap)</w:t>
      </w:r>
    </w:p>
    <w:p w:rsidR="00393246" w:rsidRDefault="00393246" w:rsidP="00943169">
      <w:pPr>
        <w:pStyle w:val="Note"/>
      </w:pPr>
      <w:r>
        <w:t>GBS = Garden Bird Survey dataset provided by the organiser, Eric Spurr</w:t>
      </w:r>
    </w:p>
    <w:p w:rsidR="00393246" w:rsidRPr="009F3C27" w:rsidRDefault="00393246" w:rsidP="00943169">
      <w:pPr>
        <w:pStyle w:val="Note"/>
        <w:rPr>
          <w:lang w:val="fr-FR"/>
        </w:rPr>
      </w:pPr>
      <w:r w:rsidRPr="009F3C27">
        <w:rPr>
          <w:lang w:val="fr-FR"/>
        </w:rPr>
        <w:t>STATSNZ</w:t>
      </w:r>
      <w:r w:rsidR="00943169" w:rsidRPr="00C45557">
        <w:rPr>
          <w:lang w:val="fr-FR"/>
        </w:rPr>
        <w:t xml:space="preserve"> = </w:t>
      </w:r>
      <w:r w:rsidR="00943169" w:rsidRPr="009F3C27">
        <w:rPr>
          <w:lang w:val="fr-FR"/>
        </w:rPr>
        <w:t>www.stats.govt.nz/methods/classifications-and-standards/classification-related-stats-standards</w:t>
      </w:r>
    </w:p>
    <w:p w:rsidR="004F53AC" w:rsidRPr="009F3C27" w:rsidRDefault="00725A18" w:rsidP="004D4B80">
      <w:pPr>
        <w:pStyle w:val="BodyText"/>
        <w:rPr>
          <w:lang w:val="fr-FR"/>
        </w:rPr>
      </w:pPr>
      <w:r w:rsidRPr="009F3C27">
        <w:rPr>
          <w:lang w:val="fr-FR"/>
        </w:rPr>
        <w:br w:type="page"/>
      </w:r>
      <w:bookmarkStart w:id="56" w:name="_Toc214704940"/>
      <w:bookmarkStart w:id="57" w:name="_Toc174765997"/>
    </w:p>
    <w:p w:rsidR="00D91890" w:rsidRDefault="00D91890" w:rsidP="0032418F">
      <w:pPr>
        <w:pStyle w:val="Heading1"/>
      </w:pPr>
      <w:bookmarkStart w:id="58" w:name="_Toc427250841"/>
      <w:r>
        <w:t xml:space="preserve">Appendix </w:t>
      </w:r>
      <w:r w:rsidR="00DD0AE2">
        <w:t>C</w:t>
      </w:r>
      <w:bookmarkEnd w:id="58"/>
    </w:p>
    <w:p w:rsidR="00D91890" w:rsidRDefault="00D91890" w:rsidP="00D91890">
      <w:pPr>
        <w:pStyle w:val="Heading2"/>
      </w:pPr>
      <w:bookmarkStart w:id="59" w:name="_Toc427250842"/>
      <w:r>
        <w:t>Calculating annual alert thresholds</w:t>
      </w:r>
      <w:bookmarkEnd w:id="59"/>
    </w:p>
    <w:p w:rsidR="00D91890" w:rsidRPr="00BE7501" w:rsidRDefault="00BE7501" w:rsidP="00402AD8">
      <w:pPr>
        <w:pStyle w:val="BodyText"/>
      </w:pPr>
      <w:r w:rsidRPr="00BE7501">
        <w:t xml:space="preserve">Formula used to </w:t>
      </w:r>
      <w:r w:rsidR="00D91890" w:rsidRPr="00BE7501">
        <w:t xml:space="preserve">calculate </w:t>
      </w:r>
      <w:r w:rsidRPr="00BE7501">
        <w:t>annual alert thresholds:</w:t>
      </w:r>
      <w:r w:rsidR="00D91890" w:rsidRPr="00BE7501">
        <w:t xml:space="preserve"> </w:t>
      </w:r>
    </w:p>
    <w:p w:rsidR="00D91890" w:rsidRPr="00BE7501" w:rsidRDefault="00D91890" w:rsidP="00402AD8">
      <w:pPr>
        <w:pStyle w:val="BodyText"/>
      </w:pPr>
    </w:p>
    <w:p w:rsidR="00943169" w:rsidRPr="00BE7501" w:rsidRDefault="00BE7501" w:rsidP="00402AD8">
      <w:pPr>
        <w:pStyle w:val="BodyText"/>
      </w:pPr>
      <m:oMathPara>
        <m:oMath>
          <m:r>
            <w:rPr>
              <w:rFonts w:ascii="Cambria Math" w:hAnsi="Cambria Math"/>
            </w:rPr>
            <m:t>y=e</m:t>
          </m:r>
          <m:d>
            <m:dPr>
              <m:ctrlPr>
                <w:rPr>
                  <w:rFonts w:ascii="Cambria Math" w:hAnsi="Cambria Math"/>
                  <w:i/>
                </w:rPr>
              </m:ctrlPr>
            </m:dPr>
            <m:e>
              <m:f>
                <m:fPr>
                  <m:ctrlPr>
                    <w:rPr>
                      <w:rFonts w:ascii="Cambria Math" w:hAnsi="Cambria Math"/>
                      <w:i/>
                    </w:rPr>
                  </m:ctrlPr>
                </m:fPr>
                <m:num>
                  <m:r>
                    <m:rPr>
                      <m:sty m:val="p"/>
                    </m:rPr>
                    <w:rPr>
                      <w:rFonts w:ascii="Cambria Math" w:hAnsi="Cambria Math"/>
                    </w:rPr>
                    <m:t>log⁡</m:t>
                  </m:r>
                  <m:r>
                    <w:rPr>
                      <w:rFonts w:ascii="Cambria Math" w:hAnsi="Cambria Math"/>
                    </w:rPr>
                    <m:t>(x)</m:t>
                  </m:r>
                </m:num>
                <m:den>
                  <m:r>
                    <w:rPr>
                      <w:rFonts w:ascii="Cambria Math" w:hAnsi="Cambria Math"/>
                    </w:rPr>
                    <m:t>n</m:t>
                  </m:r>
                </m:den>
              </m:f>
            </m:e>
          </m:d>
          <m:r>
            <w:rPr>
              <w:rFonts w:ascii="Cambria Math" w:hAnsi="Cambria Math"/>
            </w:rPr>
            <m:t>-1</m:t>
          </m:r>
        </m:oMath>
      </m:oMathPara>
    </w:p>
    <w:p w:rsidR="00D91890" w:rsidRPr="00BE7501" w:rsidRDefault="00D91890" w:rsidP="00402AD8">
      <w:pPr>
        <w:pStyle w:val="BodyText"/>
      </w:pPr>
    </w:p>
    <w:p w:rsidR="0089560D" w:rsidRPr="00BE7501" w:rsidRDefault="0089560D" w:rsidP="00402AD8">
      <w:pPr>
        <w:pStyle w:val="BodyText"/>
      </w:pPr>
      <w:proofErr w:type="gramStart"/>
      <w:r w:rsidRPr="00BE7501">
        <w:t>where</w:t>
      </w:r>
      <w:proofErr w:type="gramEnd"/>
      <w:r w:rsidRPr="00BE7501">
        <w:t>:</w:t>
      </w:r>
    </w:p>
    <w:p w:rsidR="0089560D" w:rsidRPr="00BE7501" w:rsidRDefault="0089560D" w:rsidP="00402AD8">
      <w:pPr>
        <w:pStyle w:val="BodyText"/>
      </w:pPr>
    </w:p>
    <w:p w:rsidR="00BE7501" w:rsidRPr="00BE7501" w:rsidRDefault="00BE7501" w:rsidP="00402AD8">
      <w:pPr>
        <w:pStyle w:val="BodyText"/>
      </w:pPr>
      <w:r w:rsidRPr="00BE7501">
        <w:rPr>
          <w:i/>
        </w:rPr>
        <w:t xml:space="preserve">y </w:t>
      </w:r>
      <w:r w:rsidRPr="00BE7501">
        <w:t xml:space="preserve"> </w:t>
      </w:r>
      <w:r w:rsidRPr="00BE7501">
        <w:tab/>
        <w:t xml:space="preserve">= </w:t>
      </w:r>
      <w:r w:rsidR="004D3F4F">
        <w:t>proportional</w:t>
      </w:r>
      <w:r w:rsidRPr="00BE7501">
        <w:t xml:space="preserve"> rate of change </w:t>
      </w:r>
    </w:p>
    <w:p w:rsidR="0089560D" w:rsidRPr="00BE7501" w:rsidRDefault="00BE7501" w:rsidP="00402AD8">
      <w:pPr>
        <w:pStyle w:val="BodyText"/>
      </w:pPr>
      <w:r w:rsidRPr="00BE7501">
        <w:rPr>
          <w:i/>
        </w:rPr>
        <w:t>e</w:t>
      </w:r>
      <w:r w:rsidR="0089560D" w:rsidRPr="00BE7501">
        <w:t xml:space="preserve"> </w:t>
      </w:r>
      <w:r w:rsidRPr="00BE7501">
        <w:tab/>
      </w:r>
      <w:r w:rsidR="0089560D" w:rsidRPr="00BE7501">
        <w:t>= exponential</w:t>
      </w:r>
    </w:p>
    <w:p w:rsidR="00BE7501" w:rsidRPr="00BE7501" w:rsidRDefault="00BE7501" w:rsidP="00402AD8">
      <w:pPr>
        <w:pStyle w:val="BodyText"/>
      </w:pPr>
      <w:proofErr w:type="gramStart"/>
      <w:r w:rsidRPr="00BE7501">
        <w:rPr>
          <w:i/>
        </w:rPr>
        <w:t>log</w:t>
      </w:r>
      <w:proofErr w:type="gramEnd"/>
      <w:r w:rsidRPr="00BE7501">
        <w:t xml:space="preserve"> </w:t>
      </w:r>
      <w:r w:rsidRPr="00BE7501">
        <w:tab/>
        <w:t>= natural logarithm</w:t>
      </w:r>
    </w:p>
    <w:p w:rsidR="0089560D" w:rsidRPr="00BE7501" w:rsidRDefault="0089560D" w:rsidP="00402AD8">
      <w:pPr>
        <w:pStyle w:val="BodyText"/>
      </w:pPr>
      <w:r w:rsidRPr="00BE7501">
        <w:rPr>
          <w:i/>
        </w:rPr>
        <w:t>x</w:t>
      </w:r>
      <w:r w:rsidRPr="00BE7501">
        <w:t xml:space="preserve"> </w:t>
      </w:r>
      <w:r w:rsidR="00BE7501" w:rsidRPr="00BE7501">
        <w:tab/>
      </w:r>
      <w:r w:rsidRPr="00BE7501">
        <w:t xml:space="preserve">= </w:t>
      </w:r>
      <w:r w:rsidR="004D3F4F">
        <w:t>proportional</w:t>
      </w:r>
      <w:r w:rsidR="00BE7501" w:rsidRPr="00BE7501">
        <w:t xml:space="preserve"> </w:t>
      </w:r>
      <w:r w:rsidRPr="00BE7501">
        <w:t>change in the size of the population</w:t>
      </w:r>
    </w:p>
    <w:p w:rsidR="0089560D" w:rsidRPr="00BE7501" w:rsidRDefault="0089560D" w:rsidP="00402AD8">
      <w:pPr>
        <w:pStyle w:val="BodyText"/>
      </w:pPr>
      <w:r w:rsidRPr="00BE7501">
        <w:rPr>
          <w:i/>
        </w:rPr>
        <w:t>n</w:t>
      </w:r>
      <w:r w:rsidRPr="00BE7501">
        <w:t xml:space="preserve"> </w:t>
      </w:r>
      <w:r w:rsidR="00BE7501" w:rsidRPr="00BE7501">
        <w:tab/>
      </w:r>
      <w:r w:rsidRPr="00BE7501">
        <w:t>= the number of years that change has occurred within</w:t>
      </w:r>
    </w:p>
    <w:p w:rsidR="00BE7501" w:rsidRPr="00BE7501" w:rsidRDefault="00BE7501" w:rsidP="00402AD8">
      <w:pPr>
        <w:pStyle w:val="BodyText"/>
      </w:pPr>
    </w:p>
    <w:p w:rsidR="0089560D" w:rsidRPr="0089560D" w:rsidRDefault="0089560D" w:rsidP="00402AD8">
      <w:pPr>
        <w:pStyle w:val="BodyText"/>
        <w:rPr>
          <w:highlight w:val="yellow"/>
        </w:rPr>
      </w:pPr>
    </w:p>
    <w:p w:rsidR="0089560D" w:rsidRPr="00BE7501" w:rsidRDefault="0089560D" w:rsidP="00402AD8">
      <w:pPr>
        <w:pStyle w:val="BodyText"/>
      </w:pPr>
    </w:p>
    <w:tbl>
      <w:tblPr>
        <w:tblStyle w:val="TableGrid"/>
        <w:tblW w:w="5000" w:type="pct"/>
        <w:tblLook w:val="04A0" w:firstRow="1" w:lastRow="0" w:firstColumn="1" w:lastColumn="0" w:noHBand="0" w:noVBand="1"/>
      </w:tblPr>
      <w:tblGrid>
        <w:gridCol w:w="817"/>
        <w:gridCol w:w="4111"/>
        <w:gridCol w:w="709"/>
        <w:gridCol w:w="567"/>
        <w:gridCol w:w="992"/>
        <w:gridCol w:w="1524"/>
      </w:tblGrid>
      <w:tr w:rsidR="004D3F4F" w:rsidRPr="00BE7501" w:rsidTr="00402AD8">
        <w:tc>
          <w:tcPr>
            <w:tcW w:w="817" w:type="dxa"/>
            <w:shd w:val="clear" w:color="auto" w:fill="D9D9D9" w:themeFill="background1" w:themeFillShade="D9"/>
          </w:tcPr>
          <w:p w:rsidR="004D3F4F" w:rsidRPr="00BE7501" w:rsidRDefault="004D3F4F" w:rsidP="000D161C">
            <w:pPr>
              <w:pStyle w:val="TableTextbold"/>
            </w:pPr>
            <w:r w:rsidRPr="00BE7501">
              <w:t xml:space="preserve">Alert </w:t>
            </w:r>
          </w:p>
        </w:tc>
        <w:tc>
          <w:tcPr>
            <w:tcW w:w="4111" w:type="dxa"/>
            <w:shd w:val="clear" w:color="auto" w:fill="D9D9D9" w:themeFill="background1" w:themeFillShade="D9"/>
          </w:tcPr>
          <w:p w:rsidR="004D3F4F" w:rsidRPr="00BE7501" w:rsidRDefault="004D3F4F" w:rsidP="000D161C">
            <w:pPr>
              <w:pStyle w:val="TableTextbold"/>
            </w:pPr>
            <w:r w:rsidRPr="00BE7501">
              <w:t>Alert description</w:t>
            </w:r>
          </w:p>
        </w:tc>
        <w:tc>
          <w:tcPr>
            <w:tcW w:w="709" w:type="dxa"/>
            <w:shd w:val="clear" w:color="auto" w:fill="D9D9D9" w:themeFill="background1" w:themeFillShade="D9"/>
          </w:tcPr>
          <w:p w:rsidR="004D3F4F" w:rsidRPr="00BE7501" w:rsidRDefault="004D3F4F" w:rsidP="000D161C">
            <w:pPr>
              <w:pStyle w:val="TableTextbold"/>
              <w:rPr>
                <w:i/>
              </w:rPr>
            </w:pPr>
            <w:r w:rsidRPr="00BE7501">
              <w:rPr>
                <w:i/>
              </w:rPr>
              <w:t>x</w:t>
            </w:r>
          </w:p>
        </w:tc>
        <w:tc>
          <w:tcPr>
            <w:tcW w:w="567" w:type="dxa"/>
            <w:shd w:val="clear" w:color="auto" w:fill="D9D9D9" w:themeFill="background1" w:themeFillShade="D9"/>
          </w:tcPr>
          <w:p w:rsidR="004D3F4F" w:rsidRPr="00BE7501" w:rsidRDefault="004D3F4F" w:rsidP="000D161C">
            <w:pPr>
              <w:pStyle w:val="TableTextbold"/>
              <w:rPr>
                <w:i/>
              </w:rPr>
            </w:pPr>
            <w:r w:rsidRPr="00BE7501">
              <w:rPr>
                <w:i/>
              </w:rPr>
              <w:t>n</w:t>
            </w:r>
          </w:p>
        </w:tc>
        <w:tc>
          <w:tcPr>
            <w:tcW w:w="992" w:type="dxa"/>
            <w:shd w:val="clear" w:color="auto" w:fill="D9D9D9" w:themeFill="background1" w:themeFillShade="D9"/>
          </w:tcPr>
          <w:p w:rsidR="004D3F4F" w:rsidRPr="00BE7501" w:rsidRDefault="004D3F4F" w:rsidP="000D161C">
            <w:pPr>
              <w:pStyle w:val="TableTextbold"/>
              <w:rPr>
                <w:i/>
              </w:rPr>
            </w:pPr>
            <w:r w:rsidRPr="00BE7501">
              <w:rPr>
                <w:i/>
              </w:rPr>
              <w:t>y</w:t>
            </w:r>
          </w:p>
        </w:tc>
        <w:tc>
          <w:tcPr>
            <w:tcW w:w="1524" w:type="dxa"/>
            <w:shd w:val="clear" w:color="auto" w:fill="D9D9D9" w:themeFill="background1" w:themeFillShade="D9"/>
          </w:tcPr>
          <w:p w:rsidR="004D3F4F" w:rsidRPr="00BE7501" w:rsidRDefault="004D3F4F" w:rsidP="000D161C">
            <w:pPr>
              <w:pStyle w:val="TableTextbold"/>
              <w:rPr>
                <w:i/>
              </w:rPr>
            </w:pPr>
            <w:r>
              <w:rPr>
                <w:i/>
              </w:rPr>
              <w:t>Percent change per annum</w:t>
            </w:r>
          </w:p>
        </w:tc>
      </w:tr>
      <w:tr w:rsidR="004D3F4F" w:rsidRPr="00BE7501" w:rsidTr="00402AD8">
        <w:tc>
          <w:tcPr>
            <w:tcW w:w="817" w:type="dxa"/>
          </w:tcPr>
          <w:p w:rsidR="004D3F4F" w:rsidRPr="00BE7501" w:rsidRDefault="004D3F4F" w:rsidP="000D161C">
            <w:pPr>
              <w:pStyle w:val="TableText"/>
            </w:pPr>
            <w:r w:rsidRPr="00BE7501">
              <w:t>Red</w:t>
            </w:r>
          </w:p>
        </w:tc>
        <w:tc>
          <w:tcPr>
            <w:tcW w:w="4111" w:type="dxa"/>
          </w:tcPr>
          <w:p w:rsidR="004D3F4F" w:rsidRPr="00BE7501" w:rsidRDefault="004D3F4F" w:rsidP="000D161C">
            <w:pPr>
              <w:pStyle w:val="TableText"/>
            </w:pPr>
            <w:r w:rsidRPr="00BE7501">
              <w:t>Rapid decline (&gt;50% within 25 years)</w:t>
            </w:r>
          </w:p>
        </w:tc>
        <w:tc>
          <w:tcPr>
            <w:tcW w:w="709" w:type="dxa"/>
          </w:tcPr>
          <w:p w:rsidR="004D3F4F" w:rsidRPr="00BE7501" w:rsidRDefault="004D3F4F" w:rsidP="000D161C">
            <w:pPr>
              <w:pStyle w:val="TableText"/>
            </w:pPr>
            <w:r w:rsidRPr="00BE7501">
              <w:t>0.5</w:t>
            </w:r>
          </w:p>
        </w:tc>
        <w:tc>
          <w:tcPr>
            <w:tcW w:w="567" w:type="dxa"/>
          </w:tcPr>
          <w:p w:rsidR="004D3F4F" w:rsidRPr="00BE7501" w:rsidRDefault="004D3F4F" w:rsidP="000D161C">
            <w:pPr>
              <w:pStyle w:val="TableText"/>
            </w:pPr>
            <w:r w:rsidRPr="00BE7501">
              <w:t>25</w:t>
            </w:r>
          </w:p>
        </w:tc>
        <w:tc>
          <w:tcPr>
            <w:tcW w:w="992" w:type="dxa"/>
          </w:tcPr>
          <w:p w:rsidR="004D3F4F" w:rsidRPr="00BE7501" w:rsidRDefault="004D3F4F" w:rsidP="000D161C">
            <w:pPr>
              <w:pStyle w:val="TableText"/>
            </w:pPr>
            <w:r>
              <w:t>-0.02</w:t>
            </w:r>
            <w:r w:rsidRPr="00BE7501">
              <w:t>73</w:t>
            </w:r>
          </w:p>
        </w:tc>
        <w:tc>
          <w:tcPr>
            <w:tcW w:w="1524" w:type="dxa"/>
          </w:tcPr>
          <w:p w:rsidR="004D3F4F" w:rsidRPr="00BE7501" w:rsidRDefault="004D3F4F" w:rsidP="000D161C">
            <w:pPr>
              <w:pStyle w:val="TableText"/>
            </w:pPr>
            <w:r w:rsidRPr="00BE7501">
              <w:t>-2.73</w:t>
            </w:r>
          </w:p>
        </w:tc>
      </w:tr>
      <w:tr w:rsidR="004D3F4F" w:rsidRPr="00BE7501" w:rsidTr="00402AD8">
        <w:tc>
          <w:tcPr>
            <w:tcW w:w="817" w:type="dxa"/>
          </w:tcPr>
          <w:p w:rsidR="004D3F4F" w:rsidRPr="00BE7501" w:rsidRDefault="004D3F4F" w:rsidP="000D161C">
            <w:pPr>
              <w:pStyle w:val="TableText"/>
            </w:pPr>
            <w:r w:rsidRPr="00BE7501">
              <w:t>Amber</w:t>
            </w:r>
          </w:p>
        </w:tc>
        <w:tc>
          <w:tcPr>
            <w:tcW w:w="4111" w:type="dxa"/>
          </w:tcPr>
          <w:p w:rsidR="004D3F4F" w:rsidRPr="00BE7501" w:rsidRDefault="004D3F4F" w:rsidP="000D161C">
            <w:pPr>
              <w:pStyle w:val="TableText"/>
            </w:pPr>
            <w:r w:rsidRPr="00BE7501">
              <w:t>Moderate decline (&gt;-25% but &lt; -50%</w:t>
            </w:r>
            <w:r w:rsidR="000D161C">
              <w:t xml:space="preserve"> within 25 years</w:t>
            </w:r>
            <w:r w:rsidRPr="00BE7501">
              <w:t>)</w:t>
            </w:r>
          </w:p>
        </w:tc>
        <w:tc>
          <w:tcPr>
            <w:tcW w:w="709" w:type="dxa"/>
          </w:tcPr>
          <w:p w:rsidR="004D3F4F" w:rsidRPr="00BE7501" w:rsidRDefault="004D3F4F" w:rsidP="000D161C">
            <w:pPr>
              <w:pStyle w:val="TableText"/>
            </w:pPr>
            <w:r w:rsidRPr="00BE7501">
              <w:t>0.75</w:t>
            </w:r>
          </w:p>
        </w:tc>
        <w:tc>
          <w:tcPr>
            <w:tcW w:w="567" w:type="dxa"/>
          </w:tcPr>
          <w:p w:rsidR="004D3F4F" w:rsidRPr="00BE7501" w:rsidRDefault="004D3F4F" w:rsidP="000D161C">
            <w:pPr>
              <w:pStyle w:val="TableText"/>
            </w:pPr>
            <w:r w:rsidRPr="00BE7501">
              <w:t>25</w:t>
            </w:r>
          </w:p>
        </w:tc>
        <w:tc>
          <w:tcPr>
            <w:tcW w:w="992" w:type="dxa"/>
          </w:tcPr>
          <w:p w:rsidR="004D3F4F" w:rsidRPr="00BE7501" w:rsidRDefault="004D3F4F" w:rsidP="000D161C">
            <w:pPr>
              <w:pStyle w:val="TableText"/>
            </w:pPr>
            <w:r w:rsidRPr="00BE7501">
              <w:t>-</w:t>
            </w:r>
            <w:r>
              <w:t>0.0</w:t>
            </w:r>
            <w:r w:rsidRPr="00BE7501">
              <w:t>115</w:t>
            </w:r>
          </w:p>
        </w:tc>
        <w:tc>
          <w:tcPr>
            <w:tcW w:w="1524" w:type="dxa"/>
          </w:tcPr>
          <w:p w:rsidR="004D3F4F" w:rsidRPr="00BE7501" w:rsidRDefault="004D3F4F" w:rsidP="000D161C">
            <w:pPr>
              <w:pStyle w:val="TableText"/>
            </w:pPr>
            <w:r w:rsidRPr="00BE7501">
              <w:t>-1.15</w:t>
            </w:r>
          </w:p>
        </w:tc>
      </w:tr>
      <w:tr w:rsidR="004D3F4F" w:rsidRPr="00BE7501" w:rsidTr="00402AD8">
        <w:trPr>
          <w:trHeight w:val="79"/>
        </w:trPr>
        <w:tc>
          <w:tcPr>
            <w:tcW w:w="817" w:type="dxa"/>
          </w:tcPr>
          <w:p w:rsidR="004D3F4F" w:rsidRPr="00BE7501" w:rsidRDefault="004D3F4F" w:rsidP="000D161C">
            <w:pPr>
              <w:pStyle w:val="TableText"/>
            </w:pPr>
            <w:r w:rsidRPr="00BE7501">
              <w:t>Blue</w:t>
            </w:r>
          </w:p>
        </w:tc>
        <w:tc>
          <w:tcPr>
            <w:tcW w:w="4111" w:type="dxa"/>
          </w:tcPr>
          <w:p w:rsidR="004D3F4F" w:rsidRPr="00BE7501" w:rsidRDefault="004D3F4F" w:rsidP="000D161C">
            <w:pPr>
              <w:pStyle w:val="TableText"/>
            </w:pPr>
            <w:r w:rsidRPr="00BE7501">
              <w:t>Moderate increase (&gt;25% but &lt; 50%</w:t>
            </w:r>
            <w:r w:rsidR="000D161C">
              <w:t xml:space="preserve"> within 25 years</w:t>
            </w:r>
            <w:r w:rsidRPr="00BE7501">
              <w:t>)</w:t>
            </w:r>
          </w:p>
        </w:tc>
        <w:tc>
          <w:tcPr>
            <w:tcW w:w="709" w:type="dxa"/>
          </w:tcPr>
          <w:p w:rsidR="004D3F4F" w:rsidRPr="00BE7501" w:rsidRDefault="004D3F4F" w:rsidP="000D161C">
            <w:pPr>
              <w:pStyle w:val="TableText"/>
            </w:pPr>
            <w:r w:rsidRPr="00BE7501">
              <w:t>1.25</w:t>
            </w:r>
          </w:p>
        </w:tc>
        <w:tc>
          <w:tcPr>
            <w:tcW w:w="567" w:type="dxa"/>
          </w:tcPr>
          <w:p w:rsidR="004D3F4F" w:rsidRPr="00BE7501" w:rsidRDefault="004D3F4F" w:rsidP="000D161C">
            <w:pPr>
              <w:pStyle w:val="TableText"/>
            </w:pPr>
            <w:r w:rsidRPr="00BE7501">
              <w:t>25</w:t>
            </w:r>
          </w:p>
        </w:tc>
        <w:tc>
          <w:tcPr>
            <w:tcW w:w="992" w:type="dxa"/>
          </w:tcPr>
          <w:p w:rsidR="004D3F4F" w:rsidRPr="00BE7501" w:rsidRDefault="004D3F4F" w:rsidP="000D161C">
            <w:pPr>
              <w:pStyle w:val="TableText"/>
            </w:pPr>
            <w:r w:rsidRPr="00BE7501">
              <w:t>0.</w:t>
            </w:r>
            <w:r>
              <w:t>00</w:t>
            </w:r>
            <w:r w:rsidRPr="00BE7501">
              <w:t>089</w:t>
            </w:r>
          </w:p>
        </w:tc>
        <w:tc>
          <w:tcPr>
            <w:tcW w:w="1524" w:type="dxa"/>
          </w:tcPr>
          <w:p w:rsidR="004D3F4F" w:rsidRPr="00BE7501" w:rsidRDefault="004D3F4F" w:rsidP="000D161C">
            <w:pPr>
              <w:pStyle w:val="TableText"/>
            </w:pPr>
            <w:r w:rsidRPr="00BE7501">
              <w:t>0.089</w:t>
            </w:r>
          </w:p>
        </w:tc>
      </w:tr>
      <w:tr w:rsidR="004D3F4F" w:rsidTr="00402AD8">
        <w:tc>
          <w:tcPr>
            <w:tcW w:w="817" w:type="dxa"/>
          </w:tcPr>
          <w:p w:rsidR="004D3F4F" w:rsidRPr="00BE7501" w:rsidRDefault="004D3F4F" w:rsidP="000D161C">
            <w:pPr>
              <w:pStyle w:val="TableText"/>
            </w:pPr>
            <w:r w:rsidRPr="00BE7501">
              <w:t>Green</w:t>
            </w:r>
          </w:p>
        </w:tc>
        <w:tc>
          <w:tcPr>
            <w:tcW w:w="4111" w:type="dxa"/>
          </w:tcPr>
          <w:p w:rsidR="004D3F4F" w:rsidRPr="00BE7501" w:rsidRDefault="004D3F4F" w:rsidP="000D161C">
            <w:pPr>
              <w:pStyle w:val="TableText"/>
            </w:pPr>
            <w:r w:rsidRPr="00BE7501">
              <w:t>Rapid increase (&gt;50%</w:t>
            </w:r>
            <w:r w:rsidR="000D161C">
              <w:t xml:space="preserve"> within 25 years</w:t>
            </w:r>
            <w:r w:rsidRPr="00BE7501">
              <w:t>)</w:t>
            </w:r>
          </w:p>
        </w:tc>
        <w:tc>
          <w:tcPr>
            <w:tcW w:w="709" w:type="dxa"/>
          </w:tcPr>
          <w:p w:rsidR="004D3F4F" w:rsidRPr="00BE7501" w:rsidRDefault="004D3F4F" w:rsidP="000D161C">
            <w:pPr>
              <w:pStyle w:val="TableText"/>
            </w:pPr>
            <w:r w:rsidRPr="00BE7501">
              <w:t>1.5</w:t>
            </w:r>
          </w:p>
        </w:tc>
        <w:tc>
          <w:tcPr>
            <w:tcW w:w="567" w:type="dxa"/>
          </w:tcPr>
          <w:p w:rsidR="004D3F4F" w:rsidRPr="00BE7501" w:rsidRDefault="004D3F4F" w:rsidP="000D161C">
            <w:pPr>
              <w:pStyle w:val="TableText"/>
            </w:pPr>
            <w:r w:rsidRPr="00BE7501">
              <w:t>25</w:t>
            </w:r>
          </w:p>
        </w:tc>
        <w:tc>
          <w:tcPr>
            <w:tcW w:w="992" w:type="dxa"/>
          </w:tcPr>
          <w:p w:rsidR="004D3F4F" w:rsidRDefault="004D3F4F" w:rsidP="000D161C">
            <w:pPr>
              <w:pStyle w:val="TableText"/>
            </w:pPr>
            <w:r>
              <w:t>0.0</w:t>
            </w:r>
            <w:r w:rsidRPr="00BE7501">
              <w:t>164</w:t>
            </w:r>
          </w:p>
        </w:tc>
        <w:tc>
          <w:tcPr>
            <w:tcW w:w="1524" w:type="dxa"/>
          </w:tcPr>
          <w:p w:rsidR="004D3F4F" w:rsidRDefault="004D3F4F" w:rsidP="000D161C">
            <w:pPr>
              <w:pStyle w:val="TableText"/>
            </w:pPr>
            <w:r w:rsidRPr="00BE7501">
              <w:t>1.64</w:t>
            </w:r>
          </w:p>
        </w:tc>
      </w:tr>
    </w:tbl>
    <w:p w:rsidR="00D91890" w:rsidRDefault="00D91890" w:rsidP="00D91890">
      <w:pPr>
        <w:pStyle w:val="BodyText"/>
      </w:pPr>
    </w:p>
    <w:p w:rsidR="00943169" w:rsidRPr="00402AD8" w:rsidRDefault="00943169" w:rsidP="00402AD8">
      <w:pPr>
        <w:pStyle w:val="BodyText"/>
      </w:pPr>
    </w:p>
    <w:p w:rsidR="00D91890" w:rsidRPr="00402AD8" w:rsidRDefault="00D91890" w:rsidP="00402AD8">
      <w:pPr>
        <w:pStyle w:val="BodyText"/>
      </w:pPr>
      <w:r w:rsidRPr="00402AD8">
        <w:br w:type="page"/>
      </w:r>
    </w:p>
    <w:p w:rsidR="00F60035" w:rsidRDefault="0032418F" w:rsidP="0032418F">
      <w:pPr>
        <w:pStyle w:val="Heading1"/>
      </w:pPr>
      <w:bookmarkStart w:id="60" w:name="_Toc427250843"/>
      <w:r>
        <w:t xml:space="preserve">Appendix </w:t>
      </w:r>
      <w:r w:rsidR="00DD0AE2">
        <w:t>D</w:t>
      </w:r>
      <w:bookmarkEnd w:id="60"/>
    </w:p>
    <w:p w:rsidR="0032418F" w:rsidRDefault="0032418F" w:rsidP="00F60035">
      <w:pPr>
        <w:pStyle w:val="Heading2"/>
      </w:pPr>
      <w:bookmarkStart w:id="61" w:name="_Toc427250844"/>
      <w:r>
        <w:t>National and regional trends based on a</w:t>
      </w:r>
      <w:r w:rsidR="00E30FAD">
        <w:t>n easily computed</w:t>
      </w:r>
      <w:r>
        <w:t xml:space="preserve"> Bayesian modelling approach</w:t>
      </w:r>
      <w:bookmarkEnd w:id="61"/>
    </w:p>
    <w:p w:rsidR="0032418F" w:rsidRDefault="0032418F" w:rsidP="0032418F">
      <w:pPr>
        <w:pStyle w:val="BodyText"/>
      </w:pPr>
      <w:proofErr w:type="gramStart"/>
      <w:r>
        <w:t>National and regional trends for blackbird (based on the JAGS model)</w:t>
      </w:r>
      <w:r w:rsidR="00F60035">
        <w:t>.</w:t>
      </w:r>
      <w:proofErr w:type="gramEnd"/>
      <w:r w:rsidR="00F60035">
        <w:t xml:space="preserve"> The points show the national annual estimates with the black line indicating the linear trend and grey shading the 95% confidence intervals.</w:t>
      </w:r>
    </w:p>
    <w:p w:rsidR="0032418F" w:rsidRPr="00535D04" w:rsidRDefault="0032418F" w:rsidP="0032418F">
      <w:pPr>
        <w:pStyle w:val="BodyText"/>
      </w:pPr>
    </w:p>
    <w:p w:rsidR="00D2058E" w:rsidRDefault="006E5523" w:rsidP="00C45557">
      <w:r w:rsidRPr="00C45557">
        <w:rPr>
          <w:noProof/>
          <w:lang w:eastAsia="en-NZ"/>
        </w:rPr>
        <w:drawing>
          <wp:inline distT="0" distB="0" distL="0" distR="0" wp14:anchorId="50F13195" wp14:editId="50080E86">
            <wp:extent cx="2332629" cy="1814746"/>
            <wp:effectExtent l="0" t="0" r="0" b="0"/>
            <wp:docPr id="24" name="Picture 24" descr="G:\Documents\Building Trustworthy Biodiversity Indicators\GardenBird\MfE\Results\BlackbirdNZ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cuments\Building Trustworthy Biodiversity Indicators\GardenBird\MfE\Results\BlackbirdNZ_v2.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31431" cy="1813814"/>
                    </a:xfrm>
                    <a:prstGeom prst="rect">
                      <a:avLst/>
                    </a:prstGeom>
                    <a:noFill/>
                    <a:ln>
                      <a:noFill/>
                    </a:ln>
                  </pic:spPr>
                </pic:pic>
              </a:graphicData>
            </a:graphic>
          </wp:inline>
        </w:drawing>
      </w:r>
    </w:p>
    <w:p w:rsidR="00C45557" w:rsidRPr="00C45557" w:rsidRDefault="00C45557" w:rsidP="00C45557"/>
    <w:p w:rsidR="0032418F" w:rsidRPr="00C45557" w:rsidRDefault="006E5523" w:rsidP="00C45557">
      <w:r w:rsidRPr="00C45557">
        <w:rPr>
          <w:noProof/>
          <w:lang w:eastAsia="en-NZ"/>
        </w:rPr>
        <w:drawing>
          <wp:inline distT="0" distB="0" distL="0" distR="0" wp14:anchorId="60220C03" wp14:editId="1533A70F">
            <wp:extent cx="5400040" cy="4628606"/>
            <wp:effectExtent l="0" t="0" r="0" b="635"/>
            <wp:docPr id="26" name="Picture 26" descr="G:\Documents\Building Trustworthy Biodiversity Indicators\GardenBird\MfE\Results\BlackbirdRC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ocuments\Building Trustworthy Biodiversity Indicators\GardenBird\MfE\Results\BlackbirdRC_v2.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040" cy="4628606"/>
                    </a:xfrm>
                    <a:prstGeom prst="rect">
                      <a:avLst/>
                    </a:prstGeom>
                    <a:noFill/>
                    <a:ln>
                      <a:noFill/>
                    </a:ln>
                  </pic:spPr>
                </pic:pic>
              </a:graphicData>
            </a:graphic>
          </wp:inline>
        </w:drawing>
      </w:r>
    </w:p>
    <w:p w:rsidR="0032418F" w:rsidRPr="00535D04" w:rsidRDefault="0032418F" w:rsidP="0032418F">
      <w:pPr>
        <w:pStyle w:val="BodyText"/>
      </w:pPr>
      <w:proofErr w:type="gramStart"/>
      <w:r>
        <w:t>National and regional trends for Fantail (based on the JAGS model)</w:t>
      </w:r>
      <w:r w:rsidR="0043594A">
        <w:t>.</w:t>
      </w:r>
      <w:proofErr w:type="gramEnd"/>
      <w:r w:rsidR="0043594A">
        <w:t xml:space="preserve"> The points show the national annual estimates with the black line indicating the linear trend and grey shading the 95% confidence intervals.</w:t>
      </w:r>
    </w:p>
    <w:p w:rsidR="0032418F" w:rsidRDefault="0032418F" w:rsidP="00D2058E"/>
    <w:p w:rsidR="00D2058E" w:rsidRDefault="006E5523" w:rsidP="00D2058E">
      <w:r>
        <w:rPr>
          <w:noProof/>
          <w:lang w:eastAsia="en-NZ"/>
        </w:rPr>
        <w:drawing>
          <wp:inline distT="0" distB="0" distL="0" distR="0" wp14:anchorId="799CA75D" wp14:editId="09CD8E7A">
            <wp:extent cx="3701879" cy="2880000"/>
            <wp:effectExtent l="0" t="0" r="0" b="0"/>
            <wp:docPr id="28" name="Picture 28" descr="G:\Documents\Building Trustworthy Biodiversity Indicators\GardenBird\MfE\Results\FantailNZ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ocuments\Building Trustworthy Biodiversity Indicators\GardenBird\MfE\Results\FantailNZ_v2.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01879" cy="2880000"/>
                    </a:xfrm>
                    <a:prstGeom prst="rect">
                      <a:avLst/>
                    </a:prstGeom>
                    <a:noFill/>
                    <a:ln>
                      <a:noFill/>
                    </a:ln>
                  </pic:spPr>
                </pic:pic>
              </a:graphicData>
            </a:graphic>
          </wp:inline>
        </w:drawing>
      </w:r>
    </w:p>
    <w:p w:rsidR="00D2058E" w:rsidRDefault="006E5523" w:rsidP="00D2058E">
      <w:pPr>
        <w:pStyle w:val="BodyText"/>
      </w:pPr>
      <w:r>
        <w:rPr>
          <w:noProof/>
          <w:lang w:eastAsia="en-NZ"/>
        </w:rPr>
        <w:drawing>
          <wp:inline distT="0" distB="0" distL="0" distR="0" wp14:anchorId="2DDFA32E" wp14:editId="7783F2C6">
            <wp:extent cx="5250000" cy="4500000"/>
            <wp:effectExtent l="0" t="0" r="8255" b="0"/>
            <wp:docPr id="29" name="Picture 29" descr="G:\Documents\Building Trustworthy Biodiversity Indicators\GardenBird\MfE\Results\FantailRC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ocuments\Building Trustworthy Biodiversity Indicators\GardenBird\MfE\Results\FantailRC_v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50000" cy="4500000"/>
                    </a:xfrm>
                    <a:prstGeom prst="rect">
                      <a:avLst/>
                    </a:prstGeom>
                    <a:noFill/>
                    <a:ln>
                      <a:noFill/>
                    </a:ln>
                  </pic:spPr>
                </pic:pic>
              </a:graphicData>
            </a:graphic>
          </wp:inline>
        </w:drawing>
      </w:r>
    </w:p>
    <w:p w:rsidR="00D2058E" w:rsidRDefault="00D2058E" w:rsidP="00D2058E">
      <w:pPr>
        <w:pStyle w:val="BodyText"/>
      </w:pPr>
      <w:r>
        <w:br w:type="page"/>
      </w:r>
    </w:p>
    <w:p w:rsidR="0032418F" w:rsidRPr="00535D04" w:rsidRDefault="0032418F" w:rsidP="00402AD8">
      <w:pPr>
        <w:pStyle w:val="BodyText"/>
      </w:pPr>
      <w:proofErr w:type="gramStart"/>
      <w:r>
        <w:t>National and regional trends for silvereye (based on the JAGS model)</w:t>
      </w:r>
      <w:r w:rsidR="0043594A">
        <w:t>.</w:t>
      </w:r>
      <w:proofErr w:type="gramEnd"/>
      <w:r w:rsidR="0043594A">
        <w:t xml:space="preserve"> The points show the national annual estimates with the black line indicating the linear trend and grey shading the 95% confidence intervals.</w:t>
      </w:r>
    </w:p>
    <w:p w:rsidR="0032418F" w:rsidRDefault="0032418F" w:rsidP="00402AD8">
      <w:pPr>
        <w:pStyle w:val="BodyText"/>
      </w:pPr>
    </w:p>
    <w:p w:rsidR="00D2058E" w:rsidRDefault="006E5523" w:rsidP="00402AD8">
      <w:pPr>
        <w:pStyle w:val="BodyText"/>
      </w:pPr>
      <w:r>
        <w:rPr>
          <w:noProof/>
          <w:lang w:eastAsia="en-NZ"/>
        </w:rPr>
        <w:drawing>
          <wp:inline distT="0" distB="0" distL="0" distR="0" wp14:anchorId="1C0598AF" wp14:editId="1DBF23B4">
            <wp:extent cx="3701879" cy="2880000"/>
            <wp:effectExtent l="0" t="0" r="0" b="0"/>
            <wp:docPr id="30" name="Picture 30" descr="G:\Documents\Building Trustworthy Biodiversity Indicators\GardenBird\MfE\Results\SilvereyeNZ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ocuments\Building Trustworthy Biodiversity Indicators\GardenBird\MfE\Results\SilvereyeNZ_v2.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01879" cy="2880000"/>
                    </a:xfrm>
                    <a:prstGeom prst="rect">
                      <a:avLst/>
                    </a:prstGeom>
                    <a:noFill/>
                    <a:ln>
                      <a:noFill/>
                    </a:ln>
                  </pic:spPr>
                </pic:pic>
              </a:graphicData>
            </a:graphic>
          </wp:inline>
        </w:drawing>
      </w:r>
    </w:p>
    <w:p w:rsidR="0032418F" w:rsidRDefault="0032418F" w:rsidP="00402AD8">
      <w:pPr>
        <w:pStyle w:val="BodyText"/>
      </w:pPr>
    </w:p>
    <w:p w:rsidR="00D2058E" w:rsidRDefault="006E5523" w:rsidP="00402AD8">
      <w:pPr>
        <w:pStyle w:val="BodyText"/>
      </w:pPr>
      <w:r>
        <w:rPr>
          <w:noProof/>
          <w:lang w:eastAsia="en-NZ"/>
        </w:rPr>
        <w:drawing>
          <wp:inline distT="0" distB="0" distL="0" distR="0" wp14:anchorId="48C977B9" wp14:editId="7402CB0C">
            <wp:extent cx="5250000" cy="4500000"/>
            <wp:effectExtent l="0" t="0" r="8255" b="0"/>
            <wp:docPr id="31" name="Picture 31" descr="G:\Documents\Building Trustworthy Biodiversity Indicators\GardenBird\MfE\Results\SilvereyeRC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ocuments\Building Trustworthy Biodiversity Indicators\GardenBird\MfE\Results\SilvereyeRC_v2.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50000" cy="4500000"/>
                    </a:xfrm>
                    <a:prstGeom prst="rect">
                      <a:avLst/>
                    </a:prstGeom>
                    <a:noFill/>
                    <a:ln>
                      <a:noFill/>
                    </a:ln>
                  </pic:spPr>
                </pic:pic>
              </a:graphicData>
            </a:graphic>
          </wp:inline>
        </w:drawing>
      </w:r>
    </w:p>
    <w:p w:rsidR="00D2058E" w:rsidRDefault="00D2058E" w:rsidP="00D2058E">
      <w:pPr>
        <w:pStyle w:val="BodyText"/>
      </w:pPr>
      <w:r>
        <w:br w:type="page"/>
      </w:r>
    </w:p>
    <w:p w:rsidR="0032418F" w:rsidRPr="00402AD8" w:rsidRDefault="0032418F" w:rsidP="00402AD8">
      <w:pPr>
        <w:pStyle w:val="BodyText"/>
      </w:pPr>
      <w:proofErr w:type="gramStart"/>
      <w:r w:rsidRPr="00402AD8">
        <w:t xml:space="preserve">National and regional trends for </w:t>
      </w:r>
      <w:r w:rsidR="00E22771" w:rsidRPr="00402AD8">
        <w:t>tūī</w:t>
      </w:r>
      <w:r w:rsidRPr="00402AD8">
        <w:t xml:space="preserve"> (based on the JAGS model)</w:t>
      </w:r>
      <w:r w:rsidR="009B6164" w:rsidRPr="00402AD8">
        <w:t>.</w:t>
      </w:r>
      <w:proofErr w:type="gramEnd"/>
      <w:r w:rsidR="009B6164" w:rsidRPr="00402AD8">
        <w:t xml:space="preserve"> The points show the national annual estimates with the black line indicating the linear trend and grey shading the 95% confidence intervals.</w:t>
      </w:r>
    </w:p>
    <w:p w:rsidR="00D2058E" w:rsidRPr="00402AD8" w:rsidRDefault="00D2058E" w:rsidP="00402AD8">
      <w:pPr>
        <w:pStyle w:val="BodyText"/>
      </w:pPr>
    </w:p>
    <w:p w:rsidR="00D2058E" w:rsidRPr="00402AD8" w:rsidRDefault="0032418F" w:rsidP="00402AD8">
      <w:pPr>
        <w:pStyle w:val="BodyText"/>
      </w:pPr>
      <w:r w:rsidRPr="00402AD8">
        <w:rPr>
          <w:noProof/>
          <w:lang w:eastAsia="en-NZ"/>
        </w:rPr>
        <w:drawing>
          <wp:inline distT="0" distB="0" distL="0" distR="0" wp14:anchorId="2A347935" wp14:editId="3A1AA4AB">
            <wp:extent cx="3701880" cy="2880000"/>
            <wp:effectExtent l="0" t="0" r="0" b="0"/>
            <wp:docPr id="32" name="Picture 32" descr="G:\Documents\Building Trustworthy Biodiversity Indicators\GardenBird\MfE\Results\TuiNZ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ocuments\Building Trustworthy Biodiversity Indicators\GardenBird\MfE\Results\TuiNZ_v2.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01880" cy="2880000"/>
                    </a:xfrm>
                    <a:prstGeom prst="rect">
                      <a:avLst/>
                    </a:prstGeom>
                    <a:noFill/>
                    <a:ln>
                      <a:noFill/>
                    </a:ln>
                  </pic:spPr>
                </pic:pic>
              </a:graphicData>
            </a:graphic>
          </wp:inline>
        </w:drawing>
      </w:r>
    </w:p>
    <w:p w:rsidR="00D2058E" w:rsidRPr="00402AD8" w:rsidRDefault="00D2058E" w:rsidP="00402AD8">
      <w:pPr>
        <w:pStyle w:val="BodyText"/>
      </w:pPr>
    </w:p>
    <w:p w:rsidR="00D2058E" w:rsidRPr="00402AD8" w:rsidRDefault="006E5523" w:rsidP="00402AD8">
      <w:pPr>
        <w:pStyle w:val="BodyText"/>
      </w:pPr>
      <w:r w:rsidRPr="00402AD8">
        <w:rPr>
          <w:noProof/>
          <w:lang w:eastAsia="en-NZ"/>
        </w:rPr>
        <w:drawing>
          <wp:inline distT="0" distB="0" distL="0" distR="0" wp14:anchorId="2B2C19BA" wp14:editId="55E3B3BC">
            <wp:extent cx="5250000" cy="4500000"/>
            <wp:effectExtent l="0" t="0" r="8255" b="0"/>
            <wp:docPr id="33" name="Picture 33" descr="G:\Documents\Building Trustworthy Biodiversity Indicators\GardenBird\MfE\Results\TuiRC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ocuments\Building Trustworthy Biodiversity Indicators\GardenBird\MfE\Results\TuiRC_v2.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50000" cy="4500000"/>
                    </a:xfrm>
                    <a:prstGeom prst="rect">
                      <a:avLst/>
                    </a:prstGeom>
                    <a:noFill/>
                    <a:ln>
                      <a:noFill/>
                    </a:ln>
                  </pic:spPr>
                </pic:pic>
              </a:graphicData>
            </a:graphic>
          </wp:inline>
        </w:drawing>
      </w:r>
    </w:p>
    <w:p w:rsidR="00D2058E" w:rsidRPr="00402AD8" w:rsidRDefault="00D2058E" w:rsidP="00402AD8">
      <w:pPr>
        <w:pStyle w:val="BodyText"/>
      </w:pPr>
      <w:r w:rsidRPr="00402AD8">
        <w:br w:type="page"/>
      </w:r>
    </w:p>
    <w:p w:rsidR="00725A18" w:rsidRPr="005267D4" w:rsidRDefault="00725A18" w:rsidP="00725A18">
      <w:pPr>
        <w:pStyle w:val="Heading1"/>
      </w:pPr>
      <w:bookmarkStart w:id="62" w:name="_Toc214704941"/>
      <w:bookmarkStart w:id="63" w:name="_Toc427250845"/>
      <w:bookmarkEnd w:id="56"/>
      <w:r w:rsidRPr="005267D4">
        <w:t>References</w:t>
      </w:r>
      <w:bookmarkEnd w:id="57"/>
      <w:bookmarkEnd w:id="62"/>
      <w:bookmarkEnd w:id="63"/>
    </w:p>
    <w:p w:rsidR="00F60035" w:rsidRDefault="0089560D" w:rsidP="0089560D">
      <w:pPr>
        <w:pStyle w:val="References"/>
      </w:pPr>
      <w:r>
        <w:t>Bailli</w:t>
      </w:r>
      <w:r w:rsidR="00DD24FA">
        <w:t>e SR</w:t>
      </w:r>
      <w:r w:rsidR="00D12121">
        <w:t>,</w:t>
      </w:r>
      <w:r w:rsidR="00DD24FA">
        <w:t xml:space="preserve"> </w:t>
      </w:r>
      <w:proofErr w:type="spellStart"/>
      <w:r w:rsidR="00DD24FA">
        <w:t>Rehfisch</w:t>
      </w:r>
      <w:proofErr w:type="spellEnd"/>
      <w:r w:rsidR="00DD24FA">
        <w:t xml:space="preserve"> MM</w:t>
      </w:r>
      <w:r w:rsidR="00D12121">
        <w:t>.</w:t>
      </w:r>
      <w:r w:rsidR="00DD24FA">
        <w:t xml:space="preserve"> </w:t>
      </w:r>
      <w:r w:rsidR="004F07BA">
        <w:t>(</w:t>
      </w:r>
      <w:proofErr w:type="spellStart"/>
      <w:proofErr w:type="gramStart"/>
      <w:r w:rsidR="004F07BA">
        <w:t>eds</w:t>
      </w:r>
      <w:proofErr w:type="spellEnd"/>
      <w:proofErr w:type="gramEnd"/>
      <w:r w:rsidR="004F07BA">
        <w:t xml:space="preserve">) </w:t>
      </w:r>
      <w:r>
        <w:t>2006</w:t>
      </w:r>
      <w:r w:rsidR="00DD24FA" w:rsidRPr="000B02B9">
        <w:rPr>
          <w:i/>
          <w:iCs/>
        </w:rPr>
        <w:t>.</w:t>
      </w:r>
      <w:r w:rsidR="000B02B9" w:rsidRPr="000B02B9">
        <w:rPr>
          <w:i/>
          <w:iCs/>
        </w:rPr>
        <w:t xml:space="preserve"> </w:t>
      </w:r>
      <w:proofErr w:type="gramStart"/>
      <w:r w:rsidRPr="000B02B9">
        <w:rPr>
          <w:i/>
          <w:iCs/>
        </w:rPr>
        <w:t>National and site-based alert systems for UK birds.</w:t>
      </w:r>
      <w:proofErr w:type="gramEnd"/>
      <w:r w:rsidR="000B02B9" w:rsidRPr="000B02B9">
        <w:t xml:space="preserve"> </w:t>
      </w:r>
      <w:proofErr w:type="gramStart"/>
      <w:r>
        <w:t>Research Report 226.</w:t>
      </w:r>
      <w:proofErr w:type="gramEnd"/>
      <w:r>
        <w:t xml:space="preserve"> </w:t>
      </w:r>
      <w:r w:rsidR="004F07BA">
        <w:t xml:space="preserve">UK, </w:t>
      </w:r>
      <w:r>
        <w:t>B</w:t>
      </w:r>
      <w:r w:rsidR="004F07BA">
        <w:t xml:space="preserve">ritish </w:t>
      </w:r>
      <w:r>
        <w:t>T</w:t>
      </w:r>
      <w:r w:rsidR="004F07BA">
        <w:t xml:space="preserve">rust for </w:t>
      </w:r>
      <w:r>
        <w:t>O</w:t>
      </w:r>
      <w:r w:rsidR="004F07BA">
        <w:t>rnithology</w:t>
      </w:r>
      <w:r>
        <w:t>.</w:t>
      </w:r>
    </w:p>
    <w:p w:rsidR="00DD24FA" w:rsidRPr="00DD24FA" w:rsidRDefault="00DD24FA" w:rsidP="00DD24FA">
      <w:pPr>
        <w:pStyle w:val="References"/>
      </w:pPr>
      <w:proofErr w:type="gramStart"/>
      <w:r w:rsidRPr="00DD24FA">
        <w:t xml:space="preserve">Bates D, </w:t>
      </w:r>
      <w:proofErr w:type="spellStart"/>
      <w:r w:rsidRPr="00DD24FA">
        <w:t>Maechler</w:t>
      </w:r>
      <w:proofErr w:type="spellEnd"/>
      <w:r w:rsidRPr="00DD24FA">
        <w:t xml:space="preserve"> M,</w:t>
      </w:r>
      <w:r>
        <w:t xml:space="preserve"> </w:t>
      </w:r>
      <w:proofErr w:type="spellStart"/>
      <w:r>
        <w:t>Bolker</w:t>
      </w:r>
      <w:proofErr w:type="spellEnd"/>
      <w:r>
        <w:t xml:space="preserve"> B</w:t>
      </w:r>
      <w:r w:rsidR="00D12121">
        <w:t>,</w:t>
      </w:r>
      <w:r>
        <w:t xml:space="preserve"> Walker S</w:t>
      </w:r>
      <w:r w:rsidR="00D12121">
        <w:t>.</w:t>
      </w:r>
      <w:r>
        <w:t xml:space="preserve"> </w:t>
      </w:r>
      <w:r w:rsidRPr="00DD24FA">
        <w:t>2015</w:t>
      </w:r>
      <w:r>
        <w:t>a</w:t>
      </w:r>
      <w:r w:rsidRPr="00DD24FA">
        <w:t>.</w:t>
      </w:r>
      <w:proofErr w:type="gramEnd"/>
      <w:r w:rsidRPr="00DD24FA">
        <w:t xml:space="preserve">  </w:t>
      </w:r>
      <w:r w:rsidRPr="00DD24FA">
        <w:rPr>
          <w:rStyle w:val="R-codeChar"/>
          <w:sz w:val="20"/>
        </w:rPr>
        <w:t>lme4</w:t>
      </w:r>
      <w:r w:rsidRPr="00DD24FA">
        <w:t xml:space="preserve">: Linear mixed-effects models using Eigen and S4. </w:t>
      </w:r>
      <w:proofErr w:type="gramStart"/>
      <w:r w:rsidRPr="00DD24FA">
        <w:t xml:space="preserve">R </w:t>
      </w:r>
      <w:r>
        <w:t>package version 1.1-8</w:t>
      </w:r>
      <w:r w:rsidR="004F07BA">
        <w:t>.</w:t>
      </w:r>
      <w:proofErr w:type="gramEnd"/>
      <w:r w:rsidR="004F07BA">
        <w:t xml:space="preserve"> Retrieved from</w:t>
      </w:r>
      <w:r>
        <w:t xml:space="preserve"> </w:t>
      </w:r>
      <w:r w:rsidR="004F07BA" w:rsidRPr="00E62EB0">
        <w:t>http://CRAN.R-project.org/package=lme4</w:t>
      </w:r>
      <w:r w:rsidR="004F07BA">
        <w:t xml:space="preserve"> (13 August 2015)</w:t>
      </w:r>
      <w:r w:rsidRPr="00DD24FA">
        <w:t>.</w:t>
      </w:r>
    </w:p>
    <w:p w:rsidR="00DD24FA" w:rsidRPr="00DD24FA" w:rsidRDefault="00DD24FA" w:rsidP="00DD24FA">
      <w:pPr>
        <w:pStyle w:val="References"/>
      </w:pPr>
      <w:proofErr w:type="gramStart"/>
      <w:r w:rsidRPr="00DD24FA">
        <w:t xml:space="preserve">Bates D, </w:t>
      </w:r>
      <w:proofErr w:type="spellStart"/>
      <w:r w:rsidRPr="00DD24FA">
        <w:t>Maechler</w:t>
      </w:r>
      <w:proofErr w:type="spellEnd"/>
      <w:r w:rsidRPr="00DD24FA">
        <w:t xml:space="preserve"> M, </w:t>
      </w:r>
      <w:proofErr w:type="spellStart"/>
      <w:r w:rsidRPr="00DD24FA">
        <w:t>Bolker</w:t>
      </w:r>
      <w:proofErr w:type="spellEnd"/>
      <w:r w:rsidRPr="00DD24FA">
        <w:t xml:space="preserve"> BM</w:t>
      </w:r>
      <w:r w:rsidR="00D12121">
        <w:t>,</w:t>
      </w:r>
      <w:r w:rsidRPr="00DD24FA">
        <w:t xml:space="preserve"> Walker S</w:t>
      </w:r>
      <w:r w:rsidR="00D12121">
        <w:t>.</w:t>
      </w:r>
      <w:r w:rsidRPr="00DD24FA">
        <w:t xml:space="preserve"> 2015</w:t>
      </w:r>
      <w:r>
        <w:t>b</w:t>
      </w:r>
      <w:r w:rsidRPr="00DD24FA">
        <w:t>.</w:t>
      </w:r>
      <w:proofErr w:type="gramEnd"/>
      <w:r w:rsidRPr="00DD24FA">
        <w:t xml:space="preserve"> </w:t>
      </w:r>
      <w:proofErr w:type="gramStart"/>
      <w:r w:rsidRPr="00DD24FA">
        <w:t xml:space="preserve">Fitting Linear Mixed-Effects Models using </w:t>
      </w:r>
      <w:r w:rsidRPr="00DD24FA">
        <w:rPr>
          <w:rStyle w:val="R-codeChar"/>
          <w:sz w:val="20"/>
        </w:rPr>
        <w:t>lme4</w:t>
      </w:r>
      <w:r w:rsidRPr="00DD24FA">
        <w:t>.</w:t>
      </w:r>
      <w:proofErr w:type="gramEnd"/>
      <w:r w:rsidRPr="00DD24FA">
        <w:t xml:space="preserve"> </w:t>
      </w:r>
      <w:proofErr w:type="spellStart"/>
      <w:proofErr w:type="gramStart"/>
      <w:r w:rsidRPr="00DD24FA">
        <w:t>ArXiv</w:t>
      </w:r>
      <w:proofErr w:type="spellEnd"/>
      <w:r>
        <w:t xml:space="preserve"> </w:t>
      </w:r>
      <w:r w:rsidRPr="00DD24FA">
        <w:t xml:space="preserve">e-print; in press, </w:t>
      </w:r>
      <w:r w:rsidRPr="00DD24FA">
        <w:rPr>
          <w:i/>
        </w:rPr>
        <w:t>Journal of Statistical Software</w:t>
      </w:r>
      <w:r w:rsidR="004F07BA">
        <w:t>.</w:t>
      </w:r>
      <w:proofErr w:type="gramEnd"/>
      <w:r w:rsidRPr="00DD24FA">
        <w:t xml:space="preserve"> </w:t>
      </w:r>
      <w:r w:rsidR="004F07BA">
        <w:t xml:space="preserve"> Retrieved from </w:t>
      </w:r>
      <w:r w:rsidR="004F07BA" w:rsidRPr="00E62EB0">
        <w:t>http://arxiv.org/abs/1406.5823 (13</w:t>
      </w:r>
      <w:r w:rsidR="004F07BA">
        <w:t xml:space="preserve"> August 2015)</w:t>
      </w:r>
      <w:r w:rsidRPr="00DD24FA">
        <w:t>.</w:t>
      </w:r>
    </w:p>
    <w:p w:rsidR="00DD24FA" w:rsidRPr="00DD24FA" w:rsidRDefault="00D12121" w:rsidP="00DD24FA">
      <w:pPr>
        <w:pStyle w:val="References"/>
        <w:rPr>
          <w:lang w:eastAsia="en-NZ"/>
        </w:rPr>
      </w:pPr>
      <w:r>
        <w:rPr>
          <w:lang w:eastAsia="en-NZ"/>
        </w:rPr>
        <w:t>Burnham</w:t>
      </w:r>
      <w:r w:rsidR="00DD24FA">
        <w:rPr>
          <w:lang w:eastAsia="en-NZ"/>
        </w:rPr>
        <w:t xml:space="preserve"> KP</w:t>
      </w:r>
      <w:r>
        <w:rPr>
          <w:lang w:eastAsia="en-NZ"/>
        </w:rPr>
        <w:t xml:space="preserve">, </w:t>
      </w:r>
      <w:r w:rsidR="00DD24FA">
        <w:rPr>
          <w:lang w:eastAsia="en-NZ"/>
        </w:rPr>
        <w:t xml:space="preserve">Anderson DR. 2002. </w:t>
      </w:r>
      <w:r w:rsidR="00DD24FA" w:rsidRPr="00DD24FA">
        <w:rPr>
          <w:i/>
          <w:iCs/>
        </w:rPr>
        <w:t xml:space="preserve">Model Selection and </w:t>
      </w:r>
      <w:proofErr w:type="spellStart"/>
      <w:r w:rsidR="00DD24FA" w:rsidRPr="00DD24FA">
        <w:rPr>
          <w:i/>
          <w:iCs/>
        </w:rPr>
        <w:t>Multimodel</w:t>
      </w:r>
      <w:proofErr w:type="spellEnd"/>
      <w:r w:rsidR="00DD24FA" w:rsidRPr="00DD24FA">
        <w:rPr>
          <w:i/>
          <w:iCs/>
        </w:rPr>
        <w:t xml:space="preserve"> Inference: A Practical Information-Theoretic Approach</w:t>
      </w:r>
      <w:r w:rsidR="00DD24FA">
        <w:rPr>
          <w:lang w:eastAsia="en-NZ"/>
        </w:rPr>
        <w:t xml:space="preserve">, 2nd </w:t>
      </w:r>
      <w:proofErr w:type="spellStart"/>
      <w:r w:rsidR="00DD24FA">
        <w:rPr>
          <w:lang w:eastAsia="en-NZ"/>
        </w:rPr>
        <w:t>edn</w:t>
      </w:r>
      <w:proofErr w:type="spellEnd"/>
      <w:r w:rsidR="00DD24FA">
        <w:rPr>
          <w:lang w:eastAsia="en-NZ"/>
        </w:rPr>
        <w:t xml:space="preserve">. </w:t>
      </w:r>
      <w:proofErr w:type="gramStart"/>
      <w:r w:rsidR="004F07BA">
        <w:rPr>
          <w:lang w:eastAsia="en-NZ"/>
        </w:rPr>
        <w:t xml:space="preserve">New York, </w:t>
      </w:r>
      <w:r w:rsidR="00DD24FA">
        <w:rPr>
          <w:lang w:eastAsia="en-NZ"/>
        </w:rPr>
        <w:t>Springer-</w:t>
      </w:r>
      <w:proofErr w:type="spellStart"/>
      <w:r w:rsidR="00DD24FA">
        <w:rPr>
          <w:lang w:eastAsia="en-NZ"/>
        </w:rPr>
        <w:t>Verlag</w:t>
      </w:r>
      <w:proofErr w:type="spellEnd"/>
      <w:r w:rsidR="00DD24FA">
        <w:rPr>
          <w:lang w:eastAsia="en-NZ"/>
        </w:rPr>
        <w:t>.</w:t>
      </w:r>
      <w:proofErr w:type="gramEnd"/>
    </w:p>
    <w:p w:rsidR="0089560D" w:rsidRDefault="0089560D" w:rsidP="0089560D">
      <w:pPr>
        <w:pStyle w:val="References"/>
        <w:rPr>
          <w:lang w:eastAsia="ar-SA"/>
        </w:rPr>
      </w:pPr>
      <w:proofErr w:type="spellStart"/>
      <w:r w:rsidRPr="00BB4802">
        <w:t>Fewster</w:t>
      </w:r>
      <w:proofErr w:type="spellEnd"/>
      <w:r w:rsidRPr="00BB4802">
        <w:t xml:space="preserve"> RM, </w:t>
      </w:r>
      <w:r w:rsidRPr="00BB4802">
        <w:rPr>
          <w:lang w:eastAsia="ar-SA"/>
        </w:rPr>
        <w:t>Buckland ST</w:t>
      </w:r>
      <w:r w:rsidR="00D12121">
        <w:rPr>
          <w:lang w:eastAsia="ar-SA"/>
        </w:rPr>
        <w:t>,</w:t>
      </w:r>
      <w:r w:rsidRPr="00BB4802">
        <w:rPr>
          <w:lang w:eastAsia="ar-SA"/>
        </w:rPr>
        <w:t xml:space="preserve"> </w:t>
      </w:r>
      <w:proofErr w:type="spellStart"/>
      <w:r w:rsidRPr="00BB4802">
        <w:rPr>
          <w:lang w:eastAsia="ar-SA"/>
        </w:rPr>
        <w:t>Siriwardena</w:t>
      </w:r>
      <w:proofErr w:type="spellEnd"/>
      <w:r w:rsidRPr="00BB4802">
        <w:rPr>
          <w:lang w:eastAsia="ar-SA"/>
        </w:rPr>
        <w:t xml:space="preserve"> GM, Baillie SR, Wilson JD</w:t>
      </w:r>
      <w:r w:rsidR="00D12121">
        <w:rPr>
          <w:lang w:eastAsia="ar-SA"/>
        </w:rPr>
        <w:t>.</w:t>
      </w:r>
      <w:r w:rsidRPr="00BB4802">
        <w:t xml:space="preserve"> 2000. </w:t>
      </w:r>
      <w:r w:rsidRPr="00BB4802">
        <w:rPr>
          <w:bCs/>
          <w:lang w:eastAsia="ar-SA"/>
        </w:rPr>
        <w:t xml:space="preserve">Analysis of population trends for farmland birds using generalized additive models. </w:t>
      </w:r>
      <w:r w:rsidRPr="00D12121">
        <w:rPr>
          <w:i/>
          <w:iCs/>
        </w:rPr>
        <w:t>Ecology</w:t>
      </w:r>
      <w:r w:rsidRPr="00BB4802">
        <w:rPr>
          <w:lang w:eastAsia="ar-SA"/>
        </w:rPr>
        <w:t xml:space="preserve"> 81: 1970–1984.</w:t>
      </w:r>
    </w:p>
    <w:p w:rsidR="0089560D" w:rsidRPr="0089560D" w:rsidRDefault="0089560D" w:rsidP="0089560D">
      <w:pPr>
        <w:pStyle w:val="References"/>
        <w:rPr>
          <w:szCs w:val="24"/>
          <w:lang w:eastAsia="ar-SA"/>
        </w:rPr>
      </w:pPr>
      <w:r>
        <w:rPr>
          <w:lang w:eastAsia="en-NZ"/>
        </w:rPr>
        <w:t>Green P, MacLeod CJ</w:t>
      </w:r>
      <w:r w:rsidR="00D12121">
        <w:rPr>
          <w:lang w:eastAsia="en-NZ"/>
        </w:rPr>
        <w:t>.</w:t>
      </w:r>
      <w:r>
        <w:rPr>
          <w:lang w:eastAsia="en-NZ"/>
        </w:rPr>
        <w:t xml:space="preserve"> (</w:t>
      </w:r>
      <w:proofErr w:type="gramStart"/>
      <w:r>
        <w:rPr>
          <w:lang w:eastAsia="en-NZ"/>
        </w:rPr>
        <w:t>in</w:t>
      </w:r>
      <w:proofErr w:type="gramEnd"/>
      <w:r>
        <w:rPr>
          <w:lang w:eastAsia="en-NZ"/>
        </w:rPr>
        <w:t xml:space="preserve"> review)</w:t>
      </w:r>
      <w:r w:rsidR="00D12121">
        <w:rPr>
          <w:lang w:eastAsia="en-NZ"/>
        </w:rPr>
        <w:t>.</w:t>
      </w:r>
      <w:r>
        <w:rPr>
          <w:lang w:eastAsia="en-NZ"/>
        </w:rPr>
        <w:t xml:space="preserve"> </w:t>
      </w:r>
      <w:proofErr w:type="spellStart"/>
      <w:proofErr w:type="gramStart"/>
      <w:r w:rsidRPr="00DD24FA">
        <w:rPr>
          <w:rStyle w:val="R-codeChar"/>
          <w:sz w:val="20"/>
        </w:rPr>
        <w:t>simr</w:t>
      </w:r>
      <w:proofErr w:type="spellEnd"/>
      <w:proofErr w:type="gramEnd"/>
      <w:r>
        <w:rPr>
          <w:lang w:eastAsia="en-NZ"/>
        </w:rPr>
        <w:t xml:space="preserve">: an </w:t>
      </w:r>
      <w:r w:rsidRPr="00DD24FA">
        <w:rPr>
          <w:rStyle w:val="R-codeChar"/>
          <w:sz w:val="20"/>
        </w:rPr>
        <w:t>R</w:t>
      </w:r>
      <w:r>
        <w:rPr>
          <w:lang w:eastAsia="en-NZ"/>
        </w:rPr>
        <w:t xml:space="preserve"> package for power analysis of linear mixed models by simulation. (</w:t>
      </w:r>
      <w:r w:rsidR="00DD24FA">
        <w:rPr>
          <w:lang w:eastAsia="en-NZ"/>
        </w:rPr>
        <w:t>S</w:t>
      </w:r>
      <w:r>
        <w:rPr>
          <w:lang w:eastAsia="en-NZ"/>
        </w:rPr>
        <w:t>ubmitted to Methods in Ecology and Evolution)</w:t>
      </w:r>
      <w:r w:rsidR="00262471">
        <w:rPr>
          <w:lang w:eastAsia="en-NZ"/>
        </w:rPr>
        <w:t>.</w:t>
      </w:r>
    </w:p>
    <w:p w:rsidR="008A38F0" w:rsidRDefault="008A38F0" w:rsidP="00AB5665">
      <w:pPr>
        <w:pStyle w:val="References"/>
      </w:pPr>
      <w:proofErr w:type="gramStart"/>
      <w:r w:rsidRPr="00AB5665">
        <w:t>R Core Team</w:t>
      </w:r>
      <w:r w:rsidR="00AB5665" w:rsidRPr="00AB5665">
        <w:t>.</w:t>
      </w:r>
      <w:proofErr w:type="gramEnd"/>
      <w:r w:rsidR="00AB5665" w:rsidRPr="00AB5665">
        <w:t xml:space="preserve"> </w:t>
      </w:r>
      <w:r w:rsidRPr="00AB5665">
        <w:t xml:space="preserve">2015. </w:t>
      </w:r>
      <w:r w:rsidRPr="00DD24FA">
        <w:rPr>
          <w:rStyle w:val="R-codeChar"/>
          <w:sz w:val="20"/>
        </w:rPr>
        <w:t>R</w:t>
      </w:r>
      <w:r w:rsidRPr="00AB5665">
        <w:rPr>
          <w:i/>
        </w:rPr>
        <w:t>: A language and environment for statistical computing.</w:t>
      </w:r>
      <w:r w:rsidRPr="00AB5665">
        <w:t xml:space="preserve"> </w:t>
      </w:r>
      <w:proofErr w:type="gramStart"/>
      <w:r w:rsidR="004F07BA" w:rsidRPr="00AB5665">
        <w:t>Vienna, Austria</w:t>
      </w:r>
      <w:r w:rsidR="004F07BA">
        <w:t>,</w:t>
      </w:r>
      <w:r w:rsidR="004F07BA" w:rsidRPr="00AB5665">
        <w:t xml:space="preserve"> </w:t>
      </w:r>
      <w:r w:rsidRPr="00AB5665">
        <w:t>R Foundation</w:t>
      </w:r>
      <w:r w:rsidR="0089560D">
        <w:t xml:space="preserve"> </w:t>
      </w:r>
      <w:r w:rsidRPr="00AB5665">
        <w:t>for Statistical Computing.</w:t>
      </w:r>
      <w:proofErr w:type="gramEnd"/>
      <w:r w:rsidRPr="00AB5665">
        <w:t xml:space="preserve"> </w:t>
      </w:r>
      <w:proofErr w:type="gramStart"/>
      <w:r w:rsidR="00DD24FA" w:rsidRPr="00BE0CB1">
        <w:t>Version 3.1.3</w:t>
      </w:r>
      <w:r w:rsidR="004F07BA">
        <w:t>.</w:t>
      </w:r>
      <w:proofErr w:type="gramEnd"/>
      <w:r w:rsidR="004F07BA">
        <w:t xml:space="preserve"> Retrieved </w:t>
      </w:r>
      <w:proofErr w:type="gramStart"/>
      <w:r w:rsidR="004F07BA">
        <w:t xml:space="preserve">from </w:t>
      </w:r>
      <w:r w:rsidR="00DD24FA" w:rsidRPr="00BE0CB1">
        <w:t xml:space="preserve"> </w:t>
      </w:r>
      <w:proofErr w:type="gramEnd"/>
      <w:r w:rsidR="007A04B1">
        <w:fldChar w:fldCharType="begin"/>
      </w:r>
      <w:r w:rsidR="007A04B1">
        <w:instrText xml:space="preserve"> HYPERLINK "http://www.R-project.org/" </w:instrText>
      </w:r>
      <w:r w:rsidR="007A04B1">
        <w:fldChar w:fldCharType="separate"/>
      </w:r>
      <w:r w:rsidRPr="00AB5665">
        <w:rPr>
          <w:rStyle w:val="Hyperlink"/>
        </w:rPr>
        <w:t>http://www.R-project.org/</w:t>
      </w:r>
      <w:r w:rsidR="007A04B1">
        <w:rPr>
          <w:rStyle w:val="Hyperlink"/>
        </w:rPr>
        <w:fldChar w:fldCharType="end"/>
      </w:r>
      <w:r w:rsidR="004F07BA">
        <w:rPr>
          <w:rStyle w:val="Hyperlink"/>
        </w:rPr>
        <w:t xml:space="preserve"> (13 August 2015)</w:t>
      </w:r>
      <w:r w:rsidRPr="00AB5665">
        <w:t>.</w:t>
      </w:r>
    </w:p>
    <w:p w:rsidR="00AB5665" w:rsidRDefault="00AB5665" w:rsidP="00AB5665">
      <w:pPr>
        <w:pStyle w:val="References"/>
        <w:rPr>
          <w:szCs w:val="22"/>
        </w:rPr>
      </w:pPr>
      <w:r w:rsidRPr="00AE108C">
        <w:rPr>
          <w:szCs w:val="22"/>
        </w:rPr>
        <w:t xml:space="preserve">Spurr E. 2007. New Zealand garden bird survey 2006. </w:t>
      </w:r>
      <w:proofErr w:type="spellStart"/>
      <w:r w:rsidRPr="00AE108C">
        <w:rPr>
          <w:i/>
          <w:szCs w:val="22"/>
        </w:rPr>
        <w:t>Notornis</w:t>
      </w:r>
      <w:proofErr w:type="spellEnd"/>
      <w:r w:rsidRPr="00AE108C">
        <w:rPr>
          <w:szCs w:val="22"/>
        </w:rPr>
        <w:t xml:space="preserve"> 54: 246.</w:t>
      </w:r>
    </w:p>
    <w:p w:rsidR="00D12121" w:rsidRDefault="00D12121" w:rsidP="00D12121">
      <w:pPr>
        <w:pStyle w:val="References"/>
        <w:rPr>
          <w:szCs w:val="22"/>
        </w:rPr>
      </w:pPr>
      <w:r w:rsidRPr="00AE108C">
        <w:rPr>
          <w:szCs w:val="22"/>
        </w:rPr>
        <w:t xml:space="preserve">Spurr EB. </w:t>
      </w:r>
      <w:proofErr w:type="gramStart"/>
      <w:r w:rsidRPr="00AE108C">
        <w:rPr>
          <w:szCs w:val="22"/>
        </w:rPr>
        <w:t>2008</w:t>
      </w:r>
      <w:r>
        <w:rPr>
          <w:szCs w:val="22"/>
        </w:rPr>
        <w:t>a</w:t>
      </w:r>
      <w:r w:rsidRPr="00AE108C">
        <w:rPr>
          <w:szCs w:val="22"/>
        </w:rPr>
        <w:t>. New Zealand garden bird survey July 2007.</w:t>
      </w:r>
      <w:proofErr w:type="gramEnd"/>
      <w:r w:rsidRPr="00AE108C">
        <w:rPr>
          <w:szCs w:val="22"/>
        </w:rPr>
        <w:t xml:space="preserve"> </w:t>
      </w:r>
      <w:r w:rsidRPr="00AE108C">
        <w:rPr>
          <w:i/>
          <w:szCs w:val="22"/>
        </w:rPr>
        <w:t xml:space="preserve">Southern Bird </w:t>
      </w:r>
      <w:r w:rsidRPr="00AE108C">
        <w:rPr>
          <w:szCs w:val="22"/>
        </w:rPr>
        <w:t>35: 9.</w:t>
      </w:r>
    </w:p>
    <w:p w:rsidR="00AB5665" w:rsidRDefault="00AB5665" w:rsidP="00AB5665">
      <w:pPr>
        <w:pStyle w:val="References"/>
        <w:rPr>
          <w:szCs w:val="22"/>
        </w:rPr>
      </w:pPr>
      <w:r w:rsidRPr="00AE108C">
        <w:rPr>
          <w:szCs w:val="22"/>
        </w:rPr>
        <w:t>Spurr E. 2008</w:t>
      </w:r>
      <w:r w:rsidR="00D12121">
        <w:rPr>
          <w:szCs w:val="22"/>
        </w:rPr>
        <w:t>b</w:t>
      </w:r>
      <w:r w:rsidRPr="00AE108C">
        <w:rPr>
          <w:szCs w:val="22"/>
        </w:rPr>
        <w:t xml:space="preserve">. New Zealand garden bird survey 2007. </w:t>
      </w:r>
      <w:proofErr w:type="spellStart"/>
      <w:r w:rsidRPr="00AE108C">
        <w:rPr>
          <w:i/>
          <w:szCs w:val="22"/>
        </w:rPr>
        <w:t>Notornis</w:t>
      </w:r>
      <w:proofErr w:type="spellEnd"/>
      <w:r w:rsidRPr="00AE108C">
        <w:rPr>
          <w:szCs w:val="22"/>
        </w:rPr>
        <w:t xml:space="preserve"> 55: 52.</w:t>
      </w:r>
    </w:p>
    <w:p w:rsidR="00E21FE7" w:rsidRDefault="00E21FE7" w:rsidP="00E21FE7">
      <w:pPr>
        <w:pStyle w:val="References"/>
        <w:rPr>
          <w:szCs w:val="22"/>
        </w:rPr>
      </w:pPr>
      <w:r w:rsidRPr="00AE108C">
        <w:rPr>
          <w:szCs w:val="22"/>
        </w:rPr>
        <w:t xml:space="preserve">Spurr EB. </w:t>
      </w:r>
      <w:proofErr w:type="gramStart"/>
      <w:r w:rsidRPr="00AE108C">
        <w:rPr>
          <w:szCs w:val="22"/>
        </w:rPr>
        <w:t>2012</w:t>
      </w:r>
      <w:r>
        <w:rPr>
          <w:szCs w:val="22"/>
        </w:rPr>
        <w:t>a</w:t>
      </w:r>
      <w:r w:rsidRPr="00AE108C">
        <w:rPr>
          <w:szCs w:val="22"/>
        </w:rPr>
        <w:t>. New Zealand garden bird survey – analysis of the first four years.</w:t>
      </w:r>
      <w:proofErr w:type="gramEnd"/>
      <w:r w:rsidRPr="00AE108C">
        <w:rPr>
          <w:szCs w:val="22"/>
        </w:rPr>
        <w:t xml:space="preserve"> </w:t>
      </w:r>
      <w:r w:rsidRPr="00AE108C">
        <w:rPr>
          <w:i/>
          <w:szCs w:val="22"/>
        </w:rPr>
        <w:t>New Zealand Journal of Ecology</w:t>
      </w:r>
      <w:r w:rsidRPr="00AE108C">
        <w:rPr>
          <w:szCs w:val="22"/>
        </w:rPr>
        <w:t xml:space="preserve"> 36: 287–299.</w:t>
      </w:r>
    </w:p>
    <w:p w:rsidR="00AB5665" w:rsidRPr="00AE108C" w:rsidRDefault="00AB5665" w:rsidP="00AB5665">
      <w:pPr>
        <w:pStyle w:val="References"/>
        <w:rPr>
          <w:szCs w:val="22"/>
        </w:rPr>
      </w:pPr>
      <w:r w:rsidRPr="00AE108C">
        <w:rPr>
          <w:szCs w:val="22"/>
        </w:rPr>
        <w:t xml:space="preserve">Spurr EB. </w:t>
      </w:r>
      <w:proofErr w:type="gramStart"/>
      <w:r w:rsidRPr="00AE108C">
        <w:rPr>
          <w:szCs w:val="22"/>
        </w:rPr>
        <w:t>2012</w:t>
      </w:r>
      <w:r w:rsidR="00E21FE7">
        <w:rPr>
          <w:szCs w:val="22"/>
        </w:rPr>
        <w:t>b</w:t>
      </w:r>
      <w:r w:rsidRPr="00AE108C">
        <w:rPr>
          <w:szCs w:val="22"/>
        </w:rPr>
        <w:t>. New Zealand garden bird survey.</w:t>
      </w:r>
      <w:proofErr w:type="gramEnd"/>
      <w:r w:rsidRPr="00AE108C">
        <w:rPr>
          <w:szCs w:val="22"/>
        </w:rPr>
        <w:t xml:space="preserve"> </w:t>
      </w:r>
      <w:r w:rsidRPr="00AE108C">
        <w:rPr>
          <w:i/>
          <w:szCs w:val="22"/>
        </w:rPr>
        <w:t>Kararehe Kino – Vertebrate Pest Research</w:t>
      </w:r>
      <w:r w:rsidRPr="00AE108C">
        <w:rPr>
          <w:szCs w:val="22"/>
        </w:rPr>
        <w:t xml:space="preserve"> 20: 12–13.</w:t>
      </w:r>
    </w:p>
    <w:p w:rsidR="00AB5665" w:rsidRPr="00AE108C" w:rsidRDefault="0068067B" w:rsidP="00AB5665">
      <w:pPr>
        <w:pStyle w:val="References"/>
        <w:rPr>
          <w:szCs w:val="22"/>
        </w:rPr>
      </w:pPr>
      <w:r w:rsidRPr="00AE108C">
        <w:rPr>
          <w:szCs w:val="22"/>
        </w:rPr>
        <w:t xml:space="preserve">Spurr E. 2014. </w:t>
      </w:r>
      <w:r w:rsidR="00E22771">
        <w:rPr>
          <w:szCs w:val="22"/>
        </w:rPr>
        <w:t>Tūī</w:t>
      </w:r>
      <w:r w:rsidRPr="00AE108C">
        <w:rPr>
          <w:szCs w:val="22"/>
        </w:rPr>
        <w:t xml:space="preserve"> and pīwakawaka soar. </w:t>
      </w:r>
      <w:r w:rsidRPr="00AE108C">
        <w:rPr>
          <w:i/>
          <w:szCs w:val="22"/>
        </w:rPr>
        <w:t>Forest &amp; Bird</w:t>
      </w:r>
      <w:r w:rsidRPr="00AE108C">
        <w:rPr>
          <w:szCs w:val="22"/>
        </w:rPr>
        <w:t xml:space="preserve"> 352: 16.</w:t>
      </w:r>
    </w:p>
    <w:p w:rsidR="00AB5665" w:rsidRPr="00AE108C" w:rsidRDefault="0068067B" w:rsidP="00AB5665">
      <w:pPr>
        <w:pStyle w:val="References"/>
        <w:rPr>
          <w:szCs w:val="22"/>
        </w:rPr>
      </w:pPr>
      <w:r w:rsidRPr="00AE108C">
        <w:rPr>
          <w:szCs w:val="22"/>
        </w:rPr>
        <w:t xml:space="preserve">Spurr E. 2015a. House sparrow takes top spot. </w:t>
      </w:r>
      <w:r w:rsidRPr="00AE108C">
        <w:rPr>
          <w:i/>
          <w:szCs w:val="22"/>
        </w:rPr>
        <w:t>Forest &amp; Bird</w:t>
      </w:r>
      <w:r w:rsidRPr="00AE108C">
        <w:rPr>
          <w:szCs w:val="22"/>
        </w:rPr>
        <w:t xml:space="preserve"> 356: 29.</w:t>
      </w:r>
    </w:p>
    <w:p w:rsidR="004A618E" w:rsidRPr="009B6164" w:rsidRDefault="0068067B" w:rsidP="004E3B1C">
      <w:pPr>
        <w:pStyle w:val="References"/>
        <w:rPr>
          <w:szCs w:val="22"/>
        </w:rPr>
      </w:pPr>
      <w:r w:rsidRPr="00AE108C">
        <w:rPr>
          <w:szCs w:val="22"/>
        </w:rPr>
        <w:t xml:space="preserve">Spurr E. 2015b. </w:t>
      </w:r>
      <w:proofErr w:type="gramStart"/>
      <w:r w:rsidRPr="00AE108C">
        <w:rPr>
          <w:szCs w:val="22"/>
        </w:rPr>
        <w:t>Top 10 birds in New Zealand gardens.</w:t>
      </w:r>
      <w:proofErr w:type="gramEnd"/>
      <w:r w:rsidRPr="00AE108C">
        <w:rPr>
          <w:szCs w:val="22"/>
        </w:rPr>
        <w:t xml:space="preserve"> </w:t>
      </w:r>
      <w:r w:rsidRPr="00AE108C">
        <w:rPr>
          <w:i/>
          <w:szCs w:val="22"/>
        </w:rPr>
        <w:t>Birds New Zealand</w:t>
      </w:r>
      <w:r w:rsidRPr="00AE108C">
        <w:rPr>
          <w:szCs w:val="22"/>
        </w:rPr>
        <w:t xml:space="preserve"> 6: 9.</w:t>
      </w:r>
    </w:p>
    <w:sectPr w:rsidR="004A618E" w:rsidRPr="009B6164" w:rsidSect="00A83BAE">
      <w:pgSz w:w="11907" w:h="16840" w:code="9"/>
      <w:pgMar w:top="1701" w:right="1418" w:bottom="1701" w:left="1418" w:header="567" w:footer="567" w:gutter="567"/>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4F9" w:rsidRDefault="006914F9">
      <w:r>
        <w:separator/>
      </w:r>
    </w:p>
    <w:p w:rsidR="006914F9" w:rsidRDefault="006914F9"/>
  </w:endnote>
  <w:endnote w:type="continuationSeparator" w:id="0">
    <w:p w:rsidR="006914F9" w:rsidRDefault="006914F9">
      <w:r>
        <w:continuationSeparator/>
      </w:r>
    </w:p>
    <w:p w:rsidR="006914F9" w:rsidRDefault="006914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4F9" w:rsidRDefault="006914F9" w:rsidP="00CE3725">
    <w:pPr>
      <w:ind w:left="-340"/>
    </w:pPr>
    <w:r>
      <w:rPr>
        <w:noProof/>
        <w:lang w:eastAsia="en-NZ"/>
      </w:rPr>
      <w:drawing>
        <wp:inline distT="0" distB="0" distL="0" distR="0" wp14:anchorId="6D1AAAD1" wp14:editId="33180BD0">
          <wp:extent cx="2667000" cy="685800"/>
          <wp:effectExtent l="19050" t="0" r="0" b="0"/>
          <wp:docPr id="2" name="Picture 2" descr="All-of-govt_NZ_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of-govt_NZ_Gov"/>
                  <pic:cNvPicPr>
                    <a:picLocks noChangeAspect="1" noChangeArrowheads="1"/>
                  </pic:cNvPicPr>
                </pic:nvPicPr>
                <pic:blipFill>
                  <a:blip r:embed="rId1"/>
                  <a:srcRect/>
                  <a:stretch>
                    <a:fillRect/>
                  </a:stretch>
                </pic:blipFill>
                <pic:spPr bwMode="auto">
                  <a:xfrm>
                    <a:off x="0" y="0"/>
                    <a:ext cx="2667000" cy="68580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4F9" w:rsidRDefault="006914F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4F9" w:rsidRDefault="006914F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4F9" w:rsidRDefault="006914F9" w:rsidP="00D74237">
    <w:pPr>
      <w:pStyle w:val="Footereven"/>
    </w:pPr>
    <w:r w:rsidRPr="009116D7">
      <w:rPr>
        <w:rStyle w:val="PageNumber"/>
      </w:rPr>
      <w:fldChar w:fldCharType="begin"/>
    </w:r>
    <w:r w:rsidRPr="009116D7">
      <w:rPr>
        <w:rStyle w:val="PageNumber"/>
      </w:rPr>
      <w:instrText xml:space="preserve"> PAGE </w:instrText>
    </w:r>
    <w:r w:rsidRPr="009116D7">
      <w:rPr>
        <w:rStyle w:val="PageNumber"/>
      </w:rPr>
      <w:fldChar w:fldCharType="separate"/>
    </w:r>
    <w:r w:rsidR="00F41A6C">
      <w:rPr>
        <w:rStyle w:val="PageNumber"/>
        <w:noProof/>
      </w:rPr>
      <w:t>vi</w:t>
    </w:r>
    <w:r w:rsidRPr="009116D7">
      <w:rPr>
        <w:rStyle w:val="PageNumber"/>
      </w:rPr>
      <w:fldChar w:fldCharType="end"/>
    </w:r>
    <w:r>
      <w:tab/>
    </w:r>
    <w:fldSimple w:instr=" STYLEREF  &quot;Title&quot;  \* MERGEFORMAT ">
      <w:r w:rsidR="00F41A6C" w:rsidRPr="00F41A6C">
        <w:rPr>
          <w:bCs/>
          <w:noProof/>
          <w:lang w:val="en-US"/>
        </w:rPr>
        <w:t>Use of</w:t>
      </w:r>
      <w:r w:rsidR="00F41A6C">
        <w:rPr>
          <w:noProof/>
        </w:rPr>
        <w:t xml:space="preserve"> NZ Garden Bird Survey Data in Environmental Reporting</w:t>
      </w:r>
    </w:fldSimple>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4F9" w:rsidRPr="004D516F" w:rsidRDefault="006914F9" w:rsidP="00E60E57">
    <w:pPr>
      <w:pStyle w:val="Header"/>
    </w:pPr>
  </w:p>
  <w:p w:rsidR="006914F9" w:rsidRDefault="006914F9" w:rsidP="003018FD">
    <w:pPr>
      <w:pStyle w:val="Footerodd"/>
      <w:rPr>
        <w:rStyle w:val="PageNumber"/>
        <w:b w:val="0"/>
      </w:rPr>
    </w:pPr>
    <w:r>
      <w:tab/>
    </w:r>
    <w:fldSimple w:instr=" STYLEREF  &quot;Title&quot;  \* MERGEFORMAT ">
      <w:r w:rsidR="00F41A6C" w:rsidRPr="00F41A6C">
        <w:rPr>
          <w:bCs/>
          <w:noProof/>
          <w:lang w:val="en-US"/>
        </w:rPr>
        <w:t>Use of</w:t>
      </w:r>
      <w:r w:rsidR="00F41A6C">
        <w:rPr>
          <w:noProof/>
        </w:rPr>
        <w:t xml:space="preserve"> NZ Garden Bird Survey Data in Environmental Reporting</w:t>
      </w:r>
    </w:fldSimple>
    <w:r>
      <w:t xml:space="preserve"> </w:t>
    </w:r>
    <w:r>
      <w:tab/>
    </w:r>
    <w:r>
      <w:rPr>
        <w:rStyle w:val="PageNumber"/>
      </w:rPr>
      <w:fldChar w:fldCharType="begin"/>
    </w:r>
    <w:r>
      <w:rPr>
        <w:rStyle w:val="PageNumber"/>
      </w:rPr>
      <w:instrText xml:space="preserve"> PAGE </w:instrText>
    </w:r>
    <w:r>
      <w:rPr>
        <w:rStyle w:val="PageNumber"/>
      </w:rPr>
      <w:fldChar w:fldCharType="separate"/>
    </w:r>
    <w:r w:rsidR="00F41A6C">
      <w:rPr>
        <w:rStyle w:val="PageNumber"/>
        <w:noProof/>
      </w:rPr>
      <w:t>vii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4F9" w:rsidRDefault="006914F9" w:rsidP="002A7740">
    <w:pPr>
      <w:pStyle w:val="Footereven"/>
    </w:pPr>
    <w:r w:rsidRPr="009116D7">
      <w:rPr>
        <w:rStyle w:val="PageNumber"/>
      </w:rPr>
      <w:fldChar w:fldCharType="begin"/>
    </w:r>
    <w:r w:rsidRPr="009116D7">
      <w:rPr>
        <w:rStyle w:val="PageNumber"/>
      </w:rPr>
      <w:instrText xml:space="preserve"> PAGE </w:instrText>
    </w:r>
    <w:r w:rsidRPr="009116D7">
      <w:rPr>
        <w:rStyle w:val="PageNumber"/>
      </w:rPr>
      <w:fldChar w:fldCharType="separate"/>
    </w:r>
    <w:r w:rsidR="00F41A6C">
      <w:rPr>
        <w:rStyle w:val="PageNumber"/>
        <w:noProof/>
      </w:rPr>
      <w:t>36</w:t>
    </w:r>
    <w:r w:rsidRPr="009116D7">
      <w:rPr>
        <w:rStyle w:val="PageNumber"/>
      </w:rPr>
      <w:fldChar w:fldCharType="end"/>
    </w:r>
    <w:r>
      <w:tab/>
    </w:r>
    <w:fldSimple w:instr=" STYLEREF  &quot;Title&quot;  \* MERGEFORMAT ">
      <w:r w:rsidR="00F41A6C" w:rsidRPr="00F41A6C">
        <w:rPr>
          <w:bCs/>
          <w:noProof/>
          <w:lang w:val="en-US"/>
        </w:rPr>
        <w:t>Use of</w:t>
      </w:r>
      <w:r w:rsidR="00F41A6C">
        <w:rPr>
          <w:noProof/>
        </w:rPr>
        <w:t xml:space="preserve"> NZ Garden Bird Survey Data in Environmental Reporting</w:t>
      </w:r>
    </w:fldSimple>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4F9" w:rsidRDefault="006914F9" w:rsidP="002A7740">
    <w:pPr>
      <w:pStyle w:val="Footerodd"/>
    </w:pPr>
    <w:r>
      <w:tab/>
    </w:r>
    <w:fldSimple w:instr=" STYLEREF  &quot;Title&quot;  \* MERGEFORMAT ">
      <w:r w:rsidR="00F41A6C" w:rsidRPr="00F41A6C">
        <w:rPr>
          <w:bCs/>
          <w:noProof/>
          <w:lang w:val="en-US"/>
        </w:rPr>
        <w:t>Use of</w:t>
      </w:r>
      <w:r w:rsidR="00F41A6C">
        <w:rPr>
          <w:noProof/>
        </w:rPr>
        <w:t xml:space="preserve"> NZ Garden Bird Survey Data in Environmental Reporting</w:t>
      </w:r>
    </w:fldSimple>
    <w:r>
      <w:tab/>
    </w:r>
    <w:r w:rsidRPr="009116D7">
      <w:rPr>
        <w:rStyle w:val="PageNumber"/>
      </w:rPr>
      <w:fldChar w:fldCharType="begin"/>
    </w:r>
    <w:r w:rsidRPr="009116D7">
      <w:rPr>
        <w:rStyle w:val="PageNumber"/>
      </w:rPr>
      <w:instrText xml:space="preserve"> PAGE </w:instrText>
    </w:r>
    <w:r w:rsidRPr="009116D7">
      <w:rPr>
        <w:rStyle w:val="PageNumber"/>
      </w:rPr>
      <w:fldChar w:fldCharType="separate"/>
    </w:r>
    <w:r w:rsidR="00F41A6C">
      <w:rPr>
        <w:rStyle w:val="PageNumber"/>
        <w:noProof/>
      </w:rPr>
      <w:t>37</w:t>
    </w:r>
    <w:r w:rsidRPr="009116D7">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4F9" w:rsidRDefault="006914F9" w:rsidP="00AB166D">
      <w:pPr>
        <w:spacing w:after="60"/>
      </w:pPr>
      <w:r>
        <w:separator/>
      </w:r>
    </w:p>
  </w:footnote>
  <w:footnote w:type="continuationSeparator" w:id="0">
    <w:p w:rsidR="006914F9" w:rsidRDefault="006914F9">
      <w:r>
        <w:continuationSeparator/>
      </w:r>
    </w:p>
    <w:p w:rsidR="006914F9" w:rsidRDefault="006914F9"/>
  </w:footnote>
  <w:footnote w:id="1">
    <w:p w:rsidR="006914F9" w:rsidRDefault="006914F9" w:rsidP="0088144D">
      <w:pPr>
        <w:pStyle w:val="FootnoteText"/>
      </w:pPr>
      <w:r>
        <w:rPr>
          <w:rStyle w:val="FootnoteReference"/>
        </w:rPr>
        <w:footnoteRef/>
      </w:r>
      <w:r>
        <w:t xml:space="preserve"> gardenbirdsurvey.landcareresearch.co.nz (accessed 24 Jun 2015).</w:t>
      </w:r>
    </w:p>
  </w:footnote>
  <w:footnote w:id="2">
    <w:p w:rsidR="006914F9" w:rsidRDefault="006914F9" w:rsidP="00E00CC1">
      <w:pPr>
        <w:pStyle w:val="FootnoteText"/>
        <w:rPr>
          <w:lang w:eastAsia="en-NZ"/>
        </w:rPr>
      </w:pPr>
      <w:r>
        <w:rPr>
          <w:rStyle w:val="FootnoteReference"/>
        </w:rPr>
        <w:footnoteRef/>
      </w:r>
      <w:r>
        <w:t xml:space="preserve"> </w:t>
      </w:r>
      <w:proofErr w:type="gramStart"/>
      <w:r>
        <w:rPr>
          <w:lang w:eastAsia="en-NZ"/>
        </w:rPr>
        <w:t>Statistics New Zealand ANZLIC metadata for Urban Areas (2015).</w:t>
      </w:r>
      <w:proofErr w:type="gramEnd"/>
    </w:p>
  </w:footnote>
  <w:footnote w:id="3">
    <w:p w:rsidR="006914F9" w:rsidRDefault="006914F9" w:rsidP="00F41B92">
      <w:pPr>
        <w:pStyle w:val="FootnoteText"/>
      </w:pPr>
      <w:r>
        <w:rPr>
          <w:rStyle w:val="FootnoteReference"/>
        </w:rPr>
        <w:footnoteRef/>
      </w:r>
      <w:r>
        <w:t xml:space="preserve"> Excluded areas: </w:t>
      </w:r>
      <w:r w:rsidRPr="00C55B8D">
        <w:t>Waiheke Island</w:t>
      </w:r>
      <w:r>
        <w:t xml:space="preserve">, </w:t>
      </w:r>
      <w:proofErr w:type="spellStart"/>
      <w:r>
        <w:t>Murupara</w:t>
      </w:r>
      <w:proofErr w:type="spellEnd"/>
      <w:r>
        <w:t xml:space="preserve">, </w:t>
      </w:r>
      <w:proofErr w:type="spellStart"/>
      <w:r>
        <w:t>Opunake</w:t>
      </w:r>
      <w:proofErr w:type="spellEnd"/>
      <w:r>
        <w:t xml:space="preserve">, </w:t>
      </w:r>
      <w:proofErr w:type="spellStart"/>
      <w:r w:rsidRPr="00C55B8D">
        <w:t>Patea</w:t>
      </w:r>
      <w:proofErr w:type="spellEnd"/>
      <w:r>
        <w:t xml:space="preserve">, </w:t>
      </w:r>
      <w:r w:rsidRPr="00C55B8D">
        <w:t>Bulls</w:t>
      </w:r>
      <w:r>
        <w:t>, Rural Centre,</w:t>
      </w:r>
      <w:r w:rsidRPr="00C55B8D">
        <w:t xml:space="preserve"> Rural (</w:t>
      </w:r>
      <w:proofErr w:type="spellStart"/>
      <w:r w:rsidRPr="00C55B8D">
        <w:t>Incl.some</w:t>
      </w:r>
      <w:proofErr w:type="spellEnd"/>
      <w:r w:rsidRPr="00C55B8D">
        <w:t xml:space="preserve"> Off Shore Islands)</w:t>
      </w:r>
      <w:r>
        <w:t>,</w:t>
      </w:r>
      <w:r w:rsidRPr="00C55B8D">
        <w:t xml:space="preserve"> Inland Water not in Urban Area</w:t>
      </w:r>
      <w:r>
        <w:t xml:space="preserve">, </w:t>
      </w:r>
      <w:r w:rsidRPr="00C55B8D">
        <w:t xml:space="preserve">Inlet-in TA but not in Urban Area  </w:t>
      </w:r>
    </w:p>
  </w:footnote>
  <w:footnote w:id="4">
    <w:p w:rsidR="006914F9" w:rsidRDefault="006914F9" w:rsidP="00D2058E">
      <w:pPr>
        <w:pStyle w:val="FootnoteText"/>
      </w:pPr>
      <w:r>
        <w:rPr>
          <w:rStyle w:val="FootnoteReference"/>
        </w:rPr>
        <w:footnoteRef/>
      </w:r>
      <w:r>
        <w:t xml:space="preserve"> </w:t>
      </w:r>
      <w:r w:rsidRPr="0063725E">
        <w:t xml:space="preserve">Currently, </w:t>
      </w:r>
      <w:r w:rsidRPr="0063725E">
        <w:rPr>
          <w:rStyle w:val="HTMLCode"/>
          <w:rFonts w:ascii="Times New Roman" w:hAnsi="Times New Roman" w:cs="Times New Roman"/>
          <w:color w:val="333333"/>
          <w:sz w:val="19"/>
          <w:szCs w:val="19"/>
        </w:rPr>
        <w:t>lme4 1.1-8</w:t>
      </w:r>
      <w:r w:rsidRPr="0063725E">
        <w:t xml:space="preserve"> can be installed via </w:t>
      </w:r>
      <w:proofErr w:type="spellStart"/>
      <w:r w:rsidRPr="0063725E">
        <w:rPr>
          <w:rStyle w:val="HTMLCode"/>
          <w:rFonts w:ascii="Times New Roman" w:hAnsi="Times New Roman" w:cs="Times New Roman"/>
          <w:color w:val="333333"/>
          <w:sz w:val="19"/>
          <w:szCs w:val="19"/>
        </w:rPr>
        <w:t>devtools</w:t>
      </w:r>
      <w:proofErr w:type="spellEnd"/>
      <w:r w:rsidRPr="0063725E">
        <w:rPr>
          <w:rStyle w:val="HTMLCode"/>
          <w:rFonts w:ascii="Times New Roman" w:hAnsi="Times New Roman" w:cs="Times New Roman"/>
          <w:color w:val="333333"/>
          <w:sz w:val="19"/>
          <w:szCs w:val="19"/>
        </w:rPr>
        <w:t>::</w:t>
      </w:r>
      <w:proofErr w:type="spellStart"/>
      <w:r w:rsidRPr="0063725E">
        <w:rPr>
          <w:rStyle w:val="HTMLCode"/>
          <w:rFonts w:ascii="Times New Roman" w:hAnsi="Times New Roman" w:cs="Times New Roman"/>
          <w:color w:val="333333"/>
          <w:sz w:val="19"/>
          <w:szCs w:val="19"/>
        </w:rPr>
        <w:t>install_</w:t>
      </w:r>
      <w:proofErr w:type="gramStart"/>
      <w:r w:rsidRPr="0063725E">
        <w:rPr>
          <w:rStyle w:val="HTMLCode"/>
          <w:rFonts w:ascii="Times New Roman" w:hAnsi="Times New Roman" w:cs="Times New Roman"/>
          <w:color w:val="333333"/>
          <w:sz w:val="19"/>
          <w:szCs w:val="19"/>
        </w:rPr>
        <w:t>github</w:t>
      </w:r>
      <w:proofErr w:type="spellEnd"/>
      <w:r w:rsidRPr="0063725E">
        <w:rPr>
          <w:rStyle w:val="HTMLCode"/>
          <w:rFonts w:ascii="Times New Roman" w:hAnsi="Times New Roman" w:cs="Times New Roman"/>
          <w:color w:val="333333"/>
          <w:sz w:val="19"/>
          <w:szCs w:val="19"/>
        </w:rPr>
        <w:t>(</w:t>
      </w:r>
      <w:proofErr w:type="gramEnd"/>
      <w:r w:rsidRPr="0063725E">
        <w:rPr>
          <w:rStyle w:val="HTMLCode"/>
          <w:rFonts w:ascii="Times New Roman" w:hAnsi="Times New Roman" w:cs="Times New Roman"/>
          <w:color w:val="333333"/>
          <w:sz w:val="19"/>
          <w:szCs w:val="19"/>
        </w:rPr>
        <w:t>"lme4/lme4")</w:t>
      </w:r>
      <w:r w:rsidRPr="0063725E">
        <w:t xml:space="preserve"> but will be on</w:t>
      </w:r>
      <w:r w:rsidRPr="00E62EB0">
        <w:rPr>
          <w:rStyle w:val="apple-converted-space"/>
          <w:color w:val="333333"/>
          <w:sz w:val="21"/>
          <w:szCs w:val="21"/>
        </w:rPr>
        <w:t> </w:t>
      </w:r>
      <w:r w:rsidRPr="0063725E">
        <w:rPr>
          <w:rStyle w:val="HTMLCode"/>
          <w:rFonts w:ascii="Times New Roman" w:hAnsi="Times New Roman" w:cs="Times New Roman"/>
          <w:color w:val="333333"/>
          <w:sz w:val="19"/>
          <w:szCs w:val="19"/>
        </w:rPr>
        <w:t>CRAN</w:t>
      </w:r>
      <w:r w:rsidRPr="00E62EB0">
        <w:rPr>
          <w:rStyle w:val="apple-converted-space"/>
          <w:color w:val="333333"/>
          <w:sz w:val="21"/>
          <w:szCs w:val="21"/>
        </w:rPr>
        <w:t> </w:t>
      </w:r>
      <w:r w:rsidRPr="0063725E">
        <w:t>soon</w:t>
      </w:r>
      <w:r w:rsidRPr="007C6920">
        <w:t>.</w:t>
      </w:r>
    </w:p>
  </w:footnote>
  <w:footnote w:id="5">
    <w:p w:rsidR="006914F9" w:rsidRDefault="006914F9" w:rsidP="00F06FFB">
      <w:pPr>
        <w:pStyle w:val="FootnoteText"/>
      </w:pPr>
      <w:r>
        <w:rPr>
          <w:rStyle w:val="FootnoteReference"/>
        </w:rPr>
        <w:footnoteRef/>
      </w:r>
      <w:r>
        <w:t xml:space="preserve"> </w:t>
      </w:r>
      <w:r w:rsidRPr="007356F7">
        <w:t>http://www.bto.org/about-birds/birdtrends/2014/methods/alert-system</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4F9" w:rsidRDefault="006914F9" w:rsidP="00F51F59">
    <w:pPr>
      <w:pStyle w:val="Header"/>
      <w:ind w:left="-57"/>
      <w:jc w:val="left"/>
    </w:pPr>
    <w:r>
      <w:rPr>
        <w:noProof/>
        <w:lang w:eastAsia="en-NZ"/>
      </w:rPr>
      <w:drawing>
        <wp:inline distT="0" distB="0" distL="0" distR="0" wp14:anchorId="7D6F8FB3" wp14:editId="3BE8CD59">
          <wp:extent cx="2428875" cy="685800"/>
          <wp:effectExtent l="19050" t="0" r="9525" b="0"/>
          <wp:docPr id="1" name="Picture 1" descr="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_Logo"/>
                  <pic:cNvPicPr>
                    <a:picLocks noChangeAspect="1" noChangeArrowheads="1"/>
                  </pic:cNvPicPr>
                </pic:nvPicPr>
                <pic:blipFill>
                  <a:blip r:embed="rId1"/>
                  <a:srcRect l="2927" t="8191" r="2281" b="7092"/>
                  <a:stretch>
                    <a:fillRect/>
                  </a:stretch>
                </pic:blipFill>
                <pic:spPr bwMode="auto">
                  <a:xfrm>
                    <a:off x="0" y="0"/>
                    <a:ext cx="2428875" cy="685800"/>
                  </a:xfrm>
                  <a:prstGeom prst="rect">
                    <a:avLst/>
                  </a:prstGeom>
                  <a:noFill/>
                  <a:ln w="9525">
                    <a:noFill/>
                    <a:miter lim="800000"/>
                    <a:headEnd/>
                    <a:tailEnd/>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4F9" w:rsidRDefault="006914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4F9" w:rsidRDefault="006914F9" w:rsidP="0058752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4F9" w:rsidRDefault="006914F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4F9" w:rsidRDefault="006914F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4F9" w:rsidRDefault="006914F9" w:rsidP="0058752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4F9" w:rsidRDefault="006914F9" w:rsidP="0058752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4F9" w:rsidRDefault="006914F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4F9" w:rsidRDefault="006914F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4F9" w:rsidRDefault="006914F9" w:rsidP="0058752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67626"/>
    <w:multiLevelType w:val="hybridMultilevel"/>
    <w:tmpl w:val="8D184994"/>
    <w:lvl w:ilvl="0" w:tplc="DB9C7798">
      <w:start w:val="1"/>
      <w:numFmt w:val="decimal"/>
      <w:pStyle w:val="Numberedparagraph"/>
      <w:lvlText w:val="%1."/>
      <w:lvlJc w:val="left"/>
      <w:pPr>
        <w:tabs>
          <w:tab w:val="num" w:pos="397"/>
        </w:tabs>
        <w:ind w:left="397"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
    <w:nsid w:val="0569353D"/>
    <w:multiLevelType w:val="hybridMultilevel"/>
    <w:tmpl w:val="53EE2D9E"/>
    <w:lvl w:ilvl="0" w:tplc="7632C194">
      <w:start w:val="1"/>
      <w:numFmt w:val="decimal"/>
      <w:lvlText w:val="%1."/>
      <w:lvlJc w:val="left"/>
      <w:pPr>
        <w:ind w:left="72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106D65D3"/>
    <w:multiLevelType w:val="hybridMultilevel"/>
    <w:tmpl w:val="7F0EC4C6"/>
    <w:lvl w:ilvl="0" w:tplc="9AD44896">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92D7642"/>
    <w:multiLevelType w:val="hybridMultilevel"/>
    <w:tmpl w:val="0A48E3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208C5CF5"/>
    <w:multiLevelType w:val="hybridMultilevel"/>
    <w:tmpl w:val="4BC8C6FC"/>
    <w:lvl w:ilvl="0" w:tplc="1409000F">
      <w:start w:val="1"/>
      <w:numFmt w:val="decimal"/>
      <w:pStyle w:val="Sub-lista"/>
      <w:lvlText w:val="%1."/>
      <w:lvlJc w:val="left"/>
      <w:pPr>
        <w:tabs>
          <w:tab w:val="num" w:pos="397"/>
        </w:tabs>
        <w:ind w:left="397" w:hanging="397"/>
      </w:pPr>
      <w:rPr>
        <w:rFonts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5">
    <w:nsid w:val="23E23DCE"/>
    <w:multiLevelType w:val="hybridMultilevel"/>
    <w:tmpl w:val="B4AA88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271B741E"/>
    <w:multiLevelType w:val="hybridMultilevel"/>
    <w:tmpl w:val="CB4483AA"/>
    <w:lvl w:ilvl="0" w:tplc="9AD44896">
      <w:numFmt w:val="bullet"/>
      <w:lvlText w:val="-"/>
      <w:lvlJc w:val="left"/>
      <w:pPr>
        <w:ind w:left="757" w:hanging="360"/>
      </w:pPr>
      <w:rPr>
        <w:rFonts w:ascii="Times New Roman" w:eastAsia="Times New Roman" w:hAnsi="Times New Roman" w:cs="Times New Roman"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7">
    <w:nsid w:val="322326E4"/>
    <w:multiLevelType w:val="hybridMultilevel"/>
    <w:tmpl w:val="428C4CD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nsid w:val="35193BFC"/>
    <w:multiLevelType w:val="hybridMultilevel"/>
    <w:tmpl w:val="E0BAF0E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35A359CC"/>
    <w:multiLevelType w:val="hybridMultilevel"/>
    <w:tmpl w:val="5D10AE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35E257BF"/>
    <w:multiLevelType w:val="hybridMultilevel"/>
    <w:tmpl w:val="EC563EC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5EB417C"/>
    <w:multiLevelType w:val="hybridMultilevel"/>
    <w:tmpl w:val="E836E5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7E5172D"/>
    <w:multiLevelType w:val="hybridMultilevel"/>
    <w:tmpl w:val="90DE35F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3BF61AD3"/>
    <w:multiLevelType w:val="hybridMultilevel"/>
    <w:tmpl w:val="8BA262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427701FB"/>
    <w:multiLevelType w:val="hybridMultilevel"/>
    <w:tmpl w:val="87A07910"/>
    <w:lvl w:ilvl="0" w:tplc="C04A679E">
      <w:start w:val="1"/>
      <w:numFmt w:val="bullet"/>
      <w:pStyle w:val="Sub-list"/>
      <w:lvlText w:val=""/>
      <w:lvlJc w:val="left"/>
      <w:pPr>
        <w:tabs>
          <w:tab w:val="num" w:pos="397"/>
        </w:tabs>
        <w:ind w:left="397" w:firstLine="0"/>
      </w:pPr>
      <w:rPr>
        <w:rFonts w:ascii="Symbol" w:hAnsi="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5">
    <w:nsid w:val="440B17DC"/>
    <w:multiLevelType w:val="hybridMultilevel"/>
    <w:tmpl w:val="F0384DBE"/>
    <w:lvl w:ilvl="0" w:tplc="0A189278">
      <w:start w:val="1"/>
      <w:numFmt w:val="bullet"/>
      <w:pStyle w:val="TableBullet"/>
      <w:lvlText w:val=""/>
      <w:lvlJc w:val="left"/>
      <w:pPr>
        <w:tabs>
          <w:tab w:val="num" w:pos="284"/>
        </w:tabs>
        <w:ind w:left="284" w:hanging="284"/>
      </w:pPr>
      <w:rPr>
        <w:rFonts w:ascii="Symbol" w:hAnsi="Symbol" w:hint="default"/>
        <w:sz w:val="16"/>
        <w:szCs w:val="16"/>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6">
    <w:nsid w:val="463D6104"/>
    <w:multiLevelType w:val="hybridMultilevel"/>
    <w:tmpl w:val="4ABA2070"/>
    <w:lvl w:ilvl="0" w:tplc="5308CA02">
      <w:start w:val="1"/>
      <w:numFmt w:val="lowerRoman"/>
      <w:pStyle w:val="Sub-listi"/>
      <w:lvlText w:val="%1."/>
      <w:lvlJc w:val="left"/>
      <w:pPr>
        <w:tabs>
          <w:tab w:val="num" w:pos="1191"/>
        </w:tabs>
        <w:ind w:left="1191"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7">
    <w:nsid w:val="4C563196"/>
    <w:multiLevelType w:val="hybridMultilevel"/>
    <w:tmpl w:val="1D84951C"/>
    <w:lvl w:ilvl="0" w:tplc="9AD44896">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507F6C36"/>
    <w:multiLevelType w:val="hybridMultilevel"/>
    <w:tmpl w:val="5966204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53535234"/>
    <w:multiLevelType w:val="singleLevel"/>
    <w:tmpl w:val="7FC073B8"/>
    <w:lvl w:ilvl="0">
      <w:start w:val="1"/>
      <w:numFmt w:val="bullet"/>
      <w:pStyle w:val="Boxbullet"/>
      <w:lvlText w:val=""/>
      <w:lvlJc w:val="left"/>
      <w:pPr>
        <w:tabs>
          <w:tab w:val="num" w:pos="851"/>
        </w:tabs>
        <w:ind w:left="851" w:hanging="567"/>
      </w:pPr>
      <w:rPr>
        <w:rFonts w:ascii="Symbol" w:hAnsi="Symbol" w:hint="default"/>
        <w:sz w:val="16"/>
      </w:rPr>
    </w:lvl>
  </w:abstractNum>
  <w:abstractNum w:abstractNumId="20">
    <w:nsid w:val="56873829"/>
    <w:multiLevelType w:val="hybridMultilevel"/>
    <w:tmpl w:val="01D6C39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57121FC4"/>
    <w:multiLevelType w:val="hybridMultilevel"/>
    <w:tmpl w:val="55CCD36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2">
    <w:nsid w:val="5D0835D5"/>
    <w:multiLevelType w:val="hybridMultilevel"/>
    <w:tmpl w:val="C010CE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5F3B2CEE"/>
    <w:multiLevelType w:val="hybridMultilevel"/>
    <w:tmpl w:val="C92E637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nsid w:val="606127D8"/>
    <w:multiLevelType w:val="hybridMultilevel"/>
    <w:tmpl w:val="62027FE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68C51DD9"/>
    <w:multiLevelType w:val="hybridMultilevel"/>
    <w:tmpl w:val="351CE90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nsid w:val="6A3535FE"/>
    <w:multiLevelType w:val="hybridMultilevel"/>
    <w:tmpl w:val="13BC5688"/>
    <w:lvl w:ilvl="0" w:tplc="9AD44896">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6CD7505C"/>
    <w:multiLevelType w:val="hybridMultilevel"/>
    <w:tmpl w:val="3F52C15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75811DDE"/>
    <w:multiLevelType w:val="hybridMultilevel"/>
    <w:tmpl w:val="5784BADA"/>
    <w:lvl w:ilvl="0" w:tplc="329622E6">
      <w:start w:val="1"/>
      <w:numFmt w:val="bullet"/>
      <w:pStyle w:val="TableDash"/>
      <w:lvlText w:val=""/>
      <w:lvlJc w:val="left"/>
      <w:pPr>
        <w:tabs>
          <w:tab w:val="num" w:pos="567"/>
        </w:tabs>
        <w:ind w:left="567" w:hanging="283"/>
      </w:pPr>
      <w:rPr>
        <w:rFonts w:ascii="Symbol" w:hAnsi="Symbol" w:hint="default"/>
        <w:color w:val="auto"/>
        <w:sz w:val="16"/>
        <w:szCs w:val="16"/>
      </w:rPr>
    </w:lvl>
    <w:lvl w:ilvl="1" w:tplc="14090019">
      <w:start w:val="1"/>
      <w:numFmt w:val="bullet"/>
      <w:lvlText w:val="o"/>
      <w:lvlJc w:val="left"/>
      <w:pPr>
        <w:tabs>
          <w:tab w:val="num" w:pos="1440"/>
        </w:tabs>
        <w:ind w:left="1440" w:hanging="360"/>
      </w:pPr>
      <w:rPr>
        <w:rFonts w:ascii="Courier New" w:hAnsi="Courier New" w:cs="Courier New" w:hint="default"/>
      </w:rPr>
    </w:lvl>
    <w:lvl w:ilvl="2" w:tplc="1409001B" w:tentative="1">
      <w:start w:val="1"/>
      <w:numFmt w:val="bullet"/>
      <w:lvlText w:val=""/>
      <w:lvlJc w:val="left"/>
      <w:pPr>
        <w:tabs>
          <w:tab w:val="num" w:pos="2160"/>
        </w:tabs>
        <w:ind w:left="2160" w:hanging="360"/>
      </w:pPr>
      <w:rPr>
        <w:rFonts w:ascii="Wingdings" w:hAnsi="Wingdings" w:hint="default"/>
      </w:rPr>
    </w:lvl>
    <w:lvl w:ilvl="3" w:tplc="1409000F" w:tentative="1">
      <w:start w:val="1"/>
      <w:numFmt w:val="bullet"/>
      <w:lvlText w:val=""/>
      <w:lvlJc w:val="left"/>
      <w:pPr>
        <w:tabs>
          <w:tab w:val="num" w:pos="2880"/>
        </w:tabs>
        <w:ind w:left="2880" w:hanging="360"/>
      </w:pPr>
      <w:rPr>
        <w:rFonts w:ascii="Symbol" w:hAnsi="Symbol" w:hint="default"/>
      </w:rPr>
    </w:lvl>
    <w:lvl w:ilvl="4" w:tplc="14090019" w:tentative="1">
      <w:start w:val="1"/>
      <w:numFmt w:val="bullet"/>
      <w:lvlText w:val="o"/>
      <w:lvlJc w:val="left"/>
      <w:pPr>
        <w:tabs>
          <w:tab w:val="num" w:pos="3600"/>
        </w:tabs>
        <w:ind w:left="3600" w:hanging="360"/>
      </w:pPr>
      <w:rPr>
        <w:rFonts w:ascii="Courier New" w:hAnsi="Courier New" w:cs="Courier New" w:hint="default"/>
      </w:rPr>
    </w:lvl>
    <w:lvl w:ilvl="5" w:tplc="1409001B" w:tentative="1">
      <w:start w:val="1"/>
      <w:numFmt w:val="bullet"/>
      <w:lvlText w:val=""/>
      <w:lvlJc w:val="left"/>
      <w:pPr>
        <w:tabs>
          <w:tab w:val="num" w:pos="4320"/>
        </w:tabs>
        <w:ind w:left="4320" w:hanging="360"/>
      </w:pPr>
      <w:rPr>
        <w:rFonts w:ascii="Wingdings" w:hAnsi="Wingdings" w:hint="default"/>
      </w:rPr>
    </w:lvl>
    <w:lvl w:ilvl="6" w:tplc="1409000F" w:tentative="1">
      <w:start w:val="1"/>
      <w:numFmt w:val="bullet"/>
      <w:lvlText w:val=""/>
      <w:lvlJc w:val="left"/>
      <w:pPr>
        <w:tabs>
          <w:tab w:val="num" w:pos="5040"/>
        </w:tabs>
        <w:ind w:left="5040" w:hanging="360"/>
      </w:pPr>
      <w:rPr>
        <w:rFonts w:ascii="Symbol" w:hAnsi="Symbol" w:hint="default"/>
      </w:rPr>
    </w:lvl>
    <w:lvl w:ilvl="7" w:tplc="14090019" w:tentative="1">
      <w:start w:val="1"/>
      <w:numFmt w:val="bullet"/>
      <w:lvlText w:val="o"/>
      <w:lvlJc w:val="left"/>
      <w:pPr>
        <w:tabs>
          <w:tab w:val="num" w:pos="5760"/>
        </w:tabs>
        <w:ind w:left="5760" w:hanging="360"/>
      </w:pPr>
      <w:rPr>
        <w:rFonts w:ascii="Courier New" w:hAnsi="Courier New" w:cs="Courier New" w:hint="default"/>
      </w:rPr>
    </w:lvl>
    <w:lvl w:ilvl="8" w:tplc="1409001B" w:tentative="1">
      <w:start w:val="1"/>
      <w:numFmt w:val="bullet"/>
      <w:lvlText w:val=""/>
      <w:lvlJc w:val="left"/>
      <w:pPr>
        <w:tabs>
          <w:tab w:val="num" w:pos="6480"/>
        </w:tabs>
        <w:ind w:left="6480" w:hanging="360"/>
      </w:pPr>
      <w:rPr>
        <w:rFonts w:ascii="Wingdings" w:hAnsi="Wingdings" w:hint="default"/>
      </w:rPr>
    </w:lvl>
  </w:abstractNum>
  <w:abstractNum w:abstractNumId="29">
    <w:nsid w:val="78D5672A"/>
    <w:multiLevelType w:val="hybridMultilevel"/>
    <w:tmpl w:val="F9AE0AC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0">
    <w:nsid w:val="79C554A3"/>
    <w:multiLevelType w:val="hybridMultilevel"/>
    <w:tmpl w:val="80AA6C5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nsid w:val="7B885B02"/>
    <w:multiLevelType w:val="hybridMultilevel"/>
    <w:tmpl w:val="0ED2DC8A"/>
    <w:lvl w:ilvl="0" w:tplc="9AD44896">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7E2C3718"/>
    <w:multiLevelType w:val="hybridMultilevel"/>
    <w:tmpl w:val="778C9C52"/>
    <w:lvl w:ilvl="0" w:tplc="0DC21E22">
      <w:start w:val="1"/>
      <w:numFmt w:val="decimal"/>
      <w:lvlText w:val="%1"/>
      <w:lvlJc w:val="left"/>
      <w:pPr>
        <w:ind w:left="564" w:hanging="564"/>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nsid w:val="7E4D254A"/>
    <w:multiLevelType w:val="singleLevel"/>
    <w:tmpl w:val="3D7651AA"/>
    <w:lvl w:ilvl="0">
      <w:start w:val="1"/>
      <w:numFmt w:val="bullet"/>
      <w:pStyle w:val="Bullet"/>
      <w:lvlText w:val=""/>
      <w:lvlJc w:val="left"/>
      <w:pPr>
        <w:tabs>
          <w:tab w:val="num" w:pos="397"/>
        </w:tabs>
        <w:ind w:left="397" w:hanging="397"/>
      </w:pPr>
      <w:rPr>
        <w:rFonts w:ascii="Symbol" w:hAnsi="Symbol" w:hint="default"/>
        <w:sz w:val="20"/>
      </w:rPr>
    </w:lvl>
  </w:abstractNum>
  <w:abstractNum w:abstractNumId="34">
    <w:nsid w:val="7F495556"/>
    <w:multiLevelType w:val="hybridMultilevel"/>
    <w:tmpl w:val="10305B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9"/>
  </w:num>
  <w:num w:numId="2">
    <w:abstractNumId w:val="33"/>
  </w:num>
  <w:num w:numId="3">
    <w:abstractNumId w:val="0"/>
  </w:num>
  <w:num w:numId="4">
    <w:abstractNumId w:val="14"/>
  </w:num>
  <w:num w:numId="5">
    <w:abstractNumId w:val="4"/>
  </w:num>
  <w:num w:numId="6">
    <w:abstractNumId w:val="16"/>
  </w:num>
  <w:num w:numId="7">
    <w:abstractNumId w:val="28"/>
  </w:num>
  <w:num w:numId="8">
    <w:abstractNumId w:val="15"/>
  </w:num>
  <w:num w:numId="9">
    <w:abstractNumId w:val="32"/>
  </w:num>
  <w:num w:numId="10">
    <w:abstractNumId w:val="7"/>
  </w:num>
  <w:num w:numId="11">
    <w:abstractNumId w:val="21"/>
  </w:num>
  <w:num w:numId="12">
    <w:abstractNumId w:val="31"/>
  </w:num>
  <w:num w:numId="13">
    <w:abstractNumId w:val="6"/>
  </w:num>
  <w:num w:numId="14">
    <w:abstractNumId w:val="2"/>
  </w:num>
  <w:num w:numId="15">
    <w:abstractNumId w:val="17"/>
  </w:num>
  <w:num w:numId="16">
    <w:abstractNumId w:val="26"/>
  </w:num>
  <w:num w:numId="17">
    <w:abstractNumId w:val="0"/>
    <w:lvlOverride w:ilvl="0">
      <w:startOverride w:val="1"/>
    </w:lvlOverride>
  </w:num>
  <w:num w:numId="18">
    <w:abstractNumId w:val="22"/>
  </w:num>
  <w:num w:numId="19">
    <w:abstractNumId w:val="5"/>
  </w:num>
  <w:num w:numId="20">
    <w:abstractNumId w:val="34"/>
  </w:num>
  <w:num w:numId="21">
    <w:abstractNumId w:val="9"/>
  </w:num>
  <w:num w:numId="22">
    <w:abstractNumId w:val="3"/>
  </w:num>
  <w:num w:numId="23">
    <w:abstractNumId w:val="13"/>
  </w:num>
  <w:num w:numId="24">
    <w:abstractNumId w:val="11"/>
  </w:num>
  <w:num w:numId="25">
    <w:abstractNumId w:val="29"/>
  </w:num>
  <w:num w:numId="26">
    <w:abstractNumId w:val="10"/>
  </w:num>
  <w:num w:numId="27">
    <w:abstractNumId w:val="23"/>
  </w:num>
  <w:num w:numId="28">
    <w:abstractNumId w:val="25"/>
  </w:num>
  <w:num w:numId="29">
    <w:abstractNumId w:val="4"/>
    <w:lvlOverride w:ilvl="0">
      <w:startOverride w:val="1"/>
    </w:lvlOverride>
  </w:num>
  <w:num w:numId="30">
    <w:abstractNumId w:val="4"/>
    <w:lvlOverride w:ilvl="0">
      <w:startOverride w:val="1"/>
    </w:lvlOverride>
  </w:num>
  <w:num w:numId="31">
    <w:abstractNumId w:val="4"/>
    <w:lvlOverride w:ilvl="0">
      <w:startOverride w:val="1"/>
    </w:lvlOverride>
  </w:num>
  <w:num w:numId="32">
    <w:abstractNumId w:val="18"/>
  </w:num>
  <w:num w:numId="33">
    <w:abstractNumId w:val="1"/>
  </w:num>
  <w:num w:numId="34">
    <w:abstractNumId w:val="8"/>
  </w:num>
  <w:num w:numId="35">
    <w:abstractNumId w:val="27"/>
  </w:num>
  <w:num w:numId="36">
    <w:abstractNumId w:val="12"/>
  </w:num>
  <w:num w:numId="37">
    <w:abstractNumId w:val="30"/>
  </w:num>
  <w:num w:numId="38">
    <w:abstractNumId w:val="20"/>
  </w:num>
  <w:num w:numId="39">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activeWritingStyle w:appName="MSWord" w:lang="en-NZ"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397"/>
  <w:evenAndOddHeaders/>
  <w:drawingGridHorizontalSpacing w:val="187"/>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B03"/>
    <w:rsid w:val="00002003"/>
    <w:rsid w:val="00002886"/>
    <w:rsid w:val="000042BE"/>
    <w:rsid w:val="00007ABB"/>
    <w:rsid w:val="00013729"/>
    <w:rsid w:val="000152A1"/>
    <w:rsid w:val="00016058"/>
    <w:rsid w:val="000173AA"/>
    <w:rsid w:val="00021538"/>
    <w:rsid w:val="000216A8"/>
    <w:rsid w:val="00021ACF"/>
    <w:rsid w:val="00027A04"/>
    <w:rsid w:val="00031420"/>
    <w:rsid w:val="00032A28"/>
    <w:rsid w:val="00032D99"/>
    <w:rsid w:val="000366FD"/>
    <w:rsid w:val="00050008"/>
    <w:rsid w:val="00054BE3"/>
    <w:rsid w:val="0005513A"/>
    <w:rsid w:val="000575CA"/>
    <w:rsid w:val="0006425F"/>
    <w:rsid w:val="0006448B"/>
    <w:rsid w:val="000645F9"/>
    <w:rsid w:val="00067D54"/>
    <w:rsid w:val="0007642C"/>
    <w:rsid w:val="00082805"/>
    <w:rsid w:val="0008308A"/>
    <w:rsid w:val="00090483"/>
    <w:rsid w:val="00091680"/>
    <w:rsid w:val="00091FF7"/>
    <w:rsid w:val="000923E8"/>
    <w:rsid w:val="00092AC3"/>
    <w:rsid w:val="00096B45"/>
    <w:rsid w:val="000B02B9"/>
    <w:rsid w:val="000B060A"/>
    <w:rsid w:val="000C1AC3"/>
    <w:rsid w:val="000C20A6"/>
    <w:rsid w:val="000C28B4"/>
    <w:rsid w:val="000C3A2D"/>
    <w:rsid w:val="000C44D9"/>
    <w:rsid w:val="000C5EB7"/>
    <w:rsid w:val="000C628C"/>
    <w:rsid w:val="000C7936"/>
    <w:rsid w:val="000C7CAC"/>
    <w:rsid w:val="000D078C"/>
    <w:rsid w:val="000D161C"/>
    <w:rsid w:val="000D55D7"/>
    <w:rsid w:val="000D5C95"/>
    <w:rsid w:val="000E3538"/>
    <w:rsid w:val="000E554E"/>
    <w:rsid w:val="000F4DEF"/>
    <w:rsid w:val="000F6C94"/>
    <w:rsid w:val="00104B3A"/>
    <w:rsid w:val="00110337"/>
    <w:rsid w:val="00112450"/>
    <w:rsid w:val="00113656"/>
    <w:rsid w:val="00115F2D"/>
    <w:rsid w:val="00116773"/>
    <w:rsid w:val="00116E1B"/>
    <w:rsid w:val="001221C3"/>
    <w:rsid w:val="00126224"/>
    <w:rsid w:val="001270FB"/>
    <w:rsid w:val="00131DD4"/>
    <w:rsid w:val="001320D0"/>
    <w:rsid w:val="00134C15"/>
    <w:rsid w:val="00141DE2"/>
    <w:rsid w:val="001471B5"/>
    <w:rsid w:val="00153F1A"/>
    <w:rsid w:val="001562CB"/>
    <w:rsid w:val="001637BB"/>
    <w:rsid w:val="00163E6D"/>
    <w:rsid w:val="001655F1"/>
    <w:rsid w:val="001665D0"/>
    <w:rsid w:val="0017093C"/>
    <w:rsid w:val="0017514A"/>
    <w:rsid w:val="00180272"/>
    <w:rsid w:val="00182D1F"/>
    <w:rsid w:val="001833F4"/>
    <w:rsid w:val="001909B6"/>
    <w:rsid w:val="00191CF1"/>
    <w:rsid w:val="0019442A"/>
    <w:rsid w:val="001A1997"/>
    <w:rsid w:val="001A3004"/>
    <w:rsid w:val="001A7459"/>
    <w:rsid w:val="001B04EA"/>
    <w:rsid w:val="001B266A"/>
    <w:rsid w:val="001B2C97"/>
    <w:rsid w:val="001B6332"/>
    <w:rsid w:val="001B68DE"/>
    <w:rsid w:val="001C19E1"/>
    <w:rsid w:val="001C57CC"/>
    <w:rsid w:val="001D0ED7"/>
    <w:rsid w:val="001D4C5D"/>
    <w:rsid w:val="001D6ACA"/>
    <w:rsid w:val="001E1D42"/>
    <w:rsid w:val="001F2E4A"/>
    <w:rsid w:val="001F5B76"/>
    <w:rsid w:val="001F6F71"/>
    <w:rsid w:val="002037D1"/>
    <w:rsid w:val="00204A35"/>
    <w:rsid w:val="00204FAA"/>
    <w:rsid w:val="00207ABF"/>
    <w:rsid w:val="00210861"/>
    <w:rsid w:val="00213863"/>
    <w:rsid w:val="00217D7D"/>
    <w:rsid w:val="00220272"/>
    <w:rsid w:val="00221077"/>
    <w:rsid w:val="00227394"/>
    <w:rsid w:val="00230366"/>
    <w:rsid w:val="00231E4C"/>
    <w:rsid w:val="00235A01"/>
    <w:rsid w:val="00240A5E"/>
    <w:rsid w:val="0024367F"/>
    <w:rsid w:val="00250F0C"/>
    <w:rsid w:val="002516E3"/>
    <w:rsid w:val="00252CC3"/>
    <w:rsid w:val="0025489E"/>
    <w:rsid w:val="00255EFF"/>
    <w:rsid w:val="00255FAE"/>
    <w:rsid w:val="00256A5F"/>
    <w:rsid w:val="00256C27"/>
    <w:rsid w:val="00260369"/>
    <w:rsid w:val="00261572"/>
    <w:rsid w:val="00261B59"/>
    <w:rsid w:val="00261B9C"/>
    <w:rsid w:val="00262471"/>
    <w:rsid w:val="00266983"/>
    <w:rsid w:val="002736FE"/>
    <w:rsid w:val="0027740A"/>
    <w:rsid w:val="00280180"/>
    <w:rsid w:val="002827C1"/>
    <w:rsid w:val="00282D1D"/>
    <w:rsid w:val="0028581A"/>
    <w:rsid w:val="00295B2A"/>
    <w:rsid w:val="002A25F5"/>
    <w:rsid w:val="002A5DF2"/>
    <w:rsid w:val="002A7740"/>
    <w:rsid w:val="002B11B2"/>
    <w:rsid w:val="002B1C5A"/>
    <w:rsid w:val="002B3284"/>
    <w:rsid w:val="002B35AC"/>
    <w:rsid w:val="002C04E8"/>
    <w:rsid w:val="002C58AA"/>
    <w:rsid w:val="002D420A"/>
    <w:rsid w:val="002D45EF"/>
    <w:rsid w:val="002D60DB"/>
    <w:rsid w:val="002E1446"/>
    <w:rsid w:val="002E26FB"/>
    <w:rsid w:val="002F0CAD"/>
    <w:rsid w:val="002F134A"/>
    <w:rsid w:val="002F3C01"/>
    <w:rsid w:val="00300AE9"/>
    <w:rsid w:val="003018FD"/>
    <w:rsid w:val="00302D84"/>
    <w:rsid w:val="00310B9F"/>
    <w:rsid w:val="00315760"/>
    <w:rsid w:val="003212F1"/>
    <w:rsid w:val="0032152E"/>
    <w:rsid w:val="00321851"/>
    <w:rsid w:val="00322F2C"/>
    <w:rsid w:val="0032418F"/>
    <w:rsid w:val="00324CCC"/>
    <w:rsid w:val="00334BC5"/>
    <w:rsid w:val="00343CE0"/>
    <w:rsid w:val="003549B5"/>
    <w:rsid w:val="00354DA7"/>
    <w:rsid w:val="00354E1B"/>
    <w:rsid w:val="0035507B"/>
    <w:rsid w:val="00362B58"/>
    <w:rsid w:val="00362E01"/>
    <w:rsid w:val="00364215"/>
    <w:rsid w:val="00367017"/>
    <w:rsid w:val="0037590E"/>
    <w:rsid w:val="0037672C"/>
    <w:rsid w:val="00380B0D"/>
    <w:rsid w:val="003810C6"/>
    <w:rsid w:val="00381940"/>
    <w:rsid w:val="0038278E"/>
    <w:rsid w:val="003830BA"/>
    <w:rsid w:val="00383207"/>
    <w:rsid w:val="00390580"/>
    <w:rsid w:val="003927D6"/>
    <w:rsid w:val="00393246"/>
    <w:rsid w:val="00394FBA"/>
    <w:rsid w:val="00397D2B"/>
    <w:rsid w:val="003B1C93"/>
    <w:rsid w:val="003B4BDF"/>
    <w:rsid w:val="003B6736"/>
    <w:rsid w:val="003C2615"/>
    <w:rsid w:val="003C33DB"/>
    <w:rsid w:val="003C4184"/>
    <w:rsid w:val="003C4B03"/>
    <w:rsid w:val="003C56E6"/>
    <w:rsid w:val="003D1865"/>
    <w:rsid w:val="003D1DE4"/>
    <w:rsid w:val="003D27D8"/>
    <w:rsid w:val="003D4B1E"/>
    <w:rsid w:val="003D5FF9"/>
    <w:rsid w:val="003E0698"/>
    <w:rsid w:val="003E1ACD"/>
    <w:rsid w:val="003E6315"/>
    <w:rsid w:val="003E670D"/>
    <w:rsid w:val="003E7E7F"/>
    <w:rsid w:val="003F6C85"/>
    <w:rsid w:val="003F6CA3"/>
    <w:rsid w:val="003F7387"/>
    <w:rsid w:val="00400F92"/>
    <w:rsid w:val="00402657"/>
    <w:rsid w:val="00402AD8"/>
    <w:rsid w:val="00413172"/>
    <w:rsid w:val="00414785"/>
    <w:rsid w:val="00415BB0"/>
    <w:rsid w:val="00416BE4"/>
    <w:rsid w:val="00422DDE"/>
    <w:rsid w:val="0042424B"/>
    <w:rsid w:val="00424E68"/>
    <w:rsid w:val="00427975"/>
    <w:rsid w:val="004301F0"/>
    <w:rsid w:val="0043594A"/>
    <w:rsid w:val="004406C6"/>
    <w:rsid w:val="00441F42"/>
    <w:rsid w:val="004435C7"/>
    <w:rsid w:val="00447B06"/>
    <w:rsid w:val="0045188A"/>
    <w:rsid w:val="0045652C"/>
    <w:rsid w:val="00465267"/>
    <w:rsid w:val="0046643E"/>
    <w:rsid w:val="004669A4"/>
    <w:rsid w:val="00471155"/>
    <w:rsid w:val="004805A3"/>
    <w:rsid w:val="0048136A"/>
    <w:rsid w:val="00484DF4"/>
    <w:rsid w:val="00490EB0"/>
    <w:rsid w:val="00494026"/>
    <w:rsid w:val="00496377"/>
    <w:rsid w:val="00496B5C"/>
    <w:rsid w:val="004A08E8"/>
    <w:rsid w:val="004A5319"/>
    <w:rsid w:val="004A618E"/>
    <w:rsid w:val="004B0245"/>
    <w:rsid w:val="004B18F4"/>
    <w:rsid w:val="004B21BE"/>
    <w:rsid w:val="004B2DB3"/>
    <w:rsid w:val="004B5AEC"/>
    <w:rsid w:val="004C0F3F"/>
    <w:rsid w:val="004C43E9"/>
    <w:rsid w:val="004D28BA"/>
    <w:rsid w:val="004D3F4F"/>
    <w:rsid w:val="004D4B80"/>
    <w:rsid w:val="004D4C08"/>
    <w:rsid w:val="004E070B"/>
    <w:rsid w:val="004E0BA1"/>
    <w:rsid w:val="004E216C"/>
    <w:rsid w:val="004E3B1C"/>
    <w:rsid w:val="004E4B2C"/>
    <w:rsid w:val="004F07BA"/>
    <w:rsid w:val="004F4545"/>
    <w:rsid w:val="004F53AC"/>
    <w:rsid w:val="0050107E"/>
    <w:rsid w:val="00512A31"/>
    <w:rsid w:val="00512D64"/>
    <w:rsid w:val="0051348C"/>
    <w:rsid w:val="005168B7"/>
    <w:rsid w:val="005175FD"/>
    <w:rsid w:val="00525771"/>
    <w:rsid w:val="005267D4"/>
    <w:rsid w:val="00535D04"/>
    <w:rsid w:val="0054487D"/>
    <w:rsid w:val="00546C1C"/>
    <w:rsid w:val="00550D92"/>
    <w:rsid w:val="00554F5F"/>
    <w:rsid w:val="005600B7"/>
    <w:rsid w:val="005630B0"/>
    <w:rsid w:val="0057154B"/>
    <w:rsid w:val="005720F2"/>
    <w:rsid w:val="0057460B"/>
    <w:rsid w:val="00574DF6"/>
    <w:rsid w:val="0058485B"/>
    <w:rsid w:val="00587528"/>
    <w:rsid w:val="00590CD9"/>
    <w:rsid w:val="00592387"/>
    <w:rsid w:val="005933D5"/>
    <w:rsid w:val="00596603"/>
    <w:rsid w:val="005A0910"/>
    <w:rsid w:val="005A1C28"/>
    <w:rsid w:val="005A1D89"/>
    <w:rsid w:val="005A229F"/>
    <w:rsid w:val="005A408B"/>
    <w:rsid w:val="005B2E38"/>
    <w:rsid w:val="005B4CD4"/>
    <w:rsid w:val="005C05EA"/>
    <w:rsid w:val="005C0A61"/>
    <w:rsid w:val="005C0F63"/>
    <w:rsid w:val="005C39C8"/>
    <w:rsid w:val="005C3CD0"/>
    <w:rsid w:val="005C416E"/>
    <w:rsid w:val="005C58AC"/>
    <w:rsid w:val="005D0F19"/>
    <w:rsid w:val="005D1C3A"/>
    <w:rsid w:val="005D24DF"/>
    <w:rsid w:val="005D3DC5"/>
    <w:rsid w:val="005D617E"/>
    <w:rsid w:val="005D61D4"/>
    <w:rsid w:val="005E43DD"/>
    <w:rsid w:val="005E5297"/>
    <w:rsid w:val="005E7F8C"/>
    <w:rsid w:val="005F3996"/>
    <w:rsid w:val="005F6734"/>
    <w:rsid w:val="00603363"/>
    <w:rsid w:val="00603FC0"/>
    <w:rsid w:val="00612005"/>
    <w:rsid w:val="00612B52"/>
    <w:rsid w:val="00617235"/>
    <w:rsid w:val="00620BF3"/>
    <w:rsid w:val="00620D84"/>
    <w:rsid w:val="006231C1"/>
    <w:rsid w:val="0062428A"/>
    <w:rsid w:val="00632A80"/>
    <w:rsid w:val="006339FC"/>
    <w:rsid w:val="00636BF0"/>
    <w:rsid w:val="0063725E"/>
    <w:rsid w:val="00646DB2"/>
    <w:rsid w:val="0065101C"/>
    <w:rsid w:val="00651F6C"/>
    <w:rsid w:val="006572F2"/>
    <w:rsid w:val="006603DC"/>
    <w:rsid w:val="006611D6"/>
    <w:rsid w:val="006628F7"/>
    <w:rsid w:val="006646FD"/>
    <w:rsid w:val="00665768"/>
    <w:rsid w:val="0066600A"/>
    <w:rsid w:val="00673CBD"/>
    <w:rsid w:val="006745D5"/>
    <w:rsid w:val="00675E78"/>
    <w:rsid w:val="0068067B"/>
    <w:rsid w:val="00684705"/>
    <w:rsid w:val="00686249"/>
    <w:rsid w:val="00687504"/>
    <w:rsid w:val="00690FCA"/>
    <w:rsid w:val="006914F9"/>
    <w:rsid w:val="00691890"/>
    <w:rsid w:val="00692B83"/>
    <w:rsid w:val="006A2160"/>
    <w:rsid w:val="006A47B4"/>
    <w:rsid w:val="006A4E5F"/>
    <w:rsid w:val="006A6437"/>
    <w:rsid w:val="006B173F"/>
    <w:rsid w:val="006B3CCF"/>
    <w:rsid w:val="006B4144"/>
    <w:rsid w:val="006B53B6"/>
    <w:rsid w:val="006B61B9"/>
    <w:rsid w:val="006C3AEA"/>
    <w:rsid w:val="006C3C52"/>
    <w:rsid w:val="006C479E"/>
    <w:rsid w:val="006C4DE1"/>
    <w:rsid w:val="006D0D58"/>
    <w:rsid w:val="006D0E10"/>
    <w:rsid w:val="006D5A28"/>
    <w:rsid w:val="006E1AD1"/>
    <w:rsid w:val="006E202B"/>
    <w:rsid w:val="006E5523"/>
    <w:rsid w:val="006E57B5"/>
    <w:rsid w:val="00701219"/>
    <w:rsid w:val="00703F50"/>
    <w:rsid w:val="007046A7"/>
    <w:rsid w:val="007101CA"/>
    <w:rsid w:val="00712CB3"/>
    <w:rsid w:val="00725A18"/>
    <w:rsid w:val="00733490"/>
    <w:rsid w:val="007356F7"/>
    <w:rsid w:val="00737E65"/>
    <w:rsid w:val="00737E8D"/>
    <w:rsid w:val="0074030A"/>
    <w:rsid w:val="00740870"/>
    <w:rsid w:val="0074795B"/>
    <w:rsid w:val="00751316"/>
    <w:rsid w:val="0075191A"/>
    <w:rsid w:val="0075474D"/>
    <w:rsid w:val="007547DF"/>
    <w:rsid w:val="007557A6"/>
    <w:rsid w:val="00760468"/>
    <w:rsid w:val="00761D87"/>
    <w:rsid w:val="007633C2"/>
    <w:rsid w:val="00765A47"/>
    <w:rsid w:val="00765B41"/>
    <w:rsid w:val="00770E82"/>
    <w:rsid w:val="00772E94"/>
    <w:rsid w:val="00781C82"/>
    <w:rsid w:val="00782FAE"/>
    <w:rsid w:val="00783ED3"/>
    <w:rsid w:val="00784FA4"/>
    <w:rsid w:val="00794448"/>
    <w:rsid w:val="00797AC4"/>
    <w:rsid w:val="007A04B1"/>
    <w:rsid w:val="007A1095"/>
    <w:rsid w:val="007A7EF3"/>
    <w:rsid w:val="007B028B"/>
    <w:rsid w:val="007B1D71"/>
    <w:rsid w:val="007B38EB"/>
    <w:rsid w:val="007B75C1"/>
    <w:rsid w:val="007B7BE4"/>
    <w:rsid w:val="007C2186"/>
    <w:rsid w:val="007C3A70"/>
    <w:rsid w:val="007C5B19"/>
    <w:rsid w:val="007C6920"/>
    <w:rsid w:val="007C6E30"/>
    <w:rsid w:val="007C776F"/>
    <w:rsid w:val="007D704F"/>
    <w:rsid w:val="007E43F0"/>
    <w:rsid w:val="007E4BCD"/>
    <w:rsid w:val="007E6D50"/>
    <w:rsid w:val="007F2233"/>
    <w:rsid w:val="00814F2D"/>
    <w:rsid w:val="008165F8"/>
    <w:rsid w:val="00830DE4"/>
    <w:rsid w:val="00831D0D"/>
    <w:rsid w:val="00834F58"/>
    <w:rsid w:val="00837D0B"/>
    <w:rsid w:val="008403B8"/>
    <w:rsid w:val="00842DE6"/>
    <w:rsid w:val="0084461A"/>
    <w:rsid w:val="00844FE0"/>
    <w:rsid w:val="00850363"/>
    <w:rsid w:val="008569DF"/>
    <w:rsid w:val="00864E54"/>
    <w:rsid w:val="00871A7A"/>
    <w:rsid w:val="00873BEB"/>
    <w:rsid w:val="00874F72"/>
    <w:rsid w:val="0087648E"/>
    <w:rsid w:val="008777CA"/>
    <w:rsid w:val="00877E70"/>
    <w:rsid w:val="0088144D"/>
    <w:rsid w:val="00885D2A"/>
    <w:rsid w:val="0088617A"/>
    <w:rsid w:val="00887B25"/>
    <w:rsid w:val="0089560D"/>
    <w:rsid w:val="00897D18"/>
    <w:rsid w:val="008A0DFF"/>
    <w:rsid w:val="008A38F0"/>
    <w:rsid w:val="008A3CFF"/>
    <w:rsid w:val="008B19EE"/>
    <w:rsid w:val="008B2F77"/>
    <w:rsid w:val="008B3745"/>
    <w:rsid w:val="008B79B2"/>
    <w:rsid w:val="008B7BAC"/>
    <w:rsid w:val="008B7D75"/>
    <w:rsid w:val="008C6518"/>
    <w:rsid w:val="008C7F68"/>
    <w:rsid w:val="008D2CB8"/>
    <w:rsid w:val="008D2E8C"/>
    <w:rsid w:val="008D4180"/>
    <w:rsid w:val="008D5E56"/>
    <w:rsid w:val="008E0D56"/>
    <w:rsid w:val="008E35BB"/>
    <w:rsid w:val="008E380C"/>
    <w:rsid w:val="008E4585"/>
    <w:rsid w:val="008E5B14"/>
    <w:rsid w:val="008F03C6"/>
    <w:rsid w:val="008F25D2"/>
    <w:rsid w:val="008F3D77"/>
    <w:rsid w:val="008F72A1"/>
    <w:rsid w:val="00902756"/>
    <w:rsid w:val="009116D7"/>
    <w:rsid w:val="00914CC6"/>
    <w:rsid w:val="00915E0B"/>
    <w:rsid w:val="00920442"/>
    <w:rsid w:val="00920C70"/>
    <w:rsid w:val="009253B8"/>
    <w:rsid w:val="00932040"/>
    <w:rsid w:val="00932067"/>
    <w:rsid w:val="009321F2"/>
    <w:rsid w:val="00932470"/>
    <w:rsid w:val="0094268E"/>
    <w:rsid w:val="00942C08"/>
    <w:rsid w:val="00943169"/>
    <w:rsid w:val="00945FFF"/>
    <w:rsid w:val="009507A9"/>
    <w:rsid w:val="00955ECF"/>
    <w:rsid w:val="0096033A"/>
    <w:rsid w:val="00962F36"/>
    <w:rsid w:val="0096540A"/>
    <w:rsid w:val="00966F18"/>
    <w:rsid w:val="00967AA3"/>
    <w:rsid w:val="0097185E"/>
    <w:rsid w:val="00972FB5"/>
    <w:rsid w:val="009778A4"/>
    <w:rsid w:val="00977E8C"/>
    <w:rsid w:val="00984BBA"/>
    <w:rsid w:val="00986E2E"/>
    <w:rsid w:val="00990398"/>
    <w:rsid w:val="009915D3"/>
    <w:rsid w:val="00992781"/>
    <w:rsid w:val="00992E3C"/>
    <w:rsid w:val="00994E30"/>
    <w:rsid w:val="00994FE8"/>
    <w:rsid w:val="009957CD"/>
    <w:rsid w:val="009A1879"/>
    <w:rsid w:val="009A2289"/>
    <w:rsid w:val="009B00E6"/>
    <w:rsid w:val="009B090D"/>
    <w:rsid w:val="009B18B8"/>
    <w:rsid w:val="009B24E4"/>
    <w:rsid w:val="009B6164"/>
    <w:rsid w:val="009C450D"/>
    <w:rsid w:val="009C5D2A"/>
    <w:rsid w:val="009C7063"/>
    <w:rsid w:val="009E5F26"/>
    <w:rsid w:val="009E7BFA"/>
    <w:rsid w:val="009F1F1F"/>
    <w:rsid w:val="009F3C27"/>
    <w:rsid w:val="00A000B2"/>
    <w:rsid w:val="00A0058A"/>
    <w:rsid w:val="00A0717B"/>
    <w:rsid w:val="00A103F7"/>
    <w:rsid w:val="00A10606"/>
    <w:rsid w:val="00A11C24"/>
    <w:rsid w:val="00A22784"/>
    <w:rsid w:val="00A23D44"/>
    <w:rsid w:val="00A25847"/>
    <w:rsid w:val="00A31C88"/>
    <w:rsid w:val="00A331E7"/>
    <w:rsid w:val="00A36FFF"/>
    <w:rsid w:val="00A40314"/>
    <w:rsid w:val="00A41C3C"/>
    <w:rsid w:val="00A44F03"/>
    <w:rsid w:val="00A45D90"/>
    <w:rsid w:val="00A53E2B"/>
    <w:rsid w:val="00A5514E"/>
    <w:rsid w:val="00A57D42"/>
    <w:rsid w:val="00A65756"/>
    <w:rsid w:val="00A65DF4"/>
    <w:rsid w:val="00A70033"/>
    <w:rsid w:val="00A70AAA"/>
    <w:rsid w:val="00A7635D"/>
    <w:rsid w:val="00A81031"/>
    <w:rsid w:val="00A81682"/>
    <w:rsid w:val="00A821D0"/>
    <w:rsid w:val="00A83BAE"/>
    <w:rsid w:val="00A843B3"/>
    <w:rsid w:val="00A859FC"/>
    <w:rsid w:val="00A94142"/>
    <w:rsid w:val="00A95F74"/>
    <w:rsid w:val="00AA19ED"/>
    <w:rsid w:val="00AA61E5"/>
    <w:rsid w:val="00AB166D"/>
    <w:rsid w:val="00AB1B89"/>
    <w:rsid w:val="00AB5665"/>
    <w:rsid w:val="00AC7CC1"/>
    <w:rsid w:val="00AD09B3"/>
    <w:rsid w:val="00AD6770"/>
    <w:rsid w:val="00AD69AF"/>
    <w:rsid w:val="00AE555B"/>
    <w:rsid w:val="00AE74A4"/>
    <w:rsid w:val="00AF0951"/>
    <w:rsid w:val="00AF13D8"/>
    <w:rsid w:val="00AF1C92"/>
    <w:rsid w:val="00B00235"/>
    <w:rsid w:val="00B0240E"/>
    <w:rsid w:val="00B0566D"/>
    <w:rsid w:val="00B066CD"/>
    <w:rsid w:val="00B073E0"/>
    <w:rsid w:val="00B11630"/>
    <w:rsid w:val="00B11F21"/>
    <w:rsid w:val="00B20FC9"/>
    <w:rsid w:val="00B245D8"/>
    <w:rsid w:val="00B270F3"/>
    <w:rsid w:val="00B34484"/>
    <w:rsid w:val="00B36903"/>
    <w:rsid w:val="00B37DE8"/>
    <w:rsid w:val="00B41376"/>
    <w:rsid w:val="00B440A7"/>
    <w:rsid w:val="00B44DE7"/>
    <w:rsid w:val="00B452C1"/>
    <w:rsid w:val="00B46AC7"/>
    <w:rsid w:val="00B46DCD"/>
    <w:rsid w:val="00B47A57"/>
    <w:rsid w:val="00B52E41"/>
    <w:rsid w:val="00B53DD3"/>
    <w:rsid w:val="00B57CC3"/>
    <w:rsid w:val="00B605B7"/>
    <w:rsid w:val="00B633A3"/>
    <w:rsid w:val="00B7403E"/>
    <w:rsid w:val="00B74108"/>
    <w:rsid w:val="00B766DD"/>
    <w:rsid w:val="00B80717"/>
    <w:rsid w:val="00B84BF4"/>
    <w:rsid w:val="00B85407"/>
    <w:rsid w:val="00B85B69"/>
    <w:rsid w:val="00B87662"/>
    <w:rsid w:val="00BA4E2E"/>
    <w:rsid w:val="00BA5F7E"/>
    <w:rsid w:val="00BB1EBC"/>
    <w:rsid w:val="00BC71C1"/>
    <w:rsid w:val="00BD012D"/>
    <w:rsid w:val="00BD1FD2"/>
    <w:rsid w:val="00BD44C8"/>
    <w:rsid w:val="00BD7BEB"/>
    <w:rsid w:val="00BE0CB1"/>
    <w:rsid w:val="00BE7501"/>
    <w:rsid w:val="00BF02B5"/>
    <w:rsid w:val="00BF14B6"/>
    <w:rsid w:val="00BF19CC"/>
    <w:rsid w:val="00BF4C03"/>
    <w:rsid w:val="00C00765"/>
    <w:rsid w:val="00C016FB"/>
    <w:rsid w:val="00C01BED"/>
    <w:rsid w:val="00C10464"/>
    <w:rsid w:val="00C16625"/>
    <w:rsid w:val="00C205D7"/>
    <w:rsid w:val="00C20EB0"/>
    <w:rsid w:val="00C21FF9"/>
    <w:rsid w:val="00C40967"/>
    <w:rsid w:val="00C414F0"/>
    <w:rsid w:val="00C45557"/>
    <w:rsid w:val="00C50ADF"/>
    <w:rsid w:val="00C55B8D"/>
    <w:rsid w:val="00C61C1A"/>
    <w:rsid w:val="00C61EB1"/>
    <w:rsid w:val="00C63D43"/>
    <w:rsid w:val="00C65E39"/>
    <w:rsid w:val="00C724D3"/>
    <w:rsid w:val="00C72601"/>
    <w:rsid w:val="00C73C44"/>
    <w:rsid w:val="00C74134"/>
    <w:rsid w:val="00C81E0D"/>
    <w:rsid w:val="00C823B1"/>
    <w:rsid w:val="00C83945"/>
    <w:rsid w:val="00C91514"/>
    <w:rsid w:val="00C91AE0"/>
    <w:rsid w:val="00CA18D5"/>
    <w:rsid w:val="00CA271E"/>
    <w:rsid w:val="00CA2BD6"/>
    <w:rsid w:val="00CA4928"/>
    <w:rsid w:val="00CA524B"/>
    <w:rsid w:val="00CA7422"/>
    <w:rsid w:val="00CA7657"/>
    <w:rsid w:val="00CB1FA4"/>
    <w:rsid w:val="00CB6320"/>
    <w:rsid w:val="00CB6CB7"/>
    <w:rsid w:val="00CB7414"/>
    <w:rsid w:val="00CB7D13"/>
    <w:rsid w:val="00CB7F79"/>
    <w:rsid w:val="00CC0680"/>
    <w:rsid w:val="00CC0E15"/>
    <w:rsid w:val="00CD0843"/>
    <w:rsid w:val="00CE03E9"/>
    <w:rsid w:val="00CE3725"/>
    <w:rsid w:val="00CE3F16"/>
    <w:rsid w:val="00CE4B43"/>
    <w:rsid w:val="00CF6106"/>
    <w:rsid w:val="00CF6607"/>
    <w:rsid w:val="00D01CFE"/>
    <w:rsid w:val="00D03731"/>
    <w:rsid w:val="00D04444"/>
    <w:rsid w:val="00D05518"/>
    <w:rsid w:val="00D07C4B"/>
    <w:rsid w:val="00D11081"/>
    <w:rsid w:val="00D12121"/>
    <w:rsid w:val="00D174B7"/>
    <w:rsid w:val="00D2058E"/>
    <w:rsid w:val="00D225D8"/>
    <w:rsid w:val="00D23486"/>
    <w:rsid w:val="00D2610F"/>
    <w:rsid w:val="00D33A2E"/>
    <w:rsid w:val="00D33FA2"/>
    <w:rsid w:val="00D347AD"/>
    <w:rsid w:val="00D40CBA"/>
    <w:rsid w:val="00D43B00"/>
    <w:rsid w:val="00D45CEB"/>
    <w:rsid w:val="00D46EAA"/>
    <w:rsid w:val="00D5103E"/>
    <w:rsid w:val="00D514B9"/>
    <w:rsid w:val="00D51B16"/>
    <w:rsid w:val="00D540D6"/>
    <w:rsid w:val="00D60B59"/>
    <w:rsid w:val="00D62E09"/>
    <w:rsid w:val="00D64555"/>
    <w:rsid w:val="00D74237"/>
    <w:rsid w:val="00D76019"/>
    <w:rsid w:val="00D76706"/>
    <w:rsid w:val="00D82638"/>
    <w:rsid w:val="00D872BF"/>
    <w:rsid w:val="00D91890"/>
    <w:rsid w:val="00D93258"/>
    <w:rsid w:val="00D94F31"/>
    <w:rsid w:val="00DA47AD"/>
    <w:rsid w:val="00DA4A81"/>
    <w:rsid w:val="00DA57F8"/>
    <w:rsid w:val="00DA5ACE"/>
    <w:rsid w:val="00DB1620"/>
    <w:rsid w:val="00DB2018"/>
    <w:rsid w:val="00DB2A4E"/>
    <w:rsid w:val="00DB44D8"/>
    <w:rsid w:val="00DB4A9D"/>
    <w:rsid w:val="00DC272F"/>
    <w:rsid w:val="00DC276E"/>
    <w:rsid w:val="00DC3696"/>
    <w:rsid w:val="00DC3F25"/>
    <w:rsid w:val="00DD0645"/>
    <w:rsid w:val="00DD0AE2"/>
    <w:rsid w:val="00DD0FFC"/>
    <w:rsid w:val="00DD24FA"/>
    <w:rsid w:val="00DD3257"/>
    <w:rsid w:val="00DD3800"/>
    <w:rsid w:val="00DE01F6"/>
    <w:rsid w:val="00DE4223"/>
    <w:rsid w:val="00DE4E85"/>
    <w:rsid w:val="00DE7196"/>
    <w:rsid w:val="00DF0D87"/>
    <w:rsid w:val="00DF3CC1"/>
    <w:rsid w:val="00DF624F"/>
    <w:rsid w:val="00DF6DF8"/>
    <w:rsid w:val="00E00CC1"/>
    <w:rsid w:val="00E016B3"/>
    <w:rsid w:val="00E02733"/>
    <w:rsid w:val="00E03AD7"/>
    <w:rsid w:val="00E05DF1"/>
    <w:rsid w:val="00E06D10"/>
    <w:rsid w:val="00E135AA"/>
    <w:rsid w:val="00E20458"/>
    <w:rsid w:val="00E21FE7"/>
    <w:rsid w:val="00E22771"/>
    <w:rsid w:val="00E30FAD"/>
    <w:rsid w:val="00E32453"/>
    <w:rsid w:val="00E41091"/>
    <w:rsid w:val="00E45203"/>
    <w:rsid w:val="00E47849"/>
    <w:rsid w:val="00E51EBA"/>
    <w:rsid w:val="00E5241E"/>
    <w:rsid w:val="00E56487"/>
    <w:rsid w:val="00E57816"/>
    <w:rsid w:val="00E60E57"/>
    <w:rsid w:val="00E62003"/>
    <w:rsid w:val="00E62EB0"/>
    <w:rsid w:val="00E670AB"/>
    <w:rsid w:val="00E70BD7"/>
    <w:rsid w:val="00E70F06"/>
    <w:rsid w:val="00E728C9"/>
    <w:rsid w:val="00E84167"/>
    <w:rsid w:val="00E846D4"/>
    <w:rsid w:val="00E92820"/>
    <w:rsid w:val="00E9355E"/>
    <w:rsid w:val="00E9398A"/>
    <w:rsid w:val="00E97D65"/>
    <w:rsid w:val="00EA4A3A"/>
    <w:rsid w:val="00EB2487"/>
    <w:rsid w:val="00EB6A09"/>
    <w:rsid w:val="00EB7C8A"/>
    <w:rsid w:val="00EC030D"/>
    <w:rsid w:val="00EC13CB"/>
    <w:rsid w:val="00EC593F"/>
    <w:rsid w:val="00EC60D9"/>
    <w:rsid w:val="00EC7666"/>
    <w:rsid w:val="00ED0110"/>
    <w:rsid w:val="00ED74F6"/>
    <w:rsid w:val="00EE0272"/>
    <w:rsid w:val="00EE2D70"/>
    <w:rsid w:val="00EE4170"/>
    <w:rsid w:val="00EE4A22"/>
    <w:rsid w:val="00EE6143"/>
    <w:rsid w:val="00EF3B2B"/>
    <w:rsid w:val="00EF604A"/>
    <w:rsid w:val="00F00EE9"/>
    <w:rsid w:val="00F045DC"/>
    <w:rsid w:val="00F0565B"/>
    <w:rsid w:val="00F06AA3"/>
    <w:rsid w:val="00F06FFB"/>
    <w:rsid w:val="00F13E3B"/>
    <w:rsid w:val="00F16AD2"/>
    <w:rsid w:val="00F20782"/>
    <w:rsid w:val="00F268B3"/>
    <w:rsid w:val="00F27242"/>
    <w:rsid w:val="00F27744"/>
    <w:rsid w:val="00F30A1B"/>
    <w:rsid w:val="00F31911"/>
    <w:rsid w:val="00F324BE"/>
    <w:rsid w:val="00F32B57"/>
    <w:rsid w:val="00F34F96"/>
    <w:rsid w:val="00F35D87"/>
    <w:rsid w:val="00F36B3D"/>
    <w:rsid w:val="00F409AE"/>
    <w:rsid w:val="00F41A6C"/>
    <w:rsid w:val="00F41B92"/>
    <w:rsid w:val="00F47244"/>
    <w:rsid w:val="00F50FE5"/>
    <w:rsid w:val="00F51016"/>
    <w:rsid w:val="00F51F59"/>
    <w:rsid w:val="00F532A9"/>
    <w:rsid w:val="00F54961"/>
    <w:rsid w:val="00F60035"/>
    <w:rsid w:val="00F63F1A"/>
    <w:rsid w:val="00F65F84"/>
    <w:rsid w:val="00F73104"/>
    <w:rsid w:val="00F75381"/>
    <w:rsid w:val="00F8295F"/>
    <w:rsid w:val="00F84CF5"/>
    <w:rsid w:val="00F91554"/>
    <w:rsid w:val="00F92D49"/>
    <w:rsid w:val="00FA163C"/>
    <w:rsid w:val="00FA355E"/>
    <w:rsid w:val="00FA5F45"/>
    <w:rsid w:val="00FB1AF7"/>
    <w:rsid w:val="00FB1DB8"/>
    <w:rsid w:val="00FB3397"/>
    <w:rsid w:val="00FC061A"/>
    <w:rsid w:val="00FC2C59"/>
    <w:rsid w:val="00FC4509"/>
    <w:rsid w:val="00FC7D55"/>
    <w:rsid w:val="00FD152D"/>
    <w:rsid w:val="00FD178C"/>
    <w:rsid w:val="00FD3E0C"/>
    <w:rsid w:val="00FE296A"/>
    <w:rsid w:val="00FE43B6"/>
    <w:rsid w:val="00FF18D4"/>
    <w:rsid w:val="00FF4C19"/>
    <w:rsid w:val="00FF634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B02B9"/>
    <w:pPr>
      <w:jc w:val="both"/>
    </w:pPr>
    <w:rPr>
      <w:sz w:val="22"/>
      <w:lang w:eastAsia="en-US"/>
    </w:rPr>
  </w:style>
  <w:style w:type="paragraph" w:styleId="Heading1">
    <w:name w:val="heading 1"/>
    <w:basedOn w:val="Normal"/>
    <w:next w:val="BodyText"/>
    <w:qFormat/>
    <w:rsid w:val="00D76019"/>
    <w:pPr>
      <w:tabs>
        <w:tab w:val="left" w:pos="567"/>
      </w:tabs>
      <w:spacing w:after="480"/>
      <w:jc w:val="left"/>
      <w:outlineLvl w:val="0"/>
    </w:pPr>
    <w:rPr>
      <w:rFonts w:ascii="Arial" w:hAnsi="Arial"/>
      <w:b/>
      <w:sz w:val="44"/>
    </w:rPr>
  </w:style>
  <w:style w:type="paragraph" w:styleId="Heading2">
    <w:name w:val="heading 2"/>
    <w:basedOn w:val="Normal"/>
    <w:next w:val="BodyText"/>
    <w:qFormat/>
    <w:rsid w:val="00DF624F"/>
    <w:pPr>
      <w:keepNext/>
      <w:spacing w:before="360" w:after="120"/>
      <w:jc w:val="left"/>
      <w:outlineLvl w:val="1"/>
    </w:pPr>
    <w:rPr>
      <w:rFonts w:ascii="Arial" w:hAnsi="Arial"/>
      <w:b/>
      <w:sz w:val="36"/>
    </w:rPr>
  </w:style>
  <w:style w:type="paragraph" w:styleId="Heading3">
    <w:name w:val="heading 3"/>
    <w:basedOn w:val="Normal"/>
    <w:next w:val="BodyText"/>
    <w:link w:val="Heading3Char"/>
    <w:qFormat/>
    <w:rsid w:val="00092AC3"/>
    <w:pPr>
      <w:keepNext/>
      <w:spacing w:before="360" w:after="120"/>
      <w:jc w:val="left"/>
      <w:outlineLvl w:val="2"/>
    </w:pPr>
    <w:rPr>
      <w:rFonts w:ascii="Arial" w:hAnsi="Arial"/>
      <w:b/>
      <w:sz w:val="28"/>
    </w:rPr>
  </w:style>
  <w:style w:type="paragraph" w:styleId="Heading4">
    <w:name w:val="heading 4"/>
    <w:basedOn w:val="Normal"/>
    <w:next w:val="BodyText"/>
    <w:qFormat/>
    <w:rsid w:val="00B41376"/>
    <w:pPr>
      <w:keepNext/>
      <w:spacing w:before="240" w:after="120"/>
      <w:outlineLvl w:val="3"/>
    </w:pPr>
    <w:rPr>
      <w:rFonts w:ascii="Arial" w:hAnsi="Arial"/>
      <w:b/>
      <w:sz w:val="24"/>
    </w:rPr>
  </w:style>
  <w:style w:type="paragraph" w:styleId="Heading5">
    <w:name w:val="heading 5"/>
    <w:basedOn w:val="Normal"/>
    <w:next w:val="BodyText"/>
    <w:qFormat/>
    <w:rsid w:val="004C43E9"/>
    <w:pPr>
      <w:spacing w:before="240" w:after="60"/>
      <w:outlineLvl w:val="4"/>
    </w:pPr>
    <w:rPr>
      <w:rFonts w:ascii="Arial" w:hAnsi="Arial"/>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5514E"/>
  </w:style>
  <w:style w:type="character" w:customStyle="1" w:styleId="Heading3Char">
    <w:name w:val="Heading 3 Char"/>
    <w:basedOn w:val="DefaultParagraphFont"/>
    <w:link w:val="Heading3"/>
    <w:uiPriority w:val="9"/>
    <w:rsid w:val="00DC272F"/>
    <w:rPr>
      <w:rFonts w:ascii="Arial" w:hAnsi="Arial"/>
      <w:b/>
      <w:sz w:val="28"/>
      <w:lang w:eastAsia="en-US"/>
    </w:rPr>
  </w:style>
  <w:style w:type="table" w:styleId="TableGrid">
    <w:name w:val="Table Grid"/>
    <w:basedOn w:val="TableNormal"/>
    <w:rsid w:val="00A331E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qFormat/>
    <w:rsid w:val="00772E94"/>
    <w:pPr>
      <w:jc w:val="center"/>
    </w:pPr>
    <w:rPr>
      <w:rFonts w:ascii="Arial" w:hAnsi="Arial"/>
      <w:sz w:val="16"/>
    </w:rPr>
  </w:style>
  <w:style w:type="character" w:customStyle="1" w:styleId="HeaderChar">
    <w:name w:val="Header Char"/>
    <w:basedOn w:val="DefaultParagraphFont"/>
    <w:link w:val="Header"/>
    <w:rsid w:val="00E60E57"/>
    <w:rPr>
      <w:rFonts w:ascii="Arial" w:hAnsi="Arial"/>
      <w:sz w:val="16"/>
      <w:lang w:eastAsia="en-US"/>
    </w:rPr>
  </w:style>
  <w:style w:type="paragraph" w:styleId="Quote">
    <w:name w:val="Quote"/>
    <w:basedOn w:val="Normal"/>
    <w:next w:val="BodyText"/>
    <w:qFormat/>
    <w:rsid w:val="00092AC3"/>
    <w:pPr>
      <w:ind w:left="567" w:right="567"/>
    </w:pPr>
    <w:rPr>
      <w:sz w:val="20"/>
    </w:rPr>
  </w:style>
  <w:style w:type="paragraph" w:customStyle="1" w:styleId="Box">
    <w:name w:val="Box"/>
    <w:basedOn w:val="Normal"/>
    <w:next w:val="Normal"/>
    <w:rsid w:val="00772E94"/>
    <w:pPr>
      <w:pBdr>
        <w:top w:val="single" w:sz="6" w:space="15" w:color="auto"/>
        <w:left w:val="single" w:sz="6" w:space="15" w:color="auto"/>
        <w:bottom w:val="single" w:sz="6" w:space="15" w:color="auto"/>
        <w:right w:val="single" w:sz="6" w:space="15" w:color="auto"/>
      </w:pBdr>
      <w:ind w:left="284" w:right="284"/>
    </w:pPr>
    <w:rPr>
      <w:rFonts w:ascii="Arial" w:hAnsi="Arial"/>
      <w:sz w:val="20"/>
    </w:rPr>
  </w:style>
  <w:style w:type="paragraph" w:customStyle="1" w:styleId="Boxbullet">
    <w:name w:val="Box bullet"/>
    <w:basedOn w:val="Box"/>
    <w:rsid w:val="00772E94"/>
    <w:pPr>
      <w:numPr>
        <w:numId w:val="1"/>
      </w:numPr>
      <w:spacing w:before="120"/>
      <w:jc w:val="left"/>
    </w:pPr>
  </w:style>
  <w:style w:type="paragraph" w:customStyle="1" w:styleId="Boxheading">
    <w:name w:val="Box heading"/>
    <w:basedOn w:val="Box"/>
    <w:next w:val="Box"/>
    <w:rsid w:val="00772E94"/>
    <w:pPr>
      <w:spacing w:after="240"/>
    </w:pPr>
    <w:rPr>
      <w:b/>
      <w:sz w:val="22"/>
    </w:rPr>
  </w:style>
  <w:style w:type="paragraph" w:customStyle="1" w:styleId="Bullet">
    <w:name w:val="Bullet"/>
    <w:basedOn w:val="Normal"/>
    <w:qFormat/>
    <w:rsid w:val="00092AC3"/>
    <w:pPr>
      <w:numPr>
        <w:numId w:val="2"/>
      </w:numPr>
      <w:spacing w:before="120"/>
    </w:pPr>
  </w:style>
  <w:style w:type="paragraph" w:customStyle="1" w:styleId="Heading">
    <w:name w:val="Heading"/>
    <w:basedOn w:val="Heading1"/>
    <w:next w:val="Normal"/>
    <w:rsid w:val="000D5C95"/>
    <w:pPr>
      <w:outlineLvl w:val="9"/>
    </w:pPr>
  </w:style>
  <w:style w:type="paragraph" w:styleId="Footer">
    <w:name w:val="footer"/>
    <w:basedOn w:val="Normal"/>
    <w:rsid w:val="004D28BA"/>
    <w:pPr>
      <w:tabs>
        <w:tab w:val="center" w:pos="4153"/>
        <w:tab w:val="right" w:pos="8306"/>
      </w:tabs>
    </w:pPr>
  </w:style>
  <w:style w:type="paragraph" w:customStyle="1" w:styleId="Sub-list">
    <w:name w:val="Sub-list"/>
    <w:basedOn w:val="Normal"/>
    <w:qFormat/>
    <w:rsid w:val="00A70AAA"/>
    <w:pPr>
      <w:numPr>
        <w:numId w:val="4"/>
      </w:numPr>
      <w:tabs>
        <w:tab w:val="clear" w:pos="397"/>
        <w:tab w:val="left" w:pos="794"/>
      </w:tabs>
      <w:spacing w:before="60"/>
      <w:ind w:left="794" w:hanging="397"/>
    </w:pPr>
  </w:style>
  <w:style w:type="paragraph" w:customStyle="1" w:styleId="Figureheading">
    <w:name w:val="Figure heading"/>
    <w:basedOn w:val="Normal"/>
    <w:next w:val="Normal"/>
    <w:qFormat/>
    <w:rsid w:val="003C4184"/>
    <w:pPr>
      <w:keepNext/>
      <w:spacing w:after="120"/>
      <w:ind w:left="1134" w:hanging="1134"/>
      <w:jc w:val="left"/>
    </w:pPr>
    <w:rPr>
      <w:rFonts w:ascii="Arial" w:hAnsi="Arial"/>
      <w:b/>
      <w:sz w:val="20"/>
    </w:rPr>
  </w:style>
  <w:style w:type="character" w:styleId="FootnoteReference">
    <w:name w:val="footnote reference"/>
    <w:basedOn w:val="DefaultParagraphFont"/>
    <w:semiHidden/>
    <w:rsid w:val="00772E94"/>
    <w:rPr>
      <w:vertAlign w:val="superscript"/>
    </w:rPr>
  </w:style>
  <w:style w:type="paragraph" w:styleId="FootnoteText">
    <w:name w:val="footnote text"/>
    <w:basedOn w:val="Normal"/>
    <w:rsid w:val="00772E94"/>
    <w:pPr>
      <w:spacing w:after="120"/>
      <w:ind w:left="284" w:hanging="284"/>
    </w:pPr>
    <w:rPr>
      <w:sz w:val="19"/>
    </w:rPr>
  </w:style>
  <w:style w:type="character" w:styleId="Hyperlink">
    <w:name w:val="Hyperlink"/>
    <w:basedOn w:val="DefaultParagraphFont"/>
    <w:semiHidden/>
    <w:rsid w:val="00772E94"/>
    <w:rPr>
      <w:color w:val="0000FF"/>
      <w:u w:val="none"/>
    </w:rPr>
  </w:style>
  <w:style w:type="paragraph" w:customStyle="1" w:styleId="Imprint">
    <w:name w:val="Imprint"/>
    <w:basedOn w:val="Normal"/>
    <w:rsid w:val="00C016FB"/>
    <w:pPr>
      <w:jc w:val="left"/>
    </w:pPr>
    <w:rPr>
      <w:rFonts w:ascii="Arial" w:hAnsi="Arial"/>
    </w:rPr>
  </w:style>
  <w:style w:type="paragraph" w:customStyle="1" w:styleId="Note">
    <w:name w:val="Note"/>
    <w:basedOn w:val="Normal"/>
    <w:next w:val="Normal"/>
    <w:qFormat/>
    <w:rsid w:val="00A70AAA"/>
    <w:pPr>
      <w:tabs>
        <w:tab w:val="left" w:pos="680"/>
      </w:tabs>
      <w:spacing w:before="120"/>
      <w:ind w:left="680" w:hanging="680"/>
    </w:pPr>
    <w:rPr>
      <w:rFonts w:ascii="Arial" w:hAnsi="Arial"/>
      <w:sz w:val="16"/>
    </w:rPr>
  </w:style>
  <w:style w:type="character" w:styleId="PageNumber">
    <w:name w:val="page number"/>
    <w:basedOn w:val="DefaultParagraphFont"/>
    <w:semiHidden/>
    <w:rsid w:val="009116D7"/>
    <w:rPr>
      <w:rFonts w:ascii="Arial" w:hAnsi="Arial"/>
      <w:b/>
      <w:sz w:val="20"/>
      <w:lang w:val="en-NZ"/>
    </w:rPr>
  </w:style>
  <w:style w:type="paragraph" w:customStyle="1" w:styleId="References">
    <w:name w:val="References"/>
    <w:basedOn w:val="Normal"/>
    <w:qFormat/>
    <w:rsid w:val="00772E94"/>
    <w:pPr>
      <w:spacing w:after="120"/>
    </w:pPr>
    <w:rPr>
      <w:sz w:val="20"/>
    </w:rPr>
  </w:style>
  <w:style w:type="paragraph" w:customStyle="1" w:styleId="Source">
    <w:name w:val="Source"/>
    <w:basedOn w:val="Normal"/>
    <w:next w:val="Normal"/>
    <w:qFormat/>
    <w:rsid w:val="00765A47"/>
    <w:pPr>
      <w:tabs>
        <w:tab w:val="left" w:pos="680"/>
      </w:tabs>
      <w:spacing w:before="120"/>
      <w:jc w:val="left"/>
    </w:pPr>
    <w:rPr>
      <w:rFonts w:ascii="Arial" w:hAnsi="Arial"/>
      <w:sz w:val="16"/>
    </w:rPr>
  </w:style>
  <w:style w:type="paragraph" w:styleId="Title">
    <w:name w:val="Title"/>
    <w:basedOn w:val="Normal"/>
    <w:qFormat/>
    <w:rsid w:val="00772E94"/>
    <w:pPr>
      <w:spacing w:line="360" w:lineRule="auto"/>
      <w:jc w:val="center"/>
    </w:pPr>
    <w:rPr>
      <w:rFonts w:ascii="Arial" w:hAnsi="Arial"/>
      <w:b/>
      <w:sz w:val="48"/>
    </w:rPr>
  </w:style>
  <w:style w:type="paragraph" w:styleId="Subtitle">
    <w:name w:val="Subtitle"/>
    <w:basedOn w:val="Title"/>
    <w:qFormat/>
    <w:rsid w:val="00772E94"/>
    <w:pPr>
      <w:spacing w:before="600" w:line="240" w:lineRule="auto"/>
      <w:outlineLvl w:val="1"/>
    </w:pPr>
    <w:rPr>
      <w:sz w:val="36"/>
    </w:rPr>
  </w:style>
  <w:style w:type="paragraph" w:customStyle="1" w:styleId="Tableheading">
    <w:name w:val="Table heading"/>
    <w:basedOn w:val="Normal"/>
    <w:next w:val="Normal"/>
    <w:qFormat/>
    <w:rsid w:val="00B440A7"/>
    <w:pPr>
      <w:keepNext/>
      <w:spacing w:after="120"/>
      <w:ind w:left="1134" w:hanging="1134"/>
      <w:jc w:val="left"/>
    </w:pPr>
    <w:rPr>
      <w:rFonts w:ascii="Arial" w:hAnsi="Arial"/>
      <w:b/>
      <w:sz w:val="20"/>
    </w:rPr>
  </w:style>
  <w:style w:type="paragraph" w:customStyle="1" w:styleId="TableText">
    <w:name w:val="TableText"/>
    <w:basedOn w:val="Normal"/>
    <w:qFormat/>
    <w:rsid w:val="00E97D65"/>
    <w:pPr>
      <w:spacing w:before="60" w:after="60"/>
      <w:jc w:val="left"/>
    </w:pPr>
    <w:rPr>
      <w:rFonts w:ascii="Arial" w:hAnsi="Arial"/>
      <w:sz w:val="16"/>
    </w:rPr>
  </w:style>
  <w:style w:type="paragraph" w:customStyle="1" w:styleId="TableTextbold">
    <w:name w:val="TableText bold"/>
    <w:basedOn w:val="TableText"/>
    <w:qFormat/>
    <w:rsid w:val="00E97D65"/>
    <w:rPr>
      <w:b/>
    </w:rPr>
  </w:style>
  <w:style w:type="paragraph" w:styleId="TOC1">
    <w:name w:val="toc 1"/>
    <w:basedOn w:val="Normal"/>
    <w:next w:val="Normal"/>
    <w:uiPriority w:val="39"/>
    <w:rsid w:val="00782FAE"/>
    <w:pPr>
      <w:tabs>
        <w:tab w:val="right" w:pos="8505"/>
      </w:tabs>
      <w:spacing w:before="300"/>
      <w:ind w:left="567" w:right="567" w:hanging="567"/>
      <w:jc w:val="left"/>
    </w:pPr>
    <w:rPr>
      <w:rFonts w:ascii="Arial" w:hAnsi="Arial"/>
      <w:sz w:val="28"/>
    </w:rPr>
  </w:style>
  <w:style w:type="paragraph" w:styleId="TOC2">
    <w:name w:val="toc 2"/>
    <w:basedOn w:val="Normal"/>
    <w:next w:val="Normal"/>
    <w:uiPriority w:val="39"/>
    <w:rsid w:val="00772E94"/>
    <w:pPr>
      <w:tabs>
        <w:tab w:val="right" w:pos="8505"/>
      </w:tabs>
      <w:spacing w:before="60"/>
      <w:ind w:left="1134" w:right="567" w:hanging="567"/>
      <w:jc w:val="left"/>
    </w:pPr>
    <w:rPr>
      <w:rFonts w:ascii="Arial" w:hAnsi="Arial"/>
      <w:sz w:val="20"/>
    </w:rPr>
  </w:style>
  <w:style w:type="paragraph" w:customStyle="1" w:styleId="Captions">
    <w:name w:val="Captions"/>
    <w:basedOn w:val="Note"/>
    <w:next w:val="Normal"/>
    <w:qFormat/>
    <w:rsid w:val="00B440A7"/>
    <w:pPr>
      <w:tabs>
        <w:tab w:val="clear" w:pos="680"/>
        <w:tab w:val="left" w:pos="851"/>
      </w:tabs>
      <w:ind w:left="0" w:firstLine="0"/>
    </w:pPr>
  </w:style>
  <w:style w:type="paragraph" w:customStyle="1" w:styleId="Glossary">
    <w:name w:val="Glossary"/>
    <w:basedOn w:val="Normal"/>
    <w:qFormat/>
    <w:rsid w:val="005600B7"/>
    <w:pPr>
      <w:tabs>
        <w:tab w:val="left" w:pos="2835"/>
      </w:tabs>
      <w:ind w:left="2835" w:hanging="2835"/>
    </w:pPr>
  </w:style>
  <w:style w:type="paragraph" w:customStyle="1" w:styleId="Footerodd">
    <w:name w:val="Footer odd"/>
    <w:basedOn w:val="Normal"/>
    <w:rsid w:val="00227394"/>
    <w:pPr>
      <w:pBdr>
        <w:top w:val="single" w:sz="4" w:space="4" w:color="auto"/>
      </w:pBdr>
      <w:tabs>
        <w:tab w:val="right" w:pos="7655"/>
        <w:tab w:val="right" w:pos="8505"/>
      </w:tabs>
      <w:jc w:val="left"/>
    </w:pPr>
    <w:rPr>
      <w:rFonts w:ascii="Arial" w:hAnsi="Arial"/>
      <w:sz w:val="16"/>
    </w:rPr>
  </w:style>
  <w:style w:type="paragraph" w:customStyle="1" w:styleId="Footereven">
    <w:name w:val="Footer even"/>
    <w:basedOn w:val="Normal"/>
    <w:rsid w:val="00D62E09"/>
    <w:pPr>
      <w:pBdr>
        <w:top w:val="single" w:sz="4" w:space="4" w:color="auto"/>
      </w:pBdr>
      <w:tabs>
        <w:tab w:val="left" w:pos="851"/>
      </w:tabs>
    </w:pPr>
    <w:rPr>
      <w:rFonts w:ascii="Arial" w:hAnsi="Arial"/>
      <w:sz w:val="16"/>
    </w:rPr>
  </w:style>
  <w:style w:type="paragraph" w:customStyle="1" w:styleId="Numberedparagraph">
    <w:name w:val="Numbered paragraph"/>
    <w:basedOn w:val="Normal"/>
    <w:qFormat/>
    <w:rsid w:val="003E6315"/>
    <w:pPr>
      <w:numPr>
        <w:numId w:val="3"/>
      </w:numPr>
      <w:spacing w:before="120" w:after="120"/>
    </w:pPr>
  </w:style>
  <w:style w:type="paragraph" w:customStyle="1" w:styleId="Sub-lista">
    <w:name w:val="Sub-list a"/>
    <w:aliases w:val="b"/>
    <w:basedOn w:val="Normal"/>
    <w:qFormat/>
    <w:rsid w:val="00227394"/>
    <w:pPr>
      <w:numPr>
        <w:numId w:val="5"/>
      </w:numPr>
      <w:spacing w:before="60" w:after="60"/>
    </w:pPr>
  </w:style>
  <w:style w:type="paragraph" w:styleId="EndnoteText">
    <w:name w:val="endnote text"/>
    <w:basedOn w:val="Normal"/>
    <w:rsid w:val="00E51EBA"/>
    <w:pPr>
      <w:spacing w:after="60"/>
    </w:pPr>
    <w:rPr>
      <w:sz w:val="20"/>
    </w:rPr>
  </w:style>
  <w:style w:type="paragraph" w:styleId="TOC3">
    <w:name w:val="toc 3"/>
    <w:basedOn w:val="Normal"/>
    <w:next w:val="Normal"/>
    <w:autoRedefine/>
    <w:semiHidden/>
    <w:rsid w:val="005D3DC5"/>
    <w:pPr>
      <w:ind w:left="440"/>
    </w:pPr>
  </w:style>
  <w:style w:type="paragraph" w:styleId="TableofFigures">
    <w:name w:val="table of figures"/>
    <w:basedOn w:val="Normal"/>
    <w:next w:val="Normal"/>
    <w:uiPriority w:val="99"/>
    <w:rsid w:val="0017093C"/>
    <w:pPr>
      <w:spacing w:before="120"/>
      <w:ind w:left="1134" w:hanging="1134"/>
    </w:pPr>
    <w:rPr>
      <w:rFonts w:ascii="Arial" w:hAnsi="Arial"/>
      <w:sz w:val="20"/>
    </w:rPr>
  </w:style>
  <w:style w:type="paragraph" w:customStyle="1" w:styleId="Sub-listi">
    <w:name w:val="Sub-list i"/>
    <w:aliases w:val="ii"/>
    <w:basedOn w:val="BodyText"/>
    <w:qFormat/>
    <w:rsid w:val="0024367F"/>
    <w:pPr>
      <w:numPr>
        <w:numId w:val="6"/>
      </w:numPr>
      <w:spacing w:before="60" w:after="60"/>
    </w:pPr>
  </w:style>
  <w:style w:type="paragraph" w:customStyle="1" w:styleId="TableBullet">
    <w:name w:val="TableBullet"/>
    <w:basedOn w:val="Normal"/>
    <w:qFormat/>
    <w:rsid w:val="00E97D65"/>
    <w:pPr>
      <w:numPr>
        <w:numId w:val="8"/>
      </w:numPr>
      <w:spacing w:before="40" w:after="40"/>
      <w:jc w:val="left"/>
    </w:pPr>
    <w:rPr>
      <w:rFonts w:ascii="Arial" w:hAnsi="Arial" w:cs="Arial"/>
      <w:sz w:val="16"/>
      <w:szCs w:val="16"/>
    </w:rPr>
  </w:style>
  <w:style w:type="paragraph" w:customStyle="1" w:styleId="TableDash">
    <w:name w:val="TableDash"/>
    <w:basedOn w:val="TableBullet"/>
    <w:qFormat/>
    <w:rsid w:val="00E97D65"/>
    <w:pPr>
      <w:numPr>
        <w:numId w:val="7"/>
      </w:numPr>
      <w:spacing w:before="20" w:after="20"/>
      <w:ind w:left="568" w:hanging="284"/>
    </w:pPr>
  </w:style>
  <w:style w:type="paragraph" w:styleId="BalloonText">
    <w:name w:val="Balloon Text"/>
    <w:basedOn w:val="Normal"/>
    <w:link w:val="BalloonTextChar"/>
    <w:uiPriority w:val="99"/>
    <w:semiHidden/>
    <w:unhideWhenUsed/>
    <w:rsid w:val="00126224"/>
    <w:rPr>
      <w:rFonts w:ascii="Tahoma" w:hAnsi="Tahoma" w:cs="Tahoma"/>
      <w:sz w:val="16"/>
      <w:szCs w:val="16"/>
    </w:rPr>
  </w:style>
  <w:style w:type="character" w:customStyle="1" w:styleId="BalloonTextChar">
    <w:name w:val="Balloon Text Char"/>
    <w:basedOn w:val="DefaultParagraphFont"/>
    <w:link w:val="BalloonText"/>
    <w:uiPriority w:val="99"/>
    <w:semiHidden/>
    <w:rsid w:val="00126224"/>
    <w:rPr>
      <w:rFonts w:ascii="Tahoma" w:hAnsi="Tahoma" w:cs="Tahoma"/>
      <w:sz w:val="16"/>
      <w:szCs w:val="16"/>
      <w:lang w:eastAsia="en-US"/>
    </w:rPr>
  </w:style>
  <w:style w:type="paragraph" w:customStyle="1" w:styleId="LCRTableText2">
    <w:name w:val="LCR Table Text2"/>
    <w:basedOn w:val="Normal"/>
    <w:qFormat/>
    <w:rsid w:val="008165F8"/>
    <w:pPr>
      <w:spacing w:before="60" w:after="60" w:line="240" w:lineRule="atLeast"/>
      <w:jc w:val="left"/>
    </w:pPr>
    <w:rPr>
      <w:rFonts w:ascii="Calibri" w:hAnsi="Calibri"/>
      <w:snapToGrid w:val="0"/>
      <w:sz w:val="20"/>
    </w:rPr>
  </w:style>
  <w:style w:type="paragraph" w:customStyle="1" w:styleId="LCRTitle3">
    <w:name w:val="LCR Title3"/>
    <w:basedOn w:val="Title"/>
    <w:qFormat/>
    <w:rsid w:val="008165F8"/>
    <w:pPr>
      <w:spacing w:before="720" w:after="360" w:line="280" w:lineRule="atLeast"/>
      <w:jc w:val="left"/>
      <w:outlineLvl w:val="0"/>
    </w:pPr>
    <w:rPr>
      <w:rFonts w:ascii="Calibri" w:hAnsi="Calibri"/>
      <w:bCs/>
      <w:snapToGrid w:val="0"/>
      <w:kern w:val="28"/>
      <w:sz w:val="28"/>
    </w:rPr>
  </w:style>
  <w:style w:type="paragraph" w:customStyle="1" w:styleId="LCRAddress2">
    <w:name w:val="LCR Address2"/>
    <w:basedOn w:val="Normal"/>
    <w:qFormat/>
    <w:rsid w:val="008165F8"/>
    <w:pPr>
      <w:spacing w:before="60" w:after="180" w:line="280" w:lineRule="atLeast"/>
      <w:jc w:val="left"/>
    </w:pPr>
    <w:rPr>
      <w:rFonts w:ascii="Calibri" w:hAnsi="Calibri"/>
      <w:i/>
      <w:snapToGrid w:val="0"/>
      <w:sz w:val="24"/>
    </w:rPr>
  </w:style>
  <w:style w:type="paragraph" w:customStyle="1" w:styleId="LCRHeading3ALT">
    <w:name w:val="LCR Heading3ALT"/>
    <w:basedOn w:val="BodyText2"/>
    <w:next w:val="BodyText"/>
    <w:qFormat/>
    <w:rsid w:val="008165F8"/>
    <w:pPr>
      <w:spacing w:before="480" w:after="0" w:line="280" w:lineRule="atLeast"/>
      <w:ind w:left="567"/>
      <w:jc w:val="left"/>
    </w:pPr>
    <w:rPr>
      <w:rFonts w:ascii="Calibri" w:hAnsi="Calibri"/>
      <w:b/>
      <w:snapToGrid w:val="0"/>
      <w:sz w:val="24"/>
    </w:rPr>
  </w:style>
  <w:style w:type="paragraph" w:styleId="BodyText2">
    <w:name w:val="Body Text 2"/>
    <w:basedOn w:val="Normal"/>
    <w:link w:val="BodyText2Char"/>
    <w:uiPriority w:val="99"/>
    <w:semiHidden/>
    <w:unhideWhenUsed/>
    <w:rsid w:val="008165F8"/>
    <w:pPr>
      <w:spacing w:after="120" w:line="480" w:lineRule="auto"/>
    </w:pPr>
  </w:style>
  <w:style w:type="character" w:customStyle="1" w:styleId="BodyText2Char">
    <w:name w:val="Body Text 2 Char"/>
    <w:basedOn w:val="DefaultParagraphFont"/>
    <w:link w:val="BodyText2"/>
    <w:uiPriority w:val="99"/>
    <w:semiHidden/>
    <w:rsid w:val="008165F8"/>
    <w:rPr>
      <w:sz w:val="22"/>
      <w:lang w:eastAsia="en-US"/>
    </w:rPr>
  </w:style>
  <w:style w:type="paragraph" w:customStyle="1" w:styleId="LCRBody1">
    <w:name w:val="LCR Body1"/>
    <w:basedOn w:val="Normal"/>
    <w:qFormat/>
    <w:rsid w:val="008165F8"/>
    <w:pPr>
      <w:spacing w:before="240" w:after="240" w:line="280" w:lineRule="atLeast"/>
      <w:jc w:val="left"/>
    </w:pPr>
    <w:rPr>
      <w:snapToGrid w:val="0"/>
      <w:sz w:val="24"/>
    </w:rPr>
  </w:style>
  <w:style w:type="paragraph" w:styleId="ListParagraph">
    <w:name w:val="List Paragraph"/>
    <w:basedOn w:val="Normal"/>
    <w:uiPriority w:val="34"/>
    <w:qFormat/>
    <w:rsid w:val="003D5FF9"/>
    <w:pPr>
      <w:spacing w:after="200" w:line="276" w:lineRule="auto"/>
      <w:ind w:left="720"/>
      <w:contextualSpacing/>
      <w:jc w:val="left"/>
    </w:pPr>
    <w:rPr>
      <w:rFonts w:asciiTheme="minorHAnsi" w:eastAsiaTheme="minorHAnsi" w:hAnsiTheme="minorHAnsi" w:cstheme="minorBidi"/>
      <w:szCs w:val="22"/>
    </w:rPr>
  </w:style>
  <w:style w:type="paragraph" w:customStyle="1" w:styleId="EPAheading2">
    <w:name w:val="EPA heading 2"/>
    <w:basedOn w:val="Normal"/>
    <w:qFormat/>
    <w:rsid w:val="004B5AEC"/>
    <w:pPr>
      <w:spacing w:after="120" w:line="380" w:lineRule="exact"/>
      <w:jc w:val="left"/>
      <w:outlineLvl w:val="0"/>
    </w:pPr>
    <w:rPr>
      <w:rFonts w:ascii="Arial" w:eastAsia="Calibri" w:hAnsi="Arial" w:cs="Arial"/>
      <w:color w:val="009EC7"/>
      <w:sz w:val="28"/>
      <w:szCs w:val="28"/>
    </w:rPr>
  </w:style>
  <w:style w:type="paragraph" w:styleId="HTMLPreformatted">
    <w:name w:val="HTML Preformatted"/>
    <w:basedOn w:val="Normal"/>
    <w:link w:val="HTMLPreformattedChar"/>
    <w:uiPriority w:val="99"/>
    <w:semiHidden/>
    <w:unhideWhenUsed/>
    <w:rsid w:val="00324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eastAsia="en-NZ"/>
    </w:rPr>
  </w:style>
  <w:style w:type="character" w:customStyle="1" w:styleId="HTMLPreformattedChar">
    <w:name w:val="HTML Preformatted Char"/>
    <w:basedOn w:val="DefaultParagraphFont"/>
    <w:link w:val="HTMLPreformatted"/>
    <w:uiPriority w:val="99"/>
    <w:semiHidden/>
    <w:rsid w:val="00324CCC"/>
    <w:rPr>
      <w:rFonts w:ascii="Courier New" w:hAnsi="Courier New" w:cs="Courier New"/>
    </w:rPr>
  </w:style>
  <w:style w:type="character" w:styleId="HTMLCode">
    <w:name w:val="HTML Code"/>
    <w:basedOn w:val="DefaultParagraphFont"/>
    <w:uiPriority w:val="99"/>
    <w:semiHidden/>
    <w:unhideWhenUsed/>
    <w:rsid w:val="001909B6"/>
    <w:rPr>
      <w:rFonts w:ascii="Courier New" w:eastAsia="Times New Roman" w:hAnsi="Courier New" w:cs="Courier New"/>
      <w:sz w:val="20"/>
      <w:szCs w:val="20"/>
    </w:rPr>
  </w:style>
  <w:style w:type="character" w:customStyle="1" w:styleId="identifier">
    <w:name w:val="identifier"/>
    <w:basedOn w:val="DefaultParagraphFont"/>
    <w:rsid w:val="001909B6"/>
  </w:style>
  <w:style w:type="character" w:customStyle="1" w:styleId="paren">
    <w:name w:val="paren"/>
    <w:basedOn w:val="DefaultParagraphFont"/>
    <w:rsid w:val="001909B6"/>
  </w:style>
  <w:style w:type="character" w:customStyle="1" w:styleId="string">
    <w:name w:val="string"/>
    <w:basedOn w:val="DefaultParagraphFont"/>
    <w:rsid w:val="001909B6"/>
  </w:style>
  <w:style w:type="paragraph" w:styleId="NormalWeb">
    <w:name w:val="Normal (Web)"/>
    <w:basedOn w:val="Normal"/>
    <w:uiPriority w:val="99"/>
    <w:unhideWhenUsed/>
    <w:rsid w:val="00784FA4"/>
    <w:pPr>
      <w:spacing w:before="100" w:beforeAutospacing="1" w:after="100" w:afterAutospacing="1"/>
      <w:jc w:val="left"/>
    </w:pPr>
    <w:rPr>
      <w:sz w:val="24"/>
      <w:szCs w:val="24"/>
      <w:lang w:eastAsia="en-NZ"/>
    </w:rPr>
  </w:style>
  <w:style w:type="character" w:customStyle="1" w:styleId="apple-converted-space">
    <w:name w:val="apple-converted-space"/>
    <w:basedOn w:val="DefaultParagraphFont"/>
    <w:rsid w:val="00784FA4"/>
  </w:style>
  <w:style w:type="character" w:customStyle="1" w:styleId="operator">
    <w:name w:val="operator"/>
    <w:basedOn w:val="DefaultParagraphFont"/>
    <w:rsid w:val="00784FA4"/>
  </w:style>
  <w:style w:type="character" w:customStyle="1" w:styleId="number">
    <w:name w:val="number"/>
    <w:basedOn w:val="DefaultParagraphFont"/>
    <w:rsid w:val="00784FA4"/>
  </w:style>
  <w:style w:type="paragraph" w:customStyle="1" w:styleId="R-code">
    <w:name w:val="R-code"/>
    <w:basedOn w:val="BodyText"/>
    <w:link w:val="R-codeChar"/>
    <w:qFormat/>
    <w:rsid w:val="00DC276E"/>
    <w:rPr>
      <w:rFonts w:ascii="Courier New" w:hAnsi="Courier New"/>
      <w:sz w:val="20"/>
    </w:rPr>
  </w:style>
  <w:style w:type="character" w:customStyle="1" w:styleId="BodyTextChar">
    <w:name w:val="Body Text Char"/>
    <w:basedOn w:val="DefaultParagraphFont"/>
    <w:link w:val="BodyText"/>
    <w:rsid w:val="00DC276E"/>
    <w:rPr>
      <w:sz w:val="22"/>
      <w:lang w:eastAsia="en-US"/>
    </w:rPr>
  </w:style>
  <w:style w:type="character" w:customStyle="1" w:styleId="R-codeChar">
    <w:name w:val="R-code Char"/>
    <w:basedOn w:val="BodyTextChar"/>
    <w:link w:val="R-code"/>
    <w:rsid w:val="00DC276E"/>
    <w:rPr>
      <w:rFonts w:ascii="Courier New" w:hAnsi="Courier New"/>
      <w:sz w:val="22"/>
      <w:lang w:eastAsia="en-US"/>
    </w:rPr>
  </w:style>
  <w:style w:type="paragraph" w:styleId="Caption">
    <w:name w:val="caption"/>
    <w:basedOn w:val="Normal"/>
    <w:next w:val="Normal"/>
    <w:uiPriority w:val="35"/>
    <w:semiHidden/>
    <w:unhideWhenUsed/>
    <w:qFormat/>
    <w:rsid w:val="00EB6A09"/>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D82638"/>
    <w:rPr>
      <w:sz w:val="16"/>
      <w:szCs w:val="16"/>
    </w:rPr>
  </w:style>
  <w:style w:type="paragraph" w:styleId="CommentText">
    <w:name w:val="annotation text"/>
    <w:basedOn w:val="Normal"/>
    <w:link w:val="CommentTextChar"/>
    <w:uiPriority w:val="99"/>
    <w:unhideWhenUsed/>
    <w:rsid w:val="00D82638"/>
    <w:rPr>
      <w:sz w:val="20"/>
    </w:rPr>
  </w:style>
  <w:style w:type="character" w:customStyle="1" w:styleId="CommentTextChar">
    <w:name w:val="Comment Text Char"/>
    <w:basedOn w:val="DefaultParagraphFont"/>
    <w:link w:val="CommentText"/>
    <w:uiPriority w:val="99"/>
    <w:rsid w:val="00D82638"/>
    <w:rPr>
      <w:lang w:eastAsia="en-US"/>
    </w:rPr>
  </w:style>
  <w:style w:type="paragraph" w:styleId="CommentSubject">
    <w:name w:val="annotation subject"/>
    <w:basedOn w:val="CommentText"/>
    <w:next w:val="CommentText"/>
    <w:link w:val="CommentSubjectChar"/>
    <w:uiPriority w:val="99"/>
    <w:semiHidden/>
    <w:unhideWhenUsed/>
    <w:rsid w:val="00D82638"/>
    <w:rPr>
      <w:b/>
      <w:bCs/>
    </w:rPr>
  </w:style>
  <w:style w:type="character" w:customStyle="1" w:styleId="CommentSubjectChar">
    <w:name w:val="Comment Subject Char"/>
    <w:basedOn w:val="CommentTextChar"/>
    <w:link w:val="CommentSubject"/>
    <w:uiPriority w:val="99"/>
    <w:semiHidden/>
    <w:rsid w:val="00D82638"/>
    <w:rPr>
      <w:b/>
      <w:bCs/>
      <w:lang w:eastAsia="en-US"/>
    </w:rPr>
  </w:style>
  <w:style w:type="character" w:styleId="Strong">
    <w:name w:val="Strong"/>
    <w:basedOn w:val="DefaultParagraphFont"/>
    <w:qFormat/>
    <w:rsid w:val="0068067B"/>
    <w:rPr>
      <w:b/>
      <w:bCs/>
    </w:rPr>
  </w:style>
  <w:style w:type="paragraph" w:styleId="Revision">
    <w:name w:val="Revision"/>
    <w:hidden/>
    <w:uiPriority w:val="99"/>
    <w:semiHidden/>
    <w:rsid w:val="00BD44C8"/>
    <w:rPr>
      <w:sz w:val="22"/>
      <w:lang w:eastAsia="en-US"/>
    </w:rPr>
  </w:style>
  <w:style w:type="character" w:customStyle="1" w:styleId="gewyw5ybmdb">
    <w:name w:val="gewyw5ybmdb"/>
    <w:basedOn w:val="DefaultParagraphFont"/>
    <w:rsid w:val="00D91890"/>
  </w:style>
  <w:style w:type="paragraph" w:customStyle="1" w:styleId="reference">
    <w:name w:val="reference"/>
    <w:basedOn w:val="BodyText"/>
    <w:link w:val="referenceChar"/>
    <w:uiPriority w:val="99"/>
    <w:rsid w:val="0089560D"/>
    <w:pPr>
      <w:spacing w:line="360" w:lineRule="auto"/>
      <w:ind w:left="567" w:hanging="567"/>
    </w:pPr>
    <w:rPr>
      <w:sz w:val="24"/>
      <w:szCs w:val="24"/>
    </w:rPr>
  </w:style>
  <w:style w:type="character" w:customStyle="1" w:styleId="referenceChar">
    <w:name w:val="reference Char"/>
    <w:basedOn w:val="BodyTextChar"/>
    <w:link w:val="reference"/>
    <w:uiPriority w:val="99"/>
    <w:locked/>
    <w:rsid w:val="0089560D"/>
    <w:rPr>
      <w:sz w:val="24"/>
      <w:szCs w:val="24"/>
      <w:lang w:eastAsia="en-US"/>
    </w:rPr>
  </w:style>
  <w:style w:type="character" w:styleId="Emphasis">
    <w:name w:val="Emphasis"/>
    <w:basedOn w:val="DefaultParagraphFont"/>
    <w:uiPriority w:val="20"/>
    <w:qFormat/>
    <w:rsid w:val="0089560D"/>
    <w:rPr>
      <w:i/>
      <w:iCs/>
    </w:rPr>
  </w:style>
  <w:style w:type="character" w:styleId="PlaceholderText">
    <w:name w:val="Placeholder Text"/>
    <w:basedOn w:val="DefaultParagraphFont"/>
    <w:uiPriority w:val="99"/>
    <w:semiHidden/>
    <w:rsid w:val="0094316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B02B9"/>
    <w:pPr>
      <w:jc w:val="both"/>
    </w:pPr>
    <w:rPr>
      <w:sz w:val="22"/>
      <w:lang w:eastAsia="en-US"/>
    </w:rPr>
  </w:style>
  <w:style w:type="paragraph" w:styleId="Heading1">
    <w:name w:val="heading 1"/>
    <w:basedOn w:val="Normal"/>
    <w:next w:val="BodyText"/>
    <w:qFormat/>
    <w:rsid w:val="00D76019"/>
    <w:pPr>
      <w:tabs>
        <w:tab w:val="left" w:pos="567"/>
      </w:tabs>
      <w:spacing w:after="480"/>
      <w:jc w:val="left"/>
      <w:outlineLvl w:val="0"/>
    </w:pPr>
    <w:rPr>
      <w:rFonts w:ascii="Arial" w:hAnsi="Arial"/>
      <w:b/>
      <w:sz w:val="44"/>
    </w:rPr>
  </w:style>
  <w:style w:type="paragraph" w:styleId="Heading2">
    <w:name w:val="heading 2"/>
    <w:basedOn w:val="Normal"/>
    <w:next w:val="BodyText"/>
    <w:qFormat/>
    <w:rsid w:val="00DF624F"/>
    <w:pPr>
      <w:keepNext/>
      <w:spacing w:before="360" w:after="120"/>
      <w:jc w:val="left"/>
      <w:outlineLvl w:val="1"/>
    </w:pPr>
    <w:rPr>
      <w:rFonts w:ascii="Arial" w:hAnsi="Arial"/>
      <w:b/>
      <w:sz w:val="36"/>
    </w:rPr>
  </w:style>
  <w:style w:type="paragraph" w:styleId="Heading3">
    <w:name w:val="heading 3"/>
    <w:basedOn w:val="Normal"/>
    <w:next w:val="BodyText"/>
    <w:link w:val="Heading3Char"/>
    <w:qFormat/>
    <w:rsid w:val="00092AC3"/>
    <w:pPr>
      <w:keepNext/>
      <w:spacing w:before="360" w:after="120"/>
      <w:jc w:val="left"/>
      <w:outlineLvl w:val="2"/>
    </w:pPr>
    <w:rPr>
      <w:rFonts w:ascii="Arial" w:hAnsi="Arial"/>
      <w:b/>
      <w:sz w:val="28"/>
    </w:rPr>
  </w:style>
  <w:style w:type="paragraph" w:styleId="Heading4">
    <w:name w:val="heading 4"/>
    <w:basedOn w:val="Normal"/>
    <w:next w:val="BodyText"/>
    <w:qFormat/>
    <w:rsid w:val="00B41376"/>
    <w:pPr>
      <w:keepNext/>
      <w:spacing w:before="240" w:after="120"/>
      <w:outlineLvl w:val="3"/>
    </w:pPr>
    <w:rPr>
      <w:rFonts w:ascii="Arial" w:hAnsi="Arial"/>
      <w:b/>
      <w:sz w:val="24"/>
    </w:rPr>
  </w:style>
  <w:style w:type="paragraph" w:styleId="Heading5">
    <w:name w:val="heading 5"/>
    <w:basedOn w:val="Normal"/>
    <w:next w:val="BodyText"/>
    <w:qFormat/>
    <w:rsid w:val="004C43E9"/>
    <w:pPr>
      <w:spacing w:before="240" w:after="60"/>
      <w:outlineLvl w:val="4"/>
    </w:pPr>
    <w:rPr>
      <w:rFonts w:ascii="Arial" w:hAnsi="Arial"/>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5514E"/>
  </w:style>
  <w:style w:type="character" w:customStyle="1" w:styleId="Heading3Char">
    <w:name w:val="Heading 3 Char"/>
    <w:basedOn w:val="DefaultParagraphFont"/>
    <w:link w:val="Heading3"/>
    <w:uiPriority w:val="9"/>
    <w:rsid w:val="00DC272F"/>
    <w:rPr>
      <w:rFonts w:ascii="Arial" w:hAnsi="Arial"/>
      <w:b/>
      <w:sz w:val="28"/>
      <w:lang w:eastAsia="en-US"/>
    </w:rPr>
  </w:style>
  <w:style w:type="table" w:styleId="TableGrid">
    <w:name w:val="Table Grid"/>
    <w:basedOn w:val="TableNormal"/>
    <w:rsid w:val="00A331E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qFormat/>
    <w:rsid w:val="00772E94"/>
    <w:pPr>
      <w:jc w:val="center"/>
    </w:pPr>
    <w:rPr>
      <w:rFonts w:ascii="Arial" w:hAnsi="Arial"/>
      <w:sz w:val="16"/>
    </w:rPr>
  </w:style>
  <w:style w:type="character" w:customStyle="1" w:styleId="HeaderChar">
    <w:name w:val="Header Char"/>
    <w:basedOn w:val="DefaultParagraphFont"/>
    <w:link w:val="Header"/>
    <w:rsid w:val="00E60E57"/>
    <w:rPr>
      <w:rFonts w:ascii="Arial" w:hAnsi="Arial"/>
      <w:sz w:val="16"/>
      <w:lang w:eastAsia="en-US"/>
    </w:rPr>
  </w:style>
  <w:style w:type="paragraph" w:styleId="Quote">
    <w:name w:val="Quote"/>
    <w:basedOn w:val="Normal"/>
    <w:next w:val="BodyText"/>
    <w:qFormat/>
    <w:rsid w:val="00092AC3"/>
    <w:pPr>
      <w:ind w:left="567" w:right="567"/>
    </w:pPr>
    <w:rPr>
      <w:sz w:val="20"/>
    </w:rPr>
  </w:style>
  <w:style w:type="paragraph" w:customStyle="1" w:styleId="Box">
    <w:name w:val="Box"/>
    <w:basedOn w:val="Normal"/>
    <w:next w:val="Normal"/>
    <w:rsid w:val="00772E94"/>
    <w:pPr>
      <w:pBdr>
        <w:top w:val="single" w:sz="6" w:space="15" w:color="auto"/>
        <w:left w:val="single" w:sz="6" w:space="15" w:color="auto"/>
        <w:bottom w:val="single" w:sz="6" w:space="15" w:color="auto"/>
        <w:right w:val="single" w:sz="6" w:space="15" w:color="auto"/>
      </w:pBdr>
      <w:ind w:left="284" w:right="284"/>
    </w:pPr>
    <w:rPr>
      <w:rFonts w:ascii="Arial" w:hAnsi="Arial"/>
      <w:sz w:val="20"/>
    </w:rPr>
  </w:style>
  <w:style w:type="paragraph" w:customStyle="1" w:styleId="Boxbullet">
    <w:name w:val="Box bullet"/>
    <w:basedOn w:val="Box"/>
    <w:rsid w:val="00772E94"/>
    <w:pPr>
      <w:numPr>
        <w:numId w:val="1"/>
      </w:numPr>
      <w:spacing w:before="120"/>
      <w:jc w:val="left"/>
    </w:pPr>
  </w:style>
  <w:style w:type="paragraph" w:customStyle="1" w:styleId="Boxheading">
    <w:name w:val="Box heading"/>
    <w:basedOn w:val="Box"/>
    <w:next w:val="Box"/>
    <w:rsid w:val="00772E94"/>
    <w:pPr>
      <w:spacing w:after="240"/>
    </w:pPr>
    <w:rPr>
      <w:b/>
      <w:sz w:val="22"/>
    </w:rPr>
  </w:style>
  <w:style w:type="paragraph" w:customStyle="1" w:styleId="Bullet">
    <w:name w:val="Bullet"/>
    <w:basedOn w:val="Normal"/>
    <w:qFormat/>
    <w:rsid w:val="00092AC3"/>
    <w:pPr>
      <w:numPr>
        <w:numId w:val="2"/>
      </w:numPr>
      <w:spacing w:before="120"/>
    </w:pPr>
  </w:style>
  <w:style w:type="paragraph" w:customStyle="1" w:styleId="Heading">
    <w:name w:val="Heading"/>
    <w:basedOn w:val="Heading1"/>
    <w:next w:val="Normal"/>
    <w:rsid w:val="000D5C95"/>
    <w:pPr>
      <w:outlineLvl w:val="9"/>
    </w:pPr>
  </w:style>
  <w:style w:type="paragraph" w:styleId="Footer">
    <w:name w:val="footer"/>
    <w:basedOn w:val="Normal"/>
    <w:rsid w:val="004D28BA"/>
    <w:pPr>
      <w:tabs>
        <w:tab w:val="center" w:pos="4153"/>
        <w:tab w:val="right" w:pos="8306"/>
      </w:tabs>
    </w:pPr>
  </w:style>
  <w:style w:type="paragraph" w:customStyle="1" w:styleId="Sub-list">
    <w:name w:val="Sub-list"/>
    <w:basedOn w:val="Normal"/>
    <w:qFormat/>
    <w:rsid w:val="00A70AAA"/>
    <w:pPr>
      <w:numPr>
        <w:numId w:val="4"/>
      </w:numPr>
      <w:tabs>
        <w:tab w:val="clear" w:pos="397"/>
        <w:tab w:val="left" w:pos="794"/>
      </w:tabs>
      <w:spacing w:before="60"/>
      <w:ind w:left="794" w:hanging="397"/>
    </w:pPr>
  </w:style>
  <w:style w:type="paragraph" w:customStyle="1" w:styleId="Figureheading">
    <w:name w:val="Figure heading"/>
    <w:basedOn w:val="Normal"/>
    <w:next w:val="Normal"/>
    <w:qFormat/>
    <w:rsid w:val="003C4184"/>
    <w:pPr>
      <w:keepNext/>
      <w:spacing w:after="120"/>
      <w:ind w:left="1134" w:hanging="1134"/>
      <w:jc w:val="left"/>
    </w:pPr>
    <w:rPr>
      <w:rFonts w:ascii="Arial" w:hAnsi="Arial"/>
      <w:b/>
      <w:sz w:val="20"/>
    </w:rPr>
  </w:style>
  <w:style w:type="character" w:styleId="FootnoteReference">
    <w:name w:val="footnote reference"/>
    <w:basedOn w:val="DefaultParagraphFont"/>
    <w:semiHidden/>
    <w:rsid w:val="00772E94"/>
    <w:rPr>
      <w:vertAlign w:val="superscript"/>
    </w:rPr>
  </w:style>
  <w:style w:type="paragraph" w:styleId="FootnoteText">
    <w:name w:val="footnote text"/>
    <w:basedOn w:val="Normal"/>
    <w:rsid w:val="00772E94"/>
    <w:pPr>
      <w:spacing w:after="120"/>
      <w:ind w:left="284" w:hanging="284"/>
    </w:pPr>
    <w:rPr>
      <w:sz w:val="19"/>
    </w:rPr>
  </w:style>
  <w:style w:type="character" w:styleId="Hyperlink">
    <w:name w:val="Hyperlink"/>
    <w:basedOn w:val="DefaultParagraphFont"/>
    <w:semiHidden/>
    <w:rsid w:val="00772E94"/>
    <w:rPr>
      <w:color w:val="0000FF"/>
      <w:u w:val="none"/>
    </w:rPr>
  </w:style>
  <w:style w:type="paragraph" w:customStyle="1" w:styleId="Imprint">
    <w:name w:val="Imprint"/>
    <w:basedOn w:val="Normal"/>
    <w:rsid w:val="00C016FB"/>
    <w:pPr>
      <w:jc w:val="left"/>
    </w:pPr>
    <w:rPr>
      <w:rFonts w:ascii="Arial" w:hAnsi="Arial"/>
    </w:rPr>
  </w:style>
  <w:style w:type="paragraph" w:customStyle="1" w:styleId="Note">
    <w:name w:val="Note"/>
    <w:basedOn w:val="Normal"/>
    <w:next w:val="Normal"/>
    <w:qFormat/>
    <w:rsid w:val="00A70AAA"/>
    <w:pPr>
      <w:tabs>
        <w:tab w:val="left" w:pos="680"/>
      </w:tabs>
      <w:spacing w:before="120"/>
      <w:ind w:left="680" w:hanging="680"/>
    </w:pPr>
    <w:rPr>
      <w:rFonts w:ascii="Arial" w:hAnsi="Arial"/>
      <w:sz w:val="16"/>
    </w:rPr>
  </w:style>
  <w:style w:type="character" w:styleId="PageNumber">
    <w:name w:val="page number"/>
    <w:basedOn w:val="DefaultParagraphFont"/>
    <w:semiHidden/>
    <w:rsid w:val="009116D7"/>
    <w:rPr>
      <w:rFonts w:ascii="Arial" w:hAnsi="Arial"/>
      <w:b/>
      <w:sz w:val="20"/>
      <w:lang w:val="en-NZ"/>
    </w:rPr>
  </w:style>
  <w:style w:type="paragraph" w:customStyle="1" w:styleId="References">
    <w:name w:val="References"/>
    <w:basedOn w:val="Normal"/>
    <w:qFormat/>
    <w:rsid w:val="00772E94"/>
    <w:pPr>
      <w:spacing w:after="120"/>
    </w:pPr>
    <w:rPr>
      <w:sz w:val="20"/>
    </w:rPr>
  </w:style>
  <w:style w:type="paragraph" w:customStyle="1" w:styleId="Source">
    <w:name w:val="Source"/>
    <w:basedOn w:val="Normal"/>
    <w:next w:val="Normal"/>
    <w:qFormat/>
    <w:rsid w:val="00765A47"/>
    <w:pPr>
      <w:tabs>
        <w:tab w:val="left" w:pos="680"/>
      </w:tabs>
      <w:spacing w:before="120"/>
      <w:jc w:val="left"/>
    </w:pPr>
    <w:rPr>
      <w:rFonts w:ascii="Arial" w:hAnsi="Arial"/>
      <w:sz w:val="16"/>
    </w:rPr>
  </w:style>
  <w:style w:type="paragraph" w:styleId="Title">
    <w:name w:val="Title"/>
    <w:basedOn w:val="Normal"/>
    <w:qFormat/>
    <w:rsid w:val="00772E94"/>
    <w:pPr>
      <w:spacing w:line="360" w:lineRule="auto"/>
      <w:jc w:val="center"/>
    </w:pPr>
    <w:rPr>
      <w:rFonts w:ascii="Arial" w:hAnsi="Arial"/>
      <w:b/>
      <w:sz w:val="48"/>
    </w:rPr>
  </w:style>
  <w:style w:type="paragraph" w:styleId="Subtitle">
    <w:name w:val="Subtitle"/>
    <w:basedOn w:val="Title"/>
    <w:qFormat/>
    <w:rsid w:val="00772E94"/>
    <w:pPr>
      <w:spacing w:before="600" w:line="240" w:lineRule="auto"/>
      <w:outlineLvl w:val="1"/>
    </w:pPr>
    <w:rPr>
      <w:sz w:val="36"/>
    </w:rPr>
  </w:style>
  <w:style w:type="paragraph" w:customStyle="1" w:styleId="Tableheading">
    <w:name w:val="Table heading"/>
    <w:basedOn w:val="Normal"/>
    <w:next w:val="Normal"/>
    <w:qFormat/>
    <w:rsid w:val="00B440A7"/>
    <w:pPr>
      <w:keepNext/>
      <w:spacing w:after="120"/>
      <w:ind w:left="1134" w:hanging="1134"/>
      <w:jc w:val="left"/>
    </w:pPr>
    <w:rPr>
      <w:rFonts w:ascii="Arial" w:hAnsi="Arial"/>
      <w:b/>
      <w:sz w:val="20"/>
    </w:rPr>
  </w:style>
  <w:style w:type="paragraph" w:customStyle="1" w:styleId="TableText">
    <w:name w:val="TableText"/>
    <w:basedOn w:val="Normal"/>
    <w:qFormat/>
    <w:rsid w:val="00E97D65"/>
    <w:pPr>
      <w:spacing w:before="60" w:after="60"/>
      <w:jc w:val="left"/>
    </w:pPr>
    <w:rPr>
      <w:rFonts w:ascii="Arial" w:hAnsi="Arial"/>
      <w:sz w:val="16"/>
    </w:rPr>
  </w:style>
  <w:style w:type="paragraph" w:customStyle="1" w:styleId="TableTextbold">
    <w:name w:val="TableText bold"/>
    <w:basedOn w:val="TableText"/>
    <w:qFormat/>
    <w:rsid w:val="00E97D65"/>
    <w:rPr>
      <w:b/>
    </w:rPr>
  </w:style>
  <w:style w:type="paragraph" w:styleId="TOC1">
    <w:name w:val="toc 1"/>
    <w:basedOn w:val="Normal"/>
    <w:next w:val="Normal"/>
    <w:uiPriority w:val="39"/>
    <w:rsid w:val="00782FAE"/>
    <w:pPr>
      <w:tabs>
        <w:tab w:val="right" w:pos="8505"/>
      </w:tabs>
      <w:spacing w:before="300"/>
      <w:ind w:left="567" w:right="567" w:hanging="567"/>
      <w:jc w:val="left"/>
    </w:pPr>
    <w:rPr>
      <w:rFonts w:ascii="Arial" w:hAnsi="Arial"/>
      <w:sz w:val="28"/>
    </w:rPr>
  </w:style>
  <w:style w:type="paragraph" w:styleId="TOC2">
    <w:name w:val="toc 2"/>
    <w:basedOn w:val="Normal"/>
    <w:next w:val="Normal"/>
    <w:uiPriority w:val="39"/>
    <w:rsid w:val="00772E94"/>
    <w:pPr>
      <w:tabs>
        <w:tab w:val="right" w:pos="8505"/>
      </w:tabs>
      <w:spacing w:before="60"/>
      <w:ind w:left="1134" w:right="567" w:hanging="567"/>
      <w:jc w:val="left"/>
    </w:pPr>
    <w:rPr>
      <w:rFonts w:ascii="Arial" w:hAnsi="Arial"/>
      <w:sz w:val="20"/>
    </w:rPr>
  </w:style>
  <w:style w:type="paragraph" w:customStyle="1" w:styleId="Captions">
    <w:name w:val="Captions"/>
    <w:basedOn w:val="Note"/>
    <w:next w:val="Normal"/>
    <w:qFormat/>
    <w:rsid w:val="00B440A7"/>
    <w:pPr>
      <w:tabs>
        <w:tab w:val="clear" w:pos="680"/>
        <w:tab w:val="left" w:pos="851"/>
      </w:tabs>
      <w:ind w:left="0" w:firstLine="0"/>
    </w:pPr>
  </w:style>
  <w:style w:type="paragraph" w:customStyle="1" w:styleId="Glossary">
    <w:name w:val="Glossary"/>
    <w:basedOn w:val="Normal"/>
    <w:qFormat/>
    <w:rsid w:val="005600B7"/>
    <w:pPr>
      <w:tabs>
        <w:tab w:val="left" w:pos="2835"/>
      </w:tabs>
      <w:ind w:left="2835" w:hanging="2835"/>
    </w:pPr>
  </w:style>
  <w:style w:type="paragraph" w:customStyle="1" w:styleId="Footerodd">
    <w:name w:val="Footer odd"/>
    <w:basedOn w:val="Normal"/>
    <w:rsid w:val="00227394"/>
    <w:pPr>
      <w:pBdr>
        <w:top w:val="single" w:sz="4" w:space="4" w:color="auto"/>
      </w:pBdr>
      <w:tabs>
        <w:tab w:val="right" w:pos="7655"/>
        <w:tab w:val="right" w:pos="8505"/>
      </w:tabs>
      <w:jc w:val="left"/>
    </w:pPr>
    <w:rPr>
      <w:rFonts w:ascii="Arial" w:hAnsi="Arial"/>
      <w:sz w:val="16"/>
    </w:rPr>
  </w:style>
  <w:style w:type="paragraph" w:customStyle="1" w:styleId="Footereven">
    <w:name w:val="Footer even"/>
    <w:basedOn w:val="Normal"/>
    <w:rsid w:val="00D62E09"/>
    <w:pPr>
      <w:pBdr>
        <w:top w:val="single" w:sz="4" w:space="4" w:color="auto"/>
      </w:pBdr>
      <w:tabs>
        <w:tab w:val="left" w:pos="851"/>
      </w:tabs>
    </w:pPr>
    <w:rPr>
      <w:rFonts w:ascii="Arial" w:hAnsi="Arial"/>
      <w:sz w:val="16"/>
    </w:rPr>
  </w:style>
  <w:style w:type="paragraph" w:customStyle="1" w:styleId="Numberedparagraph">
    <w:name w:val="Numbered paragraph"/>
    <w:basedOn w:val="Normal"/>
    <w:qFormat/>
    <w:rsid w:val="003E6315"/>
    <w:pPr>
      <w:numPr>
        <w:numId w:val="3"/>
      </w:numPr>
      <w:spacing w:before="120" w:after="120"/>
    </w:pPr>
  </w:style>
  <w:style w:type="paragraph" w:customStyle="1" w:styleId="Sub-lista">
    <w:name w:val="Sub-list a"/>
    <w:aliases w:val="b"/>
    <w:basedOn w:val="Normal"/>
    <w:qFormat/>
    <w:rsid w:val="00227394"/>
    <w:pPr>
      <w:numPr>
        <w:numId w:val="5"/>
      </w:numPr>
      <w:spacing w:before="60" w:after="60"/>
    </w:pPr>
  </w:style>
  <w:style w:type="paragraph" w:styleId="EndnoteText">
    <w:name w:val="endnote text"/>
    <w:basedOn w:val="Normal"/>
    <w:rsid w:val="00E51EBA"/>
    <w:pPr>
      <w:spacing w:after="60"/>
    </w:pPr>
    <w:rPr>
      <w:sz w:val="20"/>
    </w:rPr>
  </w:style>
  <w:style w:type="paragraph" w:styleId="TOC3">
    <w:name w:val="toc 3"/>
    <w:basedOn w:val="Normal"/>
    <w:next w:val="Normal"/>
    <w:autoRedefine/>
    <w:semiHidden/>
    <w:rsid w:val="005D3DC5"/>
    <w:pPr>
      <w:ind w:left="440"/>
    </w:pPr>
  </w:style>
  <w:style w:type="paragraph" w:styleId="TableofFigures">
    <w:name w:val="table of figures"/>
    <w:basedOn w:val="Normal"/>
    <w:next w:val="Normal"/>
    <w:uiPriority w:val="99"/>
    <w:rsid w:val="0017093C"/>
    <w:pPr>
      <w:spacing w:before="120"/>
      <w:ind w:left="1134" w:hanging="1134"/>
    </w:pPr>
    <w:rPr>
      <w:rFonts w:ascii="Arial" w:hAnsi="Arial"/>
      <w:sz w:val="20"/>
    </w:rPr>
  </w:style>
  <w:style w:type="paragraph" w:customStyle="1" w:styleId="Sub-listi">
    <w:name w:val="Sub-list i"/>
    <w:aliases w:val="ii"/>
    <w:basedOn w:val="BodyText"/>
    <w:qFormat/>
    <w:rsid w:val="0024367F"/>
    <w:pPr>
      <w:numPr>
        <w:numId w:val="6"/>
      </w:numPr>
      <w:spacing w:before="60" w:after="60"/>
    </w:pPr>
  </w:style>
  <w:style w:type="paragraph" w:customStyle="1" w:styleId="TableBullet">
    <w:name w:val="TableBullet"/>
    <w:basedOn w:val="Normal"/>
    <w:qFormat/>
    <w:rsid w:val="00E97D65"/>
    <w:pPr>
      <w:numPr>
        <w:numId w:val="8"/>
      </w:numPr>
      <w:spacing w:before="40" w:after="40"/>
      <w:jc w:val="left"/>
    </w:pPr>
    <w:rPr>
      <w:rFonts w:ascii="Arial" w:hAnsi="Arial" w:cs="Arial"/>
      <w:sz w:val="16"/>
      <w:szCs w:val="16"/>
    </w:rPr>
  </w:style>
  <w:style w:type="paragraph" w:customStyle="1" w:styleId="TableDash">
    <w:name w:val="TableDash"/>
    <w:basedOn w:val="TableBullet"/>
    <w:qFormat/>
    <w:rsid w:val="00E97D65"/>
    <w:pPr>
      <w:numPr>
        <w:numId w:val="7"/>
      </w:numPr>
      <w:spacing w:before="20" w:after="20"/>
      <w:ind w:left="568" w:hanging="284"/>
    </w:pPr>
  </w:style>
  <w:style w:type="paragraph" w:styleId="BalloonText">
    <w:name w:val="Balloon Text"/>
    <w:basedOn w:val="Normal"/>
    <w:link w:val="BalloonTextChar"/>
    <w:uiPriority w:val="99"/>
    <w:semiHidden/>
    <w:unhideWhenUsed/>
    <w:rsid w:val="00126224"/>
    <w:rPr>
      <w:rFonts w:ascii="Tahoma" w:hAnsi="Tahoma" w:cs="Tahoma"/>
      <w:sz w:val="16"/>
      <w:szCs w:val="16"/>
    </w:rPr>
  </w:style>
  <w:style w:type="character" w:customStyle="1" w:styleId="BalloonTextChar">
    <w:name w:val="Balloon Text Char"/>
    <w:basedOn w:val="DefaultParagraphFont"/>
    <w:link w:val="BalloonText"/>
    <w:uiPriority w:val="99"/>
    <w:semiHidden/>
    <w:rsid w:val="00126224"/>
    <w:rPr>
      <w:rFonts w:ascii="Tahoma" w:hAnsi="Tahoma" w:cs="Tahoma"/>
      <w:sz w:val="16"/>
      <w:szCs w:val="16"/>
      <w:lang w:eastAsia="en-US"/>
    </w:rPr>
  </w:style>
  <w:style w:type="paragraph" w:customStyle="1" w:styleId="LCRTableText2">
    <w:name w:val="LCR Table Text2"/>
    <w:basedOn w:val="Normal"/>
    <w:qFormat/>
    <w:rsid w:val="008165F8"/>
    <w:pPr>
      <w:spacing w:before="60" w:after="60" w:line="240" w:lineRule="atLeast"/>
      <w:jc w:val="left"/>
    </w:pPr>
    <w:rPr>
      <w:rFonts w:ascii="Calibri" w:hAnsi="Calibri"/>
      <w:snapToGrid w:val="0"/>
      <w:sz w:val="20"/>
    </w:rPr>
  </w:style>
  <w:style w:type="paragraph" w:customStyle="1" w:styleId="LCRTitle3">
    <w:name w:val="LCR Title3"/>
    <w:basedOn w:val="Title"/>
    <w:qFormat/>
    <w:rsid w:val="008165F8"/>
    <w:pPr>
      <w:spacing w:before="720" w:after="360" w:line="280" w:lineRule="atLeast"/>
      <w:jc w:val="left"/>
      <w:outlineLvl w:val="0"/>
    </w:pPr>
    <w:rPr>
      <w:rFonts w:ascii="Calibri" w:hAnsi="Calibri"/>
      <w:bCs/>
      <w:snapToGrid w:val="0"/>
      <w:kern w:val="28"/>
      <w:sz w:val="28"/>
    </w:rPr>
  </w:style>
  <w:style w:type="paragraph" w:customStyle="1" w:styleId="LCRAddress2">
    <w:name w:val="LCR Address2"/>
    <w:basedOn w:val="Normal"/>
    <w:qFormat/>
    <w:rsid w:val="008165F8"/>
    <w:pPr>
      <w:spacing w:before="60" w:after="180" w:line="280" w:lineRule="atLeast"/>
      <w:jc w:val="left"/>
    </w:pPr>
    <w:rPr>
      <w:rFonts w:ascii="Calibri" w:hAnsi="Calibri"/>
      <w:i/>
      <w:snapToGrid w:val="0"/>
      <w:sz w:val="24"/>
    </w:rPr>
  </w:style>
  <w:style w:type="paragraph" w:customStyle="1" w:styleId="LCRHeading3ALT">
    <w:name w:val="LCR Heading3ALT"/>
    <w:basedOn w:val="BodyText2"/>
    <w:next w:val="BodyText"/>
    <w:qFormat/>
    <w:rsid w:val="008165F8"/>
    <w:pPr>
      <w:spacing w:before="480" w:after="0" w:line="280" w:lineRule="atLeast"/>
      <w:ind w:left="567"/>
      <w:jc w:val="left"/>
    </w:pPr>
    <w:rPr>
      <w:rFonts w:ascii="Calibri" w:hAnsi="Calibri"/>
      <w:b/>
      <w:snapToGrid w:val="0"/>
      <w:sz w:val="24"/>
    </w:rPr>
  </w:style>
  <w:style w:type="paragraph" w:styleId="BodyText2">
    <w:name w:val="Body Text 2"/>
    <w:basedOn w:val="Normal"/>
    <w:link w:val="BodyText2Char"/>
    <w:uiPriority w:val="99"/>
    <w:semiHidden/>
    <w:unhideWhenUsed/>
    <w:rsid w:val="008165F8"/>
    <w:pPr>
      <w:spacing w:after="120" w:line="480" w:lineRule="auto"/>
    </w:pPr>
  </w:style>
  <w:style w:type="character" w:customStyle="1" w:styleId="BodyText2Char">
    <w:name w:val="Body Text 2 Char"/>
    <w:basedOn w:val="DefaultParagraphFont"/>
    <w:link w:val="BodyText2"/>
    <w:uiPriority w:val="99"/>
    <w:semiHidden/>
    <w:rsid w:val="008165F8"/>
    <w:rPr>
      <w:sz w:val="22"/>
      <w:lang w:eastAsia="en-US"/>
    </w:rPr>
  </w:style>
  <w:style w:type="paragraph" w:customStyle="1" w:styleId="LCRBody1">
    <w:name w:val="LCR Body1"/>
    <w:basedOn w:val="Normal"/>
    <w:qFormat/>
    <w:rsid w:val="008165F8"/>
    <w:pPr>
      <w:spacing w:before="240" w:after="240" w:line="280" w:lineRule="atLeast"/>
      <w:jc w:val="left"/>
    </w:pPr>
    <w:rPr>
      <w:snapToGrid w:val="0"/>
      <w:sz w:val="24"/>
    </w:rPr>
  </w:style>
  <w:style w:type="paragraph" w:styleId="ListParagraph">
    <w:name w:val="List Paragraph"/>
    <w:basedOn w:val="Normal"/>
    <w:uiPriority w:val="34"/>
    <w:qFormat/>
    <w:rsid w:val="003D5FF9"/>
    <w:pPr>
      <w:spacing w:after="200" w:line="276" w:lineRule="auto"/>
      <w:ind w:left="720"/>
      <w:contextualSpacing/>
      <w:jc w:val="left"/>
    </w:pPr>
    <w:rPr>
      <w:rFonts w:asciiTheme="minorHAnsi" w:eastAsiaTheme="minorHAnsi" w:hAnsiTheme="minorHAnsi" w:cstheme="minorBidi"/>
      <w:szCs w:val="22"/>
    </w:rPr>
  </w:style>
  <w:style w:type="paragraph" w:customStyle="1" w:styleId="EPAheading2">
    <w:name w:val="EPA heading 2"/>
    <w:basedOn w:val="Normal"/>
    <w:qFormat/>
    <w:rsid w:val="004B5AEC"/>
    <w:pPr>
      <w:spacing w:after="120" w:line="380" w:lineRule="exact"/>
      <w:jc w:val="left"/>
      <w:outlineLvl w:val="0"/>
    </w:pPr>
    <w:rPr>
      <w:rFonts w:ascii="Arial" w:eastAsia="Calibri" w:hAnsi="Arial" w:cs="Arial"/>
      <w:color w:val="009EC7"/>
      <w:sz w:val="28"/>
      <w:szCs w:val="28"/>
    </w:rPr>
  </w:style>
  <w:style w:type="paragraph" w:styleId="HTMLPreformatted">
    <w:name w:val="HTML Preformatted"/>
    <w:basedOn w:val="Normal"/>
    <w:link w:val="HTMLPreformattedChar"/>
    <w:uiPriority w:val="99"/>
    <w:semiHidden/>
    <w:unhideWhenUsed/>
    <w:rsid w:val="00324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eastAsia="en-NZ"/>
    </w:rPr>
  </w:style>
  <w:style w:type="character" w:customStyle="1" w:styleId="HTMLPreformattedChar">
    <w:name w:val="HTML Preformatted Char"/>
    <w:basedOn w:val="DefaultParagraphFont"/>
    <w:link w:val="HTMLPreformatted"/>
    <w:uiPriority w:val="99"/>
    <w:semiHidden/>
    <w:rsid w:val="00324CCC"/>
    <w:rPr>
      <w:rFonts w:ascii="Courier New" w:hAnsi="Courier New" w:cs="Courier New"/>
    </w:rPr>
  </w:style>
  <w:style w:type="character" w:styleId="HTMLCode">
    <w:name w:val="HTML Code"/>
    <w:basedOn w:val="DefaultParagraphFont"/>
    <w:uiPriority w:val="99"/>
    <w:semiHidden/>
    <w:unhideWhenUsed/>
    <w:rsid w:val="001909B6"/>
    <w:rPr>
      <w:rFonts w:ascii="Courier New" w:eastAsia="Times New Roman" w:hAnsi="Courier New" w:cs="Courier New"/>
      <w:sz w:val="20"/>
      <w:szCs w:val="20"/>
    </w:rPr>
  </w:style>
  <w:style w:type="character" w:customStyle="1" w:styleId="identifier">
    <w:name w:val="identifier"/>
    <w:basedOn w:val="DefaultParagraphFont"/>
    <w:rsid w:val="001909B6"/>
  </w:style>
  <w:style w:type="character" w:customStyle="1" w:styleId="paren">
    <w:name w:val="paren"/>
    <w:basedOn w:val="DefaultParagraphFont"/>
    <w:rsid w:val="001909B6"/>
  </w:style>
  <w:style w:type="character" w:customStyle="1" w:styleId="string">
    <w:name w:val="string"/>
    <w:basedOn w:val="DefaultParagraphFont"/>
    <w:rsid w:val="001909B6"/>
  </w:style>
  <w:style w:type="paragraph" w:styleId="NormalWeb">
    <w:name w:val="Normal (Web)"/>
    <w:basedOn w:val="Normal"/>
    <w:uiPriority w:val="99"/>
    <w:unhideWhenUsed/>
    <w:rsid w:val="00784FA4"/>
    <w:pPr>
      <w:spacing w:before="100" w:beforeAutospacing="1" w:after="100" w:afterAutospacing="1"/>
      <w:jc w:val="left"/>
    </w:pPr>
    <w:rPr>
      <w:sz w:val="24"/>
      <w:szCs w:val="24"/>
      <w:lang w:eastAsia="en-NZ"/>
    </w:rPr>
  </w:style>
  <w:style w:type="character" w:customStyle="1" w:styleId="apple-converted-space">
    <w:name w:val="apple-converted-space"/>
    <w:basedOn w:val="DefaultParagraphFont"/>
    <w:rsid w:val="00784FA4"/>
  </w:style>
  <w:style w:type="character" w:customStyle="1" w:styleId="operator">
    <w:name w:val="operator"/>
    <w:basedOn w:val="DefaultParagraphFont"/>
    <w:rsid w:val="00784FA4"/>
  </w:style>
  <w:style w:type="character" w:customStyle="1" w:styleId="number">
    <w:name w:val="number"/>
    <w:basedOn w:val="DefaultParagraphFont"/>
    <w:rsid w:val="00784FA4"/>
  </w:style>
  <w:style w:type="paragraph" w:customStyle="1" w:styleId="R-code">
    <w:name w:val="R-code"/>
    <w:basedOn w:val="BodyText"/>
    <w:link w:val="R-codeChar"/>
    <w:qFormat/>
    <w:rsid w:val="00DC276E"/>
    <w:rPr>
      <w:rFonts w:ascii="Courier New" w:hAnsi="Courier New"/>
      <w:sz w:val="20"/>
    </w:rPr>
  </w:style>
  <w:style w:type="character" w:customStyle="1" w:styleId="BodyTextChar">
    <w:name w:val="Body Text Char"/>
    <w:basedOn w:val="DefaultParagraphFont"/>
    <w:link w:val="BodyText"/>
    <w:rsid w:val="00DC276E"/>
    <w:rPr>
      <w:sz w:val="22"/>
      <w:lang w:eastAsia="en-US"/>
    </w:rPr>
  </w:style>
  <w:style w:type="character" w:customStyle="1" w:styleId="R-codeChar">
    <w:name w:val="R-code Char"/>
    <w:basedOn w:val="BodyTextChar"/>
    <w:link w:val="R-code"/>
    <w:rsid w:val="00DC276E"/>
    <w:rPr>
      <w:rFonts w:ascii="Courier New" w:hAnsi="Courier New"/>
      <w:sz w:val="22"/>
      <w:lang w:eastAsia="en-US"/>
    </w:rPr>
  </w:style>
  <w:style w:type="paragraph" w:styleId="Caption">
    <w:name w:val="caption"/>
    <w:basedOn w:val="Normal"/>
    <w:next w:val="Normal"/>
    <w:uiPriority w:val="35"/>
    <w:semiHidden/>
    <w:unhideWhenUsed/>
    <w:qFormat/>
    <w:rsid w:val="00EB6A09"/>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D82638"/>
    <w:rPr>
      <w:sz w:val="16"/>
      <w:szCs w:val="16"/>
    </w:rPr>
  </w:style>
  <w:style w:type="paragraph" w:styleId="CommentText">
    <w:name w:val="annotation text"/>
    <w:basedOn w:val="Normal"/>
    <w:link w:val="CommentTextChar"/>
    <w:uiPriority w:val="99"/>
    <w:unhideWhenUsed/>
    <w:rsid w:val="00D82638"/>
    <w:rPr>
      <w:sz w:val="20"/>
    </w:rPr>
  </w:style>
  <w:style w:type="character" w:customStyle="1" w:styleId="CommentTextChar">
    <w:name w:val="Comment Text Char"/>
    <w:basedOn w:val="DefaultParagraphFont"/>
    <w:link w:val="CommentText"/>
    <w:uiPriority w:val="99"/>
    <w:rsid w:val="00D82638"/>
    <w:rPr>
      <w:lang w:eastAsia="en-US"/>
    </w:rPr>
  </w:style>
  <w:style w:type="paragraph" w:styleId="CommentSubject">
    <w:name w:val="annotation subject"/>
    <w:basedOn w:val="CommentText"/>
    <w:next w:val="CommentText"/>
    <w:link w:val="CommentSubjectChar"/>
    <w:uiPriority w:val="99"/>
    <w:semiHidden/>
    <w:unhideWhenUsed/>
    <w:rsid w:val="00D82638"/>
    <w:rPr>
      <w:b/>
      <w:bCs/>
    </w:rPr>
  </w:style>
  <w:style w:type="character" w:customStyle="1" w:styleId="CommentSubjectChar">
    <w:name w:val="Comment Subject Char"/>
    <w:basedOn w:val="CommentTextChar"/>
    <w:link w:val="CommentSubject"/>
    <w:uiPriority w:val="99"/>
    <w:semiHidden/>
    <w:rsid w:val="00D82638"/>
    <w:rPr>
      <w:b/>
      <w:bCs/>
      <w:lang w:eastAsia="en-US"/>
    </w:rPr>
  </w:style>
  <w:style w:type="character" w:styleId="Strong">
    <w:name w:val="Strong"/>
    <w:basedOn w:val="DefaultParagraphFont"/>
    <w:qFormat/>
    <w:rsid w:val="0068067B"/>
    <w:rPr>
      <w:b/>
      <w:bCs/>
    </w:rPr>
  </w:style>
  <w:style w:type="paragraph" w:styleId="Revision">
    <w:name w:val="Revision"/>
    <w:hidden/>
    <w:uiPriority w:val="99"/>
    <w:semiHidden/>
    <w:rsid w:val="00BD44C8"/>
    <w:rPr>
      <w:sz w:val="22"/>
      <w:lang w:eastAsia="en-US"/>
    </w:rPr>
  </w:style>
  <w:style w:type="character" w:customStyle="1" w:styleId="gewyw5ybmdb">
    <w:name w:val="gewyw5ybmdb"/>
    <w:basedOn w:val="DefaultParagraphFont"/>
    <w:rsid w:val="00D91890"/>
  </w:style>
  <w:style w:type="paragraph" w:customStyle="1" w:styleId="reference">
    <w:name w:val="reference"/>
    <w:basedOn w:val="BodyText"/>
    <w:link w:val="referenceChar"/>
    <w:uiPriority w:val="99"/>
    <w:rsid w:val="0089560D"/>
    <w:pPr>
      <w:spacing w:line="360" w:lineRule="auto"/>
      <w:ind w:left="567" w:hanging="567"/>
    </w:pPr>
    <w:rPr>
      <w:sz w:val="24"/>
      <w:szCs w:val="24"/>
    </w:rPr>
  </w:style>
  <w:style w:type="character" w:customStyle="1" w:styleId="referenceChar">
    <w:name w:val="reference Char"/>
    <w:basedOn w:val="BodyTextChar"/>
    <w:link w:val="reference"/>
    <w:uiPriority w:val="99"/>
    <w:locked/>
    <w:rsid w:val="0089560D"/>
    <w:rPr>
      <w:sz w:val="24"/>
      <w:szCs w:val="24"/>
      <w:lang w:eastAsia="en-US"/>
    </w:rPr>
  </w:style>
  <w:style w:type="character" w:styleId="Emphasis">
    <w:name w:val="Emphasis"/>
    <w:basedOn w:val="DefaultParagraphFont"/>
    <w:uiPriority w:val="20"/>
    <w:qFormat/>
    <w:rsid w:val="0089560D"/>
    <w:rPr>
      <w:i/>
      <w:iCs/>
    </w:rPr>
  </w:style>
  <w:style w:type="character" w:styleId="PlaceholderText">
    <w:name w:val="Placeholder Text"/>
    <w:basedOn w:val="DefaultParagraphFont"/>
    <w:uiPriority w:val="99"/>
    <w:semiHidden/>
    <w:rsid w:val="0094316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09184">
      <w:bodyDiv w:val="1"/>
      <w:marLeft w:val="0"/>
      <w:marRight w:val="0"/>
      <w:marTop w:val="0"/>
      <w:marBottom w:val="0"/>
      <w:divBdr>
        <w:top w:val="none" w:sz="0" w:space="0" w:color="auto"/>
        <w:left w:val="none" w:sz="0" w:space="0" w:color="auto"/>
        <w:bottom w:val="none" w:sz="0" w:space="0" w:color="auto"/>
        <w:right w:val="none" w:sz="0" w:space="0" w:color="auto"/>
      </w:divBdr>
    </w:div>
    <w:div w:id="143083086">
      <w:bodyDiv w:val="1"/>
      <w:marLeft w:val="0"/>
      <w:marRight w:val="0"/>
      <w:marTop w:val="0"/>
      <w:marBottom w:val="0"/>
      <w:divBdr>
        <w:top w:val="none" w:sz="0" w:space="0" w:color="auto"/>
        <w:left w:val="none" w:sz="0" w:space="0" w:color="auto"/>
        <w:bottom w:val="none" w:sz="0" w:space="0" w:color="auto"/>
        <w:right w:val="none" w:sz="0" w:space="0" w:color="auto"/>
      </w:divBdr>
    </w:div>
    <w:div w:id="190799836">
      <w:bodyDiv w:val="1"/>
      <w:marLeft w:val="0"/>
      <w:marRight w:val="0"/>
      <w:marTop w:val="0"/>
      <w:marBottom w:val="0"/>
      <w:divBdr>
        <w:top w:val="none" w:sz="0" w:space="0" w:color="auto"/>
        <w:left w:val="none" w:sz="0" w:space="0" w:color="auto"/>
        <w:bottom w:val="none" w:sz="0" w:space="0" w:color="auto"/>
        <w:right w:val="none" w:sz="0" w:space="0" w:color="auto"/>
      </w:divBdr>
    </w:div>
    <w:div w:id="194583649">
      <w:bodyDiv w:val="1"/>
      <w:marLeft w:val="0"/>
      <w:marRight w:val="0"/>
      <w:marTop w:val="0"/>
      <w:marBottom w:val="0"/>
      <w:divBdr>
        <w:top w:val="none" w:sz="0" w:space="0" w:color="auto"/>
        <w:left w:val="none" w:sz="0" w:space="0" w:color="auto"/>
        <w:bottom w:val="none" w:sz="0" w:space="0" w:color="auto"/>
        <w:right w:val="none" w:sz="0" w:space="0" w:color="auto"/>
      </w:divBdr>
    </w:div>
    <w:div w:id="254485023">
      <w:bodyDiv w:val="1"/>
      <w:marLeft w:val="0"/>
      <w:marRight w:val="0"/>
      <w:marTop w:val="0"/>
      <w:marBottom w:val="0"/>
      <w:divBdr>
        <w:top w:val="none" w:sz="0" w:space="0" w:color="auto"/>
        <w:left w:val="none" w:sz="0" w:space="0" w:color="auto"/>
        <w:bottom w:val="none" w:sz="0" w:space="0" w:color="auto"/>
        <w:right w:val="none" w:sz="0" w:space="0" w:color="auto"/>
      </w:divBdr>
    </w:div>
    <w:div w:id="272632891">
      <w:bodyDiv w:val="1"/>
      <w:marLeft w:val="0"/>
      <w:marRight w:val="0"/>
      <w:marTop w:val="0"/>
      <w:marBottom w:val="0"/>
      <w:divBdr>
        <w:top w:val="none" w:sz="0" w:space="0" w:color="auto"/>
        <w:left w:val="none" w:sz="0" w:space="0" w:color="auto"/>
        <w:bottom w:val="none" w:sz="0" w:space="0" w:color="auto"/>
        <w:right w:val="none" w:sz="0" w:space="0" w:color="auto"/>
      </w:divBdr>
    </w:div>
    <w:div w:id="348413435">
      <w:bodyDiv w:val="1"/>
      <w:marLeft w:val="0"/>
      <w:marRight w:val="0"/>
      <w:marTop w:val="0"/>
      <w:marBottom w:val="0"/>
      <w:divBdr>
        <w:top w:val="none" w:sz="0" w:space="0" w:color="auto"/>
        <w:left w:val="none" w:sz="0" w:space="0" w:color="auto"/>
        <w:bottom w:val="none" w:sz="0" w:space="0" w:color="auto"/>
        <w:right w:val="none" w:sz="0" w:space="0" w:color="auto"/>
      </w:divBdr>
    </w:div>
    <w:div w:id="398209048">
      <w:bodyDiv w:val="1"/>
      <w:marLeft w:val="0"/>
      <w:marRight w:val="0"/>
      <w:marTop w:val="0"/>
      <w:marBottom w:val="0"/>
      <w:divBdr>
        <w:top w:val="none" w:sz="0" w:space="0" w:color="auto"/>
        <w:left w:val="none" w:sz="0" w:space="0" w:color="auto"/>
        <w:bottom w:val="none" w:sz="0" w:space="0" w:color="auto"/>
        <w:right w:val="none" w:sz="0" w:space="0" w:color="auto"/>
      </w:divBdr>
    </w:div>
    <w:div w:id="438916602">
      <w:bodyDiv w:val="1"/>
      <w:marLeft w:val="0"/>
      <w:marRight w:val="0"/>
      <w:marTop w:val="0"/>
      <w:marBottom w:val="0"/>
      <w:divBdr>
        <w:top w:val="none" w:sz="0" w:space="0" w:color="auto"/>
        <w:left w:val="none" w:sz="0" w:space="0" w:color="auto"/>
        <w:bottom w:val="none" w:sz="0" w:space="0" w:color="auto"/>
        <w:right w:val="none" w:sz="0" w:space="0" w:color="auto"/>
      </w:divBdr>
    </w:div>
    <w:div w:id="550927025">
      <w:bodyDiv w:val="1"/>
      <w:marLeft w:val="0"/>
      <w:marRight w:val="0"/>
      <w:marTop w:val="0"/>
      <w:marBottom w:val="0"/>
      <w:divBdr>
        <w:top w:val="none" w:sz="0" w:space="0" w:color="auto"/>
        <w:left w:val="none" w:sz="0" w:space="0" w:color="auto"/>
        <w:bottom w:val="none" w:sz="0" w:space="0" w:color="auto"/>
        <w:right w:val="none" w:sz="0" w:space="0" w:color="auto"/>
      </w:divBdr>
    </w:div>
    <w:div w:id="582030050">
      <w:bodyDiv w:val="1"/>
      <w:marLeft w:val="0"/>
      <w:marRight w:val="0"/>
      <w:marTop w:val="0"/>
      <w:marBottom w:val="0"/>
      <w:divBdr>
        <w:top w:val="none" w:sz="0" w:space="0" w:color="auto"/>
        <w:left w:val="none" w:sz="0" w:space="0" w:color="auto"/>
        <w:bottom w:val="none" w:sz="0" w:space="0" w:color="auto"/>
        <w:right w:val="none" w:sz="0" w:space="0" w:color="auto"/>
      </w:divBdr>
    </w:div>
    <w:div w:id="670641725">
      <w:bodyDiv w:val="1"/>
      <w:marLeft w:val="0"/>
      <w:marRight w:val="0"/>
      <w:marTop w:val="0"/>
      <w:marBottom w:val="0"/>
      <w:divBdr>
        <w:top w:val="none" w:sz="0" w:space="0" w:color="auto"/>
        <w:left w:val="none" w:sz="0" w:space="0" w:color="auto"/>
        <w:bottom w:val="none" w:sz="0" w:space="0" w:color="auto"/>
        <w:right w:val="none" w:sz="0" w:space="0" w:color="auto"/>
      </w:divBdr>
      <w:divsChild>
        <w:div w:id="2047750573">
          <w:marLeft w:val="0"/>
          <w:marRight w:val="0"/>
          <w:marTop w:val="0"/>
          <w:marBottom w:val="0"/>
          <w:divBdr>
            <w:top w:val="none" w:sz="0" w:space="0" w:color="auto"/>
            <w:left w:val="none" w:sz="0" w:space="0" w:color="auto"/>
            <w:bottom w:val="none" w:sz="0" w:space="0" w:color="auto"/>
            <w:right w:val="none" w:sz="0" w:space="0" w:color="auto"/>
          </w:divBdr>
        </w:div>
        <w:div w:id="1371765951">
          <w:marLeft w:val="0"/>
          <w:marRight w:val="0"/>
          <w:marTop w:val="0"/>
          <w:marBottom w:val="0"/>
          <w:divBdr>
            <w:top w:val="none" w:sz="0" w:space="0" w:color="auto"/>
            <w:left w:val="none" w:sz="0" w:space="0" w:color="auto"/>
            <w:bottom w:val="none" w:sz="0" w:space="0" w:color="auto"/>
            <w:right w:val="none" w:sz="0" w:space="0" w:color="auto"/>
          </w:divBdr>
        </w:div>
        <w:div w:id="1274510582">
          <w:marLeft w:val="0"/>
          <w:marRight w:val="0"/>
          <w:marTop w:val="0"/>
          <w:marBottom w:val="0"/>
          <w:divBdr>
            <w:top w:val="none" w:sz="0" w:space="0" w:color="auto"/>
            <w:left w:val="none" w:sz="0" w:space="0" w:color="auto"/>
            <w:bottom w:val="none" w:sz="0" w:space="0" w:color="auto"/>
            <w:right w:val="none" w:sz="0" w:space="0" w:color="auto"/>
          </w:divBdr>
        </w:div>
      </w:divsChild>
    </w:div>
    <w:div w:id="685667884">
      <w:bodyDiv w:val="1"/>
      <w:marLeft w:val="0"/>
      <w:marRight w:val="0"/>
      <w:marTop w:val="0"/>
      <w:marBottom w:val="0"/>
      <w:divBdr>
        <w:top w:val="none" w:sz="0" w:space="0" w:color="auto"/>
        <w:left w:val="none" w:sz="0" w:space="0" w:color="auto"/>
        <w:bottom w:val="none" w:sz="0" w:space="0" w:color="auto"/>
        <w:right w:val="none" w:sz="0" w:space="0" w:color="auto"/>
      </w:divBdr>
    </w:div>
    <w:div w:id="731122515">
      <w:bodyDiv w:val="1"/>
      <w:marLeft w:val="0"/>
      <w:marRight w:val="0"/>
      <w:marTop w:val="0"/>
      <w:marBottom w:val="0"/>
      <w:divBdr>
        <w:top w:val="none" w:sz="0" w:space="0" w:color="auto"/>
        <w:left w:val="none" w:sz="0" w:space="0" w:color="auto"/>
        <w:bottom w:val="none" w:sz="0" w:space="0" w:color="auto"/>
        <w:right w:val="none" w:sz="0" w:space="0" w:color="auto"/>
      </w:divBdr>
    </w:div>
    <w:div w:id="733313920">
      <w:bodyDiv w:val="1"/>
      <w:marLeft w:val="0"/>
      <w:marRight w:val="0"/>
      <w:marTop w:val="0"/>
      <w:marBottom w:val="0"/>
      <w:divBdr>
        <w:top w:val="none" w:sz="0" w:space="0" w:color="auto"/>
        <w:left w:val="none" w:sz="0" w:space="0" w:color="auto"/>
        <w:bottom w:val="none" w:sz="0" w:space="0" w:color="auto"/>
        <w:right w:val="none" w:sz="0" w:space="0" w:color="auto"/>
      </w:divBdr>
    </w:div>
    <w:div w:id="815997249">
      <w:bodyDiv w:val="1"/>
      <w:marLeft w:val="0"/>
      <w:marRight w:val="0"/>
      <w:marTop w:val="0"/>
      <w:marBottom w:val="0"/>
      <w:divBdr>
        <w:top w:val="none" w:sz="0" w:space="0" w:color="auto"/>
        <w:left w:val="none" w:sz="0" w:space="0" w:color="auto"/>
        <w:bottom w:val="none" w:sz="0" w:space="0" w:color="auto"/>
        <w:right w:val="none" w:sz="0" w:space="0" w:color="auto"/>
      </w:divBdr>
    </w:div>
    <w:div w:id="955022455">
      <w:bodyDiv w:val="1"/>
      <w:marLeft w:val="0"/>
      <w:marRight w:val="0"/>
      <w:marTop w:val="0"/>
      <w:marBottom w:val="0"/>
      <w:divBdr>
        <w:top w:val="none" w:sz="0" w:space="0" w:color="auto"/>
        <w:left w:val="none" w:sz="0" w:space="0" w:color="auto"/>
        <w:bottom w:val="none" w:sz="0" w:space="0" w:color="auto"/>
        <w:right w:val="none" w:sz="0" w:space="0" w:color="auto"/>
      </w:divBdr>
    </w:div>
    <w:div w:id="1060135181">
      <w:bodyDiv w:val="1"/>
      <w:marLeft w:val="0"/>
      <w:marRight w:val="0"/>
      <w:marTop w:val="0"/>
      <w:marBottom w:val="0"/>
      <w:divBdr>
        <w:top w:val="none" w:sz="0" w:space="0" w:color="auto"/>
        <w:left w:val="none" w:sz="0" w:space="0" w:color="auto"/>
        <w:bottom w:val="none" w:sz="0" w:space="0" w:color="auto"/>
        <w:right w:val="none" w:sz="0" w:space="0" w:color="auto"/>
      </w:divBdr>
    </w:div>
    <w:div w:id="1139298899">
      <w:bodyDiv w:val="1"/>
      <w:marLeft w:val="0"/>
      <w:marRight w:val="0"/>
      <w:marTop w:val="0"/>
      <w:marBottom w:val="0"/>
      <w:divBdr>
        <w:top w:val="none" w:sz="0" w:space="0" w:color="auto"/>
        <w:left w:val="none" w:sz="0" w:space="0" w:color="auto"/>
        <w:bottom w:val="none" w:sz="0" w:space="0" w:color="auto"/>
        <w:right w:val="none" w:sz="0" w:space="0" w:color="auto"/>
      </w:divBdr>
    </w:div>
    <w:div w:id="1151169387">
      <w:bodyDiv w:val="1"/>
      <w:marLeft w:val="0"/>
      <w:marRight w:val="0"/>
      <w:marTop w:val="0"/>
      <w:marBottom w:val="0"/>
      <w:divBdr>
        <w:top w:val="none" w:sz="0" w:space="0" w:color="auto"/>
        <w:left w:val="none" w:sz="0" w:space="0" w:color="auto"/>
        <w:bottom w:val="none" w:sz="0" w:space="0" w:color="auto"/>
        <w:right w:val="none" w:sz="0" w:space="0" w:color="auto"/>
      </w:divBdr>
    </w:div>
    <w:div w:id="1180780882">
      <w:bodyDiv w:val="1"/>
      <w:marLeft w:val="0"/>
      <w:marRight w:val="0"/>
      <w:marTop w:val="0"/>
      <w:marBottom w:val="0"/>
      <w:divBdr>
        <w:top w:val="none" w:sz="0" w:space="0" w:color="auto"/>
        <w:left w:val="none" w:sz="0" w:space="0" w:color="auto"/>
        <w:bottom w:val="none" w:sz="0" w:space="0" w:color="auto"/>
        <w:right w:val="none" w:sz="0" w:space="0" w:color="auto"/>
      </w:divBdr>
    </w:div>
    <w:div w:id="1205290551">
      <w:bodyDiv w:val="1"/>
      <w:marLeft w:val="0"/>
      <w:marRight w:val="0"/>
      <w:marTop w:val="0"/>
      <w:marBottom w:val="0"/>
      <w:divBdr>
        <w:top w:val="none" w:sz="0" w:space="0" w:color="auto"/>
        <w:left w:val="none" w:sz="0" w:space="0" w:color="auto"/>
        <w:bottom w:val="none" w:sz="0" w:space="0" w:color="auto"/>
        <w:right w:val="none" w:sz="0" w:space="0" w:color="auto"/>
      </w:divBdr>
    </w:div>
    <w:div w:id="1209877358">
      <w:bodyDiv w:val="1"/>
      <w:marLeft w:val="0"/>
      <w:marRight w:val="0"/>
      <w:marTop w:val="0"/>
      <w:marBottom w:val="0"/>
      <w:divBdr>
        <w:top w:val="none" w:sz="0" w:space="0" w:color="auto"/>
        <w:left w:val="none" w:sz="0" w:space="0" w:color="auto"/>
        <w:bottom w:val="none" w:sz="0" w:space="0" w:color="auto"/>
        <w:right w:val="none" w:sz="0" w:space="0" w:color="auto"/>
      </w:divBdr>
    </w:div>
    <w:div w:id="1236471099">
      <w:bodyDiv w:val="1"/>
      <w:marLeft w:val="0"/>
      <w:marRight w:val="0"/>
      <w:marTop w:val="0"/>
      <w:marBottom w:val="0"/>
      <w:divBdr>
        <w:top w:val="none" w:sz="0" w:space="0" w:color="auto"/>
        <w:left w:val="none" w:sz="0" w:space="0" w:color="auto"/>
        <w:bottom w:val="none" w:sz="0" w:space="0" w:color="auto"/>
        <w:right w:val="none" w:sz="0" w:space="0" w:color="auto"/>
      </w:divBdr>
    </w:div>
    <w:div w:id="1243369391">
      <w:bodyDiv w:val="1"/>
      <w:marLeft w:val="0"/>
      <w:marRight w:val="0"/>
      <w:marTop w:val="0"/>
      <w:marBottom w:val="0"/>
      <w:divBdr>
        <w:top w:val="none" w:sz="0" w:space="0" w:color="auto"/>
        <w:left w:val="none" w:sz="0" w:space="0" w:color="auto"/>
        <w:bottom w:val="none" w:sz="0" w:space="0" w:color="auto"/>
        <w:right w:val="none" w:sz="0" w:space="0" w:color="auto"/>
      </w:divBdr>
    </w:div>
    <w:div w:id="1259873272">
      <w:bodyDiv w:val="1"/>
      <w:marLeft w:val="0"/>
      <w:marRight w:val="0"/>
      <w:marTop w:val="0"/>
      <w:marBottom w:val="0"/>
      <w:divBdr>
        <w:top w:val="none" w:sz="0" w:space="0" w:color="auto"/>
        <w:left w:val="none" w:sz="0" w:space="0" w:color="auto"/>
        <w:bottom w:val="none" w:sz="0" w:space="0" w:color="auto"/>
        <w:right w:val="none" w:sz="0" w:space="0" w:color="auto"/>
      </w:divBdr>
    </w:div>
    <w:div w:id="1414008644">
      <w:bodyDiv w:val="1"/>
      <w:marLeft w:val="0"/>
      <w:marRight w:val="0"/>
      <w:marTop w:val="0"/>
      <w:marBottom w:val="0"/>
      <w:divBdr>
        <w:top w:val="none" w:sz="0" w:space="0" w:color="auto"/>
        <w:left w:val="none" w:sz="0" w:space="0" w:color="auto"/>
        <w:bottom w:val="none" w:sz="0" w:space="0" w:color="auto"/>
        <w:right w:val="none" w:sz="0" w:space="0" w:color="auto"/>
      </w:divBdr>
    </w:div>
    <w:div w:id="1492603571">
      <w:bodyDiv w:val="1"/>
      <w:marLeft w:val="0"/>
      <w:marRight w:val="0"/>
      <w:marTop w:val="0"/>
      <w:marBottom w:val="0"/>
      <w:divBdr>
        <w:top w:val="none" w:sz="0" w:space="0" w:color="auto"/>
        <w:left w:val="none" w:sz="0" w:space="0" w:color="auto"/>
        <w:bottom w:val="none" w:sz="0" w:space="0" w:color="auto"/>
        <w:right w:val="none" w:sz="0" w:space="0" w:color="auto"/>
      </w:divBdr>
    </w:div>
    <w:div w:id="1526362501">
      <w:bodyDiv w:val="1"/>
      <w:marLeft w:val="0"/>
      <w:marRight w:val="0"/>
      <w:marTop w:val="0"/>
      <w:marBottom w:val="0"/>
      <w:divBdr>
        <w:top w:val="none" w:sz="0" w:space="0" w:color="auto"/>
        <w:left w:val="none" w:sz="0" w:space="0" w:color="auto"/>
        <w:bottom w:val="none" w:sz="0" w:space="0" w:color="auto"/>
        <w:right w:val="none" w:sz="0" w:space="0" w:color="auto"/>
      </w:divBdr>
    </w:div>
    <w:div w:id="1668094230">
      <w:bodyDiv w:val="1"/>
      <w:marLeft w:val="0"/>
      <w:marRight w:val="0"/>
      <w:marTop w:val="0"/>
      <w:marBottom w:val="0"/>
      <w:divBdr>
        <w:top w:val="none" w:sz="0" w:space="0" w:color="auto"/>
        <w:left w:val="none" w:sz="0" w:space="0" w:color="auto"/>
        <w:bottom w:val="none" w:sz="0" w:space="0" w:color="auto"/>
        <w:right w:val="none" w:sz="0" w:space="0" w:color="auto"/>
      </w:divBdr>
    </w:div>
    <w:div w:id="1690332639">
      <w:bodyDiv w:val="1"/>
      <w:marLeft w:val="0"/>
      <w:marRight w:val="0"/>
      <w:marTop w:val="0"/>
      <w:marBottom w:val="0"/>
      <w:divBdr>
        <w:top w:val="none" w:sz="0" w:space="0" w:color="auto"/>
        <w:left w:val="none" w:sz="0" w:space="0" w:color="auto"/>
        <w:bottom w:val="none" w:sz="0" w:space="0" w:color="auto"/>
        <w:right w:val="none" w:sz="0" w:space="0" w:color="auto"/>
      </w:divBdr>
    </w:div>
    <w:div w:id="1727878745">
      <w:bodyDiv w:val="1"/>
      <w:marLeft w:val="0"/>
      <w:marRight w:val="0"/>
      <w:marTop w:val="0"/>
      <w:marBottom w:val="0"/>
      <w:divBdr>
        <w:top w:val="none" w:sz="0" w:space="0" w:color="auto"/>
        <w:left w:val="none" w:sz="0" w:space="0" w:color="auto"/>
        <w:bottom w:val="none" w:sz="0" w:space="0" w:color="auto"/>
        <w:right w:val="none" w:sz="0" w:space="0" w:color="auto"/>
      </w:divBdr>
    </w:div>
    <w:div w:id="1760978621">
      <w:bodyDiv w:val="1"/>
      <w:marLeft w:val="0"/>
      <w:marRight w:val="0"/>
      <w:marTop w:val="0"/>
      <w:marBottom w:val="0"/>
      <w:divBdr>
        <w:top w:val="none" w:sz="0" w:space="0" w:color="auto"/>
        <w:left w:val="none" w:sz="0" w:space="0" w:color="auto"/>
        <w:bottom w:val="none" w:sz="0" w:space="0" w:color="auto"/>
        <w:right w:val="none" w:sz="0" w:space="0" w:color="auto"/>
      </w:divBdr>
    </w:div>
    <w:div w:id="1779718006">
      <w:bodyDiv w:val="1"/>
      <w:marLeft w:val="0"/>
      <w:marRight w:val="0"/>
      <w:marTop w:val="0"/>
      <w:marBottom w:val="0"/>
      <w:divBdr>
        <w:top w:val="none" w:sz="0" w:space="0" w:color="auto"/>
        <w:left w:val="none" w:sz="0" w:space="0" w:color="auto"/>
        <w:bottom w:val="none" w:sz="0" w:space="0" w:color="auto"/>
        <w:right w:val="none" w:sz="0" w:space="0" w:color="auto"/>
      </w:divBdr>
    </w:div>
    <w:div w:id="1790471391">
      <w:bodyDiv w:val="1"/>
      <w:marLeft w:val="0"/>
      <w:marRight w:val="0"/>
      <w:marTop w:val="0"/>
      <w:marBottom w:val="0"/>
      <w:divBdr>
        <w:top w:val="none" w:sz="0" w:space="0" w:color="auto"/>
        <w:left w:val="none" w:sz="0" w:space="0" w:color="auto"/>
        <w:bottom w:val="none" w:sz="0" w:space="0" w:color="auto"/>
        <w:right w:val="none" w:sz="0" w:space="0" w:color="auto"/>
      </w:divBdr>
    </w:div>
    <w:div w:id="1868904334">
      <w:bodyDiv w:val="1"/>
      <w:marLeft w:val="0"/>
      <w:marRight w:val="0"/>
      <w:marTop w:val="0"/>
      <w:marBottom w:val="0"/>
      <w:divBdr>
        <w:top w:val="none" w:sz="0" w:space="0" w:color="auto"/>
        <w:left w:val="none" w:sz="0" w:space="0" w:color="auto"/>
        <w:bottom w:val="none" w:sz="0" w:space="0" w:color="auto"/>
        <w:right w:val="none" w:sz="0" w:space="0" w:color="auto"/>
      </w:divBdr>
    </w:div>
    <w:div w:id="1886331139">
      <w:bodyDiv w:val="1"/>
      <w:marLeft w:val="0"/>
      <w:marRight w:val="0"/>
      <w:marTop w:val="0"/>
      <w:marBottom w:val="0"/>
      <w:divBdr>
        <w:top w:val="none" w:sz="0" w:space="0" w:color="auto"/>
        <w:left w:val="none" w:sz="0" w:space="0" w:color="auto"/>
        <w:bottom w:val="none" w:sz="0" w:space="0" w:color="auto"/>
        <w:right w:val="none" w:sz="0" w:space="0" w:color="auto"/>
      </w:divBdr>
      <w:divsChild>
        <w:div w:id="233902062">
          <w:marLeft w:val="0"/>
          <w:marRight w:val="0"/>
          <w:marTop w:val="0"/>
          <w:marBottom w:val="0"/>
          <w:divBdr>
            <w:top w:val="none" w:sz="0" w:space="0" w:color="auto"/>
            <w:left w:val="none" w:sz="0" w:space="0" w:color="auto"/>
            <w:bottom w:val="none" w:sz="0" w:space="0" w:color="auto"/>
            <w:right w:val="none" w:sz="0" w:space="0" w:color="auto"/>
          </w:divBdr>
          <w:divsChild>
            <w:div w:id="1805351348">
              <w:marLeft w:val="0"/>
              <w:marRight w:val="0"/>
              <w:marTop w:val="0"/>
              <w:marBottom w:val="0"/>
              <w:divBdr>
                <w:top w:val="none" w:sz="0" w:space="0" w:color="auto"/>
                <w:left w:val="none" w:sz="0" w:space="0" w:color="auto"/>
                <w:bottom w:val="none" w:sz="0" w:space="0" w:color="auto"/>
                <w:right w:val="none" w:sz="0" w:space="0" w:color="auto"/>
              </w:divBdr>
            </w:div>
            <w:div w:id="349453143">
              <w:marLeft w:val="0"/>
              <w:marRight w:val="0"/>
              <w:marTop w:val="0"/>
              <w:marBottom w:val="0"/>
              <w:divBdr>
                <w:top w:val="none" w:sz="0" w:space="0" w:color="auto"/>
                <w:left w:val="none" w:sz="0" w:space="0" w:color="auto"/>
                <w:bottom w:val="none" w:sz="0" w:space="0" w:color="auto"/>
                <w:right w:val="none" w:sz="0" w:space="0" w:color="auto"/>
              </w:divBdr>
            </w:div>
            <w:div w:id="194465259">
              <w:marLeft w:val="0"/>
              <w:marRight w:val="0"/>
              <w:marTop w:val="0"/>
              <w:marBottom w:val="0"/>
              <w:divBdr>
                <w:top w:val="none" w:sz="0" w:space="0" w:color="auto"/>
                <w:left w:val="none" w:sz="0" w:space="0" w:color="auto"/>
                <w:bottom w:val="none" w:sz="0" w:space="0" w:color="auto"/>
                <w:right w:val="none" w:sz="0" w:space="0" w:color="auto"/>
              </w:divBdr>
            </w:div>
            <w:div w:id="162753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24353">
      <w:bodyDiv w:val="1"/>
      <w:marLeft w:val="0"/>
      <w:marRight w:val="0"/>
      <w:marTop w:val="0"/>
      <w:marBottom w:val="0"/>
      <w:divBdr>
        <w:top w:val="none" w:sz="0" w:space="0" w:color="auto"/>
        <w:left w:val="none" w:sz="0" w:space="0" w:color="auto"/>
        <w:bottom w:val="none" w:sz="0" w:space="0" w:color="auto"/>
        <w:right w:val="none" w:sz="0" w:space="0" w:color="auto"/>
      </w:divBdr>
      <w:divsChild>
        <w:div w:id="259530839">
          <w:marLeft w:val="0"/>
          <w:marRight w:val="0"/>
          <w:marTop w:val="0"/>
          <w:marBottom w:val="0"/>
          <w:divBdr>
            <w:top w:val="none" w:sz="0" w:space="0" w:color="auto"/>
            <w:left w:val="none" w:sz="0" w:space="0" w:color="auto"/>
            <w:bottom w:val="none" w:sz="0" w:space="0" w:color="auto"/>
            <w:right w:val="none" w:sz="0" w:space="0" w:color="auto"/>
          </w:divBdr>
        </w:div>
        <w:div w:id="594825509">
          <w:marLeft w:val="0"/>
          <w:marRight w:val="0"/>
          <w:marTop w:val="0"/>
          <w:marBottom w:val="0"/>
          <w:divBdr>
            <w:top w:val="none" w:sz="0" w:space="0" w:color="auto"/>
            <w:left w:val="none" w:sz="0" w:space="0" w:color="auto"/>
            <w:bottom w:val="none" w:sz="0" w:space="0" w:color="auto"/>
            <w:right w:val="none" w:sz="0" w:space="0" w:color="auto"/>
          </w:divBdr>
        </w:div>
        <w:div w:id="595405443">
          <w:marLeft w:val="0"/>
          <w:marRight w:val="0"/>
          <w:marTop w:val="0"/>
          <w:marBottom w:val="0"/>
          <w:divBdr>
            <w:top w:val="none" w:sz="0" w:space="0" w:color="auto"/>
            <w:left w:val="none" w:sz="0" w:space="0" w:color="auto"/>
            <w:bottom w:val="none" w:sz="0" w:space="0" w:color="auto"/>
            <w:right w:val="none" w:sz="0" w:space="0" w:color="auto"/>
          </w:divBdr>
        </w:div>
        <w:div w:id="744424791">
          <w:marLeft w:val="0"/>
          <w:marRight w:val="0"/>
          <w:marTop w:val="0"/>
          <w:marBottom w:val="0"/>
          <w:divBdr>
            <w:top w:val="none" w:sz="0" w:space="0" w:color="auto"/>
            <w:left w:val="none" w:sz="0" w:space="0" w:color="auto"/>
            <w:bottom w:val="none" w:sz="0" w:space="0" w:color="auto"/>
            <w:right w:val="none" w:sz="0" w:space="0" w:color="auto"/>
          </w:divBdr>
        </w:div>
        <w:div w:id="1513258054">
          <w:marLeft w:val="0"/>
          <w:marRight w:val="0"/>
          <w:marTop w:val="0"/>
          <w:marBottom w:val="0"/>
          <w:divBdr>
            <w:top w:val="none" w:sz="0" w:space="0" w:color="auto"/>
            <w:left w:val="none" w:sz="0" w:space="0" w:color="auto"/>
            <w:bottom w:val="none" w:sz="0" w:space="0" w:color="auto"/>
            <w:right w:val="none" w:sz="0" w:space="0" w:color="auto"/>
          </w:divBdr>
        </w:div>
        <w:div w:id="1739786576">
          <w:marLeft w:val="0"/>
          <w:marRight w:val="0"/>
          <w:marTop w:val="0"/>
          <w:marBottom w:val="0"/>
          <w:divBdr>
            <w:top w:val="none" w:sz="0" w:space="0" w:color="auto"/>
            <w:left w:val="none" w:sz="0" w:space="0" w:color="auto"/>
            <w:bottom w:val="none" w:sz="0" w:space="0" w:color="auto"/>
            <w:right w:val="none" w:sz="0" w:space="0" w:color="auto"/>
          </w:divBdr>
        </w:div>
      </w:divsChild>
    </w:div>
    <w:div w:id="1973561743">
      <w:bodyDiv w:val="1"/>
      <w:marLeft w:val="0"/>
      <w:marRight w:val="0"/>
      <w:marTop w:val="0"/>
      <w:marBottom w:val="0"/>
      <w:divBdr>
        <w:top w:val="none" w:sz="0" w:space="0" w:color="auto"/>
        <w:left w:val="none" w:sz="0" w:space="0" w:color="auto"/>
        <w:bottom w:val="none" w:sz="0" w:space="0" w:color="auto"/>
        <w:right w:val="none" w:sz="0" w:space="0" w:color="auto"/>
      </w:divBdr>
    </w:div>
    <w:div w:id="205168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www.landcareresearch.co.nz/science/plants-animals-fungi/animals/birds/garden-bird-surveys/2014-results/desease" TargetMode="External"/><Relationship Id="rId39" Type="http://schemas.openxmlformats.org/officeDocument/2006/relationships/image" Target="media/image10.png"/><Relationship Id="rId21" Type="http://schemas.openxmlformats.org/officeDocument/2006/relationships/header" Target="header5.xml"/><Relationship Id="rId34" Type="http://schemas.openxmlformats.org/officeDocument/2006/relationships/image" Target="media/image5.jpe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1.png"/><Relationship Id="rId29" Type="http://schemas.openxmlformats.org/officeDocument/2006/relationships/footer" Target="footer6.xm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image" Target="media/image3.jpe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9.xml"/><Relationship Id="rId36" Type="http://schemas.openxmlformats.org/officeDocument/2006/relationships/image" Target="media/image7.png"/><Relationship Id="rId49" Type="http://schemas.openxmlformats.org/officeDocument/2006/relationships/image" Target="media/image20.jpeg"/><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fe.govt.nz" TargetMode="Externa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footer" Target="footer7.xml"/><Relationship Id="rId35" Type="http://schemas.openxmlformats.org/officeDocument/2006/relationships/image" Target="media/image6.jpeg"/><Relationship Id="rId43" Type="http://schemas.openxmlformats.org/officeDocument/2006/relationships/image" Target="media/image14.png"/><Relationship Id="rId48" Type="http://schemas.openxmlformats.org/officeDocument/2006/relationships/image" Target="media/image19.jpeg"/><Relationship Id="rId56" Type="http://schemas.openxmlformats.org/officeDocument/2006/relationships/image" Target="media/image27.png"/><Relationship Id="rId8" Type="http://schemas.openxmlformats.org/officeDocument/2006/relationships/settings" Target="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image" Target="media/image17.png"/><Relationship Id="rId59" Type="http://schemas.openxmlformats.org/officeDocument/2006/relationships/image" Target="media/image30.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Install\WorkgroupTemplates\Reports%20and%20Cover%20Sheets\Report%20Mf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4BADFA7964D24CA8C054424759F0B6" ma:contentTypeVersion="13" ma:contentTypeDescription="Create a new document." ma:contentTypeScope="" ma:versionID="7fe42e411be5a57ede9c02e81ead3ef1">
  <xsd:schema xmlns:xsd="http://www.w3.org/2001/XMLSchema" xmlns:xs="http://www.w3.org/2001/XMLSchema" xmlns:p="http://schemas.microsoft.com/office/2006/metadata/properties" xmlns:ns2="2643581b-cd58-4aa5-ada3-87ecede588d5" xmlns:ns3="ae332931-9f4e-4bdb-8be0-02d2b87c5c77" targetNamespace="http://schemas.microsoft.com/office/2006/metadata/properties" ma:root="true" ma:fieldsID="ca05cb335c6267748082f935e0c60144" ns2:_="" ns3:_="">
    <xsd:import namespace="2643581b-cd58-4aa5-ada3-87ecede588d5"/>
    <xsd:import namespace="ae332931-9f4e-4bdb-8be0-02d2b87c5c77"/>
    <xsd:element name="properties">
      <xsd:complexType>
        <xsd:sequence>
          <xsd:element name="documentManagement">
            <xsd:complexType>
              <xsd:all>
                <xsd:element ref="ns2:Registration_x0020_Number"/>
                <xsd:element ref="ns3:Other_x0020_Party" minOccurs="0"/>
                <xsd:element ref="ns2:Date_x0020_Received" minOccurs="0"/>
                <xsd:element ref="ns2:Sent_x0020_By" minOccurs="0"/>
                <xsd:element ref="ns2:Report_x0020_Author" minOccurs="0"/>
                <xsd:element ref="ns2:Total_x0020_Pages" minOccurs="0"/>
                <xsd:element ref="ns2:Date_x0020_Returned" minOccurs="0"/>
                <xsd:element ref="ns2:Hours_x0020_worked" minOccurs="0"/>
                <xsd:element ref="ns2:Formatted_x0020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3581b-cd58-4aa5-ada3-87ecede588d5" elementFormDefault="qualified">
    <xsd:import namespace="http://schemas.microsoft.com/office/2006/documentManagement/types"/>
    <xsd:import namespace="http://schemas.microsoft.com/office/infopath/2007/PartnerControls"/>
    <xsd:element name="Registration_x0020_Number" ma:index="1" ma:displayName="Registration Number" ma:internalName="Registration_x0020_Number">
      <xsd:simpleType>
        <xsd:restriction base="dms:Text">
          <xsd:maxLength value="255"/>
        </xsd:restriction>
      </xsd:simpleType>
    </xsd:element>
    <xsd:element name="Date_x0020_Received" ma:index="3" nillable="true" ma:displayName="Date Received" ma:default="[today]" ma:format="DateOnly" ma:internalName="Date_x0020_Received">
      <xsd:simpleType>
        <xsd:restriction base="dms:DateTime"/>
      </xsd:simpleType>
    </xsd:element>
    <xsd:element name="Sent_x0020_By" ma:index="4" nillable="true" ma:displayName="Sent By" ma:description="Enter 'Author' or Name of person" ma:internalName="Sent_x0020_By">
      <xsd:simpleType>
        <xsd:restriction base="dms:Text">
          <xsd:maxLength value="255"/>
        </xsd:restriction>
      </xsd:simpleType>
    </xsd:element>
    <xsd:element name="Report_x0020_Author" ma:index="5" nillable="true" ma:displayName="Report Author" ma:description="This is the main contact author" ma:internalName="Report_x0020_Author">
      <xsd:simpleType>
        <xsd:restriction base="dms:Text">
          <xsd:maxLength value="255"/>
        </xsd:restriction>
      </xsd:simpleType>
    </xsd:element>
    <xsd:element name="Total_x0020_Pages" ma:index="6" nillable="true" ma:displayName="Total Pages" ma:decimals="0" ma:internalName="Total_x0020_Pages">
      <xsd:simpleType>
        <xsd:restriction base="dms:Number"/>
      </xsd:simpleType>
    </xsd:element>
    <xsd:element name="Date_x0020_Returned" ma:index="7" nillable="true" ma:displayName="Date Returned" ma:description="Sent back to author" ma:format="DateOnly" ma:internalName="Date_x0020_Returned">
      <xsd:simpleType>
        <xsd:restriction base="dms:DateTime"/>
      </xsd:simpleType>
    </xsd:element>
    <xsd:element name="Hours_x0020_worked" ma:index="8" nillable="true" ma:displayName="Hours worked" ma:decimals="1" ma:description="The total estimated time to format/fix layout - rounded to the half hour." ma:internalName="Hours_x0020_worked">
      <xsd:simpleType>
        <xsd:restriction base="dms:Number"/>
      </xsd:simpleType>
    </xsd:element>
    <xsd:element name="Formatted_x0020_By" ma:index="10" nillable="true" ma:displayName="Formatted By" ma:internalName="Formatted_x0020_B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332931-9f4e-4bdb-8be0-02d2b87c5c77" elementFormDefault="qualified">
    <xsd:import namespace="http://schemas.microsoft.com/office/2006/documentManagement/types"/>
    <xsd:import namespace="http://schemas.microsoft.com/office/infopath/2007/PartnerControls"/>
    <xsd:element name="Other_x0020_Party" ma:index="2" nillable="true" ma:displayName="Client" ma:list="{53c6190f-3cef-4a31-baf5-0a3d5c92370d}" ma:internalName="Other_x0020_Party" ma:readOnly="false" ma:showField="Title" ma:web="ae332931-9f4e-4bdb-8be0-02d2b87c5c77">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1" ma:displayName="Title"/>
        <xsd:element ref="dc:subject" minOccurs="0" maxOccurs="1"/>
        <xsd:element ref="dc:description" minOccurs="0" maxOccurs="1" ma:index="9"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ormatted_x0020_By xmlns="2643581b-cd58-4aa5-ada3-87ecede588d5">Cynthia Cripps</Formatted_x0020_By>
    <Other_x0020_Party xmlns="ae332931-9f4e-4bdb-8be0-02d2b87c5c77" xsi:nil="true"/>
    <Registration_x0020_Number xmlns="2643581b-cd58-4aa5-ada3-87ecede588d5">LC2313</Registration_x0020_Number>
    <Date_x0020_Received xmlns="2643581b-cd58-4aa5-ada3-87ecede588d5">2015-08-13T04:34:06+00:00</Date_x0020_Received>
    <Hours_x0020_worked xmlns="2643581b-cd58-4aa5-ada3-87ecede588d5" xsi:nil="true"/>
    <Report_x0020_Author xmlns="2643581b-cd58-4aa5-ada3-87ecede588d5">Catriona MacLeod</Report_x0020_Author>
    <Total_x0020_Pages xmlns="2643581b-cd58-4aa5-ada3-87ecede588d5">45</Total_x0020_Pages>
    <Sent_x0020_By xmlns="2643581b-cd58-4aa5-ada3-87ecede588d5">Author</Sent_x0020_By>
    <Date_x0020_Returned xmlns="2643581b-cd58-4aa5-ada3-87ecede588d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40E8A-5204-40FB-9F28-46730632B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3581b-cd58-4aa5-ada3-87ecede588d5"/>
    <ds:schemaRef ds:uri="ae332931-9f4e-4bdb-8be0-02d2b87c5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E4B349-00E5-43AB-933A-4FC22611436E}">
  <ds:schemaRefs>
    <ds:schemaRef ds:uri="http://schemas.microsoft.com/sharepoint/v3/contenttype/forms"/>
  </ds:schemaRefs>
</ds:datastoreItem>
</file>

<file path=customXml/itemProps3.xml><?xml version="1.0" encoding="utf-8"?>
<ds:datastoreItem xmlns:ds="http://schemas.openxmlformats.org/officeDocument/2006/customXml" ds:itemID="{54579F3F-4723-4D9F-9E3E-C6B724112D4D}">
  <ds:schemaRefs>
    <ds:schemaRef ds:uri="http://purl.org/dc/terms/"/>
    <ds:schemaRef ds:uri="http://www.w3.org/XML/1998/namespace"/>
    <ds:schemaRef ds:uri="http://schemas.microsoft.com/office/2006/documentManagement/types"/>
    <ds:schemaRef ds:uri="2643581b-cd58-4aa5-ada3-87ecede588d5"/>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ae332931-9f4e-4bdb-8be0-02d2b87c5c77"/>
    <ds:schemaRef ds:uri="http://purl.org/dc/dcmitype/"/>
  </ds:schemaRefs>
</ds:datastoreItem>
</file>

<file path=customXml/itemProps4.xml><?xml version="1.0" encoding="utf-8"?>
<ds:datastoreItem xmlns:ds="http://schemas.openxmlformats.org/officeDocument/2006/customXml" ds:itemID="{EE9ACB3F-EB9A-4304-A5AC-3EFF8D845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MfE</Template>
  <TotalTime>10</TotalTime>
  <Pages>45</Pages>
  <Words>10362</Words>
  <Characters>56349</Characters>
  <Application>Microsoft Office Word</Application>
  <DocSecurity>0</DocSecurity>
  <Lines>469</Lines>
  <Paragraphs>133</Paragraphs>
  <ScaleCrop>false</ScaleCrop>
  <HeadingPairs>
    <vt:vector size="2" baseType="variant">
      <vt:variant>
        <vt:lpstr>Title</vt:lpstr>
      </vt:variant>
      <vt:variant>
        <vt:i4>1</vt:i4>
      </vt:variant>
    </vt:vector>
  </HeadingPairs>
  <TitlesOfParts>
    <vt:vector size="1" baseType="lpstr">
      <vt:lpstr/>
    </vt:vector>
  </TitlesOfParts>
  <Company>Landcare Research</Company>
  <LinksUpToDate>false</LinksUpToDate>
  <CharactersWithSpaces>66578</CharactersWithSpaces>
  <SharedDoc>false</SharedDoc>
  <HLinks>
    <vt:vector size="6" baseType="variant">
      <vt:variant>
        <vt:i4>6684781</vt:i4>
      </vt:variant>
      <vt:variant>
        <vt:i4>0</vt:i4>
      </vt:variant>
      <vt:variant>
        <vt:i4>0</vt:i4>
      </vt:variant>
      <vt:variant>
        <vt:i4>5</vt:i4>
      </vt:variant>
      <vt:variant>
        <vt:lpwstr>http://www.mfe.govt.nz/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Source:</dc:subject>
  <dc:creator>Catriona MacLeod</dc:creator>
  <cp:lastModifiedBy>Linda Stirling</cp:lastModifiedBy>
  <cp:revision>7</cp:revision>
  <cp:lastPrinted>2015-09-18T04:17:00Z</cp:lastPrinted>
  <dcterms:created xsi:type="dcterms:W3CDTF">2015-09-18T03:45:00Z</dcterms:created>
  <dcterms:modified xsi:type="dcterms:W3CDTF">2015-09-18T04:17:00Z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ame">
    <vt:lpwstr>000000745950</vt:lpwstr>
  </property>
  <property fmtid="{D5CDD505-2E9C-101B-9397-08002B2CF9AE}" pid="3" name="DisplayName">
    <vt:lpwstr>21 - Cell Validation</vt:lpwstr>
  </property>
  <property fmtid="{D5CDD505-2E9C-101B-9397-08002B2CF9AE}" pid="4" name="Class">
    <vt:lpwstr>MP/MP_AC/MP_AC_Five/MP_AC_Five_TwentyOne</vt:lpwstr>
  </property>
  <property fmtid="{D5CDD505-2E9C-101B-9397-08002B2CF9AE}" pid="5" name="ClassComments">
    <vt:lpwstr/>
  </property>
  <property fmtid="{D5CDD505-2E9C-101B-9397-08002B2CF9AE}" pid="6" name="AddedBy">
    <vt:lpwstr>AddenbrookeJ</vt:lpwstr>
  </property>
  <property fmtid="{D5CDD505-2E9C-101B-9397-08002B2CF9AE}" pid="7" name="DateAdded">
    <vt:filetime>2010-02-23T22:04:43Z</vt:filetime>
  </property>
  <property fmtid="{D5CDD505-2E9C-101B-9397-08002B2CF9AE}" pid="8" name="FirstAddedBy">
    <vt:lpwstr>AddenbrookeJ</vt:lpwstr>
  </property>
  <property fmtid="{D5CDD505-2E9C-101B-9397-08002B2CF9AE}" pid="9" name="DateFirstAdded">
    <vt:filetime>2010-02-23T22:04:43Z</vt:filetime>
  </property>
  <property fmtid="{D5CDD505-2E9C-101B-9397-08002B2CF9AE}" pid="10" name="LastModifiedBy">
    <vt:lpwstr>AddenbrookeJ</vt:lpwstr>
  </property>
  <property fmtid="{D5CDD505-2E9C-101B-9397-08002B2CF9AE}" pid="11" name="DateLastModified">
    <vt:filetime>2010-02-23T22:04:43Z</vt:filetime>
  </property>
  <property fmtid="{D5CDD505-2E9C-101B-9397-08002B2CF9AE}" pid="12" name="IsCheckedOut">
    <vt:bool>true</vt:bool>
  </property>
  <property fmtid="{D5CDD505-2E9C-101B-9397-08002B2CF9AE}" pid="13" name="CheckedOutBy">
    <vt:lpwstr>AddenbrookeJ</vt:lpwstr>
  </property>
  <property fmtid="{D5CDD505-2E9C-101B-9397-08002B2CF9AE}" pid="14" name="CheckOutComment">
    <vt:lpwstr/>
  </property>
  <property fmtid="{D5CDD505-2E9C-101B-9397-08002B2CF9AE}" pid="15" name="CheckOutDate">
    <vt:filetime>2010-02-23T22:07:19Z</vt:filetime>
  </property>
  <property fmtid="{D5CDD505-2E9C-101B-9397-08002B2CF9AE}" pid="16" name="VersionStatus">
    <vt:i4>3</vt:i4>
  </property>
  <property fmtid="{D5CDD505-2E9C-101B-9397-08002B2CF9AE}" pid="17" name="ProtectMode">
    <vt:i4>4194336</vt:i4>
  </property>
  <property fmtid="{D5CDD505-2E9C-101B-9397-08002B2CF9AE}" pid="18" name="IndexMode">
    <vt:i4>0</vt:i4>
  </property>
  <property fmtid="{D5CDD505-2E9C-101B-9397-08002B2CF9AE}" pid="19" name="MaxVersionsOnline">
    <vt:i4>0</vt:i4>
  </property>
  <property fmtid="{D5CDD505-2E9C-101B-9397-08002B2CF9AE}" pid="20" name="Version">
    <vt:lpwstr>0.0</vt:lpwstr>
  </property>
  <property fmtid="{D5CDD505-2E9C-101B-9397-08002B2CF9AE}" pid="21" name="Versions">
    <vt:lpwstr>0.0</vt:lpwstr>
  </property>
  <property fmtid="{D5CDD505-2E9C-101B-9397-08002B2CF9AE}" pid="22" name="ContentVersion">
    <vt:lpwstr/>
  </property>
  <property fmtid="{D5CDD505-2E9C-101B-9397-08002B2CF9AE}" pid="23" name="ContentType">
    <vt:i4>0</vt:i4>
  </property>
  <property fmtid="{D5CDD505-2E9C-101B-9397-08002B2CF9AE}" pid="24" name="ContentSize">
    <vt:i4>0</vt:i4>
  </property>
  <property fmtid="{D5CDD505-2E9C-101B-9397-08002B2CF9AE}" pid="25" name="ContentFormats">
    <vt:lpwstr/>
  </property>
  <property fmtid="{D5CDD505-2E9C-101B-9397-08002B2CF9AE}" pid="26" name="LocaleID">
    <vt:i4>0</vt:i4>
  </property>
  <property fmtid="{D5CDD505-2E9C-101B-9397-08002B2CF9AE}" pid="27" name="RequiredSignatures">
    <vt:lpwstr/>
  </property>
  <property fmtid="{D5CDD505-2E9C-101B-9397-08002B2CF9AE}" pid="28" name="SignaturesRequired">
    <vt:lpwstr/>
  </property>
  <property fmtid="{D5CDD505-2E9C-101B-9397-08002B2CF9AE}" pid="29" name="Signatures">
    <vt:lpwstr/>
  </property>
  <property fmtid="{D5CDD505-2E9C-101B-9397-08002B2CF9AE}" pid="30" name="DateAvailable">
    <vt:filetime>1899-12-29T11:00:00Z</vt:filetime>
  </property>
  <property fmtid="{D5CDD505-2E9C-101B-9397-08002B2CF9AE}" pid="31" name="DateExpires">
    <vt:filetime>1899-12-29T11:00:00Z</vt:filetime>
  </property>
  <property fmtid="{D5CDD505-2E9C-101B-9397-08002B2CF9AE}" pid="32" name="RelativeDateExpires">
    <vt:lpwstr>Never</vt:lpwstr>
  </property>
  <property fmtid="{D5CDD505-2E9C-101B-9397-08002B2CF9AE}" pid="33" name="Parents">
    <vt:lpwstr/>
  </property>
  <property fmtid="{D5CDD505-2E9C-101B-9397-08002B2CF9AE}" pid="34" name="Children">
    <vt:lpwstr/>
  </property>
  <property fmtid="{D5CDD505-2E9C-101B-9397-08002B2CF9AE}" pid="35" name="Master">
    <vt:lpwstr/>
  </property>
  <property fmtid="{D5CDD505-2E9C-101B-9397-08002B2CF9AE}" pid="36" name="Slaves">
    <vt:lpwstr/>
  </property>
  <property fmtid="{D5CDD505-2E9C-101B-9397-08002B2CF9AE}" pid="37" name="PublishPaths">
    <vt:lpwstr/>
  </property>
  <property fmtid="{D5CDD505-2E9C-101B-9397-08002B2CF9AE}" pid="38" name="SeeAlso">
    <vt:lpwstr/>
  </property>
  <property fmtid="{D5CDD505-2E9C-101B-9397-08002B2CF9AE}" pid="39" name="Folders">
    <vt:lpwstr/>
  </property>
  <property fmtid="{D5CDD505-2E9C-101B-9397-08002B2CF9AE}" pid="40" name="MetaPath">
    <vt:lpwstr>\MP\MP_AC\MP_AC_Five\MP_AC_Five_TwentyOne</vt:lpwstr>
  </property>
  <property fmtid="{D5CDD505-2E9C-101B-9397-08002B2CF9AE}" pid="41" name="ContentPath">
    <vt:lpwstr>\MP\MP_AC\MP_AC_Five\MP_AC_Five_TwentyOne</vt:lpwstr>
  </property>
  <property fmtid="{D5CDD505-2E9C-101B-9397-08002B2CF9AE}" pid="42" name="ArchiveMetaPath">
    <vt:lpwstr>\MP\MP_AC\MP_AC_Five\MP_AC_Five_TwentyOne</vt:lpwstr>
  </property>
  <property fmtid="{D5CDD505-2E9C-101B-9397-08002B2CF9AE}" pid="43" name="ArchiveContentPath">
    <vt:lpwstr>\MP\MP_AC\MP_AC_Five\MP_AC_Five_TwentyOne</vt:lpwstr>
  </property>
  <property fmtid="{D5CDD505-2E9C-101B-9397-08002B2CF9AE}" pid="44" name="ContentVPath">
    <vt:lpwstr>/MP/MP_AC/MP_AC_Five/MP_AC_Five_TwentyOne</vt:lpwstr>
  </property>
  <property fmtid="{D5CDD505-2E9C-101B-9397-08002B2CF9AE}" pid="45" name="Icon">
    <vt:lpwstr/>
  </property>
  <property fmtid="{D5CDD505-2E9C-101B-9397-08002B2CF9AE}" pid="46" name="DefaultContent">
    <vt:lpwstr>Amphora://DRAGON/Templates/000000014984/DOC</vt:lpwstr>
  </property>
  <property fmtid="{D5CDD505-2E9C-101B-9397-08002B2CF9AE}" pid="47" name="DefaultFormat">
    <vt:lpwstr>DOC</vt:lpwstr>
  </property>
  <property fmtid="{D5CDD505-2E9C-101B-9397-08002B2CF9AE}" pid="48" name="DefaultForm">
    <vt:lpwstr/>
  </property>
  <property fmtid="{D5CDD505-2E9C-101B-9397-08002B2CF9AE}" pid="49" name="DefaultUIHandler">
    <vt:lpwstr/>
  </property>
  <property fmtid="{D5CDD505-2E9C-101B-9397-08002B2CF9AE}" pid="50" name="Abstract">
    <vt:bool>false</vt:bool>
  </property>
  <property fmtid="{D5CDD505-2E9C-101B-9397-08002B2CF9AE}" pid="51" name="PossibleSuperiors">
    <vt:lpwstr>MP_AC_Five</vt:lpwstr>
  </property>
  <property fmtid="{D5CDD505-2E9C-101B-9397-08002B2CF9AE}" pid="52" name="HelpFileContext">
    <vt:i4>0</vt:i4>
  </property>
  <property fmtid="{D5CDD505-2E9C-101B-9397-08002B2CF9AE}" pid="53" name="HelpFileName">
    <vt:lpwstr/>
  </property>
  <property fmtid="{D5CDD505-2E9C-101B-9397-08002B2CF9AE}" pid="54" name="AMP__OriginalAuthor">
    <vt:lpwstr/>
  </property>
  <property fmtid="{D5CDD505-2E9C-101B-9397-08002B2CF9AE}" pid="55" name="Description">
    <vt:lpwstr/>
  </property>
  <property fmtid="{D5CDD505-2E9C-101B-9397-08002B2CF9AE}" pid="56" name="Doctype">
    <vt:lpwstr>Report</vt:lpwstr>
  </property>
  <property fmtid="{D5CDD505-2E9C-101B-9397-08002B2CF9AE}" pid="57" name="To">
    <vt:lpwstr/>
  </property>
  <property fmtid="{D5CDD505-2E9C-101B-9397-08002B2CF9AE}" pid="58" name="From">
    <vt:lpwstr/>
  </property>
  <property fmtid="{D5CDD505-2E9C-101B-9397-08002B2CF9AE}" pid="59" name="Sent_Received">
    <vt:filetime>1899-12-29T11:00:00Z</vt:filetime>
  </property>
  <property fmtid="{D5CDD505-2E9C-101B-9397-08002B2CF9AE}" pid="60" name="Status">
    <vt:lpwstr>Draft</vt:lpwstr>
  </property>
  <property fmtid="{D5CDD505-2E9C-101B-9397-08002B2CF9AE}" pid="61" name="ContractNumber">
    <vt:lpwstr/>
  </property>
  <property fmtid="{D5CDD505-2E9C-101B-9397-08002B2CF9AE}" pid="62" name="Year">
    <vt:lpwstr>2009 - 2010</vt:lpwstr>
  </property>
  <property fmtid="{D5CDD505-2E9C-101B-9397-08002B2CF9AE}" pid="63" name="adspath">
    <vt:lpwstr>Amphora://dragon/MP/MP_AC/MP_AC_Five/MP_AC_Five_TwentyOne/000000745950</vt:lpwstr>
  </property>
  <property fmtid="{D5CDD505-2E9C-101B-9397-08002B2CF9AE}" pid="64" name="ContentTypeId">
    <vt:lpwstr>0x010100D64BADFA7964D24CA8C054424759F0B6</vt:lpwstr>
  </property>
  <property fmtid="{D5CDD505-2E9C-101B-9397-08002B2CF9AE}" pid="65" name="_AdHocReviewCycleID">
    <vt:i4>572680856</vt:i4>
  </property>
  <property fmtid="{D5CDD505-2E9C-101B-9397-08002B2CF9AE}" pid="66" name="_NewReviewCycle">
    <vt:lpwstr/>
  </property>
  <property fmtid="{D5CDD505-2E9C-101B-9397-08002B2CF9AE}" pid="67" name="_EmailSubject">
    <vt:lpwstr>GBS report </vt:lpwstr>
  </property>
  <property fmtid="{D5CDD505-2E9C-101B-9397-08002B2CF9AE}" pid="68" name="_AuthorEmail">
    <vt:lpwstr>Fiona.Hodge@mfe.govt.nz</vt:lpwstr>
  </property>
  <property fmtid="{D5CDD505-2E9C-101B-9397-08002B2CF9AE}" pid="69" name="_AuthorEmailDisplayName">
    <vt:lpwstr>Fiona Hodge</vt:lpwstr>
  </property>
  <property fmtid="{D5CDD505-2E9C-101B-9397-08002B2CF9AE}" pid="70" name="_PreviousAdHocReviewCycleID">
    <vt:i4>-260378741</vt:i4>
  </property>
</Properties>
</file>