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4A89D" w14:textId="105D6CBE" w:rsidR="0003640E" w:rsidRPr="00A12E3F" w:rsidRDefault="00174279" w:rsidP="00EC7BF6">
      <w:pPr>
        <w:jc w:val="right"/>
        <w:rPr>
          <w:color w:val="FF0000"/>
        </w:rPr>
        <w:sectPr w:rsidR="0003640E" w:rsidRPr="00A12E3F" w:rsidSect="00174279">
          <w:headerReference w:type="even" r:id="rId8"/>
          <w:headerReference w:type="default" r:id="rId9"/>
          <w:footerReference w:type="even" r:id="rId10"/>
          <w:footerReference w:type="default" r:id="rId11"/>
          <w:headerReference w:type="first" r:id="rId12"/>
          <w:footerReference w:type="first" r:id="rId13"/>
          <w:pgSz w:w="11907" w:h="16840" w:code="9"/>
          <w:pgMar w:top="5670" w:right="1418" w:bottom="1701" w:left="1418" w:header="567" w:footer="1134" w:gutter="0"/>
          <w:cols w:space="720"/>
        </w:sectPr>
      </w:pPr>
      <w:r>
        <w:rPr>
          <w:noProof/>
          <w:color w:val="FF0000"/>
        </w:rPr>
        <w:drawing>
          <wp:anchor distT="0" distB="0" distL="114300" distR="114300" simplePos="0" relativeHeight="251658240" behindDoc="0" locked="0" layoutInCell="1" allowOverlap="1" wp14:anchorId="4DD74774" wp14:editId="3A7C858D">
            <wp:simplePos x="0" y="0"/>
            <wp:positionH relativeFrom="column">
              <wp:posOffset>-900361</wp:posOffset>
            </wp:positionH>
            <wp:positionV relativeFrom="paragraph">
              <wp:posOffset>-3533775</wp:posOffset>
            </wp:positionV>
            <wp:extent cx="7575376" cy="10704751"/>
            <wp:effectExtent l="0" t="0" r="698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5a0d9a-50fd-4334-b8c5-1092c626af9e (1).png"/>
                    <pic:cNvPicPr/>
                  </pic:nvPicPr>
                  <pic:blipFill>
                    <a:blip r:embed="rId14">
                      <a:extLst>
                        <a:ext uri="{28A0092B-C50C-407E-A947-70E740481C1C}">
                          <a14:useLocalDpi xmlns:a14="http://schemas.microsoft.com/office/drawing/2010/main" val="0"/>
                        </a:ext>
                      </a:extLst>
                    </a:blip>
                    <a:stretch>
                      <a:fillRect/>
                    </a:stretch>
                  </pic:blipFill>
                  <pic:spPr>
                    <a:xfrm>
                      <a:off x="0" y="0"/>
                      <a:ext cx="7575376" cy="10704751"/>
                    </a:xfrm>
                    <a:prstGeom prst="rect">
                      <a:avLst/>
                    </a:prstGeom>
                  </pic:spPr>
                </pic:pic>
              </a:graphicData>
            </a:graphic>
            <wp14:sizeRelH relativeFrom="margin">
              <wp14:pctWidth>0</wp14:pctWidth>
            </wp14:sizeRelH>
            <wp14:sizeRelV relativeFrom="margin">
              <wp14:pctHeight>0</wp14:pctHeight>
            </wp14:sizeRelV>
          </wp:anchor>
        </w:drawing>
      </w:r>
    </w:p>
    <w:p w14:paraId="0C29BD1C" w14:textId="77777777" w:rsidR="00452EC4" w:rsidRPr="00A12E3F" w:rsidRDefault="00452EC4" w:rsidP="00775F57">
      <w:pPr>
        <w:pStyle w:val="Imprint"/>
        <w:spacing w:before="0" w:after="0"/>
        <w:rPr>
          <w:b/>
        </w:rPr>
      </w:pPr>
      <w:r w:rsidRPr="00A12E3F">
        <w:rPr>
          <w:b/>
        </w:rPr>
        <w:lastRenderedPageBreak/>
        <w:t>Disclaimer</w:t>
      </w:r>
    </w:p>
    <w:p w14:paraId="57EB83CE" w14:textId="12A18449" w:rsidR="00D219C6" w:rsidRPr="00A12E3F" w:rsidRDefault="00D219C6" w:rsidP="00D219C6">
      <w:pPr>
        <w:pStyle w:val="BodyText"/>
      </w:pPr>
      <w:r w:rsidRPr="00A12E3F">
        <w:t xml:space="preserve">This document should be read in conjunction with the </w:t>
      </w:r>
      <w:r w:rsidRPr="00A12E3F">
        <w:rPr>
          <w:i/>
        </w:rPr>
        <w:t>Action for Healthy waterways</w:t>
      </w:r>
      <w:r w:rsidRPr="00A12E3F">
        <w:t xml:space="preserve"> discussion</w:t>
      </w:r>
      <w:r w:rsidR="00844346" w:rsidRPr="00A12E3F">
        <w:t> </w:t>
      </w:r>
      <w:r w:rsidRPr="00A12E3F">
        <w:t xml:space="preserve">document, Submissions </w:t>
      </w:r>
      <w:r w:rsidR="006A0EDB" w:rsidRPr="00A12E3F">
        <w:t xml:space="preserve">Report, </w:t>
      </w:r>
      <w:r w:rsidRPr="00A12E3F">
        <w:t>I</w:t>
      </w:r>
      <w:r w:rsidR="006A0EDB" w:rsidRPr="00A12E3F">
        <w:t xml:space="preserve">ndependent </w:t>
      </w:r>
      <w:r w:rsidRPr="00A12E3F">
        <w:t>A</w:t>
      </w:r>
      <w:r w:rsidR="006A0EDB" w:rsidRPr="00A12E3F">
        <w:t xml:space="preserve">dvisory </w:t>
      </w:r>
      <w:r w:rsidRPr="00A12E3F">
        <w:t>P</w:t>
      </w:r>
      <w:r w:rsidR="006A0EDB" w:rsidRPr="00A12E3F">
        <w:t>anel</w:t>
      </w:r>
      <w:r w:rsidRPr="00A12E3F">
        <w:t xml:space="preserve"> </w:t>
      </w:r>
      <w:r w:rsidR="006A0EDB" w:rsidRPr="00A12E3F">
        <w:t xml:space="preserve">report </w:t>
      </w:r>
      <w:r w:rsidRPr="00A12E3F">
        <w:t>and the</w:t>
      </w:r>
      <w:r w:rsidR="0057076D" w:rsidRPr="00A12E3F">
        <w:t> </w:t>
      </w:r>
      <w:r w:rsidR="00602EC8">
        <w:t>National Policy Statement for Freshwater Management 2020</w:t>
      </w:r>
      <w:r w:rsidRPr="00A12E3F">
        <w:t>.</w:t>
      </w:r>
    </w:p>
    <w:p w14:paraId="50F19ADB" w14:textId="77777777" w:rsidR="00452EC4" w:rsidRPr="00A12E3F" w:rsidRDefault="00452EC4" w:rsidP="00452EC4">
      <w:pPr>
        <w:pStyle w:val="Imprint"/>
      </w:pPr>
    </w:p>
    <w:p w14:paraId="34FABA59" w14:textId="3AE7821D" w:rsidR="00452EC4" w:rsidRPr="00A12E3F" w:rsidRDefault="00A72CA1" w:rsidP="00A72CA1">
      <w:pPr>
        <w:pStyle w:val="Imprint"/>
        <w:spacing w:before="0" w:after="0"/>
        <w:rPr>
          <w:b/>
        </w:rPr>
      </w:pPr>
      <w:r w:rsidRPr="00A12E3F">
        <w:rPr>
          <w:b/>
        </w:rPr>
        <w:t>Acknowledgement</w:t>
      </w:r>
    </w:p>
    <w:p w14:paraId="0BE86AD6" w14:textId="4BD606BB" w:rsidR="00A72CA1" w:rsidRPr="00306CA1" w:rsidRDefault="00121C23" w:rsidP="0057076D">
      <w:pPr>
        <w:pStyle w:val="Imprint"/>
      </w:pPr>
      <w:r w:rsidRPr="001A09C7">
        <w:t xml:space="preserve">The Ministry for the Environment would like to </w:t>
      </w:r>
      <w:r w:rsidR="00306CA1" w:rsidRPr="001A09C7">
        <w:t xml:space="preserve">acknowledge the </w:t>
      </w:r>
      <w:r w:rsidR="00BB7A70" w:rsidRPr="001A09C7">
        <w:t>work</w:t>
      </w:r>
      <w:r w:rsidR="00306CA1" w:rsidRPr="001A09C7">
        <w:t xml:space="preserve"> undertaken by the Independent Advisory Panel, and thank the member</w:t>
      </w:r>
      <w:r w:rsidR="001A09C7" w:rsidRPr="001A09C7">
        <w:t>s</w:t>
      </w:r>
      <w:r w:rsidRPr="001A09C7">
        <w:t xml:space="preserve"> for their </w:t>
      </w:r>
      <w:r w:rsidR="00306CA1" w:rsidRPr="001A09C7">
        <w:t xml:space="preserve">invaluable contribution to the </w:t>
      </w:r>
      <w:r w:rsidR="00306CA1" w:rsidRPr="001A09C7">
        <w:rPr>
          <w:i/>
        </w:rPr>
        <w:t xml:space="preserve">Action for Healthy waterways </w:t>
      </w:r>
      <w:r w:rsidR="00306CA1" w:rsidRPr="001A09C7">
        <w:t>package.</w:t>
      </w:r>
    </w:p>
    <w:p w14:paraId="16F31320" w14:textId="054A3976" w:rsidR="00306CA1" w:rsidRDefault="00306CA1" w:rsidP="0057076D">
      <w:pPr>
        <w:pStyle w:val="Imprint"/>
      </w:pPr>
    </w:p>
    <w:p w14:paraId="32E145B1" w14:textId="77777777" w:rsidR="00306CA1" w:rsidRPr="00A12E3F" w:rsidRDefault="00306CA1" w:rsidP="0057076D">
      <w:pPr>
        <w:pStyle w:val="Imprint"/>
      </w:pPr>
    </w:p>
    <w:p w14:paraId="759F9586" w14:textId="77777777" w:rsidR="00A72CA1" w:rsidRPr="00A12E3F" w:rsidRDefault="00A72CA1" w:rsidP="0057076D">
      <w:pPr>
        <w:pStyle w:val="Imprint"/>
      </w:pPr>
    </w:p>
    <w:p w14:paraId="53177BE5" w14:textId="36348E78" w:rsidR="0080531E" w:rsidRPr="00A12E3F" w:rsidRDefault="00452EC4" w:rsidP="0080531E">
      <w:pPr>
        <w:pStyle w:val="Imprint"/>
      </w:pPr>
      <w:r w:rsidRPr="00A12E3F">
        <w:t xml:space="preserve">This </w:t>
      </w:r>
      <w:r w:rsidR="00775F57" w:rsidRPr="00A12E3F">
        <w:t>document</w:t>
      </w:r>
      <w:r w:rsidRPr="00A12E3F">
        <w:t xml:space="preserve"> may be cited as:</w:t>
      </w:r>
      <w:r w:rsidR="00775F57" w:rsidRPr="00A12E3F">
        <w:t xml:space="preserve"> Ministry for the Environment. </w:t>
      </w:r>
      <w:r w:rsidR="004E650D" w:rsidRPr="00A12E3F">
        <w:t>2020</w:t>
      </w:r>
      <w:r w:rsidR="00775F57" w:rsidRPr="00A12E3F">
        <w:t xml:space="preserve">. </w:t>
      </w:r>
      <w:bookmarkStart w:id="0" w:name="_GoBack"/>
      <w:r w:rsidR="004E650D" w:rsidRPr="00A12E3F">
        <w:rPr>
          <w:i/>
          <w:iCs/>
        </w:rPr>
        <w:t>Summary of recommendations and the Minister for the Environment’s decisions on amendments to</w:t>
      </w:r>
      <w:r w:rsidR="00844346" w:rsidRPr="00A12E3F">
        <w:rPr>
          <w:i/>
          <w:iCs/>
        </w:rPr>
        <w:t> </w:t>
      </w:r>
      <w:r w:rsidR="004E650D" w:rsidRPr="00A12E3F">
        <w:rPr>
          <w:i/>
          <w:iCs/>
        </w:rPr>
        <w:t>the</w:t>
      </w:r>
      <w:r w:rsidR="00844346" w:rsidRPr="00A12E3F">
        <w:rPr>
          <w:i/>
          <w:iCs/>
        </w:rPr>
        <w:t> </w:t>
      </w:r>
      <w:r w:rsidR="004E650D" w:rsidRPr="00A12E3F">
        <w:rPr>
          <w:i/>
          <w:iCs/>
        </w:rPr>
        <w:t>National Policy Statement for Freshwater Management 2020</w:t>
      </w:r>
      <w:bookmarkEnd w:id="0"/>
      <w:r w:rsidR="004E650D" w:rsidRPr="00A12E3F">
        <w:t>. Wellington: Ministry</w:t>
      </w:r>
      <w:r w:rsidR="00844346" w:rsidRPr="00A12E3F">
        <w:t> </w:t>
      </w:r>
      <w:r w:rsidR="004E650D" w:rsidRPr="00A12E3F">
        <w:t>for</w:t>
      </w:r>
      <w:r w:rsidR="00844346" w:rsidRPr="00A12E3F">
        <w:t> </w:t>
      </w:r>
      <w:r w:rsidR="004E650D" w:rsidRPr="00A12E3F">
        <w:t>the</w:t>
      </w:r>
      <w:r w:rsidR="00844346" w:rsidRPr="00A12E3F">
        <w:t> </w:t>
      </w:r>
      <w:r w:rsidR="004E650D" w:rsidRPr="00A12E3F">
        <w:t xml:space="preserve">Environment. </w:t>
      </w:r>
    </w:p>
    <w:p w14:paraId="46F8ECEA" w14:textId="77777777" w:rsidR="0080531E" w:rsidRPr="00A12E3F" w:rsidRDefault="0080531E" w:rsidP="0080531E">
      <w:pPr>
        <w:pStyle w:val="Imprint"/>
      </w:pPr>
    </w:p>
    <w:p w14:paraId="5E93FDEF" w14:textId="19D14996" w:rsidR="0057076D" w:rsidRPr="00A12E3F" w:rsidRDefault="0057076D" w:rsidP="0080531E">
      <w:pPr>
        <w:pStyle w:val="Imprint"/>
      </w:pPr>
    </w:p>
    <w:p w14:paraId="7B839881" w14:textId="77777777" w:rsidR="0057076D" w:rsidRPr="00A12E3F" w:rsidRDefault="0057076D" w:rsidP="0080531E">
      <w:pPr>
        <w:pStyle w:val="Imprint"/>
      </w:pPr>
    </w:p>
    <w:p w14:paraId="4C301456" w14:textId="77777777" w:rsidR="0057076D" w:rsidRPr="00A12E3F" w:rsidRDefault="0057076D" w:rsidP="0080531E">
      <w:pPr>
        <w:pStyle w:val="Imprint"/>
      </w:pPr>
    </w:p>
    <w:p w14:paraId="021B09E3" w14:textId="77777777" w:rsidR="0057076D" w:rsidRPr="00A12E3F" w:rsidRDefault="0057076D" w:rsidP="0057076D">
      <w:pPr>
        <w:pStyle w:val="Imprint"/>
        <w:spacing w:after="0"/>
      </w:pPr>
    </w:p>
    <w:p w14:paraId="4FF58AE9" w14:textId="7EF9284C" w:rsidR="0080531E" w:rsidRPr="00A12E3F" w:rsidRDefault="000507FD" w:rsidP="0057076D">
      <w:pPr>
        <w:pStyle w:val="Imprint"/>
        <w:spacing w:before="0"/>
      </w:pPr>
      <w:r w:rsidRPr="00A12E3F">
        <w:t xml:space="preserve">Published in </w:t>
      </w:r>
      <w:r w:rsidR="0009562C">
        <w:t xml:space="preserve">October </w:t>
      </w:r>
      <w:r w:rsidRPr="00A12E3F">
        <w:t>2020</w:t>
      </w:r>
      <w:r w:rsidR="0080531E" w:rsidRPr="00A12E3F">
        <w:t xml:space="preserve"> by the</w:t>
      </w:r>
      <w:r w:rsidR="0080531E" w:rsidRPr="00A12E3F">
        <w:br/>
        <w:t xml:space="preserve">Ministry for the Environment </w:t>
      </w:r>
      <w:r w:rsidR="0080531E" w:rsidRPr="00A12E3F">
        <w:br/>
      </w:r>
      <w:proofErr w:type="spellStart"/>
      <w:r w:rsidR="0080531E" w:rsidRPr="00A12E3F">
        <w:t>Manatū</w:t>
      </w:r>
      <w:proofErr w:type="spellEnd"/>
      <w:r w:rsidR="0080531E" w:rsidRPr="00A12E3F">
        <w:t xml:space="preserve"> </w:t>
      </w:r>
      <w:proofErr w:type="spellStart"/>
      <w:r w:rsidR="0080531E" w:rsidRPr="00A12E3F">
        <w:t>Mō</w:t>
      </w:r>
      <w:proofErr w:type="spellEnd"/>
      <w:r w:rsidR="0080531E" w:rsidRPr="00A12E3F">
        <w:t xml:space="preserve"> Te </w:t>
      </w:r>
      <w:proofErr w:type="spellStart"/>
      <w:r w:rsidR="0080531E" w:rsidRPr="00A12E3F">
        <w:t>Taiao</w:t>
      </w:r>
      <w:proofErr w:type="spellEnd"/>
      <w:r w:rsidR="0080531E" w:rsidRPr="00A12E3F">
        <w:br/>
        <w:t>PO Box 10362, Wellington 6143, New Zealand</w:t>
      </w:r>
    </w:p>
    <w:p w14:paraId="19DED9D3" w14:textId="0076C44F" w:rsidR="0080531E" w:rsidRPr="00A12E3F" w:rsidRDefault="0080531E" w:rsidP="0080531E">
      <w:pPr>
        <w:pStyle w:val="Imprint"/>
        <w:tabs>
          <w:tab w:val="left" w:pos="720"/>
        </w:tabs>
        <w:ind w:left="720" w:hanging="720"/>
      </w:pPr>
      <w:r w:rsidRPr="00A12E3F">
        <w:t xml:space="preserve">ISBN: </w:t>
      </w:r>
      <w:r w:rsidRPr="00A12E3F">
        <w:tab/>
      </w:r>
      <w:r w:rsidR="00B54CD6" w:rsidRPr="00A12E3F">
        <w:t xml:space="preserve">978-1-99-003331-5 </w:t>
      </w:r>
      <w:r w:rsidRPr="00A12E3F">
        <w:t>(</w:t>
      </w:r>
      <w:r w:rsidR="00775F57" w:rsidRPr="00A12E3F">
        <w:t>online</w:t>
      </w:r>
      <w:r w:rsidRPr="00A12E3F">
        <w:t>)</w:t>
      </w:r>
    </w:p>
    <w:p w14:paraId="15572A94" w14:textId="31B30210" w:rsidR="0080531E" w:rsidRPr="00A12E3F" w:rsidRDefault="0080531E" w:rsidP="0080531E">
      <w:pPr>
        <w:pStyle w:val="Imprint"/>
        <w:ind w:left="720" w:hanging="720"/>
      </w:pPr>
      <w:r w:rsidRPr="00A12E3F">
        <w:t xml:space="preserve">Publication </w:t>
      </w:r>
      <w:r w:rsidRPr="00602EC8">
        <w:t xml:space="preserve">number: ME </w:t>
      </w:r>
      <w:r w:rsidR="00B54CD6" w:rsidRPr="00602EC8">
        <w:t>1543</w:t>
      </w:r>
    </w:p>
    <w:p w14:paraId="4C0928B6" w14:textId="146CB296" w:rsidR="0080531E" w:rsidRPr="00A12E3F" w:rsidRDefault="0080531E" w:rsidP="00593E94">
      <w:pPr>
        <w:pStyle w:val="Imprint"/>
        <w:spacing w:after="80"/>
      </w:pPr>
      <w:r w:rsidRPr="00A12E3F">
        <w:t xml:space="preserve">© Crown copyright New Zealand </w:t>
      </w:r>
      <w:r w:rsidR="00422DFE" w:rsidRPr="00A12E3F">
        <w:t>2020</w:t>
      </w:r>
    </w:p>
    <w:p w14:paraId="166BA9C2" w14:textId="77777777" w:rsidR="00C04705" w:rsidRPr="00A12E3F" w:rsidRDefault="0080531E" w:rsidP="00593E94">
      <w:pPr>
        <w:pStyle w:val="Imprint"/>
        <w:spacing w:before="240" w:after="0"/>
        <w:rPr>
          <w:rStyle w:val="Hyperlink"/>
          <w:color w:val="auto"/>
        </w:rPr>
      </w:pPr>
      <w:r w:rsidRPr="00A12E3F">
        <w:t>This document is available on the Ministry for</w:t>
      </w:r>
      <w:r w:rsidR="004C4E8A" w:rsidRPr="00A12E3F">
        <w:t xml:space="preserve"> the Environment </w:t>
      </w:r>
      <w:r w:rsidR="00CB557F" w:rsidRPr="00A12E3F">
        <w:t>website</w:t>
      </w:r>
      <w:r w:rsidRPr="00A12E3F">
        <w:t xml:space="preserve">: </w:t>
      </w:r>
      <w:hyperlink r:id="rId15" w:history="1">
        <w:r w:rsidRPr="00A12E3F">
          <w:rPr>
            <w:rStyle w:val="Hyperlink"/>
          </w:rPr>
          <w:t>www.mfe.govt.nz</w:t>
        </w:r>
      </w:hyperlink>
      <w:r w:rsidR="00B51610" w:rsidRPr="00A12E3F">
        <w:rPr>
          <w:rStyle w:val="Hyperlink"/>
          <w:color w:val="auto"/>
        </w:rPr>
        <w:t>.</w:t>
      </w:r>
    </w:p>
    <w:p w14:paraId="3B5C3093" w14:textId="77777777" w:rsidR="00A84FE1" w:rsidRPr="00A12E3F" w:rsidRDefault="00A84FE1" w:rsidP="00A84FE1">
      <w:pPr>
        <w:pStyle w:val="Imprint"/>
        <w:spacing w:before="240" w:after="0"/>
      </w:pPr>
      <w:r w:rsidRPr="00A12E3F">
        <w:rPr>
          <w:noProof/>
        </w:rPr>
        <w:drawing>
          <wp:inline distT="0" distB="0" distL="0" distR="0" wp14:anchorId="2DFDB508" wp14:editId="7916ADAC">
            <wp:extent cx="2712746" cy="11708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2746" cy="1170842"/>
                    </a:xfrm>
                    <a:prstGeom prst="rect">
                      <a:avLst/>
                    </a:prstGeom>
                    <a:noFill/>
                  </pic:spPr>
                </pic:pic>
              </a:graphicData>
            </a:graphic>
          </wp:inline>
        </w:drawing>
      </w:r>
    </w:p>
    <w:p w14:paraId="623C4F62" w14:textId="77777777" w:rsidR="006B09F1" w:rsidRPr="00A12E3F" w:rsidRDefault="006B09F1" w:rsidP="00A84FE1">
      <w:pPr>
        <w:sectPr w:rsidR="006B09F1" w:rsidRPr="00A12E3F" w:rsidSect="0036151C">
          <w:headerReference w:type="even" r:id="rId17"/>
          <w:headerReference w:type="default" r:id="rId18"/>
          <w:footerReference w:type="even" r:id="rId19"/>
          <w:footerReference w:type="default" r:id="rId20"/>
          <w:pgSz w:w="11907" w:h="16840" w:code="9"/>
          <w:pgMar w:top="1134" w:right="1418" w:bottom="1134" w:left="1418" w:header="567" w:footer="567" w:gutter="567"/>
          <w:pgNumType w:fmt="lowerRoman"/>
          <w:cols w:space="720"/>
        </w:sectPr>
      </w:pPr>
    </w:p>
    <w:p w14:paraId="1B957041" w14:textId="77777777" w:rsidR="0080531E" w:rsidRPr="00A12E3F" w:rsidRDefault="0080531E" w:rsidP="008B68EC">
      <w:pPr>
        <w:pStyle w:val="Heading"/>
      </w:pPr>
      <w:r w:rsidRPr="00A12E3F">
        <w:lastRenderedPageBreak/>
        <w:t>Contents</w:t>
      </w:r>
    </w:p>
    <w:p w14:paraId="6E2B93AF" w14:textId="70407725" w:rsidR="00295C8F" w:rsidRPr="00A12E3F" w:rsidRDefault="00775F57">
      <w:pPr>
        <w:pStyle w:val="TOC1"/>
        <w:rPr>
          <w:rFonts w:asciiTheme="minorHAnsi" w:hAnsiTheme="minorHAnsi"/>
          <w:noProof/>
        </w:rPr>
      </w:pPr>
      <w:r w:rsidRPr="00A12E3F">
        <w:rPr>
          <w:color w:val="0092CF"/>
        </w:rPr>
        <w:fldChar w:fldCharType="begin"/>
      </w:r>
      <w:r w:rsidRPr="00A12E3F">
        <w:rPr>
          <w:color w:val="0092CF"/>
        </w:rPr>
        <w:instrText xml:space="preserve"> TOC \h \z \t "Heading 1,1,Heading 2,2" </w:instrText>
      </w:r>
      <w:r w:rsidRPr="00A12E3F">
        <w:rPr>
          <w:color w:val="0092CF"/>
        </w:rPr>
        <w:fldChar w:fldCharType="separate"/>
      </w:r>
      <w:hyperlink w:anchor="_Toc51337110" w:history="1">
        <w:r w:rsidR="00295C8F" w:rsidRPr="00A12E3F">
          <w:rPr>
            <w:rStyle w:val="Hyperlink"/>
            <w:noProof/>
          </w:rPr>
          <w:t>Introduction</w:t>
        </w:r>
        <w:r w:rsidR="00295C8F" w:rsidRPr="00A12E3F">
          <w:rPr>
            <w:noProof/>
            <w:webHidden/>
          </w:rPr>
          <w:tab/>
        </w:r>
        <w:r w:rsidR="00295C8F" w:rsidRPr="00A12E3F">
          <w:rPr>
            <w:noProof/>
            <w:webHidden/>
          </w:rPr>
          <w:fldChar w:fldCharType="begin"/>
        </w:r>
        <w:r w:rsidR="00295C8F" w:rsidRPr="00A12E3F">
          <w:rPr>
            <w:noProof/>
            <w:webHidden/>
          </w:rPr>
          <w:instrText xml:space="preserve"> PAGEREF _Toc51337110 \h </w:instrText>
        </w:r>
        <w:r w:rsidR="00295C8F" w:rsidRPr="00A12E3F">
          <w:rPr>
            <w:noProof/>
            <w:webHidden/>
          </w:rPr>
        </w:r>
        <w:r w:rsidR="00295C8F" w:rsidRPr="00A12E3F">
          <w:rPr>
            <w:noProof/>
            <w:webHidden/>
          </w:rPr>
          <w:fldChar w:fldCharType="separate"/>
        </w:r>
        <w:r w:rsidR="00174279">
          <w:rPr>
            <w:noProof/>
            <w:webHidden/>
          </w:rPr>
          <w:t>5</w:t>
        </w:r>
        <w:r w:rsidR="00295C8F" w:rsidRPr="00A12E3F">
          <w:rPr>
            <w:noProof/>
            <w:webHidden/>
          </w:rPr>
          <w:fldChar w:fldCharType="end"/>
        </w:r>
      </w:hyperlink>
    </w:p>
    <w:p w14:paraId="18CD8E92" w14:textId="12665537" w:rsidR="00295C8F" w:rsidRPr="00A12E3F" w:rsidRDefault="003F3E9C">
      <w:pPr>
        <w:pStyle w:val="TOC1"/>
        <w:rPr>
          <w:rFonts w:asciiTheme="minorHAnsi" w:hAnsiTheme="minorHAnsi"/>
          <w:noProof/>
        </w:rPr>
      </w:pPr>
      <w:hyperlink w:anchor="_Toc51337111" w:history="1">
        <w:r w:rsidR="00295C8F" w:rsidRPr="00A12E3F">
          <w:rPr>
            <w:rStyle w:val="Hyperlink"/>
            <w:noProof/>
          </w:rPr>
          <w:t>Summary of recommendations and Minister’s decision</w:t>
        </w:r>
        <w:r w:rsidR="00295C8F" w:rsidRPr="00A12E3F">
          <w:rPr>
            <w:noProof/>
            <w:webHidden/>
          </w:rPr>
          <w:tab/>
        </w:r>
        <w:r w:rsidR="00295C8F" w:rsidRPr="00A12E3F">
          <w:rPr>
            <w:noProof/>
            <w:webHidden/>
          </w:rPr>
          <w:fldChar w:fldCharType="begin"/>
        </w:r>
        <w:r w:rsidR="00295C8F" w:rsidRPr="00A12E3F">
          <w:rPr>
            <w:noProof/>
            <w:webHidden/>
          </w:rPr>
          <w:instrText xml:space="preserve"> PAGEREF _Toc51337111 \h </w:instrText>
        </w:r>
        <w:r w:rsidR="00295C8F" w:rsidRPr="00A12E3F">
          <w:rPr>
            <w:noProof/>
            <w:webHidden/>
          </w:rPr>
        </w:r>
        <w:r w:rsidR="00295C8F" w:rsidRPr="00A12E3F">
          <w:rPr>
            <w:noProof/>
            <w:webHidden/>
          </w:rPr>
          <w:fldChar w:fldCharType="separate"/>
        </w:r>
        <w:r w:rsidR="00174279">
          <w:rPr>
            <w:noProof/>
            <w:webHidden/>
          </w:rPr>
          <w:t>6</w:t>
        </w:r>
        <w:r w:rsidR="00295C8F" w:rsidRPr="00A12E3F">
          <w:rPr>
            <w:noProof/>
            <w:webHidden/>
          </w:rPr>
          <w:fldChar w:fldCharType="end"/>
        </w:r>
      </w:hyperlink>
    </w:p>
    <w:p w14:paraId="20E34365" w14:textId="6F60318E" w:rsidR="00295C8F" w:rsidRPr="00A12E3F" w:rsidRDefault="003F3E9C">
      <w:pPr>
        <w:pStyle w:val="TOC2"/>
        <w:rPr>
          <w:rFonts w:asciiTheme="minorHAnsi" w:hAnsiTheme="minorHAnsi"/>
          <w:noProof/>
        </w:rPr>
      </w:pPr>
      <w:hyperlink w:anchor="_Toc51337112" w:history="1">
        <w:r w:rsidR="00295C8F" w:rsidRPr="00A12E3F">
          <w:rPr>
            <w:rStyle w:val="Hyperlink"/>
            <w:noProof/>
          </w:rPr>
          <w:t>Consultation on other matters</w:t>
        </w:r>
        <w:r w:rsidR="00295C8F" w:rsidRPr="00A12E3F">
          <w:rPr>
            <w:noProof/>
            <w:webHidden/>
          </w:rPr>
          <w:tab/>
        </w:r>
        <w:r w:rsidR="00295C8F" w:rsidRPr="00A12E3F">
          <w:rPr>
            <w:noProof/>
            <w:webHidden/>
          </w:rPr>
          <w:fldChar w:fldCharType="begin"/>
        </w:r>
        <w:r w:rsidR="00295C8F" w:rsidRPr="00A12E3F">
          <w:rPr>
            <w:noProof/>
            <w:webHidden/>
          </w:rPr>
          <w:instrText xml:space="preserve"> PAGEREF _Toc51337112 \h </w:instrText>
        </w:r>
        <w:r w:rsidR="00295C8F" w:rsidRPr="00A12E3F">
          <w:rPr>
            <w:noProof/>
            <w:webHidden/>
          </w:rPr>
        </w:r>
        <w:r w:rsidR="00295C8F" w:rsidRPr="00A12E3F">
          <w:rPr>
            <w:noProof/>
            <w:webHidden/>
          </w:rPr>
          <w:fldChar w:fldCharType="separate"/>
        </w:r>
        <w:r w:rsidR="00174279">
          <w:rPr>
            <w:noProof/>
            <w:webHidden/>
          </w:rPr>
          <w:t>6</w:t>
        </w:r>
        <w:r w:rsidR="00295C8F" w:rsidRPr="00A12E3F">
          <w:rPr>
            <w:noProof/>
            <w:webHidden/>
          </w:rPr>
          <w:fldChar w:fldCharType="end"/>
        </w:r>
      </w:hyperlink>
    </w:p>
    <w:p w14:paraId="499D30B0" w14:textId="1D126AB0" w:rsidR="00295C8F" w:rsidRPr="00A12E3F" w:rsidRDefault="003F3E9C">
      <w:pPr>
        <w:pStyle w:val="TOC2"/>
        <w:rPr>
          <w:rFonts w:asciiTheme="minorHAnsi" w:hAnsiTheme="minorHAnsi"/>
          <w:noProof/>
        </w:rPr>
      </w:pPr>
      <w:hyperlink w:anchor="_Toc51337113" w:history="1">
        <w:r w:rsidR="00295C8F" w:rsidRPr="00A12E3F">
          <w:rPr>
            <w:rStyle w:val="Hyperlink"/>
            <w:noProof/>
          </w:rPr>
          <w:t>Independent Advisory Panel recommendations and Ministers decision</w:t>
        </w:r>
        <w:r w:rsidR="00295C8F" w:rsidRPr="00A12E3F">
          <w:rPr>
            <w:noProof/>
            <w:webHidden/>
          </w:rPr>
          <w:tab/>
        </w:r>
        <w:r w:rsidR="00295C8F" w:rsidRPr="00A12E3F">
          <w:rPr>
            <w:noProof/>
            <w:webHidden/>
          </w:rPr>
          <w:fldChar w:fldCharType="begin"/>
        </w:r>
        <w:r w:rsidR="00295C8F" w:rsidRPr="00A12E3F">
          <w:rPr>
            <w:noProof/>
            <w:webHidden/>
          </w:rPr>
          <w:instrText xml:space="preserve"> PAGEREF _Toc51337113 \h </w:instrText>
        </w:r>
        <w:r w:rsidR="00295C8F" w:rsidRPr="00A12E3F">
          <w:rPr>
            <w:noProof/>
            <w:webHidden/>
          </w:rPr>
        </w:r>
        <w:r w:rsidR="00295C8F" w:rsidRPr="00A12E3F">
          <w:rPr>
            <w:noProof/>
            <w:webHidden/>
          </w:rPr>
          <w:fldChar w:fldCharType="separate"/>
        </w:r>
        <w:r w:rsidR="00174279">
          <w:rPr>
            <w:noProof/>
            <w:webHidden/>
          </w:rPr>
          <w:t>7</w:t>
        </w:r>
        <w:r w:rsidR="00295C8F" w:rsidRPr="00A12E3F">
          <w:rPr>
            <w:noProof/>
            <w:webHidden/>
          </w:rPr>
          <w:fldChar w:fldCharType="end"/>
        </w:r>
      </w:hyperlink>
    </w:p>
    <w:p w14:paraId="3558A8A8" w14:textId="2E61B637" w:rsidR="0080531E" w:rsidRPr="00A12E3F" w:rsidRDefault="00775F57" w:rsidP="004D08F0">
      <w:pPr>
        <w:pStyle w:val="BodyText"/>
      </w:pPr>
      <w:r w:rsidRPr="00A12E3F">
        <w:fldChar w:fldCharType="end"/>
      </w:r>
    </w:p>
    <w:p w14:paraId="254AFAB7" w14:textId="77777777" w:rsidR="00796A6F" w:rsidRPr="00A12E3F" w:rsidRDefault="00796A6F" w:rsidP="004D08F0">
      <w:pPr>
        <w:pStyle w:val="BodyText"/>
      </w:pPr>
      <w:r w:rsidRPr="00A12E3F">
        <w:br w:type="page"/>
      </w:r>
    </w:p>
    <w:p w14:paraId="48811579" w14:textId="77777777" w:rsidR="00532334" w:rsidRPr="00A12E3F" w:rsidRDefault="00532334" w:rsidP="008B68EC">
      <w:pPr>
        <w:pStyle w:val="Heading"/>
      </w:pPr>
      <w:r w:rsidRPr="00A12E3F">
        <w:lastRenderedPageBreak/>
        <w:t>Tables</w:t>
      </w:r>
    </w:p>
    <w:p w14:paraId="240FDABA" w14:textId="2C2A312D" w:rsidR="00295C8F" w:rsidRPr="00A12E3F" w:rsidRDefault="004943C2">
      <w:pPr>
        <w:pStyle w:val="TableofFigures"/>
        <w:tabs>
          <w:tab w:val="right" w:pos="8495"/>
        </w:tabs>
        <w:rPr>
          <w:rFonts w:asciiTheme="minorHAnsi" w:hAnsiTheme="minorHAnsi"/>
          <w:noProof/>
        </w:rPr>
      </w:pPr>
      <w:r w:rsidRPr="00A12E3F">
        <w:fldChar w:fldCharType="begin"/>
      </w:r>
      <w:r w:rsidRPr="00A12E3F">
        <w:instrText xml:space="preserve"> TOC \h \z \t "Table heading" \c </w:instrText>
      </w:r>
      <w:r w:rsidRPr="00A12E3F">
        <w:fldChar w:fldCharType="separate"/>
      </w:r>
      <w:hyperlink w:anchor="_Toc51337101" w:history="1">
        <w:r w:rsidR="00295C8F" w:rsidRPr="00A12E3F">
          <w:rPr>
            <w:rStyle w:val="Hyperlink"/>
            <w:noProof/>
          </w:rPr>
          <w:t>Table 1:</w:t>
        </w:r>
        <w:r w:rsidR="00295C8F" w:rsidRPr="00A12E3F">
          <w:rPr>
            <w:rFonts w:asciiTheme="minorHAnsi" w:hAnsiTheme="minorHAnsi"/>
            <w:noProof/>
          </w:rPr>
          <w:tab/>
        </w:r>
        <w:r w:rsidR="00295C8F" w:rsidRPr="00A12E3F">
          <w:rPr>
            <w:rStyle w:val="Hyperlink"/>
            <w:noProof/>
          </w:rPr>
          <w:t xml:space="preserve">General </w:t>
        </w:r>
        <w:r w:rsidR="00EC7BF6">
          <w:rPr>
            <w:rStyle w:val="Hyperlink"/>
            <w:noProof/>
          </w:rPr>
          <w:t>NPS-FM 2020</w:t>
        </w:r>
        <w:r w:rsidR="00295C8F" w:rsidRPr="00A12E3F">
          <w:rPr>
            <w:rStyle w:val="Hyperlink"/>
            <w:noProof/>
          </w:rPr>
          <w:t xml:space="preserve"> provisions</w:t>
        </w:r>
        <w:r w:rsidR="00295C8F" w:rsidRPr="00A12E3F">
          <w:rPr>
            <w:noProof/>
            <w:webHidden/>
          </w:rPr>
          <w:tab/>
        </w:r>
        <w:r w:rsidR="00295C8F" w:rsidRPr="00A12E3F">
          <w:rPr>
            <w:noProof/>
            <w:webHidden/>
          </w:rPr>
          <w:fldChar w:fldCharType="begin"/>
        </w:r>
        <w:r w:rsidR="00295C8F" w:rsidRPr="00A12E3F">
          <w:rPr>
            <w:noProof/>
            <w:webHidden/>
          </w:rPr>
          <w:instrText xml:space="preserve"> PAGEREF _Toc51337101 \h </w:instrText>
        </w:r>
        <w:r w:rsidR="00295C8F" w:rsidRPr="00A12E3F">
          <w:rPr>
            <w:noProof/>
            <w:webHidden/>
          </w:rPr>
        </w:r>
        <w:r w:rsidR="00295C8F" w:rsidRPr="00A12E3F">
          <w:rPr>
            <w:noProof/>
            <w:webHidden/>
          </w:rPr>
          <w:fldChar w:fldCharType="separate"/>
        </w:r>
        <w:r w:rsidR="00174279">
          <w:rPr>
            <w:noProof/>
            <w:webHidden/>
          </w:rPr>
          <w:t>7</w:t>
        </w:r>
        <w:r w:rsidR="00295C8F" w:rsidRPr="00A12E3F">
          <w:rPr>
            <w:noProof/>
            <w:webHidden/>
          </w:rPr>
          <w:fldChar w:fldCharType="end"/>
        </w:r>
      </w:hyperlink>
    </w:p>
    <w:p w14:paraId="0F46E7E4" w14:textId="39AECFFB" w:rsidR="00295C8F" w:rsidRPr="00A12E3F" w:rsidRDefault="003F3E9C">
      <w:pPr>
        <w:pStyle w:val="TableofFigures"/>
        <w:tabs>
          <w:tab w:val="right" w:pos="8495"/>
        </w:tabs>
        <w:rPr>
          <w:rFonts w:asciiTheme="minorHAnsi" w:hAnsiTheme="minorHAnsi"/>
          <w:noProof/>
        </w:rPr>
      </w:pPr>
      <w:hyperlink w:anchor="_Toc51337102" w:history="1">
        <w:r w:rsidR="00295C8F" w:rsidRPr="00A12E3F">
          <w:rPr>
            <w:rStyle w:val="Hyperlink"/>
            <w:noProof/>
          </w:rPr>
          <w:t>Table 2:</w:t>
        </w:r>
        <w:r w:rsidR="00295C8F" w:rsidRPr="00A12E3F">
          <w:rPr>
            <w:rFonts w:asciiTheme="minorHAnsi" w:hAnsiTheme="minorHAnsi"/>
            <w:noProof/>
          </w:rPr>
          <w:tab/>
        </w:r>
        <w:r w:rsidR="00295C8F" w:rsidRPr="00A12E3F">
          <w:rPr>
            <w:rStyle w:val="Hyperlink"/>
            <w:noProof/>
          </w:rPr>
          <w:t>Large hydro-electric generation schemes</w:t>
        </w:r>
        <w:r w:rsidR="00295C8F" w:rsidRPr="00A12E3F">
          <w:rPr>
            <w:noProof/>
            <w:webHidden/>
          </w:rPr>
          <w:tab/>
        </w:r>
        <w:r w:rsidR="00295C8F" w:rsidRPr="00A12E3F">
          <w:rPr>
            <w:noProof/>
            <w:webHidden/>
          </w:rPr>
          <w:fldChar w:fldCharType="begin"/>
        </w:r>
        <w:r w:rsidR="00295C8F" w:rsidRPr="00A12E3F">
          <w:rPr>
            <w:noProof/>
            <w:webHidden/>
          </w:rPr>
          <w:instrText xml:space="preserve"> PAGEREF _Toc51337102 \h </w:instrText>
        </w:r>
        <w:r w:rsidR="00295C8F" w:rsidRPr="00A12E3F">
          <w:rPr>
            <w:noProof/>
            <w:webHidden/>
          </w:rPr>
        </w:r>
        <w:r w:rsidR="00295C8F" w:rsidRPr="00A12E3F">
          <w:rPr>
            <w:noProof/>
            <w:webHidden/>
          </w:rPr>
          <w:fldChar w:fldCharType="separate"/>
        </w:r>
        <w:r w:rsidR="00174279">
          <w:rPr>
            <w:noProof/>
            <w:webHidden/>
          </w:rPr>
          <w:t>8</w:t>
        </w:r>
        <w:r w:rsidR="00295C8F" w:rsidRPr="00A12E3F">
          <w:rPr>
            <w:noProof/>
            <w:webHidden/>
          </w:rPr>
          <w:fldChar w:fldCharType="end"/>
        </w:r>
      </w:hyperlink>
    </w:p>
    <w:p w14:paraId="2E3AD2E5" w14:textId="7FBB9ED5" w:rsidR="00295C8F" w:rsidRPr="00A12E3F" w:rsidRDefault="003F3E9C">
      <w:pPr>
        <w:pStyle w:val="TableofFigures"/>
        <w:tabs>
          <w:tab w:val="right" w:pos="8495"/>
        </w:tabs>
        <w:rPr>
          <w:rFonts w:asciiTheme="minorHAnsi" w:hAnsiTheme="minorHAnsi"/>
          <w:noProof/>
        </w:rPr>
      </w:pPr>
      <w:hyperlink w:anchor="_Toc51337103" w:history="1">
        <w:r w:rsidR="00295C8F" w:rsidRPr="00A12E3F">
          <w:rPr>
            <w:rStyle w:val="Hyperlink"/>
            <w:noProof/>
          </w:rPr>
          <w:t xml:space="preserve">Table 3: </w:t>
        </w:r>
        <w:r w:rsidR="00295C8F" w:rsidRPr="00A12E3F">
          <w:rPr>
            <w:rFonts w:asciiTheme="minorHAnsi" w:hAnsiTheme="minorHAnsi"/>
            <w:noProof/>
          </w:rPr>
          <w:tab/>
        </w:r>
        <w:r w:rsidR="00295C8F" w:rsidRPr="00A12E3F">
          <w:rPr>
            <w:rStyle w:val="Hyperlink"/>
            <w:noProof/>
          </w:rPr>
          <w:t>National Objectives Framework</w:t>
        </w:r>
        <w:r w:rsidR="00295C8F" w:rsidRPr="00A12E3F">
          <w:rPr>
            <w:noProof/>
            <w:webHidden/>
          </w:rPr>
          <w:tab/>
        </w:r>
        <w:r w:rsidR="00295C8F" w:rsidRPr="00A12E3F">
          <w:rPr>
            <w:noProof/>
            <w:webHidden/>
          </w:rPr>
          <w:fldChar w:fldCharType="begin"/>
        </w:r>
        <w:r w:rsidR="00295C8F" w:rsidRPr="00A12E3F">
          <w:rPr>
            <w:noProof/>
            <w:webHidden/>
          </w:rPr>
          <w:instrText xml:space="preserve"> PAGEREF _Toc51337103 \h </w:instrText>
        </w:r>
        <w:r w:rsidR="00295C8F" w:rsidRPr="00A12E3F">
          <w:rPr>
            <w:noProof/>
            <w:webHidden/>
          </w:rPr>
        </w:r>
        <w:r w:rsidR="00295C8F" w:rsidRPr="00A12E3F">
          <w:rPr>
            <w:noProof/>
            <w:webHidden/>
          </w:rPr>
          <w:fldChar w:fldCharType="separate"/>
        </w:r>
        <w:r w:rsidR="00174279">
          <w:rPr>
            <w:noProof/>
            <w:webHidden/>
          </w:rPr>
          <w:t>8</w:t>
        </w:r>
        <w:r w:rsidR="00295C8F" w:rsidRPr="00A12E3F">
          <w:rPr>
            <w:noProof/>
            <w:webHidden/>
          </w:rPr>
          <w:fldChar w:fldCharType="end"/>
        </w:r>
      </w:hyperlink>
    </w:p>
    <w:p w14:paraId="21B97675" w14:textId="671A155A" w:rsidR="00295C8F" w:rsidRPr="00A12E3F" w:rsidRDefault="003F3E9C">
      <w:pPr>
        <w:pStyle w:val="TableofFigures"/>
        <w:tabs>
          <w:tab w:val="right" w:pos="8495"/>
        </w:tabs>
        <w:rPr>
          <w:rFonts w:asciiTheme="minorHAnsi" w:hAnsiTheme="minorHAnsi"/>
          <w:noProof/>
        </w:rPr>
      </w:pPr>
      <w:hyperlink w:anchor="_Toc51337104" w:history="1">
        <w:r w:rsidR="00295C8F" w:rsidRPr="00A12E3F">
          <w:rPr>
            <w:rStyle w:val="Hyperlink"/>
            <w:noProof/>
          </w:rPr>
          <w:t xml:space="preserve">Table 4: </w:t>
        </w:r>
        <w:r w:rsidR="00295C8F" w:rsidRPr="00A12E3F">
          <w:rPr>
            <w:rFonts w:asciiTheme="minorHAnsi" w:hAnsiTheme="minorHAnsi"/>
            <w:noProof/>
          </w:rPr>
          <w:tab/>
        </w:r>
        <w:r w:rsidR="00295C8F" w:rsidRPr="00A12E3F">
          <w:rPr>
            <w:rStyle w:val="Hyperlink"/>
            <w:noProof/>
          </w:rPr>
          <w:t>Compulsory and other values</w:t>
        </w:r>
        <w:r w:rsidR="00295C8F" w:rsidRPr="00A12E3F">
          <w:rPr>
            <w:noProof/>
            <w:webHidden/>
          </w:rPr>
          <w:tab/>
        </w:r>
        <w:r w:rsidR="00295C8F" w:rsidRPr="00A12E3F">
          <w:rPr>
            <w:noProof/>
            <w:webHidden/>
          </w:rPr>
          <w:fldChar w:fldCharType="begin"/>
        </w:r>
        <w:r w:rsidR="00295C8F" w:rsidRPr="00A12E3F">
          <w:rPr>
            <w:noProof/>
            <w:webHidden/>
          </w:rPr>
          <w:instrText xml:space="preserve"> PAGEREF _Toc51337104 \h </w:instrText>
        </w:r>
        <w:r w:rsidR="00295C8F" w:rsidRPr="00A12E3F">
          <w:rPr>
            <w:noProof/>
            <w:webHidden/>
          </w:rPr>
        </w:r>
        <w:r w:rsidR="00295C8F" w:rsidRPr="00A12E3F">
          <w:rPr>
            <w:noProof/>
            <w:webHidden/>
          </w:rPr>
          <w:fldChar w:fldCharType="separate"/>
        </w:r>
        <w:r w:rsidR="00174279">
          <w:rPr>
            <w:noProof/>
            <w:webHidden/>
          </w:rPr>
          <w:t>9</w:t>
        </w:r>
        <w:r w:rsidR="00295C8F" w:rsidRPr="00A12E3F">
          <w:rPr>
            <w:noProof/>
            <w:webHidden/>
          </w:rPr>
          <w:fldChar w:fldCharType="end"/>
        </w:r>
      </w:hyperlink>
    </w:p>
    <w:p w14:paraId="6302231E" w14:textId="1A65BF8D" w:rsidR="00295C8F" w:rsidRPr="00A12E3F" w:rsidRDefault="003F3E9C">
      <w:pPr>
        <w:pStyle w:val="TableofFigures"/>
        <w:tabs>
          <w:tab w:val="right" w:pos="8495"/>
        </w:tabs>
        <w:rPr>
          <w:rFonts w:asciiTheme="minorHAnsi" w:hAnsiTheme="minorHAnsi"/>
          <w:noProof/>
        </w:rPr>
      </w:pPr>
      <w:hyperlink w:anchor="_Toc51337105" w:history="1">
        <w:r w:rsidR="00295C8F" w:rsidRPr="00A12E3F">
          <w:rPr>
            <w:rStyle w:val="Hyperlink"/>
            <w:noProof/>
          </w:rPr>
          <w:t xml:space="preserve">Table 5: </w:t>
        </w:r>
        <w:r w:rsidR="00295C8F" w:rsidRPr="00A12E3F">
          <w:rPr>
            <w:rFonts w:asciiTheme="minorHAnsi" w:hAnsiTheme="minorHAnsi"/>
            <w:noProof/>
          </w:rPr>
          <w:tab/>
        </w:r>
        <w:r w:rsidR="00295C8F" w:rsidRPr="00A12E3F">
          <w:rPr>
            <w:rStyle w:val="Hyperlink"/>
            <w:noProof/>
          </w:rPr>
          <w:t>Attributes</w:t>
        </w:r>
        <w:r w:rsidR="00295C8F" w:rsidRPr="00A12E3F">
          <w:rPr>
            <w:noProof/>
            <w:webHidden/>
          </w:rPr>
          <w:tab/>
        </w:r>
        <w:r w:rsidR="00295C8F" w:rsidRPr="00A12E3F">
          <w:rPr>
            <w:noProof/>
            <w:webHidden/>
          </w:rPr>
          <w:fldChar w:fldCharType="begin"/>
        </w:r>
        <w:r w:rsidR="00295C8F" w:rsidRPr="00A12E3F">
          <w:rPr>
            <w:noProof/>
            <w:webHidden/>
          </w:rPr>
          <w:instrText xml:space="preserve"> PAGEREF _Toc51337105 \h </w:instrText>
        </w:r>
        <w:r w:rsidR="00295C8F" w:rsidRPr="00A12E3F">
          <w:rPr>
            <w:noProof/>
            <w:webHidden/>
          </w:rPr>
        </w:r>
        <w:r w:rsidR="00295C8F" w:rsidRPr="00A12E3F">
          <w:rPr>
            <w:noProof/>
            <w:webHidden/>
          </w:rPr>
          <w:fldChar w:fldCharType="separate"/>
        </w:r>
        <w:r w:rsidR="00174279">
          <w:rPr>
            <w:noProof/>
            <w:webHidden/>
          </w:rPr>
          <w:t>10</w:t>
        </w:r>
        <w:r w:rsidR="00295C8F" w:rsidRPr="00A12E3F">
          <w:rPr>
            <w:noProof/>
            <w:webHidden/>
          </w:rPr>
          <w:fldChar w:fldCharType="end"/>
        </w:r>
      </w:hyperlink>
    </w:p>
    <w:p w14:paraId="640A3413" w14:textId="576A79D8" w:rsidR="00295C8F" w:rsidRPr="00A12E3F" w:rsidRDefault="003F3E9C">
      <w:pPr>
        <w:pStyle w:val="TableofFigures"/>
        <w:tabs>
          <w:tab w:val="right" w:pos="8495"/>
        </w:tabs>
        <w:rPr>
          <w:rFonts w:asciiTheme="minorHAnsi" w:hAnsiTheme="minorHAnsi"/>
          <w:noProof/>
        </w:rPr>
      </w:pPr>
      <w:hyperlink w:anchor="_Toc51337106" w:history="1">
        <w:r w:rsidR="00295C8F" w:rsidRPr="00A12E3F">
          <w:rPr>
            <w:rStyle w:val="Hyperlink"/>
            <w:noProof/>
          </w:rPr>
          <w:t>Table 6:</w:t>
        </w:r>
        <w:r w:rsidR="00295C8F" w:rsidRPr="00A12E3F">
          <w:rPr>
            <w:rFonts w:asciiTheme="minorHAnsi" w:hAnsiTheme="minorHAnsi"/>
            <w:noProof/>
          </w:rPr>
          <w:tab/>
        </w:r>
        <w:r w:rsidR="00295C8F" w:rsidRPr="00A12E3F">
          <w:rPr>
            <w:rStyle w:val="Hyperlink"/>
            <w:noProof/>
          </w:rPr>
          <w:t>Wetlands</w:t>
        </w:r>
        <w:r w:rsidR="00295C8F" w:rsidRPr="00A12E3F">
          <w:rPr>
            <w:noProof/>
            <w:webHidden/>
          </w:rPr>
          <w:tab/>
        </w:r>
        <w:r w:rsidR="00295C8F" w:rsidRPr="00A12E3F">
          <w:rPr>
            <w:noProof/>
            <w:webHidden/>
          </w:rPr>
          <w:fldChar w:fldCharType="begin"/>
        </w:r>
        <w:r w:rsidR="00295C8F" w:rsidRPr="00A12E3F">
          <w:rPr>
            <w:noProof/>
            <w:webHidden/>
          </w:rPr>
          <w:instrText xml:space="preserve"> PAGEREF _Toc51337106 \h </w:instrText>
        </w:r>
        <w:r w:rsidR="00295C8F" w:rsidRPr="00A12E3F">
          <w:rPr>
            <w:noProof/>
            <w:webHidden/>
          </w:rPr>
        </w:r>
        <w:r w:rsidR="00295C8F" w:rsidRPr="00A12E3F">
          <w:rPr>
            <w:noProof/>
            <w:webHidden/>
          </w:rPr>
          <w:fldChar w:fldCharType="separate"/>
        </w:r>
        <w:r w:rsidR="00174279">
          <w:rPr>
            <w:noProof/>
            <w:webHidden/>
          </w:rPr>
          <w:t>11</w:t>
        </w:r>
        <w:r w:rsidR="00295C8F" w:rsidRPr="00A12E3F">
          <w:rPr>
            <w:noProof/>
            <w:webHidden/>
          </w:rPr>
          <w:fldChar w:fldCharType="end"/>
        </w:r>
      </w:hyperlink>
    </w:p>
    <w:p w14:paraId="767CB89B" w14:textId="722BC1F8" w:rsidR="00295C8F" w:rsidRPr="00A12E3F" w:rsidRDefault="003F3E9C">
      <w:pPr>
        <w:pStyle w:val="TableofFigures"/>
        <w:tabs>
          <w:tab w:val="right" w:pos="8495"/>
        </w:tabs>
        <w:rPr>
          <w:rFonts w:asciiTheme="minorHAnsi" w:hAnsiTheme="minorHAnsi"/>
          <w:noProof/>
        </w:rPr>
      </w:pPr>
      <w:hyperlink w:anchor="_Toc51337107" w:history="1">
        <w:r w:rsidR="00295C8F" w:rsidRPr="00A12E3F">
          <w:rPr>
            <w:rStyle w:val="Hyperlink"/>
            <w:noProof/>
          </w:rPr>
          <w:t>Table 7</w:t>
        </w:r>
        <w:r w:rsidR="00295C8F" w:rsidRPr="00A12E3F">
          <w:rPr>
            <w:rFonts w:asciiTheme="minorHAnsi" w:hAnsiTheme="minorHAnsi"/>
            <w:noProof/>
          </w:rPr>
          <w:tab/>
        </w:r>
        <w:r w:rsidR="00295C8F" w:rsidRPr="00A12E3F">
          <w:rPr>
            <w:rStyle w:val="Hyperlink"/>
            <w:noProof/>
          </w:rPr>
          <w:t>Stream loss</w:t>
        </w:r>
        <w:r w:rsidR="00295C8F" w:rsidRPr="00A12E3F">
          <w:rPr>
            <w:noProof/>
            <w:webHidden/>
          </w:rPr>
          <w:tab/>
        </w:r>
        <w:r w:rsidR="00295C8F" w:rsidRPr="00A12E3F">
          <w:rPr>
            <w:noProof/>
            <w:webHidden/>
          </w:rPr>
          <w:fldChar w:fldCharType="begin"/>
        </w:r>
        <w:r w:rsidR="00295C8F" w:rsidRPr="00A12E3F">
          <w:rPr>
            <w:noProof/>
            <w:webHidden/>
          </w:rPr>
          <w:instrText xml:space="preserve"> PAGEREF _Toc51337107 \h </w:instrText>
        </w:r>
        <w:r w:rsidR="00295C8F" w:rsidRPr="00A12E3F">
          <w:rPr>
            <w:noProof/>
            <w:webHidden/>
          </w:rPr>
        </w:r>
        <w:r w:rsidR="00295C8F" w:rsidRPr="00A12E3F">
          <w:rPr>
            <w:noProof/>
            <w:webHidden/>
          </w:rPr>
          <w:fldChar w:fldCharType="separate"/>
        </w:r>
        <w:r w:rsidR="00174279">
          <w:rPr>
            <w:noProof/>
            <w:webHidden/>
          </w:rPr>
          <w:t>12</w:t>
        </w:r>
        <w:r w:rsidR="00295C8F" w:rsidRPr="00A12E3F">
          <w:rPr>
            <w:noProof/>
            <w:webHidden/>
          </w:rPr>
          <w:fldChar w:fldCharType="end"/>
        </w:r>
      </w:hyperlink>
    </w:p>
    <w:p w14:paraId="29C30E3E" w14:textId="740E81CF" w:rsidR="00295C8F" w:rsidRPr="00A12E3F" w:rsidRDefault="003F3E9C">
      <w:pPr>
        <w:pStyle w:val="TableofFigures"/>
        <w:tabs>
          <w:tab w:val="right" w:pos="8495"/>
        </w:tabs>
        <w:rPr>
          <w:rFonts w:asciiTheme="minorHAnsi" w:hAnsiTheme="minorHAnsi"/>
          <w:noProof/>
        </w:rPr>
      </w:pPr>
      <w:hyperlink w:anchor="_Toc51337108" w:history="1">
        <w:r w:rsidR="00295C8F" w:rsidRPr="00A12E3F">
          <w:rPr>
            <w:rStyle w:val="Hyperlink"/>
            <w:noProof/>
          </w:rPr>
          <w:t xml:space="preserve">Table 8: </w:t>
        </w:r>
        <w:r w:rsidR="00295C8F" w:rsidRPr="00A12E3F">
          <w:rPr>
            <w:rFonts w:asciiTheme="minorHAnsi" w:hAnsiTheme="minorHAnsi"/>
            <w:noProof/>
          </w:rPr>
          <w:tab/>
        </w:r>
        <w:r w:rsidR="00295C8F" w:rsidRPr="00A12E3F">
          <w:rPr>
            <w:rStyle w:val="Hyperlink"/>
            <w:noProof/>
          </w:rPr>
          <w:t>Fish passage</w:t>
        </w:r>
        <w:r w:rsidR="00295C8F" w:rsidRPr="00A12E3F">
          <w:rPr>
            <w:noProof/>
            <w:webHidden/>
          </w:rPr>
          <w:tab/>
        </w:r>
        <w:r w:rsidR="00295C8F" w:rsidRPr="00A12E3F">
          <w:rPr>
            <w:noProof/>
            <w:webHidden/>
          </w:rPr>
          <w:fldChar w:fldCharType="begin"/>
        </w:r>
        <w:r w:rsidR="00295C8F" w:rsidRPr="00A12E3F">
          <w:rPr>
            <w:noProof/>
            <w:webHidden/>
          </w:rPr>
          <w:instrText xml:space="preserve"> PAGEREF _Toc51337108 \h </w:instrText>
        </w:r>
        <w:r w:rsidR="00295C8F" w:rsidRPr="00A12E3F">
          <w:rPr>
            <w:noProof/>
            <w:webHidden/>
          </w:rPr>
        </w:r>
        <w:r w:rsidR="00295C8F" w:rsidRPr="00A12E3F">
          <w:rPr>
            <w:noProof/>
            <w:webHidden/>
          </w:rPr>
          <w:fldChar w:fldCharType="separate"/>
        </w:r>
        <w:r w:rsidR="00174279">
          <w:rPr>
            <w:noProof/>
            <w:webHidden/>
          </w:rPr>
          <w:t>12</w:t>
        </w:r>
        <w:r w:rsidR="00295C8F" w:rsidRPr="00A12E3F">
          <w:rPr>
            <w:noProof/>
            <w:webHidden/>
          </w:rPr>
          <w:fldChar w:fldCharType="end"/>
        </w:r>
      </w:hyperlink>
    </w:p>
    <w:p w14:paraId="72DF7769" w14:textId="3B0624C9" w:rsidR="00532334" w:rsidRPr="00A12E3F" w:rsidRDefault="004943C2" w:rsidP="00D51469">
      <w:pPr>
        <w:pStyle w:val="BodyText"/>
      </w:pPr>
      <w:r w:rsidRPr="00A12E3F">
        <w:fldChar w:fldCharType="end"/>
      </w:r>
    </w:p>
    <w:p w14:paraId="01F4DD80" w14:textId="77777777" w:rsidR="00532334" w:rsidRPr="00A12E3F" w:rsidRDefault="00532334" w:rsidP="004B5BDD"/>
    <w:p w14:paraId="53BFE7C2" w14:textId="77777777" w:rsidR="00796A6F" w:rsidRPr="00A12E3F" w:rsidRDefault="00796A6F" w:rsidP="00554B30">
      <w:bookmarkStart w:id="1" w:name="_Toc215561202"/>
      <w:r w:rsidRPr="00A12E3F">
        <w:br w:type="page"/>
      </w:r>
    </w:p>
    <w:p w14:paraId="042ACEDA" w14:textId="77777777" w:rsidR="004E650D" w:rsidRPr="00A12E3F" w:rsidRDefault="004E650D" w:rsidP="0057076D">
      <w:pPr>
        <w:pStyle w:val="Heading1"/>
        <w:rPr>
          <w:bCs w:val="0"/>
        </w:rPr>
      </w:pPr>
      <w:bookmarkStart w:id="2" w:name="_Toc51337110"/>
      <w:bookmarkStart w:id="3" w:name="_Toc345760336"/>
      <w:bookmarkEnd w:id="1"/>
      <w:r w:rsidRPr="00A12E3F">
        <w:lastRenderedPageBreak/>
        <w:t>Introduction</w:t>
      </w:r>
      <w:bookmarkEnd w:id="2"/>
    </w:p>
    <w:p w14:paraId="7A5A3433" w14:textId="5991D56B" w:rsidR="0040427A" w:rsidRPr="00A12E3F" w:rsidRDefault="0040427A" w:rsidP="00747733">
      <w:pPr>
        <w:pStyle w:val="BodyText"/>
      </w:pPr>
      <w:r w:rsidRPr="00A12E3F">
        <w:t>The Government announced its</w:t>
      </w:r>
      <w:r w:rsidR="004E650D" w:rsidRPr="00A12E3F">
        <w:t xml:space="preserve"> intention to amend the </w:t>
      </w:r>
      <w:r w:rsidR="004E650D" w:rsidRPr="00A12E3F">
        <w:rPr>
          <w:i/>
        </w:rPr>
        <w:t>National Policy Statement for Freshwater Man</w:t>
      </w:r>
      <w:r w:rsidRPr="00A12E3F">
        <w:rPr>
          <w:i/>
        </w:rPr>
        <w:t xml:space="preserve">agement 2014 </w:t>
      </w:r>
      <w:r w:rsidR="009A3D58" w:rsidRPr="00A12E3F">
        <w:rPr>
          <w:i/>
        </w:rPr>
        <w:t>(</w:t>
      </w:r>
      <w:r w:rsidRPr="00A12E3F">
        <w:rPr>
          <w:i/>
        </w:rPr>
        <w:t>as amended in 2017</w:t>
      </w:r>
      <w:r w:rsidR="009A3D58" w:rsidRPr="00A12E3F">
        <w:rPr>
          <w:i/>
        </w:rPr>
        <w:t>)</w:t>
      </w:r>
      <w:r w:rsidR="00C903C4" w:rsidRPr="00A12E3F">
        <w:rPr>
          <w:i/>
        </w:rPr>
        <w:t>,</w:t>
      </w:r>
      <w:r w:rsidRPr="00A12E3F">
        <w:t xml:space="preserve"> </w:t>
      </w:r>
      <w:r w:rsidR="00861411" w:rsidRPr="00A12E3F">
        <w:t xml:space="preserve">in October 2018 </w:t>
      </w:r>
      <w:r w:rsidR="00C903C4" w:rsidRPr="00A12E3F">
        <w:t xml:space="preserve">(see </w:t>
      </w:r>
      <w:hyperlink r:id="rId21" w:history="1">
        <w:r w:rsidR="00C903C4" w:rsidRPr="00A12E3F">
          <w:rPr>
            <w:rStyle w:val="Hyperlink"/>
          </w:rPr>
          <w:t>Essential</w:t>
        </w:r>
        <w:r w:rsidR="000143AD" w:rsidRPr="00A12E3F">
          <w:rPr>
            <w:rStyle w:val="Hyperlink"/>
          </w:rPr>
          <w:t xml:space="preserve"> Freshwater: Healthy water, fairl</w:t>
        </w:r>
        <w:r w:rsidR="00C903C4" w:rsidRPr="00A12E3F">
          <w:rPr>
            <w:rStyle w:val="Hyperlink"/>
          </w:rPr>
          <w:t>y allocated</w:t>
        </w:r>
      </w:hyperlink>
      <w:r w:rsidR="00C903C4" w:rsidRPr="00A12E3F">
        <w:t>)</w:t>
      </w:r>
      <w:r w:rsidR="004E650D" w:rsidRPr="00A12E3F">
        <w:t>.</w:t>
      </w:r>
      <w:r w:rsidR="00F962EB" w:rsidRPr="00A12E3F">
        <w:t xml:space="preserve"> </w:t>
      </w:r>
    </w:p>
    <w:p w14:paraId="6031E27D" w14:textId="5A9692D9" w:rsidR="009A3D58" w:rsidRPr="00A12E3F" w:rsidRDefault="00861411" w:rsidP="009A3D58">
      <w:pPr>
        <w:pStyle w:val="BodyText"/>
        <w:rPr>
          <w:rFonts w:eastAsiaTheme="minorHAnsi" w:cs="Calibri"/>
          <w:color w:val="000000"/>
          <w:lang w:eastAsia="en-US"/>
        </w:rPr>
      </w:pPr>
      <w:r w:rsidRPr="00A12E3F">
        <w:t>S</w:t>
      </w:r>
      <w:r w:rsidR="009A3D58" w:rsidRPr="00A12E3F">
        <w:t>pecific</w:t>
      </w:r>
      <w:r w:rsidR="004E650D" w:rsidRPr="00A12E3F">
        <w:t xml:space="preserve"> amendments were </w:t>
      </w:r>
      <w:r w:rsidR="0040427A" w:rsidRPr="00A12E3F">
        <w:t xml:space="preserve">then </w:t>
      </w:r>
      <w:r w:rsidR="009A3D58" w:rsidRPr="00A12E3F">
        <w:t>publicly</w:t>
      </w:r>
      <w:r w:rsidR="004E650D" w:rsidRPr="00A12E3F">
        <w:t xml:space="preserve"> </w:t>
      </w:r>
      <w:r w:rsidR="0040427A" w:rsidRPr="00A12E3F">
        <w:t>consulted on</w:t>
      </w:r>
      <w:r w:rsidR="00EA1294" w:rsidRPr="00A12E3F">
        <w:t xml:space="preserve"> </w:t>
      </w:r>
      <w:r w:rsidRPr="00A12E3F">
        <w:t>through</w:t>
      </w:r>
      <w:r w:rsidR="009A3D58" w:rsidRPr="00A12E3F">
        <w:t xml:space="preserve"> </w:t>
      </w:r>
      <w:r w:rsidR="00C903C4" w:rsidRPr="00A12E3F">
        <w:t xml:space="preserve">the </w:t>
      </w:r>
      <w:r w:rsidR="009A3D58" w:rsidRPr="00A12E3F">
        <w:t xml:space="preserve">discussion document </w:t>
      </w:r>
      <w:r w:rsidR="004E650D" w:rsidRPr="00A12E3F">
        <w:rPr>
          <w:i/>
        </w:rPr>
        <w:t>Action</w:t>
      </w:r>
      <w:r w:rsidR="00747733" w:rsidRPr="00A12E3F">
        <w:rPr>
          <w:i/>
        </w:rPr>
        <w:t> </w:t>
      </w:r>
      <w:r w:rsidR="004E650D" w:rsidRPr="00A12E3F">
        <w:rPr>
          <w:i/>
        </w:rPr>
        <w:t xml:space="preserve">for </w:t>
      </w:r>
      <w:r w:rsidR="003442A0" w:rsidRPr="00A12E3F">
        <w:rPr>
          <w:i/>
        </w:rPr>
        <w:t>healthy waterways</w:t>
      </w:r>
      <w:r w:rsidR="004E650D" w:rsidRPr="00A12E3F">
        <w:t>.</w:t>
      </w:r>
      <w:r w:rsidR="0040427A" w:rsidRPr="00A12E3F">
        <w:t xml:space="preserve"> Consultation took place fro</w:t>
      </w:r>
      <w:r w:rsidR="00977D07" w:rsidRPr="00A12E3F">
        <w:rPr>
          <w:rFonts w:eastAsiaTheme="minorHAnsi" w:cs="Calibri"/>
          <w:color w:val="000000"/>
          <w:lang w:eastAsia="en-US"/>
        </w:rPr>
        <w:t>m</w:t>
      </w:r>
      <w:r w:rsidR="0040427A" w:rsidRPr="00A12E3F">
        <w:rPr>
          <w:rFonts w:eastAsiaTheme="minorHAnsi" w:cs="Calibri"/>
          <w:color w:val="000000"/>
          <w:lang w:eastAsia="en-US"/>
        </w:rPr>
        <w:t xml:space="preserve"> 5 September to 31 October 2019</w:t>
      </w:r>
      <w:r w:rsidR="00C903C4" w:rsidRPr="00A12E3F">
        <w:rPr>
          <w:rFonts w:eastAsiaTheme="minorHAnsi" w:cs="Calibri"/>
          <w:color w:val="000000"/>
          <w:lang w:eastAsia="en-US"/>
        </w:rPr>
        <w:t xml:space="preserve">. This </w:t>
      </w:r>
      <w:r w:rsidR="009A3D58" w:rsidRPr="00A12E3F">
        <w:rPr>
          <w:rFonts w:eastAsiaTheme="minorHAnsi" w:cs="Calibri"/>
          <w:color w:val="000000"/>
          <w:lang w:eastAsia="en-US"/>
        </w:rPr>
        <w:t xml:space="preserve">included </w:t>
      </w:r>
      <w:r w:rsidR="00977D07" w:rsidRPr="00A12E3F">
        <w:rPr>
          <w:rFonts w:eastAsiaTheme="minorHAnsi" w:cs="Calibri"/>
          <w:color w:val="000000"/>
          <w:lang w:eastAsia="en-US"/>
        </w:rPr>
        <w:t xml:space="preserve">17 general public meetings, </w:t>
      </w:r>
      <w:r w:rsidR="0040427A" w:rsidRPr="00A12E3F">
        <w:rPr>
          <w:rFonts w:eastAsiaTheme="minorHAnsi" w:cs="Calibri"/>
          <w:color w:val="000000"/>
          <w:lang w:eastAsia="en-US"/>
        </w:rPr>
        <w:t xml:space="preserve">with </w:t>
      </w:r>
      <w:r w:rsidR="00977D07" w:rsidRPr="00A12E3F">
        <w:rPr>
          <w:rFonts w:eastAsiaTheme="minorHAnsi" w:cs="Calibri"/>
          <w:color w:val="000000"/>
          <w:lang w:eastAsia="en-US"/>
        </w:rPr>
        <w:t>another eight for the primary sector and rura</w:t>
      </w:r>
      <w:r w:rsidR="0040427A" w:rsidRPr="00A12E3F">
        <w:rPr>
          <w:rFonts w:eastAsiaTheme="minorHAnsi" w:cs="Calibri"/>
          <w:color w:val="000000"/>
          <w:lang w:eastAsia="en-US"/>
        </w:rPr>
        <w:t xml:space="preserve">l community, and 16 </w:t>
      </w:r>
      <w:proofErr w:type="gramStart"/>
      <w:r w:rsidR="0040427A" w:rsidRPr="00A12E3F">
        <w:rPr>
          <w:rFonts w:eastAsiaTheme="minorHAnsi" w:cs="Calibri"/>
          <w:color w:val="000000"/>
          <w:lang w:eastAsia="en-US"/>
        </w:rPr>
        <w:t>hui</w:t>
      </w:r>
      <w:proofErr w:type="gramEnd"/>
      <w:r w:rsidR="0040427A" w:rsidRPr="00A12E3F">
        <w:rPr>
          <w:rFonts w:eastAsiaTheme="minorHAnsi" w:cs="Calibri"/>
          <w:color w:val="000000"/>
          <w:lang w:eastAsia="en-US"/>
        </w:rPr>
        <w:t xml:space="preserve"> for iwi and </w:t>
      </w:r>
      <w:r w:rsidR="00977D07" w:rsidRPr="00A12E3F">
        <w:rPr>
          <w:rFonts w:eastAsiaTheme="minorHAnsi" w:cs="Calibri"/>
          <w:color w:val="000000"/>
          <w:lang w:eastAsia="en-US"/>
        </w:rPr>
        <w:t xml:space="preserve">Māori around New Zealand. </w:t>
      </w:r>
      <w:r w:rsidR="009A3D58" w:rsidRPr="00A12E3F">
        <w:rPr>
          <w:rFonts w:eastAsiaTheme="minorHAnsi" w:cs="Calibri"/>
          <w:color w:val="000000"/>
          <w:lang w:eastAsia="en-US"/>
        </w:rPr>
        <w:t xml:space="preserve">To view </w:t>
      </w:r>
      <w:r w:rsidR="00C903C4" w:rsidRPr="00A12E3F">
        <w:rPr>
          <w:rFonts w:eastAsiaTheme="minorHAnsi" w:cs="Calibri"/>
          <w:color w:val="000000"/>
          <w:lang w:eastAsia="en-US"/>
        </w:rPr>
        <w:t xml:space="preserve">all the </w:t>
      </w:r>
      <w:r w:rsidR="009A3D58" w:rsidRPr="00A12E3F">
        <w:rPr>
          <w:rFonts w:eastAsiaTheme="minorHAnsi" w:cs="Calibri"/>
          <w:color w:val="000000"/>
          <w:lang w:eastAsia="en-US"/>
        </w:rPr>
        <w:t xml:space="preserve">information on the proposals see the Ministry’s website at: </w:t>
      </w:r>
      <w:hyperlink r:id="rId22" w:history="1">
        <w:r w:rsidR="00747733" w:rsidRPr="00A12E3F">
          <w:rPr>
            <w:rStyle w:val="Hyperlink"/>
            <w:rFonts w:eastAsiaTheme="minorHAnsi" w:cs="Calibri"/>
            <w:lang w:eastAsia="en-US"/>
          </w:rPr>
          <w:t>www.mfe.govt.nz/consultation/action-for-healthy-waterways</w:t>
        </w:r>
      </w:hyperlink>
      <w:r w:rsidR="00B54CD6" w:rsidRPr="00A12E3F">
        <w:rPr>
          <w:rStyle w:val="Hyperlink"/>
          <w:rFonts w:eastAsiaTheme="minorHAnsi" w:cs="Calibri"/>
          <w:lang w:eastAsia="en-US"/>
        </w:rPr>
        <w:t>.</w:t>
      </w:r>
    </w:p>
    <w:p w14:paraId="4664CB2F" w14:textId="01FD5432" w:rsidR="00977D07" w:rsidRPr="00A12E3F" w:rsidRDefault="00977D07" w:rsidP="009A3D58">
      <w:pPr>
        <w:pStyle w:val="BodyText"/>
        <w:rPr>
          <w:rFonts w:eastAsiaTheme="minorHAnsi" w:cs="Calibri"/>
          <w:color w:val="000000"/>
          <w:lang w:eastAsia="en-US"/>
        </w:rPr>
      </w:pPr>
      <w:r w:rsidRPr="00A12E3F">
        <w:rPr>
          <w:rFonts w:eastAsiaTheme="minorHAnsi" w:cs="Calibri"/>
          <w:color w:val="000000"/>
          <w:lang w:eastAsia="en-US"/>
        </w:rPr>
        <w:t xml:space="preserve">The Government received 17,500 submissions on </w:t>
      </w:r>
      <w:r w:rsidR="000143AD" w:rsidRPr="00A12E3F">
        <w:rPr>
          <w:rFonts w:eastAsiaTheme="minorHAnsi" w:cs="Calibri"/>
          <w:color w:val="000000"/>
          <w:lang w:eastAsia="en-US"/>
        </w:rPr>
        <w:t>the proposals outlined</w:t>
      </w:r>
      <w:r w:rsidR="00C903C4" w:rsidRPr="00A12E3F">
        <w:rPr>
          <w:rFonts w:eastAsiaTheme="minorHAnsi" w:cs="Calibri"/>
          <w:color w:val="000000"/>
          <w:lang w:eastAsia="en-US"/>
        </w:rPr>
        <w:t xml:space="preserve"> in </w:t>
      </w:r>
      <w:r w:rsidRPr="00A12E3F">
        <w:rPr>
          <w:rFonts w:eastAsiaTheme="minorHAnsi" w:cs="Calibri"/>
          <w:i/>
          <w:iCs/>
          <w:color w:val="000000"/>
          <w:lang w:eastAsia="en-US"/>
        </w:rPr>
        <w:t>Action for healthy waterways</w:t>
      </w:r>
      <w:r w:rsidRPr="00A12E3F">
        <w:rPr>
          <w:rFonts w:eastAsiaTheme="minorHAnsi" w:cs="Calibri"/>
          <w:color w:val="000000"/>
          <w:lang w:eastAsia="en-US"/>
        </w:rPr>
        <w:t xml:space="preserve">. Of these, </w:t>
      </w:r>
      <w:r w:rsidR="00C903C4" w:rsidRPr="00A12E3F">
        <w:rPr>
          <w:rFonts w:eastAsiaTheme="minorHAnsi" w:cs="Calibri"/>
          <w:color w:val="000000"/>
          <w:lang w:eastAsia="en-US"/>
        </w:rPr>
        <w:t>3300 were unique</w:t>
      </w:r>
      <w:r w:rsidRPr="00A12E3F">
        <w:rPr>
          <w:rFonts w:eastAsiaTheme="minorHAnsi" w:cs="Calibri"/>
          <w:color w:val="000000"/>
          <w:lang w:eastAsia="en-US"/>
        </w:rPr>
        <w:t xml:space="preserve"> with the remainder based on organisation templates. </w:t>
      </w:r>
      <w:r w:rsidR="000143AD" w:rsidRPr="00A12E3F">
        <w:rPr>
          <w:rFonts w:eastAsiaTheme="minorHAnsi" w:cs="Calibri"/>
          <w:color w:val="000000"/>
          <w:lang w:eastAsia="en-US"/>
        </w:rPr>
        <w:t xml:space="preserve">A summary of the submissions made on the proposals outlined in </w:t>
      </w:r>
      <w:r w:rsidR="000143AD" w:rsidRPr="00A12E3F">
        <w:rPr>
          <w:rFonts w:eastAsiaTheme="minorHAnsi" w:cs="Calibri"/>
          <w:i/>
          <w:color w:val="000000"/>
          <w:lang w:eastAsia="en-US"/>
        </w:rPr>
        <w:t>Action for healthy waterways</w:t>
      </w:r>
      <w:r w:rsidR="000143AD" w:rsidRPr="00A12E3F">
        <w:rPr>
          <w:rFonts w:eastAsiaTheme="minorHAnsi" w:cs="Calibri"/>
          <w:color w:val="000000"/>
          <w:lang w:eastAsia="en-US"/>
        </w:rPr>
        <w:t xml:space="preserve"> was provided to the Minister</w:t>
      </w:r>
      <w:r w:rsidR="000143AD" w:rsidRPr="00A12E3F">
        <w:t xml:space="preserve"> </w:t>
      </w:r>
      <w:r w:rsidR="000143AD" w:rsidRPr="00A12E3F">
        <w:rPr>
          <w:rFonts w:eastAsiaTheme="minorHAnsi" w:cs="Calibri"/>
          <w:color w:val="000000"/>
          <w:lang w:eastAsia="en-US"/>
        </w:rPr>
        <w:t>(</w:t>
      </w:r>
      <w:hyperlink r:id="rId23" w:history="1">
        <w:r w:rsidR="000143AD" w:rsidRPr="00A12E3F">
          <w:rPr>
            <w:rStyle w:val="Hyperlink"/>
          </w:rPr>
          <w:t>the Subm</w:t>
        </w:r>
        <w:r w:rsidR="000143AD" w:rsidRPr="00A12E3F">
          <w:rPr>
            <w:rStyle w:val="Hyperlink"/>
          </w:rPr>
          <w:t>i</w:t>
        </w:r>
        <w:r w:rsidR="000143AD" w:rsidRPr="00A12E3F">
          <w:rPr>
            <w:rStyle w:val="Hyperlink"/>
          </w:rPr>
          <w:t>ssi</w:t>
        </w:r>
        <w:r w:rsidR="000143AD" w:rsidRPr="00A12E3F">
          <w:rPr>
            <w:rStyle w:val="Hyperlink"/>
          </w:rPr>
          <w:t>o</w:t>
        </w:r>
        <w:r w:rsidR="000143AD" w:rsidRPr="00A12E3F">
          <w:rPr>
            <w:rStyle w:val="Hyperlink"/>
          </w:rPr>
          <w:t>ns Report</w:t>
        </w:r>
      </w:hyperlink>
      <w:r w:rsidR="000143AD" w:rsidRPr="00A12E3F">
        <w:rPr>
          <w:rStyle w:val="Hyperlink"/>
          <w:color w:val="auto"/>
        </w:rPr>
        <w:t>).</w:t>
      </w:r>
    </w:p>
    <w:p w14:paraId="5A31ED85" w14:textId="77777777" w:rsidR="00782789" w:rsidRPr="00A12E3F" w:rsidRDefault="00440188" w:rsidP="00977D07">
      <w:pPr>
        <w:pStyle w:val="BodyText"/>
      </w:pPr>
      <w:r w:rsidRPr="00A12E3F">
        <w:t xml:space="preserve">Under section 46A of the </w:t>
      </w:r>
      <w:r w:rsidR="000143AD" w:rsidRPr="00A12E3F">
        <w:rPr>
          <w:rFonts w:eastAsiaTheme="minorHAnsi" w:cs="Calibri"/>
          <w:color w:val="000000"/>
          <w:lang w:eastAsia="en-US"/>
        </w:rPr>
        <w:t>Resource Management Act 1991 (</w:t>
      </w:r>
      <w:r w:rsidR="009A3D58" w:rsidRPr="00A12E3F">
        <w:t>RMA</w:t>
      </w:r>
      <w:r w:rsidR="000143AD" w:rsidRPr="00A12E3F">
        <w:t>)</w:t>
      </w:r>
      <w:r w:rsidRPr="00A12E3F">
        <w:t xml:space="preserve"> the Minister for the Environment must establish a </w:t>
      </w:r>
      <w:r w:rsidR="000143AD" w:rsidRPr="00A12E3F">
        <w:t>process</w:t>
      </w:r>
      <w:r w:rsidRPr="00A12E3F">
        <w:t xml:space="preserve"> for preparing national </w:t>
      </w:r>
      <w:r w:rsidR="009A3D58" w:rsidRPr="00A12E3F">
        <w:t>policy statements</w:t>
      </w:r>
      <w:r w:rsidRPr="00A12E3F">
        <w:t>, either b</w:t>
      </w:r>
      <w:r w:rsidR="00D219C6" w:rsidRPr="00A12E3F">
        <w:t>y appointing a board of inquiry</w:t>
      </w:r>
      <w:r w:rsidR="00DB2BB6" w:rsidRPr="00A12E3F">
        <w:t>,</w:t>
      </w:r>
      <w:r w:rsidRPr="00A12E3F">
        <w:t xml:space="preserve"> or </w:t>
      </w:r>
      <w:r w:rsidR="0040427A" w:rsidRPr="00A12E3F">
        <w:t>other</w:t>
      </w:r>
      <w:r w:rsidRPr="00A12E3F">
        <w:t xml:space="preserve"> process</w:t>
      </w:r>
      <w:r w:rsidR="009A3D58" w:rsidRPr="00A12E3F">
        <w:t xml:space="preserve"> that meets the requirements set out in the Act</w:t>
      </w:r>
      <w:r w:rsidRPr="00A12E3F">
        <w:t xml:space="preserve">. </w:t>
      </w:r>
      <w:r w:rsidR="004E650D" w:rsidRPr="00A12E3F">
        <w:t xml:space="preserve">The Minister </w:t>
      </w:r>
      <w:r w:rsidR="001E26BA" w:rsidRPr="00A12E3F">
        <w:t>decided</w:t>
      </w:r>
      <w:r w:rsidR="003442A0" w:rsidRPr="00A12E3F">
        <w:t xml:space="preserve"> </w:t>
      </w:r>
      <w:r w:rsidR="004E650D" w:rsidRPr="00A12E3F">
        <w:t xml:space="preserve">to </w:t>
      </w:r>
      <w:r w:rsidR="001B7C84" w:rsidRPr="00A12E3F">
        <w:t>appoint</w:t>
      </w:r>
      <w:r w:rsidR="00782789" w:rsidRPr="00A12E3F">
        <w:t xml:space="preserve"> a Freshwater</w:t>
      </w:r>
      <w:r w:rsidR="000911BA" w:rsidRPr="00A12E3F">
        <w:t xml:space="preserve"> Independent Advisory Panel </w:t>
      </w:r>
      <w:r w:rsidR="003442A0" w:rsidRPr="00A12E3F">
        <w:t>(IAP)</w:t>
      </w:r>
      <w:r w:rsidR="001B7C84" w:rsidRPr="00A12E3F">
        <w:t>,</w:t>
      </w:r>
      <w:r w:rsidR="003442A0" w:rsidRPr="00A12E3F">
        <w:t xml:space="preserve"> </w:t>
      </w:r>
      <w:r w:rsidR="000911BA" w:rsidRPr="00A12E3F">
        <w:t xml:space="preserve">chaired by </w:t>
      </w:r>
      <w:r w:rsidR="002821C6" w:rsidRPr="00A12E3F">
        <w:t>retired Principal Environment Court Judge David Sheppard QSO</w:t>
      </w:r>
      <w:r w:rsidR="001B7C84" w:rsidRPr="00A12E3F">
        <w:t>.</w:t>
      </w:r>
      <w:r w:rsidR="00E64676" w:rsidRPr="00A12E3F">
        <w:t xml:space="preserve"> </w:t>
      </w:r>
      <w:r w:rsidR="000143AD" w:rsidRPr="00A12E3F">
        <w:t>Under section 52(1</w:t>
      </w:r>
      <w:proofErr w:type="gramStart"/>
      <w:r w:rsidR="000143AD" w:rsidRPr="00A12E3F">
        <w:t>)(</w:t>
      </w:r>
      <w:proofErr w:type="gramEnd"/>
      <w:r w:rsidR="000143AD" w:rsidRPr="00A12E3F">
        <w:t xml:space="preserve">a) of the RMA, the Minister is required to consider a report and any recommendations from the IAP. </w:t>
      </w:r>
    </w:p>
    <w:p w14:paraId="167AF6F8" w14:textId="7F95F811" w:rsidR="00977D07" w:rsidRPr="00A12E3F" w:rsidRDefault="001B7C84" w:rsidP="00977D07">
      <w:pPr>
        <w:pStyle w:val="BodyText"/>
      </w:pPr>
      <w:r w:rsidRPr="00A12E3F">
        <w:t xml:space="preserve">In </w:t>
      </w:r>
      <w:r w:rsidR="000143AD" w:rsidRPr="00A12E3F">
        <w:t>its</w:t>
      </w:r>
      <w:r w:rsidRPr="00A12E3F">
        <w:t xml:space="preserve"> </w:t>
      </w:r>
      <w:r w:rsidR="00237435" w:rsidRPr="00A12E3F">
        <w:t xml:space="preserve">report </w:t>
      </w:r>
      <w:r w:rsidRPr="00A12E3F">
        <w:t xml:space="preserve">to the Minister </w:t>
      </w:r>
      <w:r w:rsidR="00084A56">
        <w:t xml:space="preserve">dated 27 February 2020, </w:t>
      </w:r>
      <w:r w:rsidR="00237435" w:rsidRPr="00A12E3F">
        <w:t xml:space="preserve">the </w:t>
      </w:r>
      <w:r w:rsidR="00E64676" w:rsidRPr="00A12E3F">
        <w:t>IAP</w:t>
      </w:r>
      <w:r w:rsidR="00237435" w:rsidRPr="00A12E3F">
        <w:t xml:space="preserve"> </w:t>
      </w:r>
      <w:r w:rsidR="003E2A07" w:rsidRPr="00A12E3F">
        <w:t>provide</w:t>
      </w:r>
      <w:r w:rsidR="00237435" w:rsidRPr="00A12E3F">
        <w:t xml:space="preserve"> recommendations </w:t>
      </w:r>
      <w:r w:rsidR="00DB2BB6" w:rsidRPr="00A12E3F">
        <w:t>on</w:t>
      </w:r>
      <w:r w:rsidR="00237435" w:rsidRPr="00A12E3F">
        <w:t xml:space="preserve"> the proposals, </w:t>
      </w:r>
      <w:r w:rsidR="00084A56">
        <w:t>which took</w:t>
      </w:r>
      <w:r w:rsidR="0040427A" w:rsidRPr="00A12E3F">
        <w:t xml:space="preserve"> into account</w:t>
      </w:r>
      <w:r w:rsidR="00237435" w:rsidRPr="00A12E3F">
        <w:t xml:space="preserve"> </w:t>
      </w:r>
      <w:r w:rsidR="003E2A07" w:rsidRPr="00A12E3F">
        <w:t xml:space="preserve">the </w:t>
      </w:r>
      <w:r w:rsidR="00237435" w:rsidRPr="00A12E3F">
        <w:t xml:space="preserve">public submissions received. </w:t>
      </w:r>
      <w:r w:rsidR="0040427A" w:rsidRPr="00A12E3F">
        <w:t xml:space="preserve">The </w:t>
      </w:r>
      <w:hyperlink r:id="rId24" w:history="1">
        <w:r w:rsidR="003E2A07" w:rsidRPr="00A12E3F">
          <w:rPr>
            <w:rStyle w:val="Hyperlink"/>
          </w:rPr>
          <w:t>IA</w:t>
        </w:r>
        <w:r w:rsidR="003E2A07" w:rsidRPr="00A12E3F">
          <w:rPr>
            <w:rStyle w:val="Hyperlink"/>
          </w:rPr>
          <w:t>P</w:t>
        </w:r>
        <w:r w:rsidR="003E2A07" w:rsidRPr="00A12E3F">
          <w:rPr>
            <w:rStyle w:val="Hyperlink"/>
          </w:rPr>
          <w:t xml:space="preserve"> report </w:t>
        </w:r>
      </w:hyperlink>
      <w:r w:rsidR="00237435" w:rsidRPr="00A12E3F">
        <w:t xml:space="preserve">fulfils the requirements </w:t>
      </w:r>
      <w:r w:rsidR="00A670C3" w:rsidRPr="00A12E3F">
        <w:t>of</w:t>
      </w:r>
      <w:r w:rsidR="00237435" w:rsidRPr="00A12E3F">
        <w:t xml:space="preserve"> s</w:t>
      </w:r>
      <w:r w:rsidR="00782789" w:rsidRPr="00A12E3F">
        <w:t xml:space="preserve">ection </w:t>
      </w:r>
      <w:proofErr w:type="gramStart"/>
      <w:r w:rsidR="00237435" w:rsidRPr="00A12E3F">
        <w:t>46A(</w:t>
      </w:r>
      <w:proofErr w:type="gramEnd"/>
      <w:r w:rsidR="00237435" w:rsidRPr="00A12E3F">
        <w:t xml:space="preserve">4)(c) of the </w:t>
      </w:r>
      <w:r w:rsidR="009A3D58" w:rsidRPr="00A12E3F">
        <w:t>RMA</w:t>
      </w:r>
      <w:r w:rsidR="009B4171" w:rsidRPr="00A12E3F">
        <w:t>.</w:t>
      </w:r>
    </w:p>
    <w:p w14:paraId="25DB383A" w14:textId="36704193" w:rsidR="008006D1" w:rsidRPr="00A12E3F" w:rsidRDefault="004E650D" w:rsidP="004E650D">
      <w:pPr>
        <w:pStyle w:val="BodyText"/>
      </w:pPr>
      <w:r w:rsidRPr="00A12E3F">
        <w:t xml:space="preserve">After considering </w:t>
      </w:r>
      <w:r w:rsidR="00DB0304" w:rsidRPr="00A12E3F">
        <w:t xml:space="preserve">the </w:t>
      </w:r>
      <w:r w:rsidR="0040427A" w:rsidRPr="00A12E3F">
        <w:t xml:space="preserve">IAP </w:t>
      </w:r>
      <w:r w:rsidR="00A26F2D" w:rsidRPr="00A12E3F">
        <w:t>recommendations</w:t>
      </w:r>
      <w:r w:rsidR="00DB0304" w:rsidRPr="00A12E3F">
        <w:t>,</w:t>
      </w:r>
      <w:r w:rsidRPr="00A12E3F">
        <w:t xml:space="preserve"> the Minister made </w:t>
      </w:r>
      <w:r w:rsidR="0040427A" w:rsidRPr="00A12E3F">
        <w:t xml:space="preserve">some </w:t>
      </w:r>
      <w:r w:rsidRPr="00A12E3F">
        <w:t xml:space="preserve">changes to the amendments proposed through </w:t>
      </w:r>
      <w:r w:rsidR="00084A56">
        <w:rPr>
          <w:i/>
        </w:rPr>
        <w:t>Action for h</w:t>
      </w:r>
      <w:r w:rsidR="00F962EB" w:rsidRPr="00A12E3F">
        <w:rPr>
          <w:i/>
        </w:rPr>
        <w:t>ealthy waterways</w:t>
      </w:r>
      <w:r w:rsidR="003E2A07" w:rsidRPr="00A12E3F">
        <w:t>.</w:t>
      </w:r>
      <w:r w:rsidRPr="00A12E3F">
        <w:t xml:space="preserve"> </w:t>
      </w:r>
    </w:p>
    <w:p w14:paraId="1D97DA71" w14:textId="0EBA95B9" w:rsidR="008006D1" w:rsidRPr="00A12E3F" w:rsidRDefault="008006D1" w:rsidP="008006D1">
      <w:pPr>
        <w:pStyle w:val="BodyText"/>
      </w:pPr>
      <w:r w:rsidRPr="00A12E3F">
        <w:t xml:space="preserve">The </w:t>
      </w:r>
      <w:r w:rsidR="004462BE">
        <w:t>Order in Counc</w:t>
      </w:r>
      <w:r w:rsidR="00084A56">
        <w:t xml:space="preserve">il approving the </w:t>
      </w:r>
      <w:r w:rsidRPr="00A12E3F">
        <w:t xml:space="preserve">National Policy Statement for Freshwater Management 2020 </w:t>
      </w:r>
      <w:r w:rsidR="000143AD" w:rsidRPr="00A12E3F">
        <w:t>(</w:t>
      </w:r>
      <w:r w:rsidR="00EC7BF6">
        <w:t>NPS-FM 2020</w:t>
      </w:r>
      <w:r w:rsidR="000143AD" w:rsidRPr="00A12E3F">
        <w:t xml:space="preserve">) </w:t>
      </w:r>
      <w:r w:rsidRPr="00A12E3F">
        <w:t xml:space="preserve">was </w:t>
      </w:r>
      <w:r w:rsidR="00084A56">
        <w:t>published</w:t>
      </w:r>
      <w:r w:rsidRPr="00A12E3F">
        <w:t xml:space="preserve"> in the </w:t>
      </w:r>
      <w:r w:rsidRPr="00A12E3F">
        <w:rPr>
          <w:i/>
          <w:iCs/>
        </w:rPr>
        <w:t xml:space="preserve">Gazette </w:t>
      </w:r>
      <w:r w:rsidRPr="00A12E3F">
        <w:t xml:space="preserve">in August 2020. The new </w:t>
      </w:r>
      <w:r w:rsidR="00EC7BF6">
        <w:t xml:space="preserve">NPS-FM </w:t>
      </w:r>
      <w:r w:rsidR="000143AD" w:rsidRPr="00A12E3F">
        <w:t>came into force</w:t>
      </w:r>
      <w:r w:rsidRPr="00A12E3F">
        <w:t xml:space="preserve"> on 3 September 2020.</w:t>
      </w:r>
      <w:r w:rsidR="005662B2" w:rsidRPr="00A12E3F">
        <w:t xml:space="preserve"> </w:t>
      </w:r>
    </w:p>
    <w:p w14:paraId="571A5BA6" w14:textId="72A56B47" w:rsidR="003442A0" w:rsidRPr="00A12E3F" w:rsidRDefault="004E650D" w:rsidP="004E650D">
      <w:pPr>
        <w:pStyle w:val="BodyText"/>
      </w:pPr>
      <w:r w:rsidRPr="00A12E3F">
        <w:t xml:space="preserve">Section 52(3)(c) of the </w:t>
      </w:r>
      <w:r w:rsidR="008006D1" w:rsidRPr="00A12E3F">
        <w:t>RMA</w:t>
      </w:r>
      <w:r w:rsidRPr="00A12E3F">
        <w:t xml:space="preserve"> requires the Minister, </w:t>
      </w:r>
      <w:r w:rsidR="000143AD" w:rsidRPr="00A12E3F">
        <w:t>as soon as practicable after a national policy</w:t>
      </w:r>
      <w:r w:rsidR="00667366">
        <w:t> </w:t>
      </w:r>
      <w:r w:rsidR="000143AD" w:rsidRPr="00A12E3F">
        <w:t>s</w:t>
      </w:r>
      <w:r w:rsidRPr="00A12E3F">
        <w:t xml:space="preserve">tatement has been approved, to provide every person who made a submission with a summary of the recommendations </w:t>
      </w:r>
      <w:r w:rsidR="00A26F2D" w:rsidRPr="00A12E3F">
        <w:t>made by the IAP</w:t>
      </w:r>
      <w:r w:rsidR="008006D1" w:rsidRPr="00A12E3F">
        <w:t>,</w:t>
      </w:r>
      <w:r w:rsidR="00A26F2D" w:rsidRPr="00A12E3F">
        <w:t xml:space="preserve"> </w:t>
      </w:r>
      <w:r w:rsidRPr="00A12E3F">
        <w:t>and a summary of</w:t>
      </w:r>
      <w:r w:rsidR="0040427A" w:rsidRPr="00A12E3F">
        <w:t xml:space="preserve"> the Minister’s decisions on those</w:t>
      </w:r>
      <w:r w:rsidRPr="00A12E3F">
        <w:t xml:space="preserve"> recommendations (including </w:t>
      </w:r>
      <w:r w:rsidR="008006D1" w:rsidRPr="00A12E3F">
        <w:t xml:space="preserve">the </w:t>
      </w:r>
      <w:r w:rsidRPr="00A12E3F">
        <w:t>reasons for not adopting any recommendations).</w:t>
      </w:r>
      <w:r w:rsidR="00A26F2D" w:rsidRPr="00A12E3F">
        <w:t xml:space="preserve"> </w:t>
      </w:r>
      <w:r w:rsidRPr="00A12E3F">
        <w:t>This document, prepared by the Ministry for the Environment on behalf of the Minister</w:t>
      </w:r>
      <w:r w:rsidR="008006D1" w:rsidRPr="00A12E3F">
        <w:t>,</w:t>
      </w:r>
      <w:r w:rsidRPr="00A12E3F">
        <w:t xml:space="preserve"> provides that summary.</w:t>
      </w:r>
    </w:p>
    <w:p w14:paraId="7224B749" w14:textId="77777777" w:rsidR="00D219C6" w:rsidRPr="00A12E3F" w:rsidRDefault="00D219C6" w:rsidP="004E650D">
      <w:pPr>
        <w:pStyle w:val="BodyText"/>
      </w:pPr>
    </w:p>
    <w:p w14:paraId="56A56613" w14:textId="77777777" w:rsidR="00747733" w:rsidRPr="00A12E3F" w:rsidRDefault="00747733" w:rsidP="00747733">
      <w:pPr>
        <w:pStyle w:val="BodyText"/>
      </w:pPr>
      <w:r w:rsidRPr="00A12E3F">
        <w:br w:type="page"/>
      </w:r>
    </w:p>
    <w:p w14:paraId="1157F82C" w14:textId="039C1D61" w:rsidR="003442A0" w:rsidRPr="00A12E3F" w:rsidRDefault="003442A0" w:rsidP="003442A0">
      <w:pPr>
        <w:pStyle w:val="Heading1"/>
      </w:pPr>
      <w:bookmarkStart w:id="4" w:name="_Toc51337111"/>
      <w:r w:rsidRPr="00A12E3F">
        <w:lastRenderedPageBreak/>
        <w:t>Summary of recommendations and</w:t>
      </w:r>
      <w:r w:rsidR="00747733" w:rsidRPr="00A12E3F">
        <w:t> </w:t>
      </w:r>
      <w:r w:rsidRPr="00A12E3F">
        <w:t>Minister’s decision</w:t>
      </w:r>
      <w:bookmarkEnd w:id="4"/>
    </w:p>
    <w:p w14:paraId="40AE4C3E" w14:textId="3C0600B7" w:rsidR="003442A0" w:rsidRPr="00A12E3F" w:rsidRDefault="003442A0" w:rsidP="00747733">
      <w:pPr>
        <w:pStyle w:val="BodyText"/>
      </w:pPr>
      <w:r w:rsidRPr="00A12E3F">
        <w:t xml:space="preserve">The </w:t>
      </w:r>
      <w:r w:rsidR="00422DFE" w:rsidRPr="00A12E3F">
        <w:t>Independent Advisory Panel</w:t>
      </w:r>
      <w:r w:rsidRPr="00A12E3F">
        <w:t xml:space="preserve"> </w:t>
      </w:r>
      <w:r w:rsidR="00DB2BB6" w:rsidRPr="00A12E3F">
        <w:t xml:space="preserve">(IAP) recommended a number of changes. </w:t>
      </w:r>
      <w:r w:rsidRPr="00A12E3F">
        <w:t>A full discussion on the reason</w:t>
      </w:r>
      <w:r w:rsidR="00DB2BB6" w:rsidRPr="00A12E3F">
        <w:t>s</w:t>
      </w:r>
      <w:r w:rsidRPr="00A12E3F">
        <w:t xml:space="preserve"> for the</w:t>
      </w:r>
      <w:r w:rsidR="008006D1" w:rsidRPr="00A12E3F">
        <w:t xml:space="preserve"> IAP</w:t>
      </w:r>
      <w:r w:rsidRPr="00A12E3F">
        <w:t xml:space="preserve"> recommendations can be found in </w:t>
      </w:r>
      <w:r w:rsidR="00084A56">
        <w:t xml:space="preserve">its </w:t>
      </w:r>
      <w:r w:rsidR="004462BE">
        <w:t>r</w:t>
      </w:r>
      <w:r w:rsidRPr="00A12E3F">
        <w:t>eport.</w:t>
      </w:r>
    </w:p>
    <w:p w14:paraId="6542CF2A" w14:textId="4AAC3755" w:rsidR="003442A0" w:rsidRPr="00A12E3F" w:rsidRDefault="003442A0" w:rsidP="00747733">
      <w:pPr>
        <w:pStyle w:val="BodyText"/>
      </w:pPr>
      <w:r w:rsidRPr="00A12E3F">
        <w:t>The format of this document follows, where possible, the sequence of the recommendations contained in the IAP Report</w:t>
      </w:r>
      <w:r w:rsidR="00462747" w:rsidRPr="00A12E3F">
        <w:t xml:space="preserve">, as they relate to the </w:t>
      </w:r>
      <w:r w:rsidR="00EC7BF6">
        <w:t>NPS-FM 2020</w:t>
      </w:r>
      <w:r w:rsidRPr="00A12E3F">
        <w:t>.</w:t>
      </w:r>
      <w:r w:rsidR="00063514" w:rsidRPr="00A12E3F">
        <w:t xml:space="preserve"> Apparent gaps in numbering of recommendations in the following tables are due to </w:t>
      </w:r>
      <w:r w:rsidR="00462747" w:rsidRPr="00A12E3F">
        <w:t>those</w:t>
      </w:r>
      <w:r w:rsidR="00063514" w:rsidRPr="00A12E3F">
        <w:t xml:space="preserve"> recommendations being addressed through the National Environmental Standard</w:t>
      </w:r>
      <w:r w:rsidR="00084A56">
        <w:t>s</w:t>
      </w:r>
      <w:r w:rsidR="00063514" w:rsidRPr="00A12E3F">
        <w:t xml:space="preserve"> for Freshwater</w:t>
      </w:r>
      <w:r w:rsidR="00EC7BF6">
        <w:t xml:space="preserve"> (NES-F)</w:t>
      </w:r>
      <w:r w:rsidR="00063514" w:rsidRPr="00A12E3F">
        <w:t xml:space="preserve">. </w:t>
      </w:r>
      <w:r w:rsidR="00462747" w:rsidRPr="00A12E3F">
        <w:t>Those r</w:t>
      </w:r>
      <w:r w:rsidR="00063514" w:rsidRPr="00A12E3F">
        <w:t xml:space="preserve">ecommendations </w:t>
      </w:r>
      <w:r w:rsidR="00462747" w:rsidRPr="00A12E3F">
        <w:t xml:space="preserve">which relate </w:t>
      </w:r>
      <w:r w:rsidR="00EC7BF6">
        <w:t xml:space="preserve">to the NES-F </w:t>
      </w:r>
      <w:r w:rsidR="00063514" w:rsidRPr="00A12E3F">
        <w:t xml:space="preserve">are not required to be addressed in this report under section 52. </w:t>
      </w:r>
    </w:p>
    <w:p w14:paraId="66E5EADD" w14:textId="6F98277D" w:rsidR="00440188" w:rsidRPr="00A12E3F" w:rsidRDefault="00440188" w:rsidP="0057076D">
      <w:pPr>
        <w:pStyle w:val="Heading2"/>
      </w:pPr>
      <w:bookmarkStart w:id="5" w:name="_Toc51337112"/>
      <w:r w:rsidRPr="00A12E3F">
        <w:t>Consultation on other matters</w:t>
      </w:r>
      <w:bookmarkEnd w:id="5"/>
      <w:r w:rsidR="00DB2BB6" w:rsidRPr="00A12E3F">
        <w:t xml:space="preserve"> </w:t>
      </w:r>
    </w:p>
    <w:p w14:paraId="6901A76E" w14:textId="7B97AB5A" w:rsidR="00835B85" w:rsidRPr="00A12E3F" w:rsidRDefault="008006D1" w:rsidP="00747733">
      <w:pPr>
        <w:pStyle w:val="BodyText"/>
      </w:pPr>
      <w:r w:rsidRPr="00A12E3F">
        <w:t xml:space="preserve">Throughout the consultation on </w:t>
      </w:r>
      <w:r w:rsidRPr="00A12E3F">
        <w:rPr>
          <w:i/>
        </w:rPr>
        <w:t>Action for healthy waterways</w:t>
      </w:r>
      <w:r w:rsidRPr="00A12E3F">
        <w:t>, t</w:t>
      </w:r>
      <w:r w:rsidR="00440188" w:rsidRPr="00A12E3F">
        <w:t xml:space="preserve">he </w:t>
      </w:r>
      <w:r w:rsidR="003D36DC" w:rsidRPr="00A12E3F">
        <w:t>Government</w:t>
      </w:r>
      <w:r w:rsidRPr="00A12E3F">
        <w:t xml:space="preserve"> also</w:t>
      </w:r>
      <w:r w:rsidR="00440188" w:rsidRPr="00A12E3F">
        <w:t xml:space="preserve"> sought feedback on</w:t>
      </w:r>
      <w:r w:rsidR="001F702F" w:rsidRPr="00A12E3F">
        <w:t xml:space="preserve"> </w:t>
      </w:r>
      <w:r w:rsidR="00EC7BF6">
        <w:t xml:space="preserve">amendments to, and </w:t>
      </w:r>
      <w:r w:rsidR="001F702F" w:rsidRPr="00A12E3F">
        <w:t>regulations under the Resource Management Act, including:</w:t>
      </w:r>
    </w:p>
    <w:p w14:paraId="3577B013" w14:textId="2014D871" w:rsidR="00835B85" w:rsidRPr="00A12E3F" w:rsidRDefault="003F3E9C" w:rsidP="00747733">
      <w:pPr>
        <w:pStyle w:val="Bullet"/>
      </w:pPr>
      <w:hyperlink r:id="rId25" w:history="1">
        <w:r w:rsidR="003D36DC" w:rsidRPr="00A12E3F">
          <w:rPr>
            <w:rStyle w:val="Hyperlink"/>
          </w:rPr>
          <w:t>National Environmental Stand</w:t>
        </w:r>
        <w:r w:rsidR="001F702F" w:rsidRPr="00A12E3F">
          <w:rPr>
            <w:rStyle w:val="Hyperlink"/>
          </w:rPr>
          <w:t>ard</w:t>
        </w:r>
        <w:r w:rsidR="00084A56">
          <w:rPr>
            <w:rStyle w:val="Hyperlink"/>
          </w:rPr>
          <w:t>s</w:t>
        </w:r>
        <w:r w:rsidR="001F702F" w:rsidRPr="00A12E3F">
          <w:rPr>
            <w:rStyle w:val="Hyperlink"/>
          </w:rPr>
          <w:t xml:space="preserve"> for Freshwater 2020</w:t>
        </w:r>
      </w:hyperlink>
      <w:r w:rsidR="001F702F" w:rsidRPr="00A12E3F">
        <w:t xml:space="preserve"> (NES-F</w:t>
      </w:r>
      <w:r w:rsidR="003D36DC" w:rsidRPr="00A12E3F">
        <w:t>)</w:t>
      </w:r>
    </w:p>
    <w:p w14:paraId="6A4EEFAA" w14:textId="08F0157B" w:rsidR="003D36DC" w:rsidRPr="00A12E3F" w:rsidRDefault="003F3E9C" w:rsidP="00747733">
      <w:pPr>
        <w:pStyle w:val="Bullet"/>
      </w:pPr>
      <w:hyperlink r:id="rId26" w:history="1">
        <w:r w:rsidR="001F702F" w:rsidRPr="00A12E3F">
          <w:rPr>
            <w:rStyle w:val="Hyperlink"/>
          </w:rPr>
          <w:t>Stock exclusion</w:t>
        </w:r>
      </w:hyperlink>
      <w:r w:rsidR="001F702F" w:rsidRPr="00A12E3F">
        <w:t xml:space="preserve">, and </w:t>
      </w:r>
      <w:hyperlink r:id="rId27" w:history="1">
        <w:r w:rsidR="001F702F" w:rsidRPr="00A12E3F">
          <w:rPr>
            <w:rStyle w:val="Hyperlink"/>
          </w:rPr>
          <w:t>M</w:t>
        </w:r>
        <w:r w:rsidR="003D36DC" w:rsidRPr="00A12E3F">
          <w:rPr>
            <w:rStyle w:val="Hyperlink"/>
          </w:rPr>
          <w:t>easureme</w:t>
        </w:r>
        <w:r w:rsidR="001F702F" w:rsidRPr="00A12E3F">
          <w:rPr>
            <w:rStyle w:val="Hyperlink"/>
          </w:rPr>
          <w:t>nt and Reporting of Water Takes</w:t>
        </w:r>
      </w:hyperlink>
      <w:r w:rsidR="001F702F" w:rsidRPr="00A12E3F">
        <w:t xml:space="preserve"> and </w:t>
      </w:r>
    </w:p>
    <w:p w14:paraId="71984D35" w14:textId="264F1AEE" w:rsidR="00440188" w:rsidRPr="00A12E3F" w:rsidRDefault="001F702F" w:rsidP="00747733">
      <w:pPr>
        <w:pStyle w:val="Bullet"/>
      </w:pPr>
      <w:r w:rsidRPr="00A12E3F">
        <w:t>A new F</w:t>
      </w:r>
      <w:r w:rsidR="00440188" w:rsidRPr="00A12E3F">
        <w:t xml:space="preserve">reshwater </w:t>
      </w:r>
      <w:r w:rsidRPr="00A12E3F">
        <w:t>Planning P</w:t>
      </w:r>
      <w:r w:rsidR="00475E8B" w:rsidRPr="00A12E3F">
        <w:t>rocess under Schedule</w:t>
      </w:r>
      <w:r w:rsidR="009B4171" w:rsidRPr="00A12E3F">
        <w:t xml:space="preserve"> </w:t>
      </w:r>
      <w:r w:rsidR="00EC7BF6">
        <w:t>1</w:t>
      </w:r>
      <w:r w:rsidRPr="00A12E3F">
        <w:t>, Part 4</w:t>
      </w:r>
      <w:r w:rsidR="005662B2" w:rsidRPr="00A12E3F">
        <w:t xml:space="preserve"> </w:t>
      </w:r>
      <w:r w:rsidR="00475E8B" w:rsidRPr="00A12E3F">
        <w:t xml:space="preserve">of the </w:t>
      </w:r>
      <w:r w:rsidR="003E4511" w:rsidRPr="00A12E3F">
        <w:t>RMA</w:t>
      </w:r>
      <w:r w:rsidR="00EC7BF6">
        <w:t>.</w:t>
      </w:r>
    </w:p>
    <w:p w14:paraId="1D75CA55" w14:textId="23D96872" w:rsidR="001F702F" w:rsidRPr="00A12E3F" w:rsidRDefault="001F702F" w:rsidP="00747733">
      <w:pPr>
        <w:pStyle w:val="BodyText"/>
      </w:pPr>
      <w:r w:rsidRPr="00A12E3F">
        <w:t>Concurrently, consultation was conducted on the foll</w:t>
      </w:r>
      <w:r w:rsidR="00B54CD6" w:rsidRPr="00A12E3F">
        <w:t>owing mat</w:t>
      </w:r>
      <w:r w:rsidR="00424B2A">
        <w:t>t</w:t>
      </w:r>
      <w:r w:rsidR="00B54CD6" w:rsidRPr="00A12E3F">
        <w:t xml:space="preserve">ers, to which separate </w:t>
      </w:r>
      <w:r w:rsidRPr="00A12E3F">
        <w:t>processes, requirement</w:t>
      </w:r>
      <w:r w:rsidR="00424B2A">
        <w:t>s</w:t>
      </w:r>
      <w:r w:rsidRPr="00A12E3F">
        <w:t xml:space="preserve"> and timeframes apply</w:t>
      </w:r>
      <w:r w:rsidR="00424B2A">
        <w:t>:</w:t>
      </w:r>
    </w:p>
    <w:p w14:paraId="7AD6EE20" w14:textId="4E82CB69" w:rsidR="00440188" w:rsidRPr="00A12E3F" w:rsidRDefault="00440188" w:rsidP="00747733">
      <w:pPr>
        <w:pStyle w:val="Bullet"/>
      </w:pPr>
      <w:r w:rsidRPr="00A12E3F">
        <w:t>product stewardship</w:t>
      </w:r>
    </w:p>
    <w:p w14:paraId="227A35D7" w14:textId="5BE15D9D" w:rsidR="00440188" w:rsidRPr="00A12E3F" w:rsidRDefault="00440188" w:rsidP="00747733">
      <w:pPr>
        <w:pStyle w:val="Bullet"/>
      </w:pPr>
      <w:r w:rsidRPr="00A12E3F">
        <w:t>hazardous substances</w:t>
      </w:r>
    </w:p>
    <w:p w14:paraId="45704874" w14:textId="49EF1DA1" w:rsidR="00440188" w:rsidRPr="00A12E3F" w:rsidRDefault="00440188" w:rsidP="00747733">
      <w:pPr>
        <w:pStyle w:val="Bullet"/>
      </w:pPr>
      <w:r w:rsidRPr="00A12E3F">
        <w:t>highly productive land</w:t>
      </w:r>
    </w:p>
    <w:p w14:paraId="7F9871B0" w14:textId="2B668F3A" w:rsidR="00440188" w:rsidRPr="00A12E3F" w:rsidRDefault="00440188" w:rsidP="00747733">
      <w:pPr>
        <w:pStyle w:val="Bullet"/>
      </w:pPr>
      <w:r w:rsidRPr="00A12E3F">
        <w:t>urban development</w:t>
      </w:r>
    </w:p>
    <w:p w14:paraId="4F12667C" w14:textId="1CA452D7" w:rsidR="00F962EB" w:rsidRPr="00A12E3F" w:rsidRDefault="00440188" w:rsidP="00747733">
      <w:pPr>
        <w:pStyle w:val="Bullet"/>
      </w:pPr>
      <w:r w:rsidRPr="00A12E3F">
        <w:t>Three Waters.</w:t>
      </w:r>
    </w:p>
    <w:p w14:paraId="09FBB3BD" w14:textId="3F086B55" w:rsidR="0080531E" w:rsidRPr="00A12E3F" w:rsidRDefault="00F552D3" w:rsidP="00747733">
      <w:pPr>
        <w:pStyle w:val="Heading2"/>
      </w:pPr>
      <w:bookmarkStart w:id="6" w:name="_Toc51337113"/>
      <w:r w:rsidRPr="00A12E3F">
        <w:lastRenderedPageBreak/>
        <w:t>Independent Advisory Panel recommendation</w:t>
      </w:r>
      <w:r w:rsidR="00E64676" w:rsidRPr="00A12E3F">
        <w:t>s</w:t>
      </w:r>
      <w:r w:rsidRPr="00A12E3F">
        <w:t xml:space="preserve"> </w:t>
      </w:r>
      <w:r w:rsidR="00A233E7" w:rsidRPr="00A12E3F">
        <w:t>and </w:t>
      </w:r>
      <w:r w:rsidR="00E64676" w:rsidRPr="00A12E3F">
        <w:t xml:space="preserve">Ministers </w:t>
      </w:r>
      <w:r w:rsidRPr="00A12E3F">
        <w:t>decision</w:t>
      </w:r>
      <w:bookmarkEnd w:id="6"/>
    </w:p>
    <w:p w14:paraId="2F1D5933" w14:textId="63592A71" w:rsidR="0003640E" w:rsidRPr="00A12E3F" w:rsidRDefault="00805C3D" w:rsidP="00747733">
      <w:pPr>
        <w:pStyle w:val="Tableheading"/>
      </w:pPr>
      <w:bookmarkStart w:id="7" w:name="_Toc51337101"/>
      <w:r w:rsidRPr="00A12E3F">
        <w:t>Table 1:</w:t>
      </w:r>
      <w:r w:rsidRPr="00A12E3F">
        <w:tab/>
      </w:r>
      <w:r w:rsidR="00DB0304" w:rsidRPr="00A12E3F">
        <w:t xml:space="preserve">General </w:t>
      </w:r>
      <w:r w:rsidR="00EC7BF6">
        <w:t>NPS-FM 2020</w:t>
      </w:r>
      <w:r w:rsidR="00DB0304" w:rsidRPr="00A12E3F">
        <w:t xml:space="preserve"> provisions</w:t>
      </w:r>
      <w:bookmarkEnd w:id="7"/>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ayout w:type="fixed"/>
        <w:tblLook w:val="04A0" w:firstRow="1" w:lastRow="0" w:firstColumn="1" w:lastColumn="0" w:noHBand="0" w:noVBand="1"/>
      </w:tblPr>
      <w:tblGrid>
        <w:gridCol w:w="3544"/>
        <w:gridCol w:w="4961"/>
      </w:tblGrid>
      <w:tr w:rsidR="00A233E7" w:rsidRPr="00A12E3F" w14:paraId="4B8075A5" w14:textId="77777777" w:rsidTr="00EF5C2F">
        <w:trPr>
          <w:tblHeader/>
        </w:trPr>
        <w:tc>
          <w:tcPr>
            <w:tcW w:w="3544" w:type="dxa"/>
            <w:shd w:val="clear" w:color="auto" w:fill="1C556C"/>
          </w:tcPr>
          <w:p w14:paraId="13F3D205" w14:textId="11E3DC27" w:rsidR="0080531E" w:rsidRPr="00A12E3F" w:rsidRDefault="00DB0304" w:rsidP="00A233E7">
            <w:pPr>
              <w:pStyle w:val="TableTextbold"/>
              <w:rPr>
                <w:color w:val="FFFFFF" w:themeColor="background1"/>
              </w:rPr>
            </w:pPr>
            <w:r w:rsidRPr="00A12E3F">
              <w:rPr>
                <w:color w:val="FFFFFF" w:themeColor="background1"/>
              </w:rPr>
              <w:t>Recommendation</w:t>
            </w:r>
          </w:p>
        </w:tc>
        <w:tc>
          <w:tcPr>
            <w:tcW w:w="4961" w:type="dxa"/>
            <w:shd w:val="clear" w:color="auto" w:fill="1C556C"/>
          </w:tcPr>
          <w:p w14:paraId="0BCCD127" w14:textId="604D0B29" w:rsidR="0080531E" w:rsidRPr="00A12E3F" w:rsidRDefault="00DB0304" w:rsidP="00A233E7">
            <w:pPr>
              <w:pStyle w:val="TableTextbold"/>
              <w:rPr>
                <w:color w:val="FFFFFF" w:themeColor="background1"/>
              </w:rPr>
            </w:pPr>
            <w:r w:rsidRPr="00A12E3F">
              <w:rPr>
                <w:color w:val="FFFFFF" w:themeColor="background1"/>
              </w:rPr>
              <w:t>Summary of, and key reasons for, Minister’s decision</w:t>
            </w:r>
          </w:p>
        </w:tc>
      </w:tr>
      <w:tr w:rsidR="0080531E" w:rsidRPr="00A12E3F" w14:paraId="5602F6B6" w14:textId="77777777" w:rsidTr="00EF5C2F">
        <w:tc>
          <w:tcPr>
            <w:tcW w:w="3544" w:type="dxa"/>
            <w:shd w:val="clear" w:color="auto" w:fill="auto"/>
          </w:tcPr>
          <w:p w14:paraId="1A2E28CA" w14:textId="34DE6EBA" w:rsidR="00DB0304" w:rsidRPr="00A12E3F" w:rsidRDefault="000911BA" w:rsidP="004C5995">
            <w:pPr>
              <w:pStyle w:val="TableText"/>
              <w:keepNext/>
              <w:ind w:left="397" w:hanging="397"/>
              <w:rPr>
                <w:rFonts w:cstheme="minorBidi"/>
              </w:rPr>
            </w:pPr>
            <w:r w:rsidRPr="00A12E3F">
              <w:rPr>
                <w:rFonts w:cs="Calibri"/>
              </w:rPr>
              <w:t xml:space="preserve">1. </w:t>
            </w:r>
            <w:r w:rsidR="00A233E7" w:rsidRPr="00A12E3F">
              <w:rPr>
                <w:rFonts w:cs="Calibri"/>
              </w:rPr>
              <w:tab/>
            </w:r>
            <w:r w:rsidRPr="00A12E3F">
              <w:t xml:space="preserve">Add descriptions for the terms </w:t>
            </w:r>
            <w:proofErr w:type="spellStart"/>
            <w:r w:rsidRPr="00A12E3F">
              <w:t>mātauranga</w:t>
            </w:r>
            <w:proofErr w:type="spellEnd"/>
            <w:r w:rsidRPr="00A12E3F">
              <w:t xml:space="preserve"> Māori and </w:t>
            </w:r>
            <w:r w:rsidR="00EF177B" w:rsidRPr="00A12E3F">
              <w:t>k</w:t>
            </w:r>
            <w:r w:rsidRPr="00A12E3F">
              <w:t xml:space="preserve">i </w:t>
            </w:r>
            <w:proofErr w:type="spellStart"/>
            <w:r w:rsidRPr="00A12E3F">
              <w:t>uta</w:t>
            </w:r>
            <w:proofErr w:type="spellEnd"/>
            <w:r w:rsidRPr="00A12E3F">
              <w:t xml:space="preserve"> ki tai t</w:t>
            </w:r>
            <w:r w:rsidR="00DB0304" w:rsidRPr="00A12E3F">
              <w:t xml:space="preserve">o provide clarity to councils. </w:t>
            </w:r>
          </w:p>
        </w:tc>
        <w:tc>
          <w:tcPr>
            <w:tcW w:w="4961" w:type="dxa"/>
            <w:shd w:val="clear" w:color="auto" w:fill="auto"/>
          </w:tcPr>
          <w:p w14:paraId="4A7F6D11" w14:textId="731E9DEF" w:rsidR="002E547D" w:rsidRPr="00A12E3F" w:rsidRDefault="002E547D" w:rsidP="004C5995">
            <w:pPr>
              <w:pStyle w:val="TableText"/>
              <w:keepNext/>
            </w:pPr>
            <w:r w:rsidRPr="00A12E3F">
              <w:t xml:space="preserve">The Minister decided </w:t>
            </w:r>
            <w:r w:rsidR="00430D2F" w:rsidRPr="00A12E3F">
              <w:t xml:space="preserve">not </w:t>
            </w:r>
            <w:r w:rsidRPr="00A12E3F">
              <w:t xml:space="preserve">to </w:t>
            </w:r>
            <w:r w:rsidR="00430D2F" w:rsidRPr="00A12E3F">
              <w:t>define</w:t>
            </w:r>
            <w:r w:rsidRPr="00A12E3F">
              <w:t xml:space="preserve"> </w:t>
            </w:r>
            <w:r w:rsidR="008817B6" w:rsidRPr="00A12E3F">
              <w:t xml:space="preserve">ki </w:t>
            </w:r>
            <w:proofErr w:type="spellStart"/>
            <w:r w:rsidR="008817B6" w:rsidRPr="00A12E3F">
              <w:t>uta</w:t>
            </w:r>
            <w:proofErr w:type="spellEnd"/>
            <w:r w:rsidR="008817B6" w:rsidRPr="00A12E3F">
              <w:t xml:space="preserve"> ki tai, i</w:t>
            </w:r>
            <w:r w:rsidR="000A35A5" w:rsidRPr="00A12E3F">
              <w:t>nstead</w:t>
            </w:r>
            <w:r w:rsidR="00430D2F" w:rsidRPr="00A12E3F">
              <w:t>, c</w:t>
            </w:r>
            <w:r w:rsidRPr="00A12E3F">
              <w:t>lause</w:t>
            </w:r>
            <w:r w:rsidR="00430D2F" w:rsidRPr="00A12E3F">
              <w:t xml:space="preserve"> 3.5 </w:t>
            </w:r>
            <w:r w:rsidRPr="00A12E3F">
              <w:t>c</w:t>
            </w:r>
            <w:r w:rsidR="00430D2F" w:rsidRPr="00A12E3F">
              <w:t xml:space="preserve">larifies that councils must adopt an integrated approach, ki </w:t>
            </w:r>
            <w:proofErr w:type="spellStart"/>
            <w:r w:rsidR="00430D2F" w:rsidRPr="00A12E3F">
              <w:t>uta</w:t>
            </w:r>
            <w:proofErr w:type="spellEnd"/>
            <w:r w:rsidR="00430D2F" w:rsidRPr="00A12E3F">
              <w:t xml:space="preserve"> ki tai, as required by Te Mana o te Wai, and sets out a series of matters to guide councils.</w:t>
            </w:r>
            <w:r w:rsidRPr="00A12E3F">
              <w:t xml:space="preserve"> The </w:t>
            </w:r>
            <w:r w:rsidR="00430D2F" w:rsidRPr="00A12E3F">
              <w:t xml:space="preserve">Minister </w:t>
            </w:r>
            <w:r w:rsidR="001F702F" w:rsidRPr="00A12E3F">
              <w:t xml:space="preserve">considered </w:t>
            </w:r>
            <w:r w:rsidR="00430D2F" w:rsidRPr="00A12E3F">
              <w:t xml:space="preserve">the concerns of te </w:t>
            </w:r>
            <w:proofErr w:type="spellStart"/>
            <w:r w:rsidRPr="00A12E3F">
              <w:t>Kāhui</w:t>
            </w:r>
            <w:proofErr w:type="spellEnd"/>
            <w:r w:rsidRPr="00A12E3F">
              <w:t xml:space="preserve"> </w:t>
            </w:r>
            <w:r w:rsidR="00430D2F" w:rsidRPr="00A12E3F">
              <w:t xml:space="preserve">Wai Māori </w:t>
            </w:r>
            <w:r w:rsidR="000A35A5" w:rsidRPr="00A12E3F">
              <w:t xml:space="preserve">on </w:t>
            </w:r>
            <w:r w:rsidRPr="00A12E3F">
              <w:t xml:space="preserve">defining ki </w:t>
            </w:r>
            <w:proofErr w:type="spellStart"/>
            <w:r w:rsidRPr="00A12E3F">
              <w:t>uta</w:t>
            </w:r>
            <w:proofErr w:type="spellEnd"/>
            <w:r w:rsidRPr="00A12E3F">
              <w:t xml:space="preserve"> ki tai nationally, </w:t>
            </w:r>
            <w:r w:rsidR="00430D2F" w:rsidRPr="00A12E3F">
              <w:t xml:space="preserve">and decided that </w:t>
            </w:r>
            <w:r w:rsidRPr="00A12E3F">
              <w:t xml:space="preserve">demonstrating how ki </w:t>
            </w:r>
            <w:proofErr w:type="spellStart"/>
            <w:r w:rsidRPr="00A12E3F">
              <w:t>uta</w:t>
            </w:r>
            <w:proofErr w:type="spellEnd"/>
            <w:r w:rsidRPr="00A12E3F">
              <w:t xml:space="preserve"> ki tai is to be implemented </w:t>
            </w:r>
            <w:r w:rsidR="00430D2F" w:rsidRPr="00A12E3F">
              <w:t>was</w:t>
            </w:r>
            <w:r w:rsidRPr="00A12E3F">
              <w:t xml:space="preserve"> </w:t>
            </w:r>
            <w:r w:rsidR="00430D2F" w:rsidRPr="00A12E3F">
              <w:t>preferable</w:t>
            </w:r>
            <w:r w:rsidRPr="00A12E3F">
              <w:t xml:space="preserve">. </w:t>
            </w:r>
          </w:p>
          <w:p w14:paraId="77DF8BCC" w14:textId="51312FF2" w:rsidR="008434B1" w:rsidRPr="00A12E3F" w:rsidRDefault="002E547D" w:rsidP="004C5995">
            <w:pPr>
              <w:pStyle w:val="TableText"/>
              <w:keepNext/>
            </w:pPr>
            <w:r w:rsidRPr="00A12E3F">
              <w:t xml:space="preserve">On </w:t>
            </w:r>
            <w:r w:rsidR="00430D2F" w:rsidRPr="00A12E3F">
              <w:t xml:space="preserve">defining </w:t>
            </w:r>
            <w:proofErr w:type="spellStart"/>
            <w:r w:rsidRPr="00A12E3F">
              <w:t>mātauranga</w:t>
            </w:r>
            <w:proofErr w:type="spellEnd"/>
            <w:r w:rsidRPr="00A12E3F">
              <w:t xml:space="preserve"> Māori, </w:t>
            </w:r>
            <w:r w:rsidR="00430D2F" w:rsidRPr="00A12E3F">
              <w:t xml:space="preserve">the Minister </w:t>
            </w:r>
            <w:r w:rsidR="000A35A5" w:rsidRPr="00A12E3F">
              <w:t>considers</w:t>
            </w:r>
            <w:r w:rsidR="00430D2F" w:rsidRPr="00A12E3F">
              <w:t xml:space="preserve"> t</w:t>
            </w:r>
            <w:r w:rsidRPr="00A12E3F">
              <w:t xml:space="preserve">hese are concepts that have long been included in resource management planning documents and are </w:t>
            </w:r>
            <w:r w:rsidR="00430D2F" w:rsidRPr="00A12E3F">
              <w:t xml:space="preserve">well </w:t>
            </w:r>
            <w:r w:rsidRPr="00A12E3F">
              <w:t xml:space="preserve">understood. </w:t>
            </w:r>
          </w:p>
        </w:tc>
      </w:tr>
      <w:tr w:rsidR="0080531E" w:rsidRPr="00A12E3F" w14:paraId="5BDFDA2E" w14:textId="77777777" w:rsidTr="00EF5C2F">
        <w:tc>
          <w:tcPr>
            <w:tcW w:w="3544" w:type="dxa"/>
            <w:shd w:val="clear" w:color="auto" w:fill="auto"/>
          </w:tcPr>
          <w:p w14:paraId="4ABF89A5" w14:textId="0D89296C" w:rsidR="007E0798" w:rsidRPr="00A12E3F" w:rsidRDefault="000911BA" w:rsidP="00A233E7">
            <w:pPr>
              <w:pStyle w:val="TableText"/>
              <w:ind w:left="397" w:hanging="397"/>
              <w:rPr>
                <w:rFonts w:cs="Calibri"/>
              </w:rPr>
            </w:pPr>
            <w:r w:rsidRPr="00A12E3F">
              <w:rPr>
                <w:rFonts w:cs="Calibri"/>
              </w:rPr>
              <w:t xml:space="preserve">2. </w:t>
            </w:r>
            <w:r w:rsidR="00A233E7" w:rsidRPr="00A12E3F">
              <w:rPr>
                <w:rFonts w:cs="Calibri"/>
              </w:rPr>
              <w:tab/>
            </w:r>
            <w:r w:rsidRPr="00A12E3F">
              <w:rPr>
                <w:rFonts w:cs="Calibri"/>
              </w:rPr>
              <w:t xml:space="preserve">Remove the long-term vision requirement in 3.2 of the </w:t>
            </w:r>
            <w:r w:rsidR="00EC7BF6">
              <w:rPr>
                <w:rFonts w:cs="Calibri"/>
              </w:rPr>
              <w:t>NPS-FM 2020</w:t>
            </w:r>
            <w:r w:rsidRPr="00A12E3F">
              <w:rPr>
                <w:rFonts w:cs="Calibri"/>
              </w:rPr>
              <w:t xml:space="preserve"> to speed the process and reduce administrative burden. </w:t>
            </w:r>
          </w:p>
        </w:tc>
        <w:tc>
          <w:tcPr>
            <w:tcW w:w="4961" w:type="dxa"/>
            <w:shd w:val="clear" w:color="auto" w:fill="auto"/>
          </w:tcPr>
          <w:p w14:paraId="31105D81" w14:textId="1AA8C5A2" w:rsidR="0080531E" w:rsidRPr="00A12E3F" w:rsidRDefault="002E547D" w:rsidP="00A233E7">
            <w:pPr>
              <w:pStyle w:val="TableText"/>
            </w:pPr>
            <w:r w:rsidRPr="00A12E3F">
              <w:t>The Minister decided to retain the requirement for council</w:t>
            </w:r>
            <w:r w:rsidR="00475E8B" w:rsidRPr="00A12E3F">
              <w:t>s to develop a long-term vision</w:t>
            </w:r>
            <w:r w:rsidRPr="00A12E3F">
              <w:t xml:space="preserve"> following engagement with communities and tangata whenua</w:t>
            </w:r>
            <w:r w:rsidR="008817B6" w:rsidRPr="00A12E3F">
              <w:t>.</w:t>
            </w:r>
            <w:r w:rsidRPr="00A12E3F">
              <w:t xml:space="preserve"> </w:t>
            </w:r>
            <w:r w:rsidR="008817B6" w:rsidRPr="00A12E3F">
              <w:t>The</w:t>
            </w:r>
            <w:r w:rsidRPr="00A12E3F">
              <w:t xml:space="preserve"> Minister </w:t>
            </w:r>
            <w:r w:rsidR="00DC0DC0" w:rsidRPr="00A12E3F">
              <w:t>considers</w:t>
            </w:r>
            <w:r w:rsidR="008817B6" w:rsidRPr="00A12E3F">
              <w:t xml:space="preserve"> the long term vision will clearly set out aspirations for freshwater </w:t>
            </w:r>
            <w:r w:rsidR="00FC6A9C" w:rsidRPr="00A12E3F">
              <w:t xml:space="preserve">and their </w:t>
            </w:r>
            <w:r w:rsidR="008817B6" w:rsidRPr="00A12E3F">
              <w:t>ecosystems in the region</w:t>
            </w:r>
            <w:r w:rsidR="001F702F" w:rsidRPr="00A12E3F">
              <w:t>,</w:t>
            </w:r>
            <w:r w:rsidR="008817B6" w:rsidRPr="00A12E3F">
              <w:t xml:space="preserve"> which can then guide t</w:t>
            </w:r>
            <w:r w:rsidR="00EC7BF6">
              <w:t xml:space="preserve">he setting of target attribute </w:t>
            </w:r>
            <w:r w:rsidR="008817B6" w:rsidRPr="00A12E3F">
              <w:t>states</w:t>
            </w:r>
            <w:r w:rsidR="00EC7BF6">
              <w:t>,</w:t>
            </w:r>
            <w:r w:rsidR="008817B6" w:rsidRPr="00A12E3F">
              <w:t xml:space="preserve"> and</w:t>
            </w:r>
            <w:r w:rsidR="00177D62" w:rsidRPr="00A12E3F">
              <w:t> </w:t>
            </w:r>
            <w:r w:rsidR="008817B6" w:rsidRPr="00A12E3F">
              <w:t>limits.</w:t>
            </w:r>
          </w:p>
        </w:tc>
      </w:tr>
      <w:tr w:rsidR="00390056" w:rsidRPr="00A12E3F" w14:paraId="20FA423A" w14:textId="77777777" w:rsidTr="00EF5C2F">
        <w:tc>
          <w:tcPr>
            <w:tcW w:w="3544" w:type="dxa"/>
          </w:tcPr>
          <w:p w14:paraId="35C1F905" w14:textId="0E7B7462" w:rsidR="00390056" w:rsidRPr="00A12E3F" w:rsidRDefault="000911BA" w:rsidP="00A233E7">
            <w:pPr>
              <w:pStyle w:val="TableText"/>
              <w:ind w:left="397" w:hanging="397"/>
            </w:pPr>
            <w:r w:rsidRPr="00A12E3F">
              <w:t xml:space="preserve">3. </w:t>
            </w:r>
            <w:r w:rsidR="00A233E7" w:rsidRPr="00A12E3F">
              <w:tab/>
            </w:r>
            <w:r w:rsidRPr="00A12E3F">
              <w:t xml:space="preserve">Revise the sections on Te Mana o </w:t>
            </w:r>
            <w:r w:rsidR="00424B2A">
              <w:t>t</w:t>
            </w:r>
            <w:r w:rsidRPr="00A12E3F">
              <w:t xml:space="preserve">e Wai priorities and obligations to reduce the risk of challenge and remove imperative language, and integrate directions with other requirements on regional councils. </w:t>
            </w:r>
          </w:p>
        </w:tc>
        <w:tc>
          <w:tcPr>
            <w:tcW w:w="4961" w:type="dxa"/>
          </w:tcPr>
          <w:p w14:paraId="65FEB0C3" w14:textId="51C9B7CD" w:rsidR="00390056" w:rsidRPr="00A12E3F" w:rsidRDefault="00E75066" w:rsidP="00A233E7">
            <w:pPr>
              <w:pStyle w:val="TableText"/>
            </w:pPr>
            <w:r w:rsidRPr="00A12E3F">
              <w:t xml:space="preserve">In accordance with feedback received through consultation and the work with </w:t>
            </w:r>
            <w:r w:rsidR="00435DA3" w:rsidRPr="00A12E3F">
              <w:t>T</w:t>
            </w:r>
            <w:r w:rsidRPr="00A12E3F">
              <w:t>e Kāhui Wai Māori, th</w:t>
            </w:r>
            <w:r w:rsidR="0030388E" w:rsidRPr="00A12E3F">
              <w:t>e Minister decided to retain the requirement to ‘give effect</w:t>
            </w:r>
            <w:r w:rsidR="00435DA3" w:rsidRPr="00A12E3F">
              <w:t>’</w:t>
            </w:r>
            <w:r w:rsidR="0030388E" w:rsidRPr="00A12E3F">
              <w:t xml:space="preserve"> to Te Mana o te Wai</w:t>
            </w:r>
            <w:r w:rsidRPr="00A12E3F">
              <w:t>’</w:t>
            </w:r>
            <w:r w:rsidR="0030388E" w:rsidRPr="00A12E3F">
              <w:t xml:space="preserve">. </w:t>
            </w:r>
          </w:p>
          <w:p w14:paraId="78113E33" w14:textId="6F096118" w:rsidR="0030388E" w:rsidRPr="00A12E3F" w:rsidRDefault="0030388E" w:rsidP="00A233E7">
            <w:pPr>
              <w:pStyle w:val="TableText"/>
            </w:pPr>
            <w:r w:rsidRPr="00A12E3F">
              <w:t xml:space="preserve">In order to address some </w:t>
            </w:r>
            <w:r w:rsidR="008434B1" w:rsidRPr="00A12E3F">
              <w:t xml:space="preserve">of the </w:t>
            </w:r>
            <w:r w:rsidRPr="00A12E3F">
              <w:t xml:space="preserve">concerns </w:t>
            </w:r>
            <w:r w:rsidR="008434B1" w:rsidRPr="00A12E3F">
              <w:t>raised</w:t>
            </w:r>
            <w:r w:rsidRPr="00A12E3F">
              <w:t xml:space="preserve"> by the IAP, the Minister decided to: </w:t>
            </w:r>
          </w:p>
          <w:p w14:paraId="2E427389" w14:textId="1687966F" w:rsidR="0030388E" w:rsidRPr="00A12E3F" w:rsidRDefault="0030388E" w:rsidP="00A233E7">
            <w:pPr>
              <w:pStyle w:val="TableBullet"/>
            </w:pPr>
            <w:r w:rsidRPr="00A12E3F">
              <w:t>integrate the directions of ‘giving effect to’ Te Mana o te Wai into</w:t>
            </w:r>
            <w:r w:rsidR="001D2EF1" w:rsidRPr="00A12E3F">
              <w:t> </w:t>
            </w:r>
            <w:r w:rsidRPr="00A12E3F">
              <w:t xml:space="preserve">specific requirements of the </w:t>
            </w:r>
            <w:r w:rsidR="00EC7BF6">
              <w:t>NPS-FM 2020</w:t>
            </w:r>
            <w:r w:rsidRPr="00A12E3F">
              <w:t xml:space="preserve"> </w:t>
            </w:r>
            <w:r w:rsidR="00E75066" w:rsidRPr="00A12E3F">
              <w:t xml:space="preserve">and better link the requirements of Te Mana o te Wai with the rest of the </w:t>
            </w:r>
            <w:r w:rsidR="00EC7BF6">
              <w:t>NPS-FM 2020</w:t>
            </w:r>
          </w:p>
          <w:p w14:paraId="6D7AF447" w14:textId="362E7799" w:rsidR="0030388E" w:rsidRPr="00A12E3F" w:rsidRDefault="0030388E" w:rsidP="00A233E7">
            <w:pPr>
              <w:pStyle w:val="TableBullet"/>
            </w:pPr>
            <w:proofErr w:type="gramStart"/>
            <w:r w:rsidRPr="00A12E3F">
              <w:t>require</w:t>
            </w:r>
            <w:proofErr w:type="gramEnd"/>
            <w:r w:rsidRPr="00A12E3F">
              <w:t xml:space="preserve"> councils to ‘apply’ the hierarchy of obligations </w:t>
            </w:r>
            <w:r w:rsidR="00E75066" w:rsidRPr="00A12E3F">
              <w:t>during the process of</w:t>
            </w:r>
            <w:r w:rsidRPr="00A12E3F">
              <w:t xml:space="preserve"> implementing the NPS</w:t>
            </w:r>
            <w:r w:rsidR="004462BE">
              <w:t>-FM</w:t>
            </w:r>
            <w:r w:rsidRPr="00A12E3F">
              <w:t xml:space="preserve"> (such as </w:t>
            </w:r>
            <w:r w:rsidR="008434B1" w:rsidRPr="00A12E3F">
              <w:t xml:space="preserve">developing a </w:t>
            </w:r>
            <w:r w:rsidRPr="00A12E3F">
              <w:t xml:space="preserve">long-term vision </w:t>
            </w:r>
            <w:r w:rsidR="008434B1" w:rsidRPr="00A12E3F">
              <w:t>for freshwater or implementing</w:t>
            </w:r>
            <w:r w:rsidRPr="00A12E3F">
              <w:t xml:space="preserve"> the N</w:t>
            </w:r>
            <w:r w:rsidR="008434B1" w:rsidRPr="00A12E3F">
              <w:t xml:space="preserve">ational </w:t>
            </w:r>
            <w:r w:rsidRPr="00A12E3F">
              <w:t>O</w:t>
            </w:r>
            <w:r w:rsidR="008434B1" w:rsidRPr="00A12E3F">
              <w:t xml:space="preserve">bjectives </w:t>
            </w:r>
            <w:r w:rsidR="00F22746" w:rsidRPr="00A12E3F">
              <w:t>Framework</w:t>
            </w:r>
            <w:r w:rsidRPr="00A12E3F">
              <w:t>)</w:t>
            </w:r>
            <w:r w:rsidR="00F22746" w:rsidRPr="00A12E3F">
              <w:t>. The intent of the hierarchy of obligations is to shift the way that we think about managing freshwater and guide the implementation of the National Objectives Framework (NOF), rather than imposing new th</w:t>
            </w:r>
            <w:r w:rsidR="001F702F" w:rsidRPr="00A12E3F">
              <w:t xml:space="preserve">resholds, hard limits or bottom </w:t>
            </w:r>
            <w:r w:rsidR="00F22746" w:rsidRPr="00A12E3F">
              <w:t xml:space="preserve">lines to the </w:t>
            </w:r>
            <w:r w:rsidR="00EC7BF6">
              <w:t>NPS-FM 2020</w:t>
            </w:r>
            <w:r w:rsidR="00F22746" w:rsidRPr="00A12E3F">
              <w:t>.</w:t>
            </w:r>
          </w:p>
        </w:tc>
      </w:tr>
      <w:tr w:rsidR="000911BA" w:rsidRPr="00A12E3F" w14:paraId="6615A694" w14:textId="77777777" w:rsidTr="00EF5C2F">
        <w:tc>
          <w:tcPr>
            <w:tcW w:w="3544" w:type="dxa"/>
          </w:tcPr>
          <w:p w14:paraId="5B5ABB51" w14:textId="1E2FE46C" w:rsidR="000911BA" w:rsidRPr="00A12E3F" w:rsidRDefault="000911BA" w:rsidP="00A233E7">
            <w:pPr>
              <w:pStyle w:val="TableText"/>
              <w:ind w:left="397" w:hanging="397"/>
            </w:pPr>
            <w:r w:rsidRPr="00A12E3F">
              <w:t xml:space="preserve">4. </w:t>
            </w:r>
            <w:r w:rsidR="00A233E7" w:rsidRPr="00A12E3F">
              <w:tab/>
            </w:r>
            <w:r w:rsidRPr="00A12E3F">
              <w:t xml:space="preserve">Add a clause to the </w:t>
            </w:r>
            <w:r w:rsidR="00EC7BF6">
              <w:t>NPS-FM 2020</w:t>
            </w:r>
            <w:r w:rsidRPr="00A12E3F">
              <w:t xml:space="preserve"> on council process requirements in </w:t>
            </w:r>
            <w:r w:rsidR="001B62C4" w:rsidRPr="00A12E3F">
              <w:t xml:space="preserve">making decisions under the NPS </w:t>
            </w:r>
            <w:r w:rsidR="001F702F" w:rsidRPr="00A12E3F">
              <w:t>[</w:t>
            </w:r>
            <w:r w:rsidR="001B62C4" w:rsidRPr="00A12E3F">
              <w:t>to require councils to exercise their functions in a way that records the reasoning for the decision and ensures the public is informed</w:t>
            </w:r>
            <w:r w:rsidR="001F702F" w:rsidRPr="00A12E3F">
              <w:t>]</w:t>
            </w:r>
            <w:r w:rsidR="001B62C4" w:rsidRPr="00A12E3F">
              <w:t>.</w:t>
            </w:r>
          </w:p>
        </w:tc>
        <w:tc>
          <w:tcPr>
            <w:tcW w:w="4961" w:type="dxa"/>
          </w:tcPr>
          <w:p w14:paraId="42D0FA0D" w14:textId="5E5D5360" w:rsidR="000911BA" w:rsidRPr="00A12E3F" w:rsidRDefault="00536E44" w:rsidP="00A233E7">
            <w:pPr>
              <w:pStyle w:val="TableText"/>
            </w:pPr>
            <w:r w:rsidRPr="00A12E3F">
              <w:t xml:space="preserve">The Minister </w:t>
            </w:r>
            <w:r w:rsidR="00D30232" w:rsidRPr="00A12E3F">
              <w:t>accepted this recommendation</w:t>
            </w:r>
            <w:r w:rsidR="003D36DC" w:rsidRPr="00A12E3F">
              <w:t xml:space="preserve"> </w:t>
            </w:r>
            <w:r w:rsidR="00F70070" w:rsidRPr="00A12E3F">
              <w:t>- see Subpart 1, clause 3.6</w:t>
            </w:r>
            <w:r w:rsidR="001B62C4" w:rsidRPr="00A12E3F">
              <w:t xml:space="preserve"> </w:t>
            </w:r>
            <w:r w:rsidR="00177D62" w:rsidRPr="00A12E3F">
              <w:t>–</w:t>
            </w:r>
            <w:r w:rsidR="001B62C4" w:rsidRPr="00A12E3F">
              <w:t xml:space="preserve"> Transparent decision making.</w:t>
            </w:r>
          </w:p>
        </w:tc>
      </w:tr>
      <w:tr w:rsidR="000911BA" w:rsidRPr="00A12E3F" w14:paraId="116AEAAD" w14:textId="77777777" w:rsidTr="00EF5C2F">
        <w:tc>
          <w:tcPr>
            <w:tcW w:w="3544" w:type="dxa"/>
          </w:tcPr>
          <w:p w14:paraId="207B2F20" w14:textId="6A8A657E" w:rsidR="000911BA" w:rsidRPr="00A12E3F" w:rsidRDefault="000911BA" w:rsidP="00A233E7">
            <w:pPr>
              <w:pStyle w:val="TableText"/>
              <w:ind w:left="397" w:hanging="397"/>
              <w:rPr>
                <w:rFonts w:cstheme="minorBidi"/>
              </w:rPr>
            </w:pPr>
            <w:r w:rsidRPr="00A12E3F">
              <w:t xml:space="preserve">5. </w:t>
            </w:r>
            <w:r w:rsidR="00A233E7" w:rsidRPr="00A12E3F">
              <w:tab/>
            </w:r>
            <w:r w:rsidRPr="00A12E3F">
              <w:t xml:space="preserve">Add a clause to the </w:t>
            </w:r>
            <w:r w:rsidR="00EC7BF6">
              <w:t>NPS-FM 2020</w:t>
            </w:r>
            <w:r w:rsidRPr="00A12E3F">
              <w:t xml:space="preserve"> requiring councils to have regard to the effects of climate change. </w:t>
            </w:r>
          </w:p>
        </w:tc>
        <w:tc>
          <w:tcPr>
            <w:tcW w:w="4961" w:type="dxa"/>
          </w:tcPr>
          <w:p w14:paraId="43E27C18" w14:textId="4FDE8400" w:rsidR="002A7A0E" w:rsidRPr="00A12E3F" w:rsidRDefault="000A35A5" w:rsidP="00A233E7">
            <w:pPr>
              <w:pStyle w:val="TableText"/>
            </w:pPr>
            <w:r w:rsidRPr="00A12E3F">
              <w:t xml:space="preserve">The Minister agreed to include </w:t>
            </w:r>
            <w:r w:rsidR="00DD2685">
              <w:t xml:space="preserve">a policy (Policy 4) stating that </w:t>
            </w:r>
            <w:r w:rsidR="00CF14DC" w:rsidRPr="00A12E3F">
              <w:t>freshwater is managed as part of New Zealand’s integrated response to climate change</w:t>
            </w:r>
            <w:r w:rsidR="002A7A0E" w:rsidRPr="00A12E3F">
              <w:t xml:space="preserve">. </w:t>
            </w:r>
          </w:p>
          <w:p w14:paraId="699A6C45" w14:textId="4C257F78" w:rsidR="002A7A0E" w:rsidRPr="00A12E3F" w:rsidRDefault="002A7A0E" w:rsidP="00A233E7">
            <w:pPr>
              <w:pStyle w:val="TableText"/>
            </w:pPr>
            <w:r w:rsidRPr="00A12E3F">
              <w:t>There are</w:t>
            </w:r>
            <w:r w:rsidR="00CF14DC" w:rsidRPr="00A12E3F">
              <w:t xml:space="preserve"> additional requirements for councils </w:t>
            </w:r>
            <w:r w:rsidR="000A35A5" w:rsidRPr="00A12E3F">
              <w:t xml:space="preserve">to </w:t>
            </w:r>
            <w:r w:rsidR="00CF14DC" w:rsidRPr="00A12E3F">
              <w:t xml:space="preserve">have regard to </w:t>
            </w:r>
            <w:r w:rsidR="000A35A5" w:rsidRPr="00A12E3F">
              <w:t xml:space="preserve">the effects of climate change in the following </w:t>
            </w:r>
            <w:r w:rsidRPr="00A12E3F">
              <w:t>clauses</w:t>
            </w:r>
            <w:r w:rsidR="00CF14DC" w:rsidRPr="00A12E3F">
              <w:t xml:space="preserve">: </w:t>
            </w:r>
          </w:p>
          <w:p w14:paraId="02C76185" w14:textId="29A28D99" w:rsidR="002A7A0E" w:rsidRPr="00A12E3F" w:rsidRDefault="00CF14DC" w:rsidP="00A233E7">
            <w:pPr>
              <w:pStyle w:val="TableBullet"/>
            </w:pPr>
            <w:r w:rsidRPr="00A12E3F">
              <w:t xml:space="preserve">3.14 </w:t>
            </w:r>
            <w:r w:rsidR="002A7A0E" w:rsidRPr="00A12E3F">
              <w:t xml:space="preserve">– </w:t>
            </w:r>
            <w:r w:rsidR="00797E8B">
              <w:t>Setting limits on resource use</w:t>
            </w:r>
            <w:r w:rsidRPr="00A12E3F">
              <w:t xml:space="preserve"> </w:t>
            </w:r>
          </w:p>
          <w:p w14:paraId="7107E4A2" w14:textId="55219333" w:rsidR="002A7A0E" w:rsidRPr="00A12E3F" w:rsidRDefault="00CF14DC" w:rsidP="00A233E7">
            <w:pPr>
              <w:pStyle w:val="TableBullet"/>
            </w:pPr>
            <w:r w:rsidRPr="00A12E3F">
              <w:t xml:space="preserve">3.16 </w:t>
            </w:r>
            <w:r w:rsidR="002A7A0E" w:rsidRPr="00A12E3F">
              <w:t>–</w:t>
            </w:r>
            <w:r w:rsidRPr="00A12E3F">
              <w:t xml:space="preserve"> Setting environmental flows and levels</w:t>
            </w:r>
            <w:r w:rsidR="00797E8B">
              <w:t>,</w:t>
            </w:r>
            <w:r w:rsidRPr="00A12E3F">
              <w:t xml:space="preserve"> and</w:t>
            </w:r>
          </w:p>
          <w:p w14:paraId="30CBB1A6" w14:textId="4AABBD5D" w:rsidR="000911BA" w:rsidRPr="00A12E3F" w:rsidRDefault="00CF14DC" w:rsidP="00177D62">
            <w:pPr>
              <w:pStyle w:val="TableBullet"/>
            </w:pPr>
            <w:r w:rsidRPr="00A12E3F">
              <w:lastRenderedPageBreak/>
              <w:t xml:space="preserve">3.30 </w:t>
            </w:r>
            <w:r w:rsidR="002A7A0E" w:rsidRPr="00A12E3F">
              <w:t>–</w:t>
            </w:r>
            <w:r w:rsidRPr="00A12E3F">
              <w:t xml:space="preserve"> Assessing and reporting</w:t>
            </w:r>
            <w:r w:rsidR="002A7A0E" w:rsidRPr="00A12E3F">
              <w:t>,</w:t>
            </w:r>
            <w:r w:rsidRPr="00A12E3F">
              <w:t xml:space="preserve"> </w:t>
            </w:r>
            <w:r w:rsidR="00536E44" w:rsidRPr="00A12E3F">
              <w:t>which requires councils to report</w:t>
            </w:r>
            <w:r w:rsidRPr="00A12E3F">
              <w:t xml:space="preserve"> predictions of change, including the foreseeable effects of climate </w:t>
            </w:r>
            <w:r w:rsidR="00DB2BB6" w:rsidRPr="00A12E3F">
              <w:t>change, which</w:t>
            </w:r>
            <w:r w:rsidRPr="00A12E3F">
              <w:t xml:space="preserve"> are likely to affect water bodies and freshwater ecosystems in the region.</w:t>
            </w:r>
          </w:p>
        </w:tc>
      </w:tr>
      <w:tr w:rsidR="000911BA" w:rsidRPr="00A12E3F" w14:paraId="50C78E5B" w14:textId="77777777" w:rsidTr="00EF5C2F">
        <w:tc>
          <w:tcPr>
            <w:tcW w:w="3544" w:type="dxa"/>
          </w:tcPr>
          <w:p w14:paraId="63278B20" w14:textId="241CF834" w:rsidR="000911BA" w:rsidRPr="00A12E3F" w:rsidRDefault="000911BA" w:rsidP="00A233E7">
            <w:pPr>
              <w:pStyle w:val="TableText"/>
              <w:ind w:left="397" w:hanging="397"/>
              <w:rPr>
                <w:rFonts w:cstheme="minorBidi"/>
              </w:rPr>
            </w:pPr>
            <w:r w:rsidRPr="00A12E3F">
              <w:lastRenderedPageBreak/>
              <w:t xml:space="preserve">6. </w:t>
            </w:r>
            <w:r w:rsidR="00A233E7" w:rsidRPr="00A12E3F">
              <w:tab/>
            </w:r>
            <w:r w:rsidRPr="00A12E3F">
              <w:t>Amend the timing provision to refer to the date of public notification, rather than date of final decisions.</w:t>
            </w:r>
          </w:p>
        </w:tc>
        <w:tc>
          <w:tcPr>
            <w:tcW w:w="4961" w:type="dxa"/>
          </w:tcPr>
          <w:p w14:paraId="7F112BBB" w14:textId="2AE4FFE9" w:rsidR="000911BA" w:rsidRPr="00A12E3F" w:rsidRDefault="002A7A0E" w:rsidP="00DD2685">
            <w:pPr>
              <w:pStyle w:val="TableText"/>
            </w:pPr>
            <w:r w:rsidRPr="00A12E3F">
              <w:t>The Minister accepted this recommendation. An amendment to</w:t>
            </w:r>
            <w:r w:rsidR="0088186D" w:rsidRPr="00A12E3F">
              <w:t> </w:t>
            </w:r>
            <w:r w:rsidRPr="00A12E3F">
              <w:t xml:space="preserve">the </w:t>
            </w:r>
            <w:r w:rsidR="00DD2685">
              <w:t xml:space="preserve">RMA </w:t>
            </w:r>
            <w:r w:rsidRPr="00A12E3F">
              <w:t xml:space="preserve">requires public notification of plans implementing the </w:t>
            </w:r>
            <w:r w:rsidR="00EC7BF6">
              <w:t>NPS-FM 2020</w:t>
            </w:r>
            <w:r w:rsidRPr="00A12E3F">
              <w:t xml:space="preserve"> no later than 31</w:t>
            </w:r>
            <w:r w:rsidR="0088186D" w:rsidRPr="00A12E3F">
              <w:t> </w:t>
            </w:r>
            <w:r w:rsidRPr="00A12E3F">
              <w:t xml:space="preserve">December 2024. </w:t>
            </w:r>
          </w:p>
        </w:tc>
      </w:tr>
    </w:tbl>
    <w:p w14:paraId="35DF91B8" w14:textId="77777777" w:rsidR="00E01B8F" w:rsidRPr="00A12E3F" w:rsidRDefault="00E01B8F" w:rsidP="004C5995">
      <w:pPr>
        <w:pStyle w:val="BodyText"/>
        <w:spacing w:before="0" w:after="0"/>
      </w:pPr>
    </w:p>
    <w:p w14:paraId="3F0F1F27" w14:textId="0287FC1D" w:rsidR="00E01B8F" w:rsidRPr="00A12E3F" w:rsidRDefault="00E01B8F" w:rsidP="00E01B8F">
      <w:pPr>
        <w:pStyle w:val="Tableheading"/>
      </w:pPr>
      <w:bookmarkStart w:id="8" w:name="_Toc51337102"/>
      <w:r w:rsidRPr="00A12E3F">
        <w:t>Table 2:</w:t>
      </w:r>
      <w:r w:rsidRPr="00A12E3F">
        <w:tab/>
        <w:t>Large hydro-electric generation schemes</w:t>
      </w:r>
      <w:bookmarkEnd w:id="8"/>
    </w:p>
    <w:tbl>
      <w:tblPr>
        <w:tblStyle w:val="TableGrid"/>
        <w:tblW w:w="8562"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ayout w:type="fixed"/>
        <w:tblLook w:val="04A0" w:firstRow="1" w:lastRow="0" w:firstColumn="1" w:lastColumn="0" w:noHBand="0" w:noVBand="1"/>
      </w:tblPr>
      <w:tblGrid>
        <w:gridCol w:w="3544"/>
        <w:gridCol w:w="5018"/>
      </w:tblGrid>
      <w:tr w:rsidR="00520FBC" w:rsidRPr="00A12E3F" w14:paraId="381759A5" w14:textId="77777777" w:rsidTr="00EF5C2F">
        <w:trPr>
          <w:tblHeader/>
        </w:trPr>
        <w:tc>
          <w:tcPr>
            <w:tcW w:w="3544" w:type="dxa"/>
            <w:shd w:val="clear" w:color="auto" w:fill="1C556C"/>
          </w:tcPr>
          <w:bookmarkEnd w:id="3"/>
          <w:p w14:paraId="333D999D" w14:textId="77777777" w:rsidR="00520FBC" w:rsidRPr="00A12E3F" w:rsidRDefault="00520FBC" w:rsidP="001D2EF1">
            <w:pPr>
              <w:pStyle w:val="TableTextbold"/>
              <w:rPr>
                <w:color w:val="FFFFFF" w:themeColor="background1"/>
              </w:rPr>
            </w:pPr>
            <w:r w:rsidRPr="00A12E3F">
              <w:rPr>
                <w:color w:val="FFFFFF" w:themeColor="background1"/>
              </w:rPr>
              <w:t>Recommendation</w:t>
            </w:r>
          </w:p>
        </w:tc>
        <w:tc>
          <w:tcPr>
            <w:tcW w:w="5018" w:type="dxa"/>
            <w:shd w:val="clear" w:color="auto" w:fill="1C556C"/>
          </w:tcPr>
          <w:p w14:paraId="5D3AE95C" w14:textId="06B211AB" w:rsidR="00520FBC" w:rsidRPr="00A12E3F" w:rsidRDefault="00520FBC" w:rsidP="001D2EF1">
            <w:pPr>
              <w:pStyle w:val="TableTextbold"/>
              <w:rPr>
                <w:color w:val="FFFFFF" w:themeColor="background1"/>
              </w:rPr>
            </w:pPr>
            <w:r w:rsidRPr="00A12E3F">
              <w:rPr>
                <w:color w:val="FFFFFF" w:themeColor="background1"/>
              </w:rPr>
              <w:t>Summary of, and key reasons for, Minister’s decision</w:t>
            </w:r>
          </w:p>
        </w:tc>
      </w:tr>
      <w:tr w:rsidR="0099481B" w:rsidRPr="00A12E3F" w14:paraId="3D0F4FE0" w14:textId="77777777" w:rsidTr="00EF5C2F">
        <w:tc>
          <w:tcPr>
            <w:tcW w:w="3544" w:type="dxa"/>
            <w:shd w:val="clear" w:color="auto" w:fill="auto"/>
          </w:tcPr>
          <w:p w14:paraId="3942B71D" w14:textId="68E224C7" w:rsidR="0099481B" w:rsidRPr="00A12E3F" w:rsidRDefault="0099481B" w:rsidP="001D2EF1">
            <w:pPr>
              <w:pStyle w:val="TableText"/>
              <w:ind w:left="397" w:hanging="397"/>
              <w:rPr>
                <w:rFonts w:cstheme="minorBidi"/>
              </w:rPr>
            </w:pPr>
            <w:r w:rsidRPr="00A12E3F">
              <w:rPr>
                <w:rFonts w:cs="Calibri"/>
              </w:rPr>
              <w:t xml:space="preserve">7. </w:t>
            </w:r>
            <w:r w:rsidR="001D2EF1" w:rsidRPr="00A12E3F">
              <w:rPr>
                <w:rFonts w:cs="Calibri"/>
              </w:rPr>
              <w:tab/>
            </w:r>
            <w:r w:rsidRPr="00A12E3F">
              <w:t>Accept the provision allowing councils to make exception for specified hydroelectricity schemes.</w:t>
            </w:r>
          </w:p>
        </w:tc>
        <w:tc>
          <w:tcPr>
            <w:tcW w:w="5018" w:type="dxa"/>
            <w:shd w:val="clear" w:color="auto" w:fill="auto"/>
          </w:tcPr>
          <w:p w14:paraId="4F77AC06" w14:textId="6092B04C" w:rsidR="0099481B" w:rsidRPr="00A12E3F" w:rsidRDefault="0099481B" w:rsidP="001D2EF1">
            <w:pPr>
              <w:pStyle w:val="TableText"/>
            </w:pPr>
            <w:r w:rsidRPr="00A12E3F">
              <w:t xml:space="preserve">The Minister </w:t>
            </w:r>
            <w:r w:rsidR="00F22746" w:rsidRPr="00A12E3F">
              <w:t xml:space="preserve">accepted this recommendation </w:t>
            </w:r>
            <w:r w:rsidRPr="00A12E3F">
              <w:t>in order to balance the Government</w:t>
            </w:r>
            <w:r w:rsidR="00DD2685">
              <w:t>’</w:t>
            </w:r>
            <w:r w:rsidRPr="00A12E3F">
              <w:t xml:space="preserve">s priorities </w:t>
            </w:r>
            <w:r w:rsidR="001F702F" w:rsidRPr="00A12E3F">
              <w:t>for a</w:t>
            </w:r>
            <w:r w:rsidRPr="00A12E3F">
              <w:t xml:space="preserve">ction on climate change and freshwater health (see clause 3.31 of the </w:t>
            </w:r>
            <w:r w:rsidR="00EC7BF6">
              <w:t>NPS-FM 2020</w:t>
            </w:r>
            <w:r w:rsidRPr="00A12E3F">
              <w:t>)</w:t>
            </w:r>
            <w:r w:rsidR="00A75B14" w:rsidRPr="00A12E3F">
              <w:t>.</w:t>
            </w:r>
          </w:p>
        </w:tc>
      </w:tr>
      <w:tr w:rsidR="00520FBC" w:rsidRPr="00A12E3F" w14:paraId="72894290" w14:textId="77777777" w:rsidTr="00EF5C2F">
        <w:tc>
          <w:tcPr>
            <w:tcW w:w="3544" w:type="dxa"/>
            <w:shd w:val="clear" w:color="auto" w:fill="auto"/>
          </w:tcPr>
          <w:p w14:paraId="0DB8FAD4" w14:textId="46A9D796" w:rsidR="00520FBC" w:rsidRPr="00A12E3F" w:rsidRDefault="00520FBC" w:rsidP="001D2EF1">
            <w:pPr>
              <w:pStyle w:val="TableText"/>
              <w:ind w:left="397" w:hanging="397"/>
            </w:pPr>
            <w:r w:rsidRPr="00A12E3F">
              <w:rPr>
                <w:rFonts w:cs="Calibri"/>
              </w:rPr>
              <w:t xml:space="preserve">8. </w:t>
            </w:r>
            <w:r w:rsidR="001D2EF1" w:rsidRPr="00A12E3F">
              <w:rPr>
                <w:rFonts w:cs="Calibri"/>
              </w:rPr>
              <w:tab/>
            </w:r>
            <w:r w:rsidRPr="00A12E3F">
              <w:t>Restrict the possibility of an exception to the most significant hydro-electricity schemes.</w:t>
            </w:r>
          </w:p>
        </w:tc>
        <w:tc>
          <w:tcPr>
            <w:tcW w:w="5018" w:type="dxa"/>
            <w:shd w:val="clear" w:color="auto" w:fill="auto"/>
          </w:tcPr>
          <w:p w14:paraId="0C7B556F" w14:textId="66B20D88" w:rsidR="00520FBC" w:rsidRPr="00A12E3F" w:rsidRDefault="00627B37" w:rsidP="004462BE">
            <w:pPr>
              <w:pStyle w:val="TableText"/>
            </w:pPr>
            <w:r w:rsidRPr="00A12E3F">
              <w:t>The Minister accepted this recommendation.</w:t>
            </w:r>
            <w:r w:rsidR="005662B2" w:rsidRPr="00A12E3F">
              <w:t xml:space="preserve"> </w:t>
            </w:r>
            <w:r w:rsidR="00CB71CC" w:rsidRPr="00A12E3F">
              <w:t xml:space="preserve">The Minister </w:t>
            </w:r>
            <w:r w:rsidR="00965D88" w:rsidRPr="00A12E3F">
              <w:t>decided to</w:t>
            </w:r>
            <w:r w:rsidR="00CB71CC" w:rsidRPr="00A12E3F">
              <w:t xml:space="preserve"> restrict the policy to the 5 following schemes; Waikato</w:t>
            </w:r>
            <w:r w:rsidR="0088186D" w:rsidRPr="00A12E3F">
              <w:t> </w:t>
            </w:r>
            <w:r w:rsidR="00CB71CC" w:rsidRPr="00A12E3F">
              <w:t xml:space="preserve">Scheme, </w:t>
            </w:r>
            <w:proofErr w:type="spellStart"/>
            <w:r w:rsidR="00CB71CC" w:rsidRPr="00A12E3F">
              <w:t>Tongariro</w:t>
            </w:r>
            <w:proofErr w:type="spellEnd"/>
            <w:r w:rsidR="00CB71CC" w:rsidRPr="00A12E3F">
              <w:t xml:space="preserve"> Scheme, </w:t>
            </w:r>
            <w:proofErr w:type="spellStart"/>
            <w:r w:rsidR="00CB71CC" w:rsidRPr="00A12E3F">
              <w:t>Waitaki</w:t>
            </w:r>
            <w:proofErr w:type="spellEnd"/>
            <w:r w:rsidR="00CB71CC" w:rsidRPr="00A12E3F">
              <w:t xml:space="preserve"> Scheme, </w:t>
            </w:r>
            <w:proofErr w:type="spellStart"/>
            <w:r w:rsidR="00CB71CC" w:rsidRPr="00A12E3F">
              <w:t>Manapouri</w:t>
            </w:r>
            <w:proofErr w:type="spellEnd"/>
            <w:r w:rsidR="0088186D" w:rsidRPr="00A12E3F">
              <w:t> </w:t>
            </w:r>
            <w:r w:rsidR="00CB71CC" w:rsidRPr="00A12E3F">
              <w:t>Scheme,</w:t>
            </w:r>
            <w:r w:rsidR="006060FC" w:rsidRPr="00A12E3F">
              <w:t xml:space="preserve"> and</w:t>
            </w:r>
            <w:r w:rsidR="005662B2" w:rsidRPr="00A12E3F">
              <w:t xml:space="preserve"> </w:t>
            </w:r>
            <w:r w:rsidR="00CB71CC" w:rsidRPr="00A12E3F">
              <w:t>Clutha Scheme</w:t>
            </w:r>
            <w:r w:rsidR="006060FC" w:rsidRPr="00A12E3F">
              <w:t>,</w:t>
            </w:r>
            <w:r w:rsidR="00536E44" w:rsidRPr="00A12E3F">
              <w:t xml:space="preserve"> as these are </w:t>
            </w:r>
            <w:r w:rsidR="004462BE" w:rsidRPr="004462BE">
              <w:t>the</w:t>
            </w:r>
            <w:r w:rsidR="003D36DC" w:rsidRPr="004462BE">
              <w:t xml:space="preserve"> </w:t>
            </w:r>
            <w:r w:rsidR="004462BE" w:rsidRPr="004462BE">
              <w:t>5 largest electricity generation schemes</w:t>
            </w:r>
            <w:r w:rsidR="004462BE">
              <w:t>.</w:t>
            </w:r>
          </w:p>
        </w:tc>
      </w:tr>
      <w:tr w:rsidR="00520FBC" w:rsidRPr="00A12E3F" w14:paraId="4E7105E2" w14:textId="77777777" w:rsidTr="00EF5C2F">
        <w:tc>
          <w:tcPr>
            <w:tcW w:w="3544" w:type="dxa"/>
          </w:tcPr>
          <w:p w14:paraId="1627DDBE" w14:textId="2A42FE2F" w:rsidR="00520FBC" w:rsidRPr="00A12E3F" w:rsidRDefault="00520FBC" w:rsidP="001D2EF1">
            <w:pPr>
              <w:pStyle w:val="TableText"/>
              <w:ind w:left="397" w:hanging="397"/>
              <w:rPr>
                <w:rFonts w:cstheme="minorBidi"/>
              </w:rPr>
            </w:pPr>
            <w:r w:rsidRPr="00A12E3F">
              <w:rPr>
                <w:rFonts w:cs="Calibri"/>
              </w:rPr>
              <w:t xml:space="preserve">9. </w:t>
            </w:r>
            <w:r w:rsidR="001D2EF1" w:rsidRPr="00A12E3F">
              <w:rPr>
                <w:rFonts w:cs="Calibri"/>
              </w:rPr>
              <w:tab/>
            </w:r>
            <w:r w:rsidRPr="00A12E3F">
              <w:t xml:space="preserve">Remove the </w:t>
            </w:r>
            <w:proofErr w:type="spellStart"/>
            <w:r w:rsidRPr="00A12E3F">
              <w:t>Waikaremoana</w:t>
            </w:r>
            <w:proofErr w:type="spellEnd"/>
            <w:r w:rsidRPr="00A12E3F">
              <w:t xml:space="preserve"> scheme from the list of schemes that are to be</w:t>
            </w:r>
            <w:r w:rsidR="0088186D" w:rsidRPr="00A12E3F">
              <w:t> </w:t>
            </w:r>
            <w:r w:rsidRPr="00A12E3F">
              <w:t>exempted.</w:t>
            </w:r>
          </w:p>
        </w:tc>
        <w:tc>
          <w:tcPr>
            <w:tcW w:w="5018" w:type="dxa"/>
          </w:tcPr>
          <w:p w14:paraId="12728550" w14:textId="5909BFEE" w:rsidR="00520FBC" w:rsidRPr="00A12E3F" w:rsidRDefault="00B82B1E" w:rsidP="001D2EF1">
            <w:pPr>
              <w:pStyle w:val="TableText"/>
            </w:pPr>
            <w:r w:rsidRPr="00A12E3F">
              <w:t xml:space="preserve">The Minister </w:t>
            </w:r>
            <w:r w:rsidR="00CB71CC" w:rsidRPr="00A12E3F">
              <w:t>a</w:t>
            </w:r>
            <w:r w:rsidR="002A7A0E" w:rsidRPr="00A12E3F">
              <w:t>ccepted this recommendation</w:t>
            </w:r>
            <w:r w:rsidR="00A5755A" w:rsidRPr="00A12E3F">
              <w:t xml:space="preserve"> – see above</w:t>
            </w:r>
            <w:r w:rsidR="002A7A0E" w:rsidRPr="00A12E3F">
              <w:t xml:space="preserve">. </w:t>
            </w:r>
          </w:p>
        </w:tc>
      </w:tr>
      <w:tr w:rsidR="00520FBC" w:rsidRPr="00A12E3F" w14:paraId="08E5E1C4" w14:textId="77777777" w:rsidTr="00EF5C2F">
        <w:tc>
          <w:tcPr>
            <w:tcW w:w="3544" w:type="dxa"/>
          </w:tcPr>
          <w:p w14:paraId="2E9BA1E3" w14:textId="10420B35" w:rsidR="00520FBC" w:rsidRPr="00A12E3F" w:rsidRDefault="00520FBC" w:rsidP="001D2EF1">
            <w:pPr>
              <w:pStyle w:val="TableText"/>
              <w:ind w:left="397" w:hanging="397"/>
              <w:rPr>
                <w:rFonts w:cs="Calibri"/>
              </w:rPr>
            </w:pPr>
            <w:r w:rsidRPr="00A12E3F">
              <w:rPr>
                <w:rFonts w:cs="Calibri"/>
              </w:rPr>
              <w:t xml:space="preserve">10. </w:t>
            </w:r>
            <w:r w:rsidR="001D2EF1" w:rsidRPr="00A12E3F">
              <w:rPr>
                <w:rFonts w:cs="Calibri"/>
              </w:rPr>
              <w:tab/>
            </w:r>
            <w:r w:rsidRPr="00A12E3F">
              <w:t xml:space="preserve">Clarify within the </w:t>
            </w:r>
            <w:r w:rsidR="00EC7BF6">
              <w:t>NPS-FM 2020</w:t>
            </w:r>
            <w:r w:rsidRPr="00A12E3F">
              <w:t xml:space="preserve"> that the requirement on councils to maintain or improve water quality applies even where an exception is granted</w:t>
            </w:r>
            <w:r w:rsidRPr="00A12E3F">
              <w:rPr>
                <w:rFonts w:cs="Calibri"/>
              </w:rPr>
              <w:t>.</w:t>
            </w:r>
          </w:p>
        </w:tc>
        <w:tc>
          <w:tcPr>
            <w:tcW w:w="5018" w:type="dxa"/>
          </w:tcPr>
          <w:p w14:paraId="239E3F0F" w14:textId="4F71D8D9" w:rsidR="00520FBC" w:rsidRPr="00A12E3F" w:rsidRDefault="00B82B1E" w:rsidP="001D2EF1">
            <w:pPr>
              <w:pStyle w:val="TableText"/>
            </w:pPr>
            <w:r w:rsidRPr="00A12E3F">
              <w:t xml:space="preserve">The Minister agreed </w:t>
            </w:r>
            <w:r w:rsidR="006060FC" w:rsidRPr="00A12E3F">
              <w:t>to require</w:t>
            </w:r>
            <w:r w:rsidR="0090147B" w:rsidRPr="00A12E3F">
              <w:t xml:space="preserve"> </w:t>
            </w:r>
            <w:r w:rsidR="006C749F" w:rsidRPr="00A12E3F">
              <w:t xml:space="preserve">that improvement must be achieved </w:t>
            </w:r>
            <w:r w:rsidR="006060FC" w:rsidRPr="00A12E3F">
              <w:t xml:space="preserve">to the extent practicable without having a significant adverse effect, where a council chooses to set a target attribute state below a national bottom line. </w:t>
            </w:r>
          </w:p>
        </w:tc>
      </w:tr>
      <w:tr w:rsidR="00520FBC" w:rsidRPr="00A12E3F" w14:paraId="60721C5B" w14:textId="77777777" w:rsidTr="00EF5C2F">
        <w:tc>
          <w:tcPr>
            <w:tcW w:w="3544" w:type="dxa"/>
          </w:tcPr>
          <w:p w14:paraId="4D81D7AE" w14:textId="11FD3582" w:rsidR="00520FBC" w:rsidRPr="00A12E3F" w:rsidRDefault="00520FBC" w:rsidP="001D2EF1">
            <w:pPr>
              <w:pStyle w:val="TableText"/>
              <w:ind w:left="397" w:hanging="397"/>
              <w:rPr>
                <w:rFonts w:cstheme="minorBidi"/>
              </w:rPr>
            </w:pPr>
            <w:r w:rsidRPr="00A12E3F">
              <w:rPr>
                <w:rFonts w:cs="Calibri"/>
              </w:rPr>
              <w:t xml:space="preserve">11. </w:t>
            </w:r>
            <w:r w:rsidR="001D2EF1" w:rsidRPr="00A12E3F">
              <w:rPr>
                <w:rFonts w:cs="Calibri"/>
              </w:rPr>
              <w:tab/>
            </w:r>
            <w:r w:rsidRPr="00A12E3F">
              <w:t>Add a policy to 2.2 of the NPS</w:t>
            </w:r>
            <w:r w:rsidR="004462BE">
              <w:t>-FM</w:t>
            </w:r>
            <w:r w:rsidRPr="00A12E3F">
              <w:t xml:space="preserve"> to the effect that freshwater resources are managed as part of New Zealand’s integrated response to climate change. </w:t>
            </w:r>
          </w:p>
        </w:tc>
        <w:tc>
          <w:tcPr>
            <w:tcW w:w="5018" w:type="dxa"/>
          </w:tcPr>
          <w:p w14:paraId="093C1158" w14:textId="7234AEA3" w:rsidR="00520FBC" w:rsidRPr="00A12E3F" w:rsidRDefault="00CB71CC" w:rsidP="001D2EF1">
            <w:pPr>
              <w:pStyle w:val="TableText"/>
            </w:pPr>
            <w:r w:rsidRPr="00A12E3F">
              <w:t>The Minister agreed to include Policy 4:</w:t>
            </w:r>
            <w:r w:rsidRPr="00A12E3F">
              <w:rPr>
                <w:i/>
              </w:rPr>
              <w:t xml:space="preserve"> Freshwater is managed as part of New Zealand’s integr</w:t>
            </w:r>
            <w:r w:rsidR="00536E44" w:rsidRPr="00A12E3F">
              <w:rPr>
                <w:i/>
              </w:rPr>
              <w:t xml:space="preserve">ated response to climate change, </w:t>
            </w:r>
            <w:r w:rsidR="00536E44" w:rsidRPr="00A12E3F">
              <w:t>to signal the importance of balancing the priorities of freshwater health and action on climate change.</w:t>
            </w:r>
            <w:r w:rsidR="005662B2" w:rsidRPr="00A12E3F">
              <w:t xml:space="preserve"> </w:t>
            </w:r>
          </w:p>
        </w:tc>
      </w:tr>
    </w:tbl>
    <w:p w14:paraId="16A3C15A" w14:textId="77777777" w:rsidR="00E64676" w:rsidRPr="00A12E3F" w:rsidRDefault="00E64676" w:rsidP="004C5995">
      <w:pPr>
        <w:pStyle w:val="BodyText"/>
        <w:spacing w:before="0" w:after="0"/>
      </w:pPr>
    </w:p>
    <w:p w14:paraId="20D58318" w14:textId="5BBF68BB" w:rsidR="00520FBC" w:rsidRPr="00A12E3F" w:rsidRDefault="00520FBC" w:rsidP="00950310">
      <w:pPr>
        <w:pStyle w:val="Tableheading"/>
      </w:pPr>
      <w:bookmarkStart w:id="9" w:name="_Toc51337103"/>
      <w:r w:rsidRPr="00A12E3F">
        <w:t>Table 3</w:t>
      </w:r>
      <w:r w:rsidR="001739C4" w:rsidRPr="00A12E3F">
        <w:t>:</w:t>
      </w:r>
      <w:r w:rsidRPr="00A12E3F">
        <w:t xml:space="preserve"> </w:t>
      </w:r>
      <w:r w:rsidRPr="00A12E3F">
        <w:tab/>
        <w:t>National Objectives Framework</w:t>
      </w:r>
      <w:bookmarkEnd w:id="9"/>
    </w:p>
    <w:tbl>
      <w:tblPr>
        <w:tblStyle w:val="TableGrid"/>
        <w:tblW w:w="8562"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3544"/>
        <w:gridCol w:w="5018"/>
      </w:tblGrid>
      <w:tr w:rsidR="001739C4" w:rsidRPr="00A12E3F" w14:paraId="2575F2FC" w14:textId="77777777" w:rsidTr="00EF5C2F">
        <w:trPr>
          <w:tblHeader/>
        </w:trPr>
        <w:tc>
          <w:tcPr>
            <w:tcW w:w="3544" w:type="dxa"/>
            <w:shd w:val="clear" w:color="auto" w:fill="1C556C"/>
          </w:tcPr>
          <w:p w14:paraId="4AA7970D" w14:textId="77777777" w:rsidR="00520FBC" w:rsidRPr="00A12E3F" w:rsidRDefault="00520FBC" w:rsidP="001739C4">
            <w:pPr>
              <w:pStyle w:val="TableTextbold"/>
              <w:rPr>
                <w:color w:val="FFFFFF" w:themeColor="background1"/>
              </w:rPr>
            </w:pPr>
            <w:r w:rsidRPr="00A12E3F">
              <w:rPr>
                <w:color w:val="FFFFFF" w:themeColor="background1"/>
              </w:rPr>
              <w:t>Recommendation</w:t>
            </w:r>
          </w:p>
        </w:tc>
        <w:tc>
          <w:tcPr>
            <w:tcW w:w="5018" w:type="dxa"/>
            <w:shd w:val="clear" w:color="auto" w:fill="1C556C"/>
          </w:tcPr>
          <w:p w14:paraId="1A5AB8F3" w14:textId="2631268F" w:rsidR="00520FBC" w:rsidRPr="00A12E3F" w:rsidRDefault="00520FBC" w:rsidP="001739C4">
            <w:pPr>
              <w:pStyle w:val="TableTextbold"/>
              <w:rPr>
                <w:color w:val="FFFFFF" w:themeColor="background1"/>
              </w:rPr>
            </w:pPr>
            <w:r w:rsidRPr="00A12E3F">
              <w:rPr>
                <w:color w:val="FFFFFF" w:themeColor="background1"/>
              </w:rPr>
              <w:t>Summary of, and key reasons for, Minister’s decision</w:t>
            </w:r>
          </w:p>
        </w:tc>
      </w:tr>
      <w:tr w:rsidR="00520FBC" w:rsidRPr="00A12E3F" w14:paraId="66E3779C" w14:textId="77777777" w:rsidTr="00EF5C2F">
        <w:tc>
          <w:tcPr>
            <w:tcW w:w="3544" w:type="dxa"/>
            <w:shd w:val="clear" w:color="auto" w:fill="auto"/>
          </w:tcPr>
          <w:p w14:paraId="05B3B075" w14:textId="3CB511B6" w:rsidR="00520FBC" w:rsidRPr="00A12E3F" w:rsidRDefault="00520FBC" w:rsidP="00EF5C2F">
            <w:pPr>
              <w:pStyle w:val="TableText"/>
              <w:ind w:left="397" w:hanging="397"/>
            </w:pPr>
            <w:r w:rsidRPr="00A12E3F">
              <w:t xml:space="preserve">12. </w:t>
            </w:r>
            <w:r w:rsidR="00EF5C2F" w:rsidRPr="00A12E3F">
              <w:tab/>
            </w:r>
            <w:r w:rsidRPr="00A12E3F">
              <w:t xml:space="preserve">Remove the requirement at 3.5 in the </w:t>
            </w:r>
            <w:r w:rsidR="00EC7BF6">
              <w:t>NPS-FM 2020</w:t>
            </w:r>
            <w:r w:rsidRPr="00A12E3F">
              <w:t xml:space="preserve"> to consult</w:t>
            </w:r>
            <w:r w:rsidR="00223526" w:rsidRPr="00A12E3F">
              <w:t xml:space="preserve"> at every stage of the</w:t>
            </w:r>
            <w:r w:rsidR="00EF5C2F" w:rsidRPr="00A12E3F">
              <w:t> </w:t>
            </w:r>
            <w:r w:rsidR="00223526" w:rsidRPr="00A12E3F">
              <w:t>process</w:t>
            </w:r>
            <w:r w:rsidRPr="00A12E3F">
              <w:t>.</w:t>
            </w:r>
          </w:p>
        </w:tc>
        <w:tc>
          <w:tcPr>
            <w:tcW w:w="5018" w:type="dxa"/>
            <w:shd w:val="clear" w:color="auto" w:fill="auto"/>
          </w:tcPr>
          <w:p w14:paraId="598538DE" w14:textId="18AA57E1" w:rsidR="006E3D25" w:rsidRPr="00A12E3F" w:rsidRDefault="00081793" w:rsidP="001739C4">
            <w:pPr>
              <w:pStyle w:val="TableText"/>
            </w:pPr>
            <w:r w:rsidRPr="00A12E3F">
              <w:t xml:space="preserve">The </w:t>
            </w:r>
            <w:r w:rsidR="006E3D25" w:rsidRPr="00A12E3F">
              <w:t xml:space="preserve">Minister decided to retain </w:t>
            </w:r>
            <w:r w:rsidRPr="00A12E3F">
              <w:t>a</w:t>
            </w:r>
            <w:r w:rsidR="006E3D25" w:rsidRPr="00A12E3F">
              <w:t xml:space="preserve"> requirement to </w:t>
            </w:r>
            <w:r w:rsidRPr="00A12E3F">
              <w:t xml:space="preserve">engage with communities and tangata whenua at each stage of the NOF process (see </w:t>
            </w:r>
            <w:r w:rsidR="00121C23">
              <w:t xml:space="preserve">clause </w:t>
            </w:r>
            <w:r w:rsidRPr="00A12E3F">
              <w:t xml:space="preserve">3.7(1)) to ensure that the content of regional plans is derived with input from the whole community and to reflect various requirements of the </w:t>
            </w:r>
            <w:r w:rsidR="006060FC" w:rsidRPr="00A12E3F">
              <w:t>RMA</w:t>
            </w:r>
            <w:r w:rsidRPr="00A12E3F">
              <w:t xml:space="preserve"> including Part 8.</w:t>
            </w:r>
          </w:p>
        </w:tc>
      </w:tr>
      <w:tr w:rsidR="00520FBC" w:rsidRPr="00A12E3F" w14:paraId="4E40F448" w14:textId="77777777" w:rsidTr="00EF5C2F">
        <w:tc>
          <w:tcPr>
            <w:tcW w:w="3544" w:type="dxa"/>
            <w:shd w:val="clear" w:color="auto" w:fill="auto"/>
          </w:tcPr>
          <w:p w14:paraId="5B4A1261" w14:textId="71980162" w:rsidR="00520FBC" w:rsidRPr="00A12E3F" w:rsidRDefault="00520FBC" w:rsidP="00EF5C2F">
            <w:pPr>
              <w:pStyle w:val="TableText"/>
              <w:ind w:left="397" w:hanging="397"/>
            </w:pPr>
            <w:r w:rsidRPr="00A12E3F">
              <w:t xml:space="preserve">13. </w:t>
            </w:r>
            <w:r w:rsidR="00EF5C2F" w:rsidRPr="00A12E3F">
              <w:tab/>
            </w:r>
            <w:r w:rsidRPr="00A12E3F">
              <w:t xml:space="preserve">Add a </w:t>
            </w:r>
            <w:proofErr w:type="spellStart"/>
            <w:r w:rsidRPr="00A12E3F">
              <w:t>subclause</w:t>
            </w:r>
            <w:proofErr w:type="spellEnd"/>
            <w:r w:rsidRPr="00A12E3F">
              <w:t xml:space="preserve"> to 3.6 in the </w:t>
            </w:r>
            <w:r w:rsidR="00EC7BF6">
              <w:t>NPS-FM 2020</w:t>
            </w:r>
            <w:r w:rsidRPr="00A12E3F">
              <w:t xml:space="preserve"> to</w:t>
            </w:r>
            <w:r w:rsidR="00EF5C2F" w:rsidRPr="00A12E3F">
              <w:t> </w:t>
            </w:r>
            <w:r w:rsidRPr="00A12E3F">
              <w:t>the effect that councils ought to monitor vulnerable sites and sensitive receiving environments, alongside representative sites.</w:t>
            </w:r>
          </w:p>
        </w:tc>
        <w:tc>
          <w:tcPr>
            <w:tcW w:w="5018" w:type="dxa"/>
            <w:shd w:val="clear" w:color="auto" w:fill="auto"/>
          </w:tcPr>
          <w:p w14:paraId="43AFE715" w14:textId="6C99645A" w:rsidR="00520FBC" w:rsidRPr="00A12E3F" w:rsidRDefault="003D36DC" w:rsidP="001739C4">
            <w:pPr>
              <w:pStyle w:val="TableText"/>
            </w:pPr>
            <w:r w:rsidRPr="00A12E3F">
              <w:t xml:space="preserve">The Minister decided not to </w:t>
            </w:r>
            <w:r w:rsidR="00636716" w:rsidRPr="00A12E3F">
              <w:t>specifically require councils to monitor</w:t>
            </w:r>
            <w:r w:rsidRPr="00A12E3F">
              <w:t xml:space="preserve"> vulnerable sites as this is captured by </w:t>
            </w:r>
            <w:r w:rsidR="00636716" w:rsidRPr="00A12E3F">
              <w:t xml:space="preserve">monitoring </w:t>
            </w:r>
            <w:r w:rsidRPr="00A12E3F">
              <w:t>receiving environments</w:t>
            </w:r>
            <w:r w:rsidR="00636716" w:rsidRPr="00A12E3F">
              <w:t xml:space="preserve">. </w:t>
            </w:r>
            <w:r w:rsidR="00B554F4" w:rsidRPr="00A12E3F">
              <w:t xml:space="preserve">The </w:t>
            </w:r>
            <w:r w:rsidR="00EC7BF6">
              <w:t>NPS-FM 2020</w:t>
            </w:r>
            <w:r w:rsidR="00B554F4" w:rsidRPr="00A12E3F">
              <w:t xml:space="preserve"> directs councils to take into account receiving environments when establishing target attribute states. Further, when developing target attribute states for nutrients, the </w:t>
            </w:r>
            <w:r w:rsidR="00EC7BF6">
              <w:t>NPS-FM 2020</w:t>
            </w:r>
            <w:r w:rsidR="00B554F4" w:rsidRPr="00A12E3F">
              <w:t xml:space="preserve"> explicitly directs regional councils to take into account the environmental outcomes sought for downstream nutrient-sensitive receiving environments. </w:t>
            </w:r>
          </w:p>
        </w:tc>
      </w:tr>
      <w:tr w:rsidR="00520FBC" w:rsidRPr="00A12E3F" w14:paraId="50F83801" w14:textId="77777777" w:rsidTr="00EF5C2F">
        <w:tc>
          <w:tcPr>
            <w:tcW w:w="3544" w:type="dxa"/>
          </w:tcPr>
          <w:p w14:paraId="69776CC4" w14:textId="21612497" w:rsidR="00520FBC" w:rsidRPr="00A12E3F" w:rsidRDefault="00576481" w:rsidP="00707277">
            <w:pPr>
              <w:pStyle w:val="TableText"/>
              <w:keepNext/>
              <w:ind w:left="397" w:hanging="397"/>
            </w:pPr>
            <w:r w:rsidRPr="00A12E3F">
              <w:lastRenderedPageBreak/>
              <w:t xml:space="preserve">14. </w:t>
            </w:r>
            <w:r w:rsidR="00EF5C2F" w:rsidRPr="00A12E3F">
              <w:tab/>
            </w:r>
            <w:r w:rsidRPr="00A12E3F">
              <w:t xml:space="preserve">Incorporate ‘load to come’ </w:t>
            </w:r>
            <w:r w:rsidR="00520FBC" w:rsidRPr="00A12E3F">
              <w:t>(or nutrient lag) into current state identification where it is justified.</w:t>
            </w:r>
          </w:p>
        </w:tc>
        <w:tc>
          <w:tcPr>
            <w:tcW w:w="5018" w:type="dxa"/>
          </w:tcPr>
          <w:p w14:paraId="25949A82" w14:textId="0EBABAA6" w:rsidR="00520FBC" w:rsidRPr="00A12E3F" w:rsidRDefault="006060FC" w:rsidP="001739C4">
            <w:pPr>
              <w:pStyle w:val="TableText"/>
            </w:pPr>
            <w:r w:rsidRPr="00A12E3F">
              <w:t>The Minister agreed</w:t>
            </w:r>
            <w:r w:rsidR="004567FA" w:rsidRPr="00A12E3F">
              <w:t xml:space="preserve"> that lags (or the ‘load to come’) need to be accounted for in freshwater planning. However, lags are best accounted for through the timeframes councils and communities set for achieving target attribute states (including those to maintain current state, where some degradation is likely as a result of lags), and when reporting on progress over time (which is now an explicit requirement). It is accepted that lags may result in freshwater </w:t>
            </w:r>
            <w:r w:rsidR="00FD2678" w:rsidRPr="00A12E3F">
              <w:t xml:space="preserve">health </w:t>
            </w:r>
            <w:r w:rsidR="004567FA" w:rsidRPr="00A12E3F">
              <w:t xml:space="preserve">getting worse before </w:t>
            </w:r>
            <w:r w:rsidR="00FD2678" w:rsidRPr="00A12E3F">
              <w:t xml:space="preserve">it </w:t>
            </w:r>
            <w:r w:rsidR="004567FA" w:rsidRPr="00A12E3F">
              <w:t>get</w:t>
            </w:r>
            <w:r w:rsidR="00FD2678" w:rsidRPr="00A12E3F">
              <w:t>s</w:t>
            </w:r>
            <w:r w:rsidR="004567FA" w:rsidRPr="00A12E3F">
              <w:t xml:space="preserve"> better, and that maintaining freshwater </w:t>
            </w:r>
            <w:r w:rsidR="00FD2678" w:rsidRPr="00A12E3F">
              <w:t xml:space="preserve">health </w:t>
            </w:r>
            <w:r w:rsidR="004567FA" w:rsidRPr="00A12E3F">
              <w:t>may be more challenging in some places (</w:t>
            </w:r>
            <w:proofErr w:type="spellStart"/>
            <w:r w:rsidR="004567FA" w:rsidRPr="00A12E3F">
              <w:t>i</w:t>
            </w:r>
            <w:r w:rsidR="006A758C">
              <w:t>e</w:t>
            </w:r>
            <w:proofErr w:type="spellEnd"/>
            <w:r w:rsidR="006A758C">
              <w:t>,</w:t>
            </w:r>
            <w:r w:rsidR="004567FA" w:rsidRPr="00A12E3F">
              <w:t xml:space="preserve"> </w:t>
            </w:r>
            <w:r w:rsidR="00FD2678" w:rsidRPr="00A12E3F">
              <w:t xml:space="preserve">those </w:t>
            </w:r>
            <w:r w:rsidR="004567FA" w:rsidRPr="00A12E3F">
              <w:t xml:space="preserve">with longer lag times). However, it would not be consistent with policy intent – to halt further declines in water quality, and begin reversing it – to account for lags when identifying the </w:t>
            </w:r>
            <w:r w:rsidR="00FD2678" w:rsidRPr="00A12E3F">
              <w:t xml:space="preserve">baseline </w:t>
            </w:r>
            <w:r w:rsidR="004567FA" w:rsidRPr="00A12E3F">
              <w:t>state that is to be maintained. Doing so would permit those declines to occur without steps being taken to halt or reverse them.</w:t>
            </w:r>
          </w:p>
        </w:tc>
      </w:tr>
      <w:tr w:rsidR="00520FBC" w:rsidRPr="00A12E3F" w14:paraId="6DF5117B" w14:textId="77777777" w:rsidTr="00EF5C2F">
        <w:tc>
          <w:tcPr>
            <w:tcW w:w="3544" w:type="dxa"/>
          </w:tcPr>
          <w:p w14:paraId="7AA1C232" w14:textId="6B4F2D46" w:rsidR="00520FBC" w:rsidRPr="00A12E3F" w:rsidRDefault="00520FBC" w:rsidP="00EF5C2F">
            <w:pPr>
              <w:pStyle w:val="TableText"/>
              <w:ind w:left="397" w:hanging="397"/>
            </w:pPr>
            <w:r w:rsidRPr="00A12E3F">
              <w:t xml:space="preserve">15. </w:t>
            </w:r>
            <w:r w:rsidR="00EF5C2F" w:rsidRPr="00A12E3F">
              <w:tab/>
            </w:r>
            <w:r w:rsidRPr="00A12E3F">
              <w:t>Do not require that action plans be included in regional plans, instead including the clause on council process requirements above.</w:t>
            </w:r>
          </w:p>
        </w:tc>
        <w:tc>
          <w:tcPr>
            <w:tcW w:w="5018" w:type="dxa"/>
          </w:tcPr>
          <w:p w14:paraId="2AA3EE2E" w14:textId="4FF5ABB2" w:rsidR="00520FBC" w:rsidRPr="00A12E3F" w:rsidRDefault="00FC6A9C" w:rsidP="00121C23">
            <w:pPr>
              <w:pStyle w:val="TableText"/>
            </w:pPr>
            <w:r w:rsidRPr="00A12E3F">
              <w:t xml:space="preserve">The Minister </w:t>
            </w:r>
            <w:r w:rsidR="005015B3" w:rsidRPr="00A12E3F">
              <w:t>agree</w:t>
            </w:r>
            <w:r w:rsidR="00B15D45" w:rsidRPr="00A12E3F">
              <w:t>d</w:t>
            </w:r>
            <w:r w:rsidR="005015B3" w:rsidRPr="00A12E3F">
              <w:t xml:space="preserve"> to include requirements on council processes (see </w:t>
            </w:r>
            <w:r w:rsidR="00965D88" w:rsidRPr="00A12E3F">
              <w:t>recommendation 4</w:t>
            </w:r>
            <w:r w:rsidR="005015B3" w:rsidRPr="00A12E3F">
              <w:t xml:space="preserve">) and agreed that </w:t>
            </w:r>
            <w:r w:rsidRPr="00A12E3F">
              <w:t xml:space="preserve">action plans </w:t>
            </w:r>
            <w:r w:rsidR="00121C23">
              <w:t>could</w:t>
            </w:r>
            <w:r w:rsidR="005015B3" w:rsidRPr="00A12E3F">
              <w:t xml:space="preserve"> either</w:t>
            </w:r>
            <w:r w:rsidR="00121C23">
              <w:t>, be</w:t>
            </w:r>
            <w:r w:rsidR="005015B3" w:rsidRPr="00A12E3F">
              <w:t xml:space="preserve"> </w:t>
            </w:r>
            <w:r w:rsidR="00A75B14" w:rsidRPr="00A12E3F">
              <w:t xml:space="preserve">included as part of </w:t>
            </w:r>
            <w:r w:rsidR="005015B3" w:rsidRPr="00A12E3F">
              <w:t>a regional plan</w:t>
            </w:r>
            <w:r w:rsidR="00A75B14" w:rsidRPr="00A12E3F">
              <w:t>,</w:t>
            </w:r>
            <w:r w:rsidR="005015B3" w:rsidRPr="00A12E3F">
              <w:t xml:space="preserve"> o</w:t>
            </w:r>
            <w:r w:rsidR="00A75B14" w:rsidRPr="00A12E3F">
              <w:t>r by publishing them separately</w:t>
            </w:r>
            <w:r w:rsidR="005015B3" w:rsidRPr="00A12E3F">
              <w:t xml:space="preserve"> and reviewed every 5 years (see clause 3.15)</w:t>
            </w:r>
            <w:r w:rsidR="00A75B14" w:rsidRPr="00A12E3F">
              <w:t>.</w:t>
            </w:r>
          </w:p>
        </w:tc>
      </w:tr>
      <w:tr w:rsidR="00520FBC" w:rsidRPr="00A12E3F" w14:paraId="5C4EEBC6" w14:textId="77777777" w:rsidTr="00EF5C2F">
        <w:tc>
          <w:tcPr>
            <w:tcW w:w="3544" w:type="dxa"/>
          </w:tcPr>
          <w:p w14:paraId="10A053E7" w14:textId="05441156" w:rsidR="00520FBC" w:rsidRPr="00A12E3F" w:rsidRDefault="00520FBC" w:rsidP="00EF5C2F">
            <w:pPr>
              <w:pStyle w:val="TableText"/>
              <w:ind w:left="397" w:hanging="397"/>
            </w:pPr>
            <w:r w:rsidRPr="00A12E3F">
              <w:t xml:space="preserve">16. </w:t>
            </w:r>
            <w:r w:rsidR="00EF5C2F" w:rsidRPr="00A12E3F">
              <w:tab/>
            </w:r>
            <w:r w:rsidRPr="00A12E3F">
              <w:t>Otherwise, to accept the National Objectives Framework largely as it is,</w:t>
            </w:r>
            <w:r w:rsidR="00EF5C2F" w:rsidRPr="00A12E3F">
              <w:t> </w:t>
            </w:r>
            <w:r w:rsidRPr="00A12E3F">
              <w:t>with several amendments recommended to the attributes framework (key recommendations for that framework below)</w:t>
            </w:r>
            <w:r w:rsidR="00A75B14" w:rsidRPr="00A12E3F">
              <w:t>.</w:t>
            </w:r>
          </w:p>
        </w:tc>
        <w:tc>
          <w:tcPr>
            <w:tcW w:w="5018" w:type="dxa"/>
          </w:tcPr>
          <w:p w14:paraId="71BF8B46" w14:textId="5F23FB34" w:rsidR="00520FBC" w:rsidRPr="00A12E3F" w:rsidRDefault="005015B3" w:rsidP="001739C4">
            <w:pPr>
              <w:pStyle w:val="TableText"/>
            </w:pPr>
            <w:r w:rsidRPr="00A12E3F">
              <w:t xml:space="preserve">The Minister </w:t>
            </w:r>
            <w:r w:rsidR="00D079CA" w:rsidRPr="00A12E3F">
              <w:t>accepted</w:t>
            </w:r>
            <w:r w:rsidR="009B4171" w:rsidRPr="00A12E3F">
              <w:t xml:space="preserve"> this recommendation </w:t>
            </w:r>
            <w:r w:rsidR="00A07B63" w:rsidRPr="00A12E3F">
              <w:t>–</w:t>
            </w:r>
            <w:r w:rsidRPr="00A12E3F">
              <w:t xml:space="preserve"> see </w:t>
            </w:r>
            <w:r w:rsidR="009B4171" w:rsidRPr="00A12E3F">
              <w:t xml:space="preserve">also </w:t>
            </w:r>
            <w:r w:rsidRPr="00A12E3F">
              <w:t>Table 5 below.</w:t>
            </w:r>
          </w:p>
        </w:tc>
      </w:tr>
    </w:tbl>
    <w:p w14:paraId="31EFBC2B" w14:textId="34A738EF" w:rsidR="00520FBC" w:rsidRPr="00A12E3F" w:rsidRDefault="00520FBC" w:rsidP="00A07B63">
      <w:pPr>
        <w:pStyle w:val="BodyText"/>
        <w:spacing w:before="0" w:after="0"/>
      </w:pPr>
    </w:p>
    <w:p w14:paraId="0E3FED2A" w14:textId="1FBC840F" w:rsidR="00520FBC" w:rsidRPr="00A12E3F" w:rsidRDefault="00F552D3" w:rsidP="00950310">
      <w:pPr>
        <w:pStyle w:val="Tableheading"/>
      </w:pPr>
      <w:bookmarkStart w:id="10" w:name="_Toc51337104"/>
      <w:r w:rsidRPr="00A12E3F">
        <w:t>Table 4</w:t>
      </w:r>
      <w:r w:rsidR="005662B2" w:rsidRPr="00A12E3F">
        <w:t>:</w:t>
      </w:r>
      <w:r w:rsidRPr="00A12E3F">
        <w:t xml:space="preserve"> </w:t>
      </w:r>
      <w:r w:rsidRPr="00A12E3F">
        <w:tab/>
        <w:t>Compulsory and other values</w:t>
      </w:r>
      <w:bookmarkEnd w:id="10"/>
      <w:r w:rsidRPr="00A12E3F">
        <w:t xml:space="preserve"> </w:t>
      </w:r>
    </w:p>
    <w:tbl>
      <w:tblPr>
        <w:tblStyle w:val="TableGrid"/>
        <w:tblW w:w="8562"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ayout w:type="fixed"/>
        <w:tblLook w:val="04A0" w:firstRow="1" w:lastRow="0" w:firstColumn="1" w:lastColumn="0" w:noHBand="0" w:noVBand="1"/>
      </w:tblPr>
      <w:tblGrid>
        <w:gridCol w:w="3544"/>
        <w:gridCol w:w="5018"/>
      </w:tblGrid>
      <w:tr w:rsidR="00A07B63" w:rsidRPr="00A12E3F" w14:paraId="54AD2938" w14:textId="77777777" w:rsidTr="00A07B63">
        <w:trPr>
          <w:tblHeader/>
        </w:trPr>
        <w:tc>
          <w:tcPr>
            <w:tcW w:w="3544" w:type="dxa"/>
            <w:shd w:val="clear" w:color="auto" w:fill="1C556C"/>
          </w:tcPr>
          <w:p w14:paraId="1EB9F09E" w14:textId="77777777" w:rsidR="00F552D3" w:rsidRPr="00A12E3F" w:rsidRDefault="00F552D3" w:rsidP="00A07B63">
            <w:pPr>
              <w:pStyle w:val="TableTextbold"/>
              <w:rPr>
                <w:color w:val="FFFFFF" w:themeColor="background1"/>
              </w:rPr>
            </w:pPr>
            <w:r w:rsidRPr="00A12E3F">
              <w:rPr>
                <w:color w:val="FFFFFF" w:themeColor="background1"/>
              </w:rPr>
              <w:t>Recommendation</w:t>
            </w:r>
          </w:p>
        </w:tc>
        <w:tc>
          <w:tcPr>
            <w:tcW w:w="5018" w:type="dxa"/>
            <w:shd w:val="clear" w:color="auto" w:fill="1C556C"/>
          </w:tcPr>
          <w:p w14:paraId="5E509691" w14:textId="0ED1EB00" w:rsidR="00F552D3" w:rsidRPr="00A12E3F" w:rsidRDefault="00F552D3" w:rsidP="00A07B63">
            <w:pPr>
              <w:pStyle w:val="TableTextbold"/>
              <w:rPr>
                <w:color w:val="FFFFFF" w:themeColor="background1"/>
              </w:rPr>
            </w:pPr>
            <w:r w:rsidRPr="00A12E3F">
              <w:rPr>
                <w:color w:val="FFFFFF" w:themeColor="background1"/>
              </w:rPr>
              <w:t>Summary of, and key reasons for, Minister’s decision</w:t>
            </w:r>
          </w:p>
        </w:tc>
      </w:tr>
      <w:tr w:rsidR="00F552D3" w:rsidRPr="00A12E3F" w14:paraId="2EF27146" w14:textId="77777777" w:rsidTr="00A07B63">
        <w:tc>
          <w:tcPr>
            <w:tcW w:w="3544" w:type="dxa"/>
            <w:shd w:val="clear" w:color="auto" w:fill="auto"/>
          </w:tcPr>
          <w:p w14:paraId="0236DF64" w14:textId="403BC9F9" w:rsidR="00F552D3" w:rsidRPr="00A12E3F" w:rsidRDefault="00F552D3" w:rsidP="00A07B63">
            <w:pPr>
              <w:pStyle w:val="TableText"/>
              <w:ind w:left="397" w:hanging="397"/>
            </w:pPr>
            <w:r w:rsidRPr="00A12E3F">
              <w:t xml:space="preserve">17. </w:t>
            </w:r>
            <w:r w:rsidR="00A07B63" w:rsidRPr="00A12E3F">
              <w:tab/>
            </w:r>
            <w:r w:rsidRPr="00A12E3F">
              <w:t xml:space="preserve">Accept the components of the Ecosystem Health value. </w:t>
            </w:r>
          </w:p>
        </w:tc>
        <w:tc>
          <w:tcPr>
            <w:tcW w:w="5018" w:type="dxa"/>
            <w:shd w:val="clear" w:color="auto" w:fill="auto"/>
          </w:tcPr>
          <w:p w14:paraId="0E24A59F" w14:textId="319D5833" w:rsidR="00F552D3" w:rsidRPr="00A12E3F" w:rsidRDefault="00F22746" w:rsidP="00A07B63">
            <w:pPr>
              <w:pStyle w:val="TableText"/>
            </w:pPr>
            <w:r w:rsidRPr="00A12E3F">
              <w:t>The Minister accepted this recommendation - see Appendix 1A.</w:t>
            </w:r>
          </w:p>
        </w:tc>
      </w:tr>
      <w:tr w:rsidR="00F552D3" w:rsidRPr="00A12E3F" w14:paraId="6CDEF46E" w14:textId="77777777" w:rsidTr="00A07B63">
        <w:tc>
          <w:tcPr>
            <w:tcW w:w="3544" w:type="dxa"/>
            <w:shd w:val="clear" w:color="auto" w:fill="auto"/>
          </w:tcPr>
          <w:p w14:paraId="0F5AFE3D" w14:textId="5D24A596" w:rsidR="00F552D3" w:rsidRPr="00A12E3F" w:rsidRDefault="00F552D3" w:rsidP="00A07B63">
            <w:pPr>
              <w:pStyle w:val="TableText"/>
              <w:ind w:left="397" w:hanging="397"/>
            </w:pPr>
            <w:r w:rsidRPr="00A12E3F">
              <w:t xml:space="preserve">18. </w:t>
            </w:r>
            <w:r w:rsidR="00A07B63" w:rsidRPr="00A12E3F">
              <w:tab/>
            </w:r>
            <w:r w:rsidRPr="00A12E3F">
              <w:t>Accept the definition of Ecosystem Health, with some drafting changes for</w:t>
            </w:r>
            <w:r w:rsidR="00B76C64" w:rsidRPr="00A12E3F">
              <w:t> </w:t>
            </w:r>
            <w:r w:rsidRPr="00A12E3F">
              <w:t xml:space="preserve">clarity and robustness, and to ensure that all components are considered holistically. </w:t>
            </w:r>
          </w:p>
        </w:tc>
        <w:tc>
          <w:tcPr>
            <w:tcW w:w="5018" w:type="dxa"/>
            <w:shd w:val="clear" w:color="auto" w:fill="auto"/>
          </w:tcPr>
          <w:p w14:paraId="30D8165E" w14:textId="44CB8251" w:rsidR="00F552D3" w:rsidRPr="00A12E3F" w:rsidRDefault="009A0A23" w:rsidP="00A07B63">
            <w:pPr>
              <w:pStyle w:val="TableText"/>
            </w:pPr>
            <w:r w:rsidRPr="00A12E3F">
              <w:t xml:space="preserve">The Minister </w:t>
            </w:r>
            <w:r w:rsidR="00355B0E" w:rsidRPr="00A12E3F">
              <w:t>accept</w:t>
            </w:r>
            <w:r w:rsidR="00F22746" w:rsidRPr="00A12E3F">
              <w:t>ed</w:t>
            </w:r>
            <w:r w:rsidR="00355B0E" w:rsidRPr="00A12E3F">
              <w:t xml:space="preserve"> this recommendation</w:t>
            </w:r>
            <w:r w:rsidRPr="00A12E3F">
              <w:t xml:space="preserve"> </w:t>
            </w:r>
            <w:r w:rsidR="009B4171" w:rsidRPr="00A12E3F">
              <w:t xml:space="preserve">- </w:t>
            </w:r>
            <w:r w:rsidRPr="00A12E3F">
              <w:t>see Appendix 1A.</w:t>
            </w:r>
          </w:p>
        </w:tc>
      </w:tr>
      <w:tr w:rsidR="00F552D3" w:rsidRPr="00A12E3F" w14:paraId="643DBF21" w14:textId="77777777" w:rsidTr="00A07B63">
        <w:tc>
          <w:tcPr>
            <w:tcW w:w="3544" w:type="dxa"/>
          </w:tcPr>
          <w:p w14:paraId="72FBC41D" w14:textId="79561798" w:rsidR="00F552D3" w:rsidRPr="00A12E3F" w:rsidRDefault="00F552D3" w:rsidP="00A07B63">
            <w:pPr>
              <w:pStyle w:val="TableText"/>
              <w:ind w:left="397" w:hanging="397"/>
            </w:pPr>
            <w:r w:rsidRPr="00A12E3F">
              <w:t xml:space="preserve">19. </w:t>
            </w:r>
            <w:r w:rsidR="00A07B63" w:rsidRPr="00A12E3F">
              <w:tab/>
            </w:r>
            <w:r w:rsidRPr="00A12E3F">
              <w:t xml:space="preserve">Elevate Mahinga Kai to the status of a compulsory value. </w:t>
            </w:r>
          </w:p>
        </w:tc>
        <w:tc>
          <w:tcPr>
            <w:tcW w:w="5018" w:type="dxa"/>
          </w:tcPr>
          <w:p w14:paraId="3F9F7AFB" w14:textId="1D033913" w:rsidR="00F552D3" w:rsidRPr="00A12E3F" w:rsidRDefault="00536E44" w:rsidP="00A07B63">
            <w:pPr>
              <w:pStyle w:val="TableText"/>
            </w:pPr>
            <w:r w:rsidRPr="00A12E3F">
              <w:t xml:space="preserve">The Minister </w:t>
            </w:r>
            <w:r w:rsidR="00D079CA" w:rsidRPr="00A12E3F">
              <w:t>accepted this recommendation</w:t>
            </w:r>
            <w:r w:rsidR="002A48C1" w:rsidRPr="00A12E3F">
              <w:t xml:space="preserve"> – see Appendix 1A</w:t>
            </w:r>
            <w:r w:rsidR="00D079CA" w:rsidRPr="00A12E3F">
              <w:t xml:space="preserve">. </w:t>
            </w:r>
          </w:p>
        </w:tc>
      </w:tr>
      <w:tr w:rsidR="00F552D3" w:rsidRPr="00A12E3F" w14:paraId="1B77C9E4" w14:textId="77777777" w:rsidTr="00A07B63">
        <w:tc>
          <w:tcPr>
            <w:tcW w:w="3544" w:type="dxa"/>
          </w:tcPr>
          <w:p w14:paraId="64EC3704" w14:textId="04788BF4" w:rsidR="00F552D3" w:rsidRPr="00A12E3F" w:rsidRDefault="00F552D3" w:rsidP="00A07B63">
            <w:pPr>
              <w:pStyle w:val="TableText"/>
              <w:ind w:left="397" w:hanging="397"/>
            </w:pPr>
            <w:r w:rsidRPr="00A12E3F">
              <w:t xml:space="preserve">20. </w:t>
            </w:r>
            <w:r w:rsidR="00A07B63" w:rsidRPr="00A12E3F">
              <w:tab/>
            </w:r>
            <w:r w:rsidRPr="00A12E3F">
              <w:t>Accept the Threatened Species value as</w:t>
            </w:r>
            <w:r w:rsidR="00B76C64" w:rsidRPr="00A12E3F">
              <w:t> </w:t>
            </w:r>
            <w:r w:rsidRPr="00A12E3F">
              <w:t xml:space="preserve">compulsory, with some wording amendments to clarify council responsibilities. </w:t>
            </w:r>
          </w:p>
        </w:tc>
        <w:tc>
          <w:tcPr>
            <w:tcW w:w="5018" w:type="dxa"/>
          </w:tcPr>
          <w:p w14:paraId="55077DF4" w14:textId="63755167" w:rsidR="00F552D3" w:rsidRPr="00A12E3F" w:rsidRDefault="006E3D25" w:rsidP="00A07B63">
            <w:pPr>
              <w:pStyle w:val="TableText"/>
            </w:pPr>
            <w:r w:rsidRPr="00A12E3F">
              <w:t xml:space="preserve">The Minister </w:t>
            </w:r>
            <w:r w:rsidR="00D079CA" w:rsidRPr="00A12E3F">
              <w:t>accepted this recommendation</w:t>
            </w:r>
            <w:r w:rsidR="00C90DD3" w:rsidRPr="00A12E3F">
              <w:t xml:space="preserve"> - see Appendix 1A.</w:t>
            </w:r>
          </w:p>
        </w:tc>
      </w:tr>
      <w:tr w:rsidR="00F552D3" w:rsidRPr="00A12E3F" w14:paraId="68F55B0C" w14:textId="77777777" w:rsidTr="00A07B63">
        <w:tc>
          <w:tcPr>
            <w:tcW w:w="3544" w:type="dxa"/>
          </w:tcPr>
          <w:p w14:paraId="5D88F7E8" w14:textId="43F9F264" w:rsidR="00F552D3" w:rsidRPr="00A12E3F" w:rsidRDefault="00F552D3" w:rsidP="00A07B63">
            <w:pPr>
              <w:pStyle w:val="TableText"/>
              <w:ind w:left="397" w:hanging="397"/>
            </w:pPr>
            <w:r w:rsidRPr="00A12E3F">
              <w:t xml:space="preserve">21. </w:t>
            </w:r>
            <w:r w:rsidR="00A07B63" w:rsidRPr="00A12E3F">
              <w:tab/>
            </w:r>
            <w:r w:rsidRPr="00A12E3F">
              <w:t>Accept the other values as proposed</w:t>
            </w:r>
            <w:r w:rsidR="00A75B14" w:rsidRPr="00A12E3F">
              <w:t>.</w:t>
            </w:r>
          </w:p>
        </w:tc>
        <w:tc>
          <w:tcPr>
            <w:tcW w:w="5018" w:type="dxa"/>
          </w:tcPr>
          <w:p w14:paraId="6A9B7571" w14:textId="488967A9" w:rsidR="00F552D3" w:rsidRPr="00A12E3F" w:rsidRDefault="0029794B" w:rsidP="00A07B63">
            <w:pPr>
              <w:pStyle w:val="TableText"/>
            </w:pPr>
            <w:r w:rsidRPr="00A12E3F">
              <w:t xml:space="preserve">The Minister </w:t>
            </w:r>
            <w:r w:rsidR="00054636" w:rsidRPr="00A12E3F">
              <w:t>a</w:t>
            </w:r>
            <w:r w:rsidR="00D079CA" w:rsidRPr="00A12E3F">
              <w:t>ccepted this recommendation</w:t>
            </w:r>
            <w:r w:rsidR="00B15D45" w:rsidRPr="00A12E3F">
              <w:t xml:space="preserve">, with the exception of the description for water supply which was made more specific so that it better </w:t>
            </w:r>
            <w:r w:rsidR="00C90DD3" w:rsidRPr="00A12E3F">
              <w:t>aligns</w:t>
            </w:r>
            <w:r w:rsidR="00B15D45" w:rsidRPr="00A12E3F">
              <w:t xml:space="preserve"> with the </w:t>
            </w:r>
            <w:r w:rsidR="00D079CA" w:rsidRPr="00A12E3F">
              <w:t>National Environmental Standard for Sources of Human Drinking Water.</w:t>
            </w:r>
            <w:r w:rsidR="00B15D45" w:rsidRPr="00A12E3F">
              <w:t xml:space="preserve"> </w:t>
            </w:r>
          </w:p>
        </w:tc>
      </w:tr>
    </w:tbl>
    <w:p w14:paraId="2128737C" w14:textId="30D27BB5" w:rsidR="00520FBC" w:rsidRPr="00A12E3F" w:rsidRDefault="00520FBC" w:rsidP="005662B2">
      <w:pPr>
        <w:pStyle w:val="BodyText"/>
      </w:pPr>
    </w:p>
    <w:p w14:paraId="2E450F5F" w14:textId="04327B9A" w:rsidR="00520FBC" w:rsidRPr="00A12E3F" w:rsidRDefault="00F552D3" w:rsidP="00950310">
      <w:pPr>
        <w:pStyle w:val="Tableheading"/>
      </w:pPr>
      <w:bookmarkStart w:id="11" w:name="_Toc51337105"/>
      <w:r w:rsidRPr="00A12E3F">
        <w:lastRenderedPageBreak/>
        <w:t>Table 5</w:t>
      </w:r>
      <w:r w:rsidR="005662B2" w:rsidRPr="00A12E3F">
        <w:t>:</w:t>
      </w:r>
      <w:r w:rsidRPr="00A12E3F">
        <w:t xml:space="preserve"> </w:t>
      </w:r>
      <w:r w:rsidRPr="00A12E3F">
        <w:tab/>
        <w:t>Attributes</w:t>
      </w:r>
      <w:bookmarkEnd w:id="11"/>
      <w:r w:rsidRPr="00A12E3F">
        <w:t xml:space="preserve"> </w:t>
      </w:r>
    </w:p>
    <w:tbl>
      <w:tblPr>
        <w:tblStyle w:val="TableGrid"/>
        <w:tblW w:w="8562"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ayout w:type="fixed"/>
        <w:tblLook w:val="04A0" w:firstRow="1" w:lastRow="0" w:firstColumn="1" w:lastColumn="0" w:noHBand="0" w:noVBand="1"/>
      </w:tblPr>
      <w:tblGrid>
        <w:gridCol w:w="3483"/>
        <w:gridCol w:w="5079"/>
      </w:tblGrid>
      <w:tr w:rsidR="00707277" w:rsidRPr="00A12E3F" w14:paraId="5186A11A" w14:textId="77777777" w:rsidTr="00A07B63">
        <w:trPr>
          <w:tblHeader/>
        </w:trPr>
        <w:tc>
          <w:tcPr>
            <w:tcW w:w="3402" w:type="dxa"/>
            <w:shd w:val="clear" w:color="auto" w:fill="1C556C"/>
          </w:tcPr>
          <w:p w14:paraId="74C2DC23" w14:textId="77777777" w:rsidR="00F552D3" w:rsidRPr="00A12E3F" w:rsidRDefault="00F552D3" w:rsidP="00707277">
            <w:pPr>
              <w:pStyle w:val="TableTextbold"/>
              <w:rPr>
                <w:color w:val="FFFFFF" w:themeColor="background1"/>
              </w:rPr>
            </w:pPr>
            <w:r w:rsidRPr="00A12E3F">
              <w:rPr>
                <w:color w:val="FFFFFF" w:themeColor="background1"/>
              </w:rPr>
              <w:t>Recommendation</w:t>
            </w:r>
          </w:p>
        </w:tc>
        <w:tc>
          <w:tcPr>
            <w:tcW w:w="4961" w:type="dxa"/>
            <w:shd w:val="clear" w:color="auto" w:fill="1C556C"/>
          </w:tcPr>
          <w:p w14:paraId="72841E2D" w14:textId="7A00E158" w:rsidR="00F552D3" w:rsidRPr="00A12E3F" w:rsidRDefault="00F552D3" w:rsidP="00707277">
            <w:pPr>
              <w:pStyle w:val="TableTextbold"/>
              <w:rPr>
                <w:color w:val="FFFFFF" w:themeColor="background1"/>
              </w:rPr>
            </w:pPr>
            <w:r w:rsidRPr="00A12E3F">
              <w:rPr>
                <w:color w:val="FFFFFF" w:themeColor="background1"/>
              </w:rPr>
              <w:t>Summary of, and key reasons for, Minister’s decision</w:t>
            </w:r>
          </w:p>
        </w:tc>
      </w:tr>
      <w:tr w:rsidR="00F552D3" w:rsidRPr="00A12E3F" w14:paraId="31239AEB" w14:textId="77777777" w:rsidTr="00707277">
        <w:trPr>
          <w:cantSplit/>
        </w:trPr>
        <w:tc>
          <w:tcPr>
            <w:tcW w:w="3402" w:type="dxa"/>
            <w:shd w:val="clear" w:color="auto" w:fill="auto"/>
          </w:tcPr>
          <w:p w14:paraId="34DF4CEB" w14:textId="3420B561" w:rsidR="00054636" w:rsidRPr="00A12E3F" w:rsidRDefault="00F552D3" w:rsidP="00707277">
            <w:pPr>
              <w:pStyle w:val="TableText"/>
              <w:ind w:left="397" w:hanging="397"/>
              <w:rPr>
                <w:rFonts w:cs="Calibri"/>
              </w:rPr>
            </w:pPr>
            <w:r w:rsidRPr="00A12E3F">
              <w:rPr>
                <w:rFonts w:cs="Calibri"/>
              </w:rPr>
              <w:t xml:space="preserve">22. </w:t>
            </w:r>
            <w:r w:rsidR="00707277" w:rsidRPr="00A12E3F">
              <w:rPr>
                <w:rFonts w:cs="Calibri"/>
              </w:rPr>
              <w:tab/>
            </w:r>
            <w:r w:rsidRPr="00A12E3F">
              <w:rPr>
                <w:rFonts w:cs="Calibri"/>
              </w:rPr>
              <w:t>Amend the attributes framework to include two new classes of attributes: compulsory monitoring only, and ‘must con</w:t>
            </w:r>
            <w:r w:rsidR="0069600D" w:rsidRPr="00A12E3F">
              <w:rPr>
                <w:rFonts w:cs="Calibri"/>
              </w:rPr>
              <w:t xml:space="preserve">sider for use where relevant’. </w:t>
            </w:r>
          </w:p>
        </w:tc>
        <w:tc>
          <w:tcPr>
            <w:tcW w:w="4961" w:type="dxa"/>
            <w:shd w:val="clear" w:color="auto" w:fill="auto"/>
          </w:tcPr>
          <w:p w14:paraId="69B12CFE" w14:textId="1BDA2E21" w:rsidR="0099481B" w:rsidRPr="00A12E3F" w:rsidRDefault="00AA21EE" w:rsidP="00707277">
            <w:pPr>
              <w:pStyle w:val="TableText"/>
              <w:rPr>
                <w:rFonts w:cs="Calibri"/>
              </w:rPr>
            </w:pPr>
            <w:r w:rsidRPr="00A12E3F">
              <w:rPr>
                <w:rFonts w:cs="Calibri"/>
              </w:rPr>
              <w:t>The</w:t>
            </w:r>
            <w:r w:rsidR="0099481B" w:rsidRPr="00A12E3F">
              <w:rPr>
                <w:rFonts w:cs="Calibri"/>
              </w:rPr>
              <w:t xml:space="preserve"> Minis</w:t>
            </w:r>
            <w:r w:rsidRPr="00A12E3F">
              <w:rPr>
                <w:rFonts w:cs="Calibri"/>
              </w:rPr>
              <w:t xml:space="preserve">ter </w:t>
            </w:r>
            <w:r w:rsidR="00F22746" w:rsidRPr="00A12E3F">
              <w:rPr>
                <w:rFonts w:cs="Calibri"/>
              </w:rPr>
              <w:t>decided</w:t>
            </w:r>
            <w:r w:rsidRPr="00A12E3F">
              <w:rPr>
                <w:rFonts w:cs="Calibri"/>
              </w:rPr>
              <w:t xml:space="preserve"> not to implement these </w:t>
            </w:r>
            <w:r w:rsidR="0099481B" w:rsidRPr="00A12E3F">
              <w:rPr>
                <w:rFonts w:cs="Calibri"/>
              </w:rPr>
              <w:t>recommendation</w:t>
            </w:r>
            <w:r w:rsidRPr="00A12E3F">
              <w:rPr>
                <w:rFonts w:cs="Calibri"/>
              </w:rPr>
              <w:t>s</w:t>
            </w:r>
            <w:r w:rsidR="0099481B" w:rsidRPr="00A12E3F">
              <w:rPr>
                <w:rFonts w:cs="Calibri"/>
              </w:rPr>
              <w:t xml:space="preserve">. </w:t>
            </w:r>
          </w:p>
          <w:p w14:paraId="3768D07F" w14:textId="0C988725" w:rsidR="0099481B" w:rsidRPr="00A12E3F" w:rsidRDefault="0099481B" w:rsidP="00707277">
            <w:pPr>
              <w:pStyle w:val="TableText"/>
              <w:rPr>
                <w:rFonts w:cs="Calibri"/>
              </w:rPr>
            </w:pPr>
            <w:r w:rsidRPr="00A12E3F">
              <w:rPr>
                <w:rFonts w:cs="Calibri"/>
              </w:rPr>
              <w:t xml:space="preserve">A ‘compulsory monitoring only’ class of attributes was not progressed as the Minister considers that desired outcomes for all attributes should still be established (whether or not a national bottom line is imposed), and if monitoring detects a declining trend then </w:t>
            </w:r>
            <w:r w:rsidR="00C90DD3" w:rsidRPr="00A12E3F">
              <w:rPr>
                <w:rFonts w:cs="Calibri"/>
              </w:rPr>
              <w:t>a method</w:t>
            </w:r>
            <w:r w:rsidRPr="00A12E3F">
              <w:rPr>
                <w:rFonts w:cs="Calibri"/>
              </w:rPr>
              <w:t xml:space="preserve"> (limits or action plans) need</w:t>
            </w:r>
            <w:r w:rsidR="00C90DD3" w:rsidRPr="00A12E3F">
              <w:rPr>
                <w:rFonts w:cs="Calibri"/>
              </w:rPr>
              <w:t>s</w:t>
            </w:r>
            <w:r w:rsidRPr="00A12E3F">
              <w:rPr>
                <w:rFonts w:cs="Calibri"/>
              </w:rPr>
              <w:t xml:space="preserve"> to be in place to address this.</w:t>
            </w:r>
          </w:p>
          <w:p w14:paraId="7596B17A" w14:textId="21EA75A9" w:rsidR="00F552D3" w:rsidRPr="00A12E3F" w:rsidRDefault="006430D8" w:rsidP="00DD2685">
            <w:pPr>
              <w:pStyle w:val="TableText"/>
              <w:rPr>
                <w:rFonts w:cs="Calibri"/>
              </w:rPr>
            </w:pPr>
            <w:r w:rsidRPr="00A12E3F">
              <w:rPr>
                <w:rFonts w:cs="Calibri"/>
              </w:rPr>
              <w:t>The Minis</w:t>
            </w:r>
            <w:r w:rsidR="00785C4E" w:rsidRPr="00A12E3F">
              <w:rPr>
                <w:rFonts w:cs="Calibri"/>
              </w:rPr>
              <w:t>ter decided not to progress the</w:t>
            </w:r>
            <w:r w:rsidRPr="00A12E3F">
              <w:rPr>
                <w:rFonts w:cs="Calibri"/>
              </w:rPr>
              <w:t xml:space="preserve"> </w:t>
            </w:r>
            <w:r w:rsidR="009B4171" w:rsidRPr="00A12E3F">
              <w:rPr>
                <w:rFonts w:cs="Calibri"/>
              </w:rPr>
              <w:t xml:space="preserve">recommendation </w:t>
            </w:r>
            <w:r w:rsidR="00785C4E" w:rsidRPr="00A12E3F">
              <w:rPr>
                <w:rFonts w:cs="Calibri"/>
              </w:rPr>
              <w:t>for a class of attributes that councils ‘must consider for use where relevant’</w:t>
            </w:r>
            <w:r w:rsidR="00AA21EE" w:rsidRPr="00A12E3F">
              <w:rPr>
                <w:rFonts w:cs="Calibri"/>
              </w:rPr>
              <w:t>. C</w:t>
            </w:r>
            <w:r w:rsidR="00B648E7" w:rsidRPr="00A12E3F">
              <w:rPr>
                <w:rFonts w:cs="Calibri"/>
              </w:rPr>
              <w:t>urrently</w:t>
            </w:r>
            <w:r w:rsidR="00AA21EE" w:rsidRPr="00A12E3F">
              <w:rPr>
                <w:rFonts w:cs="Calibri"/>
              </w:rPr>
              <w:t xml:space="preserve"> under the </w:t>
            </w:r>
            <w:r w:rsidR="00EC7BF6">
              <w:rPr>
                <w:rFonts w:cs="Calibri"/>
              </w:rPr>
              <w:t>NPS-FM 2020</w:t>
            </w:r>
            <w:r w:rsidR="00B648E7" w:rsidRPr="00A12E3F">
              <w:rPr>
                <w:rFonts w:cs="Calibri"/>
              </w:rPr>
              <w:t>,</w:t>
            </w:r>
            <w:r w:rsidR="00D1462C" w:rsidRPr="00A12E3F">
              <w:rPr>
                <w:rFonts w:cs="Calibri"/>
              </w:rPr>
              <w:t xml:space="preserve"> all attributes</w:t>
            </w:r>
            <w:r w:rsidR="009B4171" w:rsidRPr="00A12E3F">
              <w:rPr>
                <w:rFonts w:cs="Calibri"/>
              </w:rPr>
              <w:t xml:space="preserve"> </w:t>
            </w:r>
            <w:r w:rsidR="00B648E7" w:rsidRPr="00A12E3F">
              <w:rPr>
                <w:rFonts w:cs="Calibri"/>
              </w:rPr>
              <w:t>must be included</w:t>
            </w:r>
            <w:r w:rsidR="00054636" w:rsidRPr="00A12E3F">
              <w:rPr>
                <w:rFonts w:cs="Calibri"/>
              </w:rPr>
              <w:t xml:space="preserve"> </w:t>
            </w:r>
            <w:r w:rsidR="009B4171" w:rsidRPr="00A12E3F">
              <w:rPr>
                <w:rFonts w:cs="Calibri"/>
              </w:rPr>
              <w:t xml:space="preserve">in a regional plan </w:t>
            </w:r>
            <w:r w:rsidR="00D1462C" w:rsidRPr="00A12E3F">
              <w:rPr>
                <w:rFonts w:cs="Calibri"/>
              </w:rPr>
              <w:t>as they are</w:t>
            </w:r>
            <w:r w:rsidR="00B648E7" w:rsidRPr="00A12E3F">
              <w:rPr>
                <w:rFonts w:cs="Calibri"/>
              </w:rPr>
              <w:t xml:space="preserve"> all</w:t>
            </w:r>
            <w:r w:rsidR="00D1462C" w:rsidRPr="00A12E3F">
              <w:rPr>
                <w:rFonts w:cs="Calibri"/>
              </w:rPr>
              <w:t xml:space="preserve"> linked to </w:t>
            </w:r>
            <w:r w:rsidR="00054636" w:rsidRPr="00A12E3F">
              <w:rPr>
                <w:rFonts w:cs="Calibri"/>
              </w:rPr>
              <w:t xml:space="preserve">the </w:t>
            </w:r>
            <w:r w:rsidR="00D1462C" w:rsidRPr="00A12E3F">
              <w:rPr>
                <w:rFonts w:cs="Calibri"/>
              </w:rPr>
              <w:t xml:space="preserve">compulsory values. </w:t>
            </w:r>
            <w:r w:rsidR="00A75B14" w:rsidRPr="00A12E3F">
              <w:rPr>
                <w:rFonts w:cs="Calibri"/>
              </w:rPr>
              <w:t>A</w:t>
            </w:r>
            <w:r w:rsidR="00D1462C" w:rsidRPr="00A12E3F">
              <w:rPr>
                <w:rFonts w:cs="Calibri"/>
              </w:rPr>
              <w:t xml:space="preserve"> </w:t>
            </w:r>
            <w:r w:rsidR="00054636" w:rsidRPr="00A12E3F">
              <w:rPr>
                <w:rFonts w:cs="Calibri"/>
              </w:rPr>
              <w:t xml:space="preserve">class </w:t>
            </w:r>
            <w:r w:rsidR="00A75B14" w:rsidRPr="00A12E3F">
              <w:rPr>
                <w:rFonts w:cs="Calibri"/>
              </w:rPr>
              <w:t xml:space="preserve">such as this </w:t>
            </w:r>
            <w:r w:rsidR="00D1462C" w:rsidRPr="00A12E3F">
              <w:rPr>
                <w:rFonts w:cs="Calibri"/>
              </w:rPr>
              <w:t xml:space="preserve">could be relevant in future if attributes </w:t>
            </w:r>
            <w:r w:rsidR="00A75B14" w:rsidRPr="00A12E3F">
              <w:rPr>
                <w:rFonts w:cs="Calibri"/>
              </w:rPr>
              <w:t xml:space="preserve">are </w:t>
            </w:r>
            <w:r w:rsidR="00D1462C" w:rsidRPr="00A12E3F">
              <w:rPr>
                <w:rFonts w:cs="Calibri"/>
              </w:rPr>
              <w:t xml:space="preserve">developed </w:t>
            </w:r>
            <w:r w:rsidR="00054636" w:rsidRPr="00A12E3F">
              <w:rPr>
                <w:rFonts w:cs="Calibri"/>
              </w:rPr>
              <w:t xml:space="preserve">exclusively </w:t>
            </w:r>
            <w:r w:rsidR="00A75B14" w:rsidRPr="00A12E3F">
              <w:rPr>
                <w:rFonts w:cs="Calibri"/>
              </w:rPr>
              <w:t>for Appendix 1B values</w:t>
            </w:r>
            <w:r w:rsidR="00D1462C" w:rsidRPr="00A12E3F">
              <w:rPr>
                <w:rFonts w:cs="Calibri"/>
              </w:rPr>
              <w:t xml:space="preserve"> </w:t>
            </w:r>
            <w:proofErr w:type="spellStart"/>
            <w:r w:rsidR="00D1462C" w:rsidRPr="00A12E3F">
              <w:rPr>
                <w:rFonts w:cs="Calibri"/>
              </w:rPr>
              <w:t>eg</w:t>
            </w:r>
            <w:proofErr w:type="spellEnd"/>
            <w:r w:rsidR="00D1462C" w:rsidRPr="00A12E3F">
              <w:rPr>
                <w:rFonts w:cs="Calibri"/>
              </w:rPr>
              <w:t>, other values that must be considered.</w:t>
            </w:r>
            <w:r w:rsidR="00785C4E" w:rsidRPr="00A12E3F">
              <w:rPr>
                <w:rFonts w:cs="Calibri"/>
              </w:rPr>
              <w:t xml:space="preserve"> </w:t>
            </w:r>
          </w:p>
        </w:tc>
      </w:tr>
      <w:tr w:rsidR="00F552D3" w:rsidRPr="00A12E3F" w14:paraId="79DECFB4" w14:textId="77777777" w:rsidTr="00A07B63">
        <w:tc>
          <w:tcPr>
            <w:tcW w:w="3402" w:type="dxa"/>
            <w:shd w:val="clear" w:color="auto" w:fill="auto"/>
          </w:tcPr>
          <w:p w14:paraId="3DFAFE1E" w14:textId="65DB213A" w:rsidR="00F552D3" w:rsidRPr="00A12E3F" w:rsidRDefault="0069600D" w:rsidP="00707277">
            <w:pPr>
              <w:pStyle w:val="TableText"/>
              <w:ind w:left="397" w:hanging="397"/>
              <w:rPr>
                <w:rFonts w:cs="Calibri"/>
              </w:rPr>
            </w:pPr>
            <w:r w:rsidRPr="00A12E3F">
              <w:rPr>
                <w:rFonts w:cs="Calibri"/>
              </w:rPr>
              <w:t xml:space="preserve">23. </w:t>
            </w:r>
            <w:r w:rsidR="00707277" w:rsidRPr="00A12E3F">
              <w:rPr>
                <w:rFonts w:cs="Calibri"/>
              </w:rPr>
              <w:tab/>
            </w:r>
            <w:r w:rsidRPr="00A12E3F">
              <w:rPr>
                <w:rFonts w:cs="Calibri"/>
              </w:rPr>
              <w:t xml:space="preserve">Move the suspended sediment attribute to the action plan class of attributes. </w:t>
            </w:r>
          </w:p>
        </w:tc>
        <w:tc>
          <w:tcPr>
            <w:tcW w:w="4961" w:type="dxa"/>
            <w:shd w:val="clear" w:color="auto" w:fill="auto"/>
          </w:tcPr>
          <w:p w14:paraId="60F38915" w14:textId="44CBD85E" w:rsidR="00912148" w:rsidRPr="00A12E3F" w:rsidRDefault="00950310" w:rsidP="00707277">
            <w:pPr>
              <w:pStyle w:val="TableText"/>
              <w:rPr>
                <w:rFonts w:cs="Calibri"/>
              </w:rPr>
            </w:pPr>
            <w:r w:rsidRPr="00A12E3F">
              <w:rPr>
                <w:rFonts w:cs="Calibri"/>
              </w:rPr>
              <w:t xml:space="preserve">The Minister chose not to implement this recommendation but </w:t>
            </w:r>
            <w:r w:rsidR="00AA21EE" w:rsidRPr="00A12E3F">
              <w:rPr>
                <w:rFonts w:cs="Calibri"/>
              </w:rPr>
              <w:t>did alter the</w:t>
            </w:r>
            <w:r w:rsidRPr="00A12E3F">
              <w:rPr>
                <w:rFonts w:cs="Calibri"/>
              </w:rPr>
              <w:t xml:space="preserve"> assessment requirements of the suspended fine sediment attribute to address the concerns the IAP </w:t>
            </w:r>
            <w:r w:rsidR="00AA21EE" w:rsidRPr="00A12E3F">
              <w:rPr>
                <w:rFonts w:cs="Calibri"/>
              </w:rPr>
              <w:t xml:space="preserve">raised </w:t>
            </w:r>
            <w:r w:rsidRPr="00A12E3F">
              <w:rPr>
                <w:rFonts w:cs="Calibri"/>
              </w:rPr>
              <w:t>that led</w:t>
            </w:r>
            <w:r w:rsidR="00B76C64" w:rsidRPr="00A12E3F">
              <w:rPr>
                <w:rFonts w:cs="Calibri"/>
              </w:rPr>
              <w:t> </w:t>
            </w:r>
            <w:r w:rsidRPr="00A12E3F">
              <w:rPr>
                <w:rFonts w:cs="Calibri"/>
              </w:rPr>
              <w:t xml:space="preserve">to this recommendation. </w:t>
            </w:r>
            <w:r w:rsidR="00AA21EE" w:rsidRPr="00A12E3F">
              <w:rPr>
                <w:rFonts w:cs="Calibri"/>
              </w:rPr>
              <w:t>For example, to</w:t>
            </w:r>
            <w:r w:rsidRPr="00A12E3F">
              <w:rPr>
                <w:rFonts w:cs="Calibri"/>
              </w:rPr>
              <w:t xml:space="preserve"> take into account the concerns around the effect of extreme events, the minimum record length for grading a site was extended from two to five</w:t>
            </w:r>
            <w:r w:rsidR="00B76C64" w:rsidRPr="00A12E3F">
              <w:rPr>
                <w:rFonts w:cs="Calibri"/>
              </w:rPr>
              <w:t> </w:t>
            </w:r>
            <w:r w:rsidRPr="00A12E3F">
              <w:rPr>
                <w:rFonts w:cs="Calibri"/>
              </w:rPr>
              <w:t xml:space="preserve">years. </w:t>
            </w:r>
          </w:p>
        </w:tc>
      </w:tr>
      <w:tr w:rsidR="00F552D3" w:rsidRPr="00A12E3F" w14:paraId="2D800DE3" w14:textId="77777777" w:rsidTr="00A07B63">
        <w:tc>
          <w:tcPr>
            <w:tcW w:w="3402" w:type="dxa"/>
          </w:tcPr>
          <w:p w14:paraId="079372B2" w14:textId="2296A9DB" w:rsidR="00F552D3" w:rsidRPr="00A12E3F" w:rsidRDefault="0069600D" w:rsidP="00707277">
            <w:pPr>
              <w:pStyle w:val="TableText"/>
              <w:ind w:left="397" w:hanging="397"/>
              <w:rPr>
                <w:rFonts w:cs="Calibri"/>
              </w:rPr>
            </w:pPr>
            <w:r w:rsidRPr="00A12E3F">
              <w:rPr>
                <w:rFonts w:cs="Calibri"/>
              </w:rPr>
              <w:t xml:space="preserve">24. </w:t>
            </w:r>
            <w:r w:rsidR="00707277" w:rsidRPr="00A12E3F">
              <w:rPr>
                <w:rFonts w:cs="Calibri"/>
              </w:rPr>
              <w:tab/>
            </w:r>
            <w:r w:rsidRPr="00A12E3F">
              <w:rPr>
                <w:rFonts w:cs="Calibri"/>
              </w:rPr>
              <w:t xml:space="preserve">Allow visual clarity measure for the suspended sediment attribute, alongside turbidity and direct measurement of suspended sediment. </w:t>
            </w:r>
          </w:p>
        </w:tc>
        <w:tc>
          <w:tcPr>
            <w:tcW w:w="4961" w:type="dxa"/>
          </w:tcPr>
          <w:p w14:paraId="3EA3D06F" w14:textId="64B97404" w:rsidR="00F552D3" w:rsidRPr="00A12E3F" w:rsidRDefault="00912148" w:rsidP="00707277">
            <w:pPr>
              <w:pStyle w:val="TableText"/>
              <w:rPr>
                <w:rFonts w:cs="Calibri"/>
              </w:rPr>
            </w:pPr>
            <w:r w:rsidRPr="00A12E3F">
              <w:rPr>
                <w:rFonts w:cs="Calibri"/>
              </w:rPr>
              <w:t xml:space="preserve">The Minister </w:t>
            </w:r>
            <w:r w:rsidR="00950310" w:rsidRPr="00A12E3F">
              <w:rPr>
                <w:rFonts w:cs="Calibri"/>
              </w:rPr>
              <w:t>accepted this recommendation.</w:t>
            </w:r>
            <w:r w:rsidR="005662B2" w:rsidRPr="00A12E3F">
              <w:rPr>
                <w:rFonts w:cs="Calibri"/>
              </w:rPr>
              <w:t xml:space="preserve"> </w:t>
            </w:r>
          </w:p>
        </w:tc>
      </w:tr>
      <w:tr w:rsidR="00F552D3" w:rsidRPr="00A12E3F" w14:paraId="6D767C79" w14:textId="77777777" w:rsidTr="00A07B63">
        <w:tc>
          <w:tcPr>
            <w:tcW w:w="3402" w:type="dxa"/>
          </w:tcPr>
          <w:p w14:paraId="66029F55" w14:textId="08FEECBC" w:rsidR="00F552D3" w:rsidRPr="00A12E3F" w:rsidRDefault="0069600D" w:rsidP="00707277">
            <w:pPr>
              <w:pStyle w:val="TableText"/>
              <w:ind w:left="397" w:hanging="397"/>
              <w:rPr>
                <w:rFonts w:cs="Calibri"/>
              </w:rPr>
            </w:pPr>
            <w:r w:rsidRPr="00A12E3F">
              <w:rPr>
                <w:rFonts w:cs="Calibri"/>
              </w:rPr>
              <w:t xml:space="preserve">25. </w:t>
            </w:r>
            <w:r w:rsidR="00707277" w:rsidRPr="00A12E3F">
              <w:rPr>
                <w:rFonts w:cs="Calibri"/>
              </w:rPr>
              <w:tab/>
            </w:r>
            <w:r w:rsidRPr="00A12E3F">
              <w:rPr>
                <w:rFonts w:cs="Calibri"/>
              </w:rPr>
              <w:t>Move the D</w:t>
            </w:r>
            <w:r w:rsidR="00950310" w:rsidRPr="00A12E3F">
              <w:rPr>
                <w:rFonts w:cs="Calibri"/>
              </w:rPr>
              <w:t xml:space="preserve">issolved </w:t>
            </w:r>
            <w:r w:rsidRPr="00A12E3F">
              <w:rPr>
                <w:rFonts w:cs="Calibri"/>
              </w:rPr>
              <w:t>I</w:t>
            </w:r>
            <w:r w:rsidR="00950310" w:rsidRPr="00A12E3F">
              <w:rPr>
                <w:rFonts w:cs="Calibri"/>
              </w:rPr>
              <w:t xml:space="preserve">norganic </w:t>
            </w:r>
            <w:r w:rsidRPr="00A12E3F">
              <w:rPr>
                <w:rFonts w:cs="Calibri"/>
              </w:rPr>
              <w:t>N</w:t>
            </w:r>
            <w:r w:rsidR="00950310" w:rsidRPr="00A12E3F">
              <w:rPr>
                <w:rFonts w:cs="Calibri"/>
              </w:rPr>
              <w:t>itrogen</w:t>
            </w:r>
            <w:r w:rsidRPr="00A12E3F">
              <w:rPr>
                <w:rFonts w:cs="Calibri"/>
              </w:rPr>
              <w:t xml:space="preserve"> </w:t>
            </w:r>
            <w:r w:rsidR="00950310" w:rsidRPr="00A12E3F">
              <w:rPr>
                <w:rFonts w:cs="Calibri"/>
              </w:rPr>
              <w:t xml:space="preserve">(DIN) </w:t>
            </w:r>
            <w:r w:rsidRPr="00A12E3F">
              <w:rPr>
                <w:rFonts w:cs="Calibri"/>
              </w:rPr>
              <w:t>and D</w:t>
            </w:r>
            <w:r w:rsidR="00950310" w:rsidRPr="00A12E3F">
              <w:rPr>
                <w:rFonts w:cs="Calibri"/>
              </w:rPr>
              <w:t xml:space="preserve">issolved </w:t>
            </w:r>
            <w:r w:rsidRPr="00A12E3F">
              <w:rPr>
                <w:rFonts w:cs="Calibri"/>
              </w:rPr>
              <w:t>R</w:t>
            </w:r>
            <w:r w:rsidR="00950310" w:rsidRPr="00A12E3F">
              <w:rPr>
                <w:rFonts w:cs="Calibri"/>
              </w:rPr>
              <w:t xml:space="preserve">eactive </w:t>
            </w:r>
            <w:r w:rsidRPr="00A12E3F">
              <w:rPr>
                <w:rFonts w:cs="Calibri"/>
              </w:rPr>
              <w:t>P</w:t>
            </w:r>
            <w:r w:rsidR="00950310" w:rsidRPr="00A12E3F">
              <w:rPr>
                <w:rFonts w:cs="Calibri"/>
              </w:rPr>
              <w:t>hosphorus</w:t>
            </w:r>
            <w:r w:rsidRPr="00A12E3F">
              <w:rPr>
                <w:rFonts w:cs="Calibri"/>
              </w:rPr>
              <w:t xml:space="preserve"> (rivers) </w:t>
            </w:r>
            <w:r w:rsidR="00950310" w:rsidRPr="00A12E3F">
              <w:rPr>
                <w:rFonts w:cs="Calibri"/>
              </w:rPr>
              <w:t xml:space="preserve">(DRP) </w:t>
            </w:r>
            <w:r w:rsidRPr="00A12E3F">
              <w:rPr>
                <w:rFonts w:cs="Calibri"/>
              </w:rPr>
              <w:t>attributes to the action plan class of attributes to allow more flexible management.</w:t>
            </w:r>
          </w:p>
        </w:tc>
        <w:tc>
          <w:tcPr>
            <w:tcW w:w="4961" w:type="dxa"/>
          </w:tcPr>
          <w:p w14:paraId="05158D8B" w14:textId="1B7364DD" w:rsidR="006B755E" w:rsidRPr="00A12E3F" w:rsidRDefault="006B755E" w:rsidP="00707277">
            <w:pPr>
              <w:pStyle w:val="TableText"/>
              <w:rPr>
                <w:rFonts w:cs="Calibri"/>
              </w:rPr>
            </w:pPr>
            <w:r w:rsidRPr="00A12E3F">
              <w:rPr>
                <w:rFonts w:cs="Calibri"/>
              </w:rPr>
              <w:t xml:space="preserve">The Minister agreed to </w:t>
            </w:r>
            <w:r w:rsidR="001275DE" w:rsidRPr="00A12E3F">
              <w:rPr>
                <w:rFonts w:cs="Calibri"/>
              </w:rPr>
              <w:t>shift the DRP</w:t>
            </w:r>
            <w:r w:rsidRPr="00A12E3F">
              <w:rPr>
                <w:rFonts w:cs="Calibri"/>
              </w:rPr>
              <w:t xml:space="preserve"> </w:t>
            </w:r>
            <w:r w:rsidR="001275DE" w:rsidRPr="00A12E3F">
              <w:rPr>
                <w:rFonts w:cs="Calibri"/>
              </w:rPr>
              <w:t xml:space="preserve">attribute into the </w:t>
            </w:r>
            <w:r w:rsidR="00B648E7" w:rsidRPr="00A12E3F">
              <w:rPr>
                <w:rFonts w:cs="Calibri"/>
              </w:rPr>
              <w:t xml:space="preserve">action plan </w:t>
            </w:r>
            <w:r w:rsidR="001275DE" w:rsidRPr="00A12E3F">
              <w:rPr>
                <w:rFonts w:cs="Calibri"/>
              </w:rPr>
              <w:t xml:space="preserve">class of </w:t>
            </w:r>
            <w:r w:rsidR="00B648E7" w:rsidRPr="00A12E3F">
              <w:rPr>
                <w:rFonts w:cs="Calibri"/>
              </w:rPr>
              <w:t>attributes</w:t>
            </w:r>
            <w:r w:rsidR="001275DE" w:rsidRPr="00A12E3F">
              <w:rPr>
                <w:rFonts w:cs="Calibri"/>
              </w:rPr>
              <w:t>,</w:t>
            </w:r>
            <w:r w:rsidR="00B648E7" w:rsidRPr="00A12E3F">
              <w:rPr>
                <w:rFonts w:cs="Calibri"/>
              </w:rPr>
              <w:t xml:space="preserve"> but </w:t>
            </w:r>
            <w:r w:rsidR="00014D22" w:rsidRPr="00A12E3F">
              <w:rPr>
                <w:rFonts w:cs="Calibri"/>
              </w:rPr>
              <w:t>without a bottom line</w:t>
            </w:r>
            <w:r w:rsidRPr="00A12E3F">
              <w:rPr>
                <w:rFonts w:cs="Calibri"/>
              </w:rPr>
              <w:t>.</w:t>
            </w:r>
            <w:r w:rsidR="00B648E7" w:rsidRPr="00A12E3F">
              <w:rPr>
                <w:rFonts w:cs="Calibri"/>
              </w:rPr>
              <w:t xml:space="preserve"> </w:t>
            </w:r>
            <w:r w:rsidR="00121C23">
              <w:rPr>
                <w:rFonts w:cs="Calibri"/>
              </w:rPr>
              <w:t>The reason for this is that a</w:t>
            </w:r>
            <w:r w:rsidR="00014D22" w:rsidRPr="00A12E3F">
              <w:rPr>
                <w:rFonts w:cs="Calibri"/>
              </w:rPr>
              <w:t xml:space="preserve"> single </w:t>
            </w:r>
            <w:r w:rsidR="001275DE" w:rsidRPr="00A12E3F">
              <w:rPr>
                <w:rFonts w:cs="Calibri"/>
              </w:rPr>
              <w:t xml:space="preserve">national </w:t>
            </w:r>
            <w:r w:rsidR="00014D22" w:rsidRPr="00A12E3F">
              <w:rPr>
                <w:rFonts w:cs="Calibri"/>
              </w:rPr>
              <w:t>bottom line risks being ineffective and inequitabl</w:t>
            </w:r>
            <w:r w:rsidR="00B648E7" w:rsidRPr="00A12E3F">
              <w:rPr>
                <w:rFonts w:cs="Calibri"/>
              </w:rPr>
              <w:t>e</w:t>
            </w:r>
            <w:r w:rsidR="00014D22" w:rsidRPr="00A12E3F">
              <w:rPr>
                <w:rFonts w:cs="Calibri"/>
              </w:rPr>
              <w:t xml:space="preserve"> because DRP shows significant natural variation in different river types. </w:t>
            </w:r>
            <w:r w:rsidR="00240C7A" w:rsidRPr="00A12E3F">
              <w:rPr>
                <w:rFonts w:cs="Calibri"/>
              </w:rPr>
              <w:t xml:space="preserve">With </w:t>
            </w:r>
            <w:r w:rsidR="00014D22" w:rsidRPr="00A12E3F">
              <w:rPr>
                <w:rFonts w:cs="Calibri"/>
              </w:rPr>
              <w:t>a single national bottom line, many rivers would fall under the existing exemption fo</w:t>
            </w:r>
            <w:r w:rsidR="00240C7A" w:rsidRPr="00A12E3F">
              <w:rPr>
                <w:rFonts w:cs="Calibri"/>
              </w:rPr>
              <w:t>r naturally occurring processes. The Minister decided f</w:t>
            </w:r>
            <w:r w:rsidR="00014D22" w:rsidRPr="00A12E3F">
              <w:rPr>
                <w:rFonts w:cs="Calibri"/>
              </w:rPr>
              <w:t xml:space="preserve">urther research </w:t>
            </w:r>
            <w:r w:rsidR="00240C7A" w:rsidRPr="00A12E3F">
              <w:rPr>
                <w:rFonts w:cs="Calibri"/>
              </w:rPr>
              <w:t>was needed</w:t>
            </w:r>
            <w:r w:rsidR="00014D22" w:rsidRPr="00A12E3F">
              <w:rPr>
                <w:rFonts w:cs="Calibri"/>
              </w:rPr>
              <w:t xml:space="preserve"> </w:t>
            </w:r>
            <w:r w:rsidR="001275DE" w:rsidRPr="00A12E3F">
              <w:rPr>
                <w:rFonts w:cs="Calibri"/>
              </w:rPr>
              <w:t>to</w:t>
            </w:r>
            <w:r w:rsidR="00240C7A" w:rsidRPr="00A12E3F">
              <w:rPr>
                <w:rFonts w:cs="Calibri"/>
              </w:rPr>
              <w:t xml:space="preserve"> potentially derive </w:t>
            </w:r>
            <w:r w:rsidR="00014D22" w:rsidRPr="00A12E3F">
              <w:rPr>
                <w:rFonts w:cs="Calibri"/>
              </w:rPr>
              <w:t>attribute values that vary with different river classes.</w:t>
            </w:r>
          </w:p>
          <w:p w14:paraId="171BED59" w14:textId="4EB6FB25" w:rsidR="006B755E" w:rsidRPr="00A12E3F" w:rsidRDefault="006430D8" w:rsidP="00707277">
            <w:pPr>
              <w:pStyle w:val="TableText"/>
              <w:rPr>
                <w:rFonts w:cs="Calibri"/>
              </w:rPr>
            </w:pPr>
            <w:r w:rsidRPr="00A12E3F">
              <w:rPr>
                <w:rFonts w:cs="Calibri"/>
              </w:rPr>
              <w:t xml:space="preserve">The Minister decided </w:t>
            </w:r>
            <w:r w:rsidR="006B755E" w:rsidRPr="00A12E3F">
              <w:rPr>
                <w:rFonts w:cs="Calibri"/>
              </w:rPr>
              <w:t>not</w:t>
            </w:r>
            <w:r w:rsidRPr="00A12E3F">
              <w:rPr>
                <w:rFonts w:cs="Calibri"/>
              </w:rPr>
              <w:t xml:space="preserve"> </w:t>
            </w:r>
            <w:r w:rsidR="006B755E" w:rsidRPr="00A12E3F">
              <w:rPr>
                <w:rFonts w:cs="Calibri"/>
              </w:rPr>
              <w:t xml:space="preserve">to progress a DIN attribute at this time but </w:t>
            </w:r>
            <w:r w:rsidR="001275DE" w:rsidRPr="00A12E3F">
              <w:rPr>
                <w:rFonts w:cs="Calibri"/>
              </w:rPr>
              <w:t>committed</w:t>
            </w:r>
            <w:r w:rsidR="006B755E" w:rsidRPr="00A12E3F">
              <w:rPr>
                <w:rFonts w:cs="Calibri"/>
              </w:rPr>
              <w:t xml:space="preserve"> to review whether a DIN attribute is appropriate.</w:t>
            </w:r>
          </w:p>
          <w:p w14:paraId="0DA77D16" w14:textId="1F8114FF" w:rsidR="00F552D3" w:rsidRPr="00A12E3F" w:rsidRDefault="001275DE" w:rsidP="00707277">
            <w:pPr>
              <w:pStyle w:val="TableText"/>
              <w:rPr>
                <w:rFonts w:cs="Calibri"/>
              </w:rPr>
            </w:pPr>
            <w:r w:rsidRPr="00A12E3F">
              <w:rPr>
                <w:rFonts w:cs="Calibri"/>
              </w:rPr>
              <w:t>R</w:t>
            </w:r>
            <w:r w:rsidR="006B755E" w:rsidRPr="00A12E3F">
              <w:rPr>
                <w:rFonts w:cs="Calibri"/>
              </w:rPr>
              <w:t xml:space="preserve">egional councils </w:t>
            </w:r>
            <w:r w:rsidRPr="00A12E3F">
              <w:rPr>
                <w:rFonts w:cs="Calibri"/>
              </w:rPr>
              <w:t xml:space="preserve">are </w:t>
            </w:r>
            <w:r w:rsidR="00AA21EE" w:rsidRPr="00A12E3F">
              <w:rPr>
                <w:rFonts w:cs="Calibri"/>
              </w:rPr>
              <w:t xml:space="preserve">still </w:t>
            </w:r>
            <w:r w:rsidRPr="00A12E3F">
              <w:rPr>
                <w:rFonts w:cs="Calibri"/>
              </w:rPr>
              <w:t xml:space="preserve">required </w:t>
            </w:r>
            <w:r w:rsidR="006B755E" w:rsidRPr="00A12E3F">
              <w:rPr>
                <w:rFonts w:cs="Calibri"/>
              </w:rPr>
              <w:t xml:space="preserve">to manage DIN and DRP </w:t>
            </w:r>
            <w:r w:rsidR="00026F1D" w:rsidRPr="00A12E3F">
              <w:rPr>
                <w:rFonts w:cs="Calibri"/>
              </w:rPr>
              <w:t xml:space="preserve">by </w:t>
            </w:r>
            <w:r w:rsidR="00DD3DD6" w:rsidRPr="00A12E3F">
              <w:rPr>
                <w:rFonts w:cs="Calibri"/>
              </w:rPr>
              <w:t>setting</w:t>
            </w:r>
            <w:r w:rsidR="00026F1D" w:rsidRPr="00A12E3F">
              <w:rPr>
                <w:rFonts w:cs="Calibri"/>
              </w:rPr>
              <w:t xml:space="preserve"> catchment loads </w:t>
            </w:r>
            <w:r w:rsidR="00DD3DD6" w:rsidRPr="00A12E3F">
              <w:rPr>
                <w:rFonts w:cs="Calibri"/>
              </w:rPr>
              <w:t xml:space="preserve">and instream criteria </w:t>
            </w:r>
            <w:r w:rsidR="006B755E" w:rsidRPr="00A12E3F">
              <w:rPr>
                <w:rFonts w:cs="Calibri"/>
              </w:rPr>
              <w:t xml:space="preserve">to achieve </w:t>
            </w:r>
            <w:r w:rsidRPr="00A12E3F">
              <w:rPr>
                <w:rFonts w:cs="Calibri"/>
              </w:rPr>
              <w:t xml:space="preserve">the </w:t>
            </w:r>
            <w:r w:rsidR="006B755E" w:rsidRPr="00A12E3F">
              <w:rPr>
                <w:rFonts w:cs="Calibri"/>
              </w:rPr>
              <w:t>desired outcomes for oth</w:t>
            </w:r>
            <w:r w:rsidR="00DD3DD6" w:rsidRPr="00A12E3F">
              <w:rPr>
                <w:rFonts w:cs="Calibri"/>
              </w:rPr>
              <w:t>er ecosystem health attributes</w:t>
            </w:r>
            <w:r w:rsidRPr="00A12E3F">
              <w:rPr>
                <w:rFonts w:cs="Calibri"/>
              </w:rPr>
              <w:t>,</w:t>
            </w:r>
            <w:r w:rsidR="00DD3DD6" w:rsidRPr="00A12E3F">
              <w:rPr>
                <w:rFonts w:cs="Calibri"/>
              </w:rPr>
              <w:t xml:space="preserve"> </w:t>
            </w:r>
            <w:r w:rsidR="006B755E" w:rsidRPr="00A12E3F">
              <w:rPr>
                <w:rFonts w:cs="Calibri"/>
              </w:rPr>
              <w:t>such as</w:t>
            </w:r>
            <w:r w:rsidR="00B76C64" w:rsidRPr="00A12E3F">
              <w:rPr>
                <w:rFonts w:cs="Calibri"/>
              </w:rPr>
              <w:t> </w:t>
            </w:r>
            <w:r w:rsidR="006B755E" w:rsidRPr="00A12E3F">
              <w:rPr>
                <w:rFonts w:cs="Calibri"/>
              </w:rPr>
              <w:t>periphyton</w:t>
            </w:r>
            <w:r w:rsidR="00B031C3" w:rsidRPr="00A12E3F">
              <w:rPr>
                <w:rFonts w:cs="Calibri"/>
              </w:rPr>
              <w:t xml:space="preserve"> (slime), and for nutrient-sensitive receiving environments</w:t>
            </w:r>
            <w:r w:rsidR="006B755E" w:rsidRPr="00A12E3F">
              <w:rPr>
                <w:rFonts w:cs="Calibri"/>
              </w:rPr>
              <w:t xml:space="preserve">. </w:t>
            </w:r>
          </w:p>
        </w:tc>
      </w:tr>
      <w:tr w:rsidR="00F552D3" w:rsidRPr="00A12E3F" w14:paraId="269D8C08" w14:textId="77777777" w:rsidTr="00A07B63">
        <w:tc>
          <w:tcPr>
            <w:tcW w:w="3402" w:type="dxa"/>
          </w:tcPr>
          <w:p w14:paraId="759212BC" w14:textId="480E7AED" w:rsidR="00F552D3" w:rsidRPr="00A12E3F" w:rsidRDefault="0069600D" w:rsidP="00707277">
            <w:pPr>
              <w:pStyle w:val="TableText"/>
              <w:ind w:left="397" w:hanging="397"/>
              <w:rPr>
                <w:rFonts w:cs="Calibri"/>
              </w:rPr>
            </w:pPr>
            <w:r w:rsidRPr="00A12E3F">
              <w:rPr>
                <w:rFonts w:cs="Calibri"/>
              </w:rPr>
              <w:t xml:space="preserve">26. </w:t>
            </w:r>
            <w:r w:rsidR="00707277" w:rsidRPr="00A12E3F">
              <w:rPr>
                <w:rFonts w:cs="Calibri"/>
              </w:rPr>
              <w:tab/>
            </w:r>
            <w:r w:rsidRPr="00A12E3F">
              <w:rPr>
                <w:rFonts w:cs="Calibri"/>
              </w:rPr>
              <w:t>Move total N and P (lakes) attributes to the action plan class of attributes for consistency with the DIN and DRP</w:t>
            </w:r>
            <w:r w:rsidR="00B76C64" w:rsidRPr="00A12E3F">
              <w:rPr>
                <w:rFonts w:cs="Calibri"/>
              </w:rPr>
              <w:t> </w:t>
            </w:r>
            <w:r w:rsidRPr="00A12E3F">
              <w:rPr>
                <w:rFonts w:cs="Calibri"/>
              </w:rPr>
              <w:t>(rivers) attributes and allow for</w:t>
            </w:r>
            <w:r w:rsidR="00B76C64" w:rsidRPr="00A12E3F">
              <w:rPr>
                <w:rFonts w:cs="Calibri"/>
              </w:rPr>
              <w:t> </w:t>
            </w:r>
            <w:r w:rsidRPr="00A12E3F">
              <w:rPr>
                <w:rFonts w:cs="Calibri"/>
              </w:rPr>
              <w:t>situations where lakes may be N</w:t>
            </w:r>
            <w:r w:rsidR="00B76C64" w:rsidRPr="00A12E3F">
              <w:rPr>
                <w:rFonts w:cs="Calibri"/>
              </w:rPr>
              <w:t> </w:t>
            </w:r>
            <w:r w:rsidRPr="00A12E3F">
              <w:rPr>
                <w:rFonts w:cs="Calibri"/>
              </w:rPr>
              <w:t>or</w:t>
            </w:r>
            <w:r w:rsidR="00B76C64" w:rsidRPr="00A12E3F">
              <w:rPr>
                <w:rFonts w:cs="Calibri"/>
              </w:rPr>
              <w:t> </w:t>
            </w:r>
            <w:r w:rsidRPr="00A12E3F">
              <w:rPr>
                <w:rFonts w:cs="Calibri"/>
              </w:rPr>
              <w:t xml:space="preserve">P limited. </w:t>
            </w:r>
          </w:p>
        </w:tc>
        <w:tc>
          <w:tcPr>
            <w:tcW w:w="4961" w:type="dxa"/>
          </w:tcPr>
          <w:p w14:paraId="7FE59BF9" w14:textId="76491FCF" w:rsidR="00F552D3" w:rsidRPr="00A12E3F" w:rsidRDefault="00B92961" w:rsidP="00707277">
            <w:pPr>
              <w:pStyle w:val="TableText"/>
              <w:rPr>
                <w:rFonts w:cs="Calibri"/>
              </w:rPr>
            </w:pPr>
            <w:r w:rsidRPr="00A12E3F">
              <w:rPr>
                <w:rFonts w:cs="Calibri"/>
              </w:rPr>
              <w:t xml:space="preserve">The Minister </w:t>
            </w:r>
            <w:r w:rsidR="006060FC" w:rsidRPr="00A12E3F">
              <w:rPr>
                <w:rFonts w:cs="Calibri"/>
              </w:rPr>
              <w:t>considered</w:t>
            </w:r>
            <w:r w:rsidR="00E41BD5" w:rsidRPr="00A12E3F">
              <w:rPr>
                <w:rFonts w:cs="Calibri"/>
              </w:rPr>
              <w:t xml:space="preserve"> that the total nitrogen and total phosphorus (lakes) attributes should remain as attributes that require limits on resource use to be set. Regional councils are able to set limits on resource use to achieve the target attribute state for both these attributes.</w:t>
            </w:r>
            <w:r w:rsidR="005662B2" w:rsidRPr="00A12E3F">
              <w:rPr>
                <w:rFonts w:cs="Calibri"/>
              </w:rPr>
              <w:t xml:space="preserve"> </w:t>
            </w:r>
          </w:p>
        </w:tc>
      </w:tr>
      <w:tr w:rsidR="00F552D3" w:rsidRPr="00A12E3F" w14:paraId="4E74B6AB" w14:textId="77777777" w:rsidTr="00A07B63">
        <w:tc>
          <w:tcPr>
            <w:tcW w:w="3402" w:type="dxa"/>
          </w:tcPr>
          <w:p w14:paraId="0511CA07" w14:textId="6460D701" w:rsidR="00F552D3" w:rsidRPr="00A12E3F" w:rsidRDefault="0069600D" w:rsidP="00707277">
            <w:pPr>
              <w:pStyle w:val="TableText"/>
              <w:ind w:left="397" w:hanging="397"/>
              <w:rPr>
                <w:rFonts w:cs="Calibri"/>
              </w:rPr>
            </w:pPr>
            <w:r w:rsidRPr="00A12E3F">
              <w:rPr>
                <w:rFonts w:cs="Calibri"/>
              </w:rPr>
              <w:t xml:space="preserve">27. </w:t>
            </w:r>
            <w:r w:rsidR="00707277" w:rsidRPr="00A12E3F">
              <w:rPr>
                <w:rFonts w:cs="Calibri"/>
              </w:rPr>
              <w:tab/>
            </w:r>
            <w:r w:rsidRPr="00A12E3F">
              <w:rPr>
                <w:rFonts w:cs="Calibri"/>
              </w:rPr>
              <w:t xml:space="preserve">Move the QMCI and ASPM macroinvertebrate measures to the new ‘must consider for use where relevant’ class of attributes, leaving MCI as an action-plan attribute. </w:t>
            </w:r>
          </w:p>
        </w:tc>
        <w:tc>
          <w:tcPr>
            <w:tcW w:w="4961" w:type="dxa"/>
          </w:tcPr>
          <w:p w14:paraId="16802E16" w14:textId="7E38A8D4" w:rsidR="00F552D3" w:rsidRPr="00A12E3F" w:rsidRDefault="00E41BD5" w:rsidP="00707277">
            <w:pPr>
              <w:pStyle w:val="TableText"/>
              <w:rPr>
                <w:rFonts w:cs="Calibri"/>
              </w:rPr>
            </w:pPr>
            <w:r w:rsidRPr="00A12E3F">
              <w:rPr>
                <w:rFonts w:cs="Calibri"/>
              </w:rPr>
              <w:t>As discussed above in relation to recommendation 22, the Minister chose not to implement a ‘must consider for use where relevant’ attribute class. The three macroinvertebrate measures –</w:t>
            </w:r>
            <w:r w:rsidR="006060FC" w:rsidRPr="00A12E3F">
              <w:rPr>
                <w:rFonts w:cs="Calibri"/>
              </w:rPr>
              <w:t xml:space="preserve"> </w:t>
            </w:r>
            <w:r w:rsidR="00C90DD3" w:rsidRPr="00A12E3F">
              <w:rPr>
                <w:rFonts w:cs="Calibri"/>
              </w:rPr>
              <w:t xml:space="preserve">QMCI, ASPM, </w:t>
            </w:r>
            <w:r w:rsidRPr="00A12E3F">
              <w:rPr>
                <w:rFonts w:cs="Calibri"/>
              </w:rPr>
              <w:t xml:space="preserve">MCI – remain as attributes that require action plans. </w:t>
            </w:r>
          </w:p>
        </w:tc>
      </w:tr>
      <w:tr w:rsidR="0069600D" w:rsidRPr="00A12E3F" w14:paraId="241A2538" w14:textId="77777777" w:rsidTr="00A07B63">
        <w:tc>
          <w:tcPr>
            <w:tcW w:w="3402" w:type="dxa"/>
          </w:tcPr>
          <w:p w14:paraId="1238BFE4" w14:textId="72251D13" w:rsidR="0069600D" w:rsidRPr="00A12E3F" w:rsidRDefault="0069600D" w:rsidP="00707277">
            <w:pPr>
              <w:pStyle w:val="TableText"/>
              <w:ind w:left="397" w:hanging="397"/>
              <w:rPr>
                <w:rFonts w:cs="Calibri"/>
              </w:rPr>
            </w:pPr>
            <w:r w:rsidRPr="00A12E3F">
              <w:rPr>
                <w:rFonts w:cs="Calibri"/>
              </w:rPr>
              <w:lastRenderedPageBreak/>
              <w:t xml:space="preserve">28. </w:t>
            </w:r>
            <w:r w:rsidR="00707277" w:rsidRPr="00A12E3F">
              <w:rPr>
                <w:rFonts w:cs="Calibri"/>
              </w:rPr>
              <w:tab/>
            </w:r>
            <w:r w:rsidRPr="00A12E3F">
              <w:rPr>
                <w:rFonts w:cs="Calibri"/>
              </w:rPr>
              <w:t xml:space="preserve">Raise the MCI threshold to 90 in line with STAG’s recommendation. </w:t>
            </w:r>
          </w:p>
        </w:tc>
        <w:tc>
          <w:tcPr>
            <w:tcW w:w="4961" w:type="dxa"/>
          </w:tcPr>
          <w:p w14:paraId="26263DB6" w14:textId="70350FB3" w:rsidR="0069600D" w:rsidRPr="00A12E3F" w:rsidRDefault="00054636" w:rsidP="00707277">
            <w:pPr>
              <w:pStyle w:val="TableText"/>
              <w:rPr>
                <w:rFonts w:cs="Calibri"/>
              </w:rPr>
            </w:pPr>
            <w:r w:rsidRPr="00A12E3F">
              <w:rPr>
                <w:rFonts w:cs="Calibri"/>
              </w:rPr>
              <w:t xml:space="preserve">The Minister </w:t>
            </w:r>
            <w:r w:rsidR="00E41BD5" w:rsidRPr="00A12E3F">
              <w:rPr>
                <w:rFonts w:cs="Calibri"/>
              </w:rPr>
              <w:t>accepted this recommendation</w:t>
            </w:r>
            <w:r w:rsidR="005E4145" w:rsidRPr="00A12E3F">
              <w:rPr>
                <w:rFonts w:cs="Calibri"/>
              </w:rPr>
              <w:t>.</w:t>
            </w:r>
          </w:p>
        </w:tc>
      </w:tr>
      <w:tr w:rsidR="0069600D" w:rsidRPr="00A12E3F" w14:paraId="55A7594B" w14:textId="77777777" w:rsidTr="00A07B63">
        <w:tc>
          <w:tcPr>
            <w:tcW w:w="3402" w:type="dxa"/>
          </w:tcPr>
          <w:p w14:paraId="01006D8A" w14:textId="14D94855" w:rsidR="0069600D" w:rsidRPr="00A12E3F" w:rsidRDefault="0069600D" w:rsidP="00707277">
            <w:pPr>
              <w:pStyle w:val="TableText"/>
              <w:ind w:left="397" w:hanging="397"/>
              <w:rPr>
                <w:rFonts w:cs="Calibri"/>
              </w:rPr>
            </w:pPr>
            <w:r w:rsidRPr="00A12E3F">
              <w:rPr>
                <w:rFonts w:cs="Calibri"/>
              </w:rPr>
              <w:t xml:space="preserve">29. </w:t>
            </w:r>
            <w:r w:rsidR="00707277" w:rsidRPr="00A12E3F">
              <w:rPr>
                <w:rFonts w:cs="Calibri"/>
              </w:rPr>
              <w:tab/>
            </w:r>
            <w:r w:rsidRPr="00A12E3F">
              <w:rPr>
                <w:rFonts w:cs="Calibri"/>
              </w:rPr>
              <w:t>Move lake SPI, lake-bottom dissolved oxygen, and mid-</w:t>
            </w:r>
            <w:proofErr w:type="spellStart"/>
            <w:r w:rsidR="00965D88" w:rsidRPr="00A12E3F">
              <w:rPr>
                <w:rFonts w:cs="Calibri"/>
              </w:rPr>
              <w:t>h</w:t>
            </w:r>
            <w:r w:rsidRPr="00A12E3F">
              <w:rPr>
                <w:rFonts w:cs="Calibri"/>
              </w:rPr>
              <w:t>ypolimnetic</w:t>
            </w:r>
            <w:proofErr w:type="spellEnd"/>
            <w:r w:rsidRPr="00A12E3F">
              <w:rPr>
                <w:rFonts w:cs="Calibri"/>
              </w:rPr>
              <w:t xml:space="preserve"> dissolved oxygen into the new ‘must consider for use where relevant’ class of attributes. </w:t>
            </w:r>
          </w:p>
        </w:tc>
        <w:tc>
          <w:tcPr>
            <w:tcW w:w="4961" w:type="dxa"/>
          </w:tcPr>
          <w:p w14:paraId="0876EE79" w14:textId="5B4A3E09" w:rsidR="00E14C52" w:rsidRPr="00A12E3F" w:rsidRDefault="00456547" w:rsidP="00707277">
            <w:pPr>
              <w:pStyle w:val="TableText"/>
              <w:rPr>
                <w:rFonts w:cs="Calibri"/>
              </w:rPr>
            </w:pPr>
            <w:r w:rsidRPr="00A12E3F">
              <w:rPr>
                <w:rFonts w:cs="Calibri"/>
              </w:rPr>
              <w:t>As discussed above in relation to recommendation 22, the Minister chose not to implement a ‘must consider for use where relevant’ attribute class. The lake SPI, lake-bottom dissolved oxygen and mid-</w:t>
            </w:r>
            <w:proofErr w:type="spellStart"/>
            <w:r w:rsidRPr="00A12E3F">
              <w:rPr>
                <w:rFonts w:cs="Calibri"/>
              </w:rPr>
              <w:t>hypolimnetic</w:t>
            </w:r>
            <w:proofErr w:type="spellEnd"/>
            <w:r w:rsidRPr="00A12E3F">
              <w:rPr>
                <w:rFonts w:cs="Calibri"/>
              </w:rPr>
              <w:t xml:space="preserve"> dissolved oxygen attributes remain attributes that require action plans. </w:t>
            </w:r>
          </w:p>
        </w:tc>
      </w:tr>
      <w:tr w:rsidR="0069600D" w:rsidRPr="00A12E3F" w14:paraId="4152617F" w14:textId="77777777" w:rsidTr="00A07B63">
        <w:tc>
          <w:tcPr>
            <w:tcW w:w="3402" w:type="dxa"/>
          </w:tcPr>
          <w:p w14:paraId="765B1FF8" w14:textId="56156C28" w:rsidR="0069600D" w:rsidRPr="00A12E3F" w:rsidRDefault="0069600D" w:rsidP="00707277">
            <w:pPr>
              <w:pStyle w:val="TableText"/>
              <w:ind w:left="397" w:hanging="397"/>
              <w:rPr>
                <w:rFonts w:cs="Calibri"/>
              </w:rPr>
            </w:pPr>
            <w:r w:rsidRPr="00A12E3F">
              <w:rPr>
                <w:rFonts w:cs="Calibri"/>
              </w:rPr>
              <w:t xml:space="preserve">30. </w:t>
            </w:r>
            <w:r w:rsidR="00707277" w:rsidRPr="00A12E3F">
              <w:rPr>
                <w:rFonts w:cs="Calibri"/>
              </w:rPr>
              <w:tab/>
            </w:r>
            <w:r w:rsidRPr="00A12E3F">
              <w:rPr>
                <w:rFonts w:cs="Calibri"/>
              </w:rPr>
              <w:t>Move Fish IBI and ecosystem metabolism measures to the new ‘compulsory monitoring only’ class of</w:t>
            </w:r>
            <w:r w:rsidR="005662B2" w:rsidRPr="00A12E3F">
              <w:rPr>
                <w:rFonts w:cs="Calibri"/>
              </w:rPr>
              <w:t> </w:t>
            </w:r>
            <w:r w:rsidRPr="00A12E3F">
              <w:rPr>
                <w:rFonts w:cs="Calibri"/>
              </w:rPr>
              <w:t xml:space="preserve">attributes. </w:t>
            </w:r>
          </w:p>
        </w:tc>
        <w:tc>
          <w:tcPr>
            <w:tcW w:w="4961" w:type="dxa"/>
          </w:tcPr>
          <w:p w14:paraId="20E66235" w14:textId="3254FA54" w:rsidR="0069600D" w:rsidRPr="00A12E3F" w:rsidRDefault="00456547" w:rsidP="00707277">
            <w:pPr>
              <w:pStyle w:val="TableText"/>
              <w:rPr>
                <w:rFonts w:cs="Calibri"/>
              </w:rPr>
            </w:pPr>
            <w:r w:rsidRPr="00A12E3F">
              <w:rPr>
                <w:rFonts w:cs="Calibri"/>
              </w:rPr>
              <w:t xml:space="preserve">As discussed above in relation to recommendation 22, the Minister chose not to implement a ‘compulsory monitoring only’ attribute class. The Fish IBI and ecosystem metabolism attributes remain attributes that require an action plan. To address some of the concerns raised by the IAP about its robustness, the Fish IBI attribute no longer has a national bottom line. </w:t>
            </w:r>
          </w:p>
        </w:tc>
      </w:tr>
      <w:tr w:rsidR="0069600D" w:rsidRPr="00A12E3F" w14:paraId="786AFB7B" w14:textId="77777777" w:rsidTr="00A07B63">
        <w:tc>
          <w:tcPr>
            <w:tcW w:w="3402" w:type="dxa"/>
          </w:tcPr>
          <w:p w14:paraId="4A06836E" w14:textId="3C7A188E" w:rsidR="0069600D" w:rsidRPr="00A12E3F" w:rsidRDefault="0069600D" w:rsidP="00707277">
            <w:pPr>
              <w:pStyle w:val="TableText"/>
              <w:ind w:left="397" w:hanging="397"/>
              <w:rPr>
                <w:rFonts w:cs="Calibri"/>
              </w:rPr>
            </w:pPr>
            <w:r w:rsidRPr="00A12E3F">
              <w:rPr>
                <w:rFonts w:cs="Calibri"/>
              </w:rPr>
              <w:t xml:space="preserve">31. </w:t>
            </w:r>
            <w:r w:rsidR="00707277" w:rsidRPr="00A12E3F">
              <w:rPr>
                <w:rFonts w:cs="Calibri"/>
              </w:rPr>
              <w:tab/>
            </w:r>
            <w:r w:rsidRPr="00A12E3F">
              <w:rPr>
                <w:rFonts w:cs="Calibri"/>
              </w:rPr>
              <w:t xml:space="preserve">Add to the Fish IBI a column for the measurement of salmonids, applying only to specific salmonid fisheries. </w:t>
            </w:r>
          </w:p>
        </w:tc>
        <w:tc>
          <w:tcPr>
            <w:tcW w:w="4961" w:type="dxa"/>
          </w:tcPr>
          <w:p w14:paraId="76ECE06F" w14:textId="3F9C174A" w:rsidR="0069600D" w:rsidRPr="00A12E3F" w:rsidRDefault="00072040" w:rsidP="00707277">
            <w:pPr>
              <w:pStyle w:val="TableText"/>
              <w:rPr>
                <w:rFonts w:cs="Calibri"/>
              </w:rPr>
            </w:pPr>
            <w:r w:rsidRPr="00A12E3F">
              <w:rPr>
                <w:rFonts w:cs="Calibri"/>
              </w:rPr>
              <w:t xml:space="preserve">The Minister </w:t>
            </w:r>
            <w:r w:rsidR="00F05DD3" w:rsidRPr="00A12E3F">
              <w:rPr>
                <w:rFonts w:cs="Calibri"/>
              </w:rPr>
              <w:t>did not consider it</w:t>
            </w:r>
            <w:r w:rsidRPr="00A12E3F">
              <w:rPr>
                <w:rFonts w:cs="Calibri"/>
              </w:rPr>
              <w:t xml:space="preserve"> appropriate to include salmonids in </w:t>
            </w:r>
            <w:r w:rsidR="00456547" w:rsidRPr="00A12E3F">
              <w:rPr>
                <w:rFonts w:cs="Calibri"/>
              </w:rPr>
              <w:t xml:space="preserve">a compulsory </w:t>
            </w:r>
            <w:r w:rsidRPr="00A12E3F">
              <w:rPr>
                <w:rFonts w:cs="Calibri"/>
              </w:rPr>
              <w:t>attribute table</w:t>
            </w:r>
            <w:r w:rsidR="00456547" w:rsidRPr="00A12E3F">
              <w:rPr>
                <w:rFonts w:cs="Calibri"/>
              </w:rPr>
              <w:t>.</w:t>
            </w:r>
            <w:r w:rsidRPr="00A12E3F">
              <w:rPr>
                <w:rFonts w:cs="Calibri"/>
              </w:rPr>
              <w:t xml:space="preserve"> </w:t>
            </w:r>
            <w:r w:rsidR="00456547" w:rsidRPr="00A12E3F">
              <w:rPr>
                <w:rFonts w:cs="Calibri"/>
              </w:rPr>
              <w:t xml:space="preserve">Policy 10 of the </w:t>
            </w:r>
            <w:r w:rsidR="00EC7BF6">
              <w:rPr>
                <w:rFonts w:cs="Calibri"/>
              </w:rPr>
              <w:t>NPS-FM 2020</w:t>
            </w:r>
            <w:r w:rsidR="00456547" w:rsidRPr="00A12E3F">
              <w:rPr>
                <w:rFonts w:cs="Calibri"/>
              </w:rPr>
              <w:t xml:space="preserve"> </w:t>
            </w:r>
            <w:r w:rsidR="00F05DD3" w:rsidRPr="00A12E3F">
              <w:rPr>
                <w:rFonts w:cs="Calibri"/>
              </w:rPr>
              <w:t xml:space="preserve">provides protection to the habitat of trout and salmon, as long as it is consistent with the protection of the habitat of indigenous freshwater species. Councils can include a salmonid attribute if they consider it appropriate. </w:t>
            </w:r>
          </w:p>
        </w:tc>
      </w:tr>
      <w:tr w:rsidR="0069600D" w:rsidRPr="00A12E3F" w14:paraId="0E49DF06" w14:textId="77777777" w:rsidTr="00A07B63">
        <w:tc>
          <w:tcPr>
            <w:tcW w:w="3402" w:type="dxa"/>
          </w:tcPr>
          <w:p w14:paraId="2052191A" w14:textId="330CE26B" w:rsidR="0069600D" w:rsidRPr="00A12E3F" w:rsidRDefault="0069600D" w:rsidP="00707277">
            <w:pPr>
              <w:pStyle w:val="TableText"/>
              <w:ind w:left="397" w:hanging="397"/>
              <w:rPr>
                <w:rFonts w:cs="Calibri"/>
              </w:rPr>
            </w:pPr>
            <w:r w:rsidRPr="00A12E3F">
              <w:rPr>
                <w:rFonts w:cs="Calibri"/>
              </w:rPr>
              <w:t xml:space="preserve">32. </w:t>
            </w:r>
            <w:r w:rsidR="00707277" w:rsidRPr="00A12E3F">
              <w:rPr>
                <w:rFonts w:cs="Calibri"/>
              </w:rPr>
              <w:tab/>
            </w:r>
            <w:r w:rsidRPr="00A12E3F">
              <w:rPr>
                <w:rFonts w:cs="Calibri"/>
              </w:rPr>
              <w:t xml:space="preserve">Raise the ammonia and nitrogen toxicity attributes to the 90th percentile and change ‘toxicity’ to ‘species sensitivity’. </w:t>
            </w:r>
          </w:p>
        </w:tc>
        <w:tc>
          <w:tcPr>
            <w:tcW w:w="4961" w:type="dxa"/>
          </w:tcPr>
          <w:p w14:paraId="265C1D3F" w14:textId="46005412" w:rsidR="00014D22" w:rsidRPr="00A12E3F" w:rsidRDefault="00014D22" w:rsidP="00707277">
            <w:pPr>
              <w:pStyle w:val="TableText"/>
              <w:rPr>
                <w:rFonts w:cs="Calibri"/>
              </w:rPr>
            </w:pPr>
            <w:r w:rsidRPr="00A12E3F">
              <w:rPr>
                <w:rFonts w:cs="Calibri"/>
              </w:rPr>
              <w:t>The Minister strengthen</w:t>
            </w:r>
            <w:r w:rsidR="00F05DD3" w:rsidRPr="00A12E3F">
              <w:rPr>
                <w:rFonts w:cs="Calibri"/>
              </w:rPr>
              <w:t>ed</w:t>
            </w:r>
            <w:r w:rsidRPr="00A12E3F">
              <w:rPr>
                <w:rFonts w:cs="Calibri"/>
              </w:rPr>
              <w:t xml:space="preserve"> the</w:t>
            </w:r>
            <w:r w:rsidR="00F05DD3" w:rsidRPr="00A12E3F">
              <w:rPr>
                <w:rFonts w:cs="Calibri"/>
              </w:rPr>
              <w:t xml:space="preserve"> ammonia and nitrogen toxicity</w:t>
            </w:r>
            <w:r w:rsidRPr="00A12E3F">
              <w:rPr>
                <w:rFonts w:cs="Calibri"/>
              </w:rPr>
              <w:t xml:space="preserve"> attributes to protect 95% of species from toxic effects, up from 80%. The change was made to recognise that without the addition of a DIN attribute, the nitrogen policies do not sufficiently provide for ecosystem health, especially in soft-bottomed rivers that do not support the growth of periphyton. Strengthening these attributes improves control on nitrogen levels without the same level of stringency which a DIN attribute would </w:t>
            </w:r>
            <w:r w:rsidR="00F05DD3" w:rsidRPr="00A12E3F">
              <w:rPr>
                <w:rFonts w:cs="Calibri"/>
              </w:rPr>
              <w:t>require</w:t>
            </w:r>
            <w:r w:rsidRPr="00A12E3F">
              <w:rPr>
                <w:rFonts w:cs="Calibri"/>
              </w:rPr>
              <w:t>.</w:t>
            </w:r>
          </w:p>
          <w:p w14:paraId="0899C5E7" w14:textId="6A670B63" w:rsidR="00014D22" w:rsidRPr="00A12E3F" w:rsidRDefault="00014D22" w:rsidP="00707277">
            <w:pPr>
              <w:pStyle w:val="TableText"/>
              <w:rPr>
                <w:rFonts w:cs="Calibri"/>
              </w:rPr>
            </w:pPr>
            <w:r w:rsidRPr="00A12E3F">
              <w:rPr>
                <w:rFonts w:cs="Calibri"/>
              </w:rPr>
              <w:t xml:space="preserve">The </w:t>
            </w:r>
            <w:r w:rsidR="00564409" w:rsidRPr="00A12E3F">
              <w:rPr>
                <w:rFonts w:cs="Calibri"/>
              </w:rPr>
              <w:t>term ‘toxicity’ is widely used in scientific literature and well understood.</w:t>
            </w:r>
            <w:r w:rsidR="00F05DD3" w:rsidRPr="00A12E3F">
              <w:rPr>
                <w:rFonts w:cs="Calibri"/>
              </w:rPr>
              <w:t xml:space="preserve"> As such the Minister chose not to change it to ‘species sensitivity’. </w:t>
            </w:r>
          </w:p>
        </w:tc>
      </w:tr>
      <w:tr w:rsidR="00014D22" w:rsidRPr="00A12E3F" w14:paraId="075291BC" w14:textId="77777777" w:rsidTr="00A07B63">
        <w:tc>
          <w:tcPr>
            <w:tcW w:w="3402" w:type="dxa"/>
          </w:tcPr>
          <w:p w14:paraId="60F1F611" w14:textId="1056ECC1" w:rsidR="00014D22" w:rsidRPr="00A12E3F" w:rsidRDefault="00014D22" w:rsidP="00707277">
            <w:pPr>
              <w:pStyle w:val="TableText"/>
              <w:ind w:left="397" w:hanging="397"/>
              <w:rPr>
                <w:rFonts w:cs="Calibri"/>
              </w:rPr>
            </w:pPr>
            <w:r w:rsidRPr="00A12E3F">
              <w:rPr>
                <w:rFonts w:cs="Calibri"/>
              </w:rPr>
              <w:t xml:space="preserve">33. </w:t>
            </w:r>
            <w:r w:rsidR="00707277" w:rsidRPr="00A12E3F">
              <w:rPr>
                <w:rFonts w:cs="Calibri"/>
              </w:rPr>
              <w:tab/>
            </w:r>
            <w:r w:rsidRPr="00A12E3F">
              <w:rPr>
                <w:rFonts w:cs="Calibri"/>
              </w:rPr>
              <w:t xml:space="preserve">Amend the bathing season’s primary contact sites attribute to require weekly monitoring during the bathing season retaining flexibility for regional councils to determine the appropriate bathing season. </w:t>
            </w:r>
          </w:p>
        </w:tc>
        <w:tc>
          <w:tcPr>
            <w:tcW w:w="4961" w:type="dxa"/>
          </w:tcPr>
          <w:p w14:paraId="3D79DE51" w14:textId="4C8F2614" w:rsidR="00014D22" w:rsidRPr="00A12E3F" w:rsidRDefault="00E14C52" w:rsidP="00707277">
            <w:pPr>
              <w:pStyle w:val="TableText"/>
              <w:rPr>
                <w:rFonts w:cs="Calibri"/>
              </w:rPr>
            </w:pPr>
            <w:r w:rsidRPr="00A12E3F">
              <w:rPr>
                <w:rFonts w:cs="Calibri"/>
              </w:rPr>
              <w:t xml:space="preserve">The Minister </w:t>
            </w:r>
            <w:r w:rsidR="00F05DD3" w:rsidRPr="00A12E3F">
              <w:rPr>
                <w:rFonts w:cs="Calibri"/>
              </w:rPr>
              <w:t xml:space="preserve">accepted this recommendation. </w:t>
            </w:r>
          </w:p>
        </w:tc>
      </w:tr>
    </w:tbl>
    <w:p w14:paraId="3EC0E615" w14:textId="4542A1FC" w:rsidR="00520FBC" w:rsidRPr="00A12E3F" w:rsidRDefault="00520FBC" w:rsidP="005662B2">
      <w:pPr>
        <w:pStyle w:val="BodyText"/>
        <w:spacing w:before="0" w:after="0"/>
      </w:pPr>
    </w:p>
    <w:p w14:paraId="284D0F26" w14:textId="27D72851" w:rsidR="00520FBC" w:rsidRPr="00A12E3F" w:rsidRDefault="0069600D" w:rsidP="00950310">
      <w:pPr>
        <w:pStyle w:val="Tableheading"/>
      </w:pPr>
      <w:bookmarkStart w:id="12" w:name="_Toc51337106"/>
      <w:r w:rsidRPr="00A12E3F">
        <w:t>Table 6</w:t>
      </w:r>
      <w:r w:rsidR="005662B2" w:rsidRPr="00A12E3F">
        <w:t>:</w:t>
      </w:r>
      <w:r w:rsidRPr="00A12E3F">
        <w:tab/>
        <w:t>Wetlands</w:t>
      </w:r>
      <w:bookmarkEnd w:id="12"/>
    </w:p>
    <w:tbl>
      <w:tblPr>
        <w:tblStyle w:val="TableGrid"/>
        <w:tblW w:w="8562"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ayout w:type="fixed"/>
        <w:tblLook w:val="04A0" w:firstRow="1" w:lastRow="0" w:firstColumn="1" w:lastColumn="0" w:noHBand="0" w:noVBand="1"/>
      </w:tblPr>
      <w:tblGrid>
        <w:gridCol w:w="3402"/>
        <w:gridCol w:w="5160"/>
      </w:tblGrid>
      <w:tr w:rsidR="005662B2" w:rsidRPr="00A12E3F" w14:paraId="69462A26" w14:textId="77777777" w:rsidTr="00235D0D">
        <w:trPr>
          <w:tblHeader/>
        </w:trPr>
        <w:tc>
          <w:tcPr>
            <w:tcW w:w="3402" w:type="dxa"/>
            <w:shd w:val="clear" w:color="auto" w:fill="1C556C"/>
          </w:tcPr>
          <w:p w14:paraId="41203880" w14:textId="77777777" w:rsidR="0069600D" w:rsidRPr="00A12E3F" w:rsidRDefault="0069600D" w:rsidP="005662B2">
            <w:pPr>
              <w:pStyle w:val="TableTextbold"/>
              <w:rPr>
                <w:color w:val="FFFFFF" w:themeColor="background1"/>
              </w:rPr>
            </w:pPr>
            <w:r w:rsidRPr="00A12E3F">
              <w:rPr>
                <w:color w:val="FFFFFF" w:themeColor="background1"/>
              </w:rPr>
              <w:t>Recommendation</w:t>
            </w:r>
          </w:p>
        </w:tc>
        <w:tc>
          <w:tcPr>
            <w:tcW w:w="5160" w:type="dxa"/>
            <w:shd w:val="clear" w:color="auto" w:fill="1C556C"/>
          </w:tcPr>
          <w:p w14:paraId="0C2457BA" w14:textId="2A69EDA2" w:rsidR="0069600D" w:rsidRPr="00A12E3F" w:rsidRDefault="0069600D" w:rsidP="005662B2">
            <w:pPr>
              <w:pStyle w:val="TableTextbold"/>
              <w:rPr>
                <w:color w:val="FFFFFF" w:themeColor="background1"/>
              </w:rPr>
            </w:pPr>
            <w:r w:rsidRPr="00A12E3F">
              <w:rPr>
                <w:color w:val="FFFFFF" w:themeColor="background1"/>
              </w:rPr>
              <w:t>Minister’s decision</w:t>
            </w:r>
          </w:p>
        </w:tc>
      </w:tr>
      <w:tr w:rsidR="0069600D" w:rsidRPr="00A12E3F" w14:paraId="751C3F62" w14:textId="77777777" w:rsidTr="00235D0D">
        <w:tc>
          <w:tcPr>
            <w:tcW w:w="3402" w:type="dxa"/>
            <w:shd w:val="clear" w:color="auto" w:fill="auto"/>
          </w:tcPr>
          <w:p w14:paraId="5DFAFB4E" w14:textId="502BB547" w:rsidR="0069600D" w:rsidRPr="00A12E3F" w:rsidRDefault="0069600D" w:rsidP="005662B2">
            <w:pPr>
              <w:pStyle w:val="TableText"/>
              <w:ind w:left="397" w:hanging="397"/>
            </w:pPr>
            <w:r w:rsidRPr="00A12E3F">
              <w:t xml:space="preserve">34. </w:t>
            </w:r>
            <w:r w:rsidR="005662B2" w:rsidRPr="00A12E3F">
              <w:tab/>
            </w:r>
            <w:r w:rsidRPr="00A12E3F">
              <w:t xml:space="preserve">Tighten the definition of ‘net loss’ to remove loopholes. </w:t>
            </w:r>
          </w:p>
        </w:tc>
        <w:tc>
          <w:tcPr>
            <w:tcW w:w="5160" w:type="dxa"/>
            <w:shd w:val="clear" w:color="auto" w:fill="auto"/>
          </w:tcPr>
          <w:p w14:paraId="0087CEFC" w14:textId="45796522" w:rsidR="0069600D" w:rsidRPr="00A12E3F" w:rsidRDefault="001B0461" w:rsidP="005662B2">
            <w:pPr>
              <w:pStyle w:val="TableText"/>
            </w:pPr>
            <w:r w:rsidRPr="00A12E3F">
              <w:t>The Minister a</w:t>
            </w:r>
            <w:r w:rsidR="00BA3AD1" w:rsidRPr="00A12E3F">
              <w:t xml:space="preserve">ccepted this recommendation. </w:t>
            </w:r>
          </w:p>
        </w:tc>
      </w:tr>
      <w:tr w:rsidR="0069600D" w:rsidRPr="00A12E3F" w14:paraId="732F3099" w14:textId="77777777" w:rsidTr="00235D0D">
        <w:tc>
          <w:tcPr>
            <w:tcW w:w="3402" w:type="dxa"/>
            <w:shd w:val="clear" w:color="auto" w:fill="auto"/>
          </w:tcPr>
          <w:p w14:paraId="5D553806" w14:textId="37D639FD" w:rsidR="0069600D" w:rsidRPr="00A12E3F" w:rsidRDefault="0069600D" w:rsidP="005662B2">
            <w:pPr>
              <w:pStyle w:val="TableText"/>
              <w:ind w:left="397" w:hanging="397"/>
            </w:pPr>
            <w:r w:rsidRPr="00A12E3F">
              <w:t xml:space="preserve">35. </w:t>
            </w:r>
            <w:r w:rsidR="005662B2" w:rsidRPr="00A12E3F">
              <w:tab/>
            </w:r>
            <w:r w:rsidRPr="00A12E3F">
              <w:t xml:space="preserve">Ensure restored wetlands are not counted as constructed wetlands. </w:t>
            </w:r>
          </w:p>
        </w:tc>
        <w:tc>
          <w:tcPr>
            <w:tcW w:w="5160" w:type="dxa"/>
            <w:shd w:val="clear" w:color="auto" w:fill="auto"/>
          </w:tcPr>
          <w:p w14:paraId="295313E6" w14:textId="121655BD" w:rsidR="001B0461" w:rsidRPr="00A12E3F" w:rsidRDefault="00240C7A" w:rsidP="005662B2">
            <w:pPr>
              <w:pStyle w:val="TableText"/>
            </w:pPr>
            <w:r w:rsidRPr="00A12E3F">
              <w:t xml:space="preserve">The Minister </w:t>
            </w:r>
            <w:r w:rsidR="00BA3AD1" w:rsidRPr="00A12E3F">
              <w:t xml:space="preserve">accepted this recommendation. </w:t>
            </w:r>
          </w:p>
        </w:tc>
      </w:tr>
    </w:tbl>
    <w:p w14:paraId="70867D2C" w14:textId="4F09174C" w:rsidR="00520FBC" w:rsidRPr="00A12E3F" w:rsidRDefault="0067277F" w:rsidP="005662B2">
      <w:pPr>
        <w:pStyle w:val="Note"/>
        <w:spacing w:line="240" w:lineRule="atLeast"/>
      </w:pPr>
      <w:r w:rsidRPr="00A12E3F">
        <w:t>*</w:t>
      </w:r>
      <w:r w:rsidR="005662B2" w:rsidRPr="00A12E3F">
        <w:t xml:space="preserve"> </w:t>
      </w:r>
      <w:r w:rsidRPr="00A12E3F">
        <w:t xml:space="preserve">Note that </w:t>
      </w:r>
      <w:r w:rsidR="00063514" w:rsidRPr="00A12E3F">
        <w:t xml:space="preserve">apparent gaps in numbering of recommendations </w:t>
      </w:r>
      <w:r w:rsidR="006060FC" w:rsidRPr="00A12E3F">
        <w:t xml:space="preserve">occurs due to </w:t>
      </w:r>
      <w:r w:rsidR="00063514" w:rsidRPr="00A12E3F">
        <w:t xml:space="preserve">those </w:t>
      </w:r>
      <w:r w:rsidR="006060FC" w:rsidRPr="00A12E3F">
        <w:t xml:space="preserve">recommendations being </w:t>
      </w:r>
      <w:r w:rsidRPr="00A12E3F">
        <w:t>incorporated into the National Enviro</w:t>
      </w:r>
      <w:r w:rsidR="006060FC" w:rsidRPr="00A12E3F">
        <w:t>nmental Standard</w:t>
      </w:r>
      <w:r w:rsidR="00DD2685">
        <w:t>s</w:t>
      </w:r>
      <w:r w:rsidR="006060FC" w:rsidRPr="00A12E3F">
        <w:t xml:space="preserve"> for Freshwater. A</w:t>
      </w:r>
      <w:r w:rsidRPr="00A12E3F">
        <w:t xml:space="preserve">s such are </w:t>
      </w:r>
      <w:r w:rsidR="006060FC" w:rsidRPr="00A12E3F">
        <w:t xml:space="preserve">they </w:t>
      </w:r>
      <w:r w:rsidRPr="00A12E3F">
        <w:t>not addressed in this</w:t>
      </w:r>
      <w:r w:rsidR="0000250F" w:rsidRPr="00A12E3F">
        <w:t> </w:t>
      </w:r>
      <w:r w:rsidRPr="00A12E3F">
        <w:t>report</w:t>
      </w:r>
      <w:r w:rsidR="00121C23">
        <w:t xml:space="preserve"> under section 52</w:t>
      </w:r>
      <w:r w:rsidRPr="00A12E3F">
        <w:t xml:space="preserve">, which relates only to decisions made on the </w:t>
      </w:r>
      <w:r w:rsidR="00121C23">
        <w:t xml:space="preserve">NPS-FM </w:t>
      </w:r>
      <w:proofErr w:type="gramStart"/>
      <w:r w:rsidR="000E3D7E">
        <w:t>2020</w:t>
      </w:r>
      <w:r w:rsidRPr="00A12E3F">
        <w:t>.</w:t>
      </w:r>
      <w:proofErr w:type="gramEnd"/>
    </w:p>
    <w:p w14:paraId="337D432D" w14:textId="451E026B" w:rsidR="00E64676" w:rsidRPr="00A12E3F" w:rsidRDefault="00E64676" w:rsidP="00950310">
      <w:pPr>
        <w:pStyle w:val="Tableheading"/>
      </w:pPr>
      <w:bookmarkStart w:id="13" w:name="_Toc51337107"/>
      <w:r w:rsidRPr="00A12E3F">
        <w:lastRenderedPageBreak/>
        <w:t>Table 7</w:t>
      </w:r>
      <w:r w:rsidRPr="00A12E3F">
        <w:tab/>
        <w:t>Stream loss</w:t>
      </w:r>
      <w:bookmarkEnd w:id="13"/>
    </w:p>
    <w:tbl>
      <w:tblPr>
        <w:tblStyle w:val="TableGrid"/>
        <w:tblW w:w="8562"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ayout w:type="fixed"/>
        <w:tblLook w:val="04A0" w:firstRow="1" w:lastRow="0" w:firstColumn="1" w:lastColumn="0" w:noHBand="0" w:noVBand="1"/>
      </w:tblPr>
      <w:tblGrid>
        <w:gridCol w:w="3969"/>
        <w:gridCol w:w="4593"/>
      </w:tblGrid>
      <w:tr w:rsidR="005662B2" w:rsidRPr="00A12E3F" w14:paraId="0A804D0D" w14:textId="77777777" w:rsidTr="00822BFA">
        <w:trPr>
          <w:tblHeader/>
        </w:trPr>
        <w:tc>
          <w:tcPr>
            <w:tcW w:w="3969" w:type="dxa"/>
            <w:shd w:val="clear" w:color="auto" w:fill="1C556C"/>
          </w:tcPr>
          <w:p w14:paraId="6786F0E8" w14:textId="77777777" w:rsidR="00E64676" w:rsidRPr="00A12E3F" w:rsidRDefault="00E64676" w:rsidP="005662B2">
            <w:pPr>
              <w:pStyle w:val="TableTextbold"/>
              <w:rPr>
                <w:color w:val="FFFFFF" w:themeColor="background1"/>
              </w:rPr>
            </w:pPr>
            <w:r w:rsidRPr="00A12E3F">
              <w:rPr>
                <w:color w:val="FFFFFF" w:themeColor="background1"/>
              </w:rPr>
              <w:t>Recommendation</w:t>
            </w:r>
          </w:p>
        </w:tc>
        <w:tc>
          <w:tcPr>
            <w:tcW w:w="4593" w:type="dxa"/>
            <w:shd w:val="clear" w:color="auto" w:fill="1C556C"/>
          </w:tcPr>
          <w:p w14:paraId="3ED4F323" w14:textId="0BBE8F48" w:rsidR="00E64676" w:rsidRPr="00A12E3F" w:rsidRDefault="00E64676" w:rsidP="005662B2">
            <w:pPr>
              <w:pStyle w:val="TableTextbold"/>
              <w:rPr>
                <w:color w:val="FFFFFF" w:themeColor="background1"/>
              </w:rPr>
            </w:pPr>
            <w:r w:rsidRPr="00A12E3F">
              <w:rPr>
                <w:color w:val="FFFFFF" w:themeColor="background1"/>
              </w:rPr>
              <w:t>Minister’s decision</w:t>
            </w:r>
          </w:p>
        </w:tc>
      </w:tr>
      <w:tr w:rsidR="00E64676" w:rsidRPr="00A12E3F" w14:paraId="5EC6F95B" w14:textId="77777777" w:rsidTr="00822BFA">
        <w:tc>
          <w:tcPr>
            <w:tcW w:w="3969" w:type="dxa"/>
            <w:shd w:val="clear" w:color="auto" w:fill="auto"/>
          </w:tcPr>
          <w:p w14:paraId="10BEA771" w14:textId="0FA0FAD6" w:rsidR="00E64676" w:rsidRPr="00A12E3F" w:rsidRDefault="00E64676" w:rsidP="005662B2">
            <w:pPr>
              <w:pStyle w:val="TableText"/>
              <w:ind w:left="397" w:hanging="397"/>
            </w:pPr>
            <w:r w:rsidRPr="00A12E3F">
              <w:t xml:space="preserve">40. </w:t>
            </w:r>
            <w:r w:rsidR="005662B2" w:rsidRPr="00A12E3F">
              <w:tab/>
            </w:r>
            <w:r w:rsidRPr="00A12E3F">
              <w:t xml:space="preserve">Amend references to ‘streams’ to read ‘rivers’, and clearly define ‘rivers’ as having the same meaning as in the RMA. </w:t>
            </w:r>
          </w:p>
        </w:tc>
        <w:tc>
          <w:tcPr>
            <w:tcW w:w="4593" w:type="dxa"/>
            <w:shd w:val="clear" w:color="auto" w:fill="auto"/>
          </w:tcPr>
          <w:p w14:paraId="7D2A6739" w14:textId="784F4352" w:rsidR="00E64676" w:rsidRPr="00A12E3F" w:rsidRDefault="008D3B4A" w:rsidP="005662B2">
            <w:pPr>
              <w:pStyle w:val="TableText"/>
            </w:pPr>
            <w:r w:rsidRPr="00A12E3F">
              <w:t xml:space="preserve">The Minister </w:t>
            </w:r>
            <w:r w:rsidR="00BA3AD1" w:rsidRPr="00A12E3F">
              <w:t xml:space="preserve">accepted this recommendation. </w:t>
            </w:r>
          </w:p>
        </w:tc>
      </w:tr>
      <w:tr w:rsidR="00E64676" w:rsidRPr="00A12E3F" w14:paraId="4B86D42C" w14:textId="77777777" w:rsidTr="00822BFA">
        <w:tc>
          <w:tcPr>
            <w:tcW w:w="3969" w:type="dxa"/>
            <w:shd w:val="clear" w:color="auto" w:fill="auto"/>
          </w:tcPr>
          <w:p w14:paraId="7A198CA7" w14:textId="563D9E50" w:rsidR="00E64676" w:rsidRPr="00A12E3F" w:rsidRDefault="00E64676" w:rsidP="005662B2">
            <w:pPr>
              <w:pStyle w:val="TableText"/>
              <w:ind w:left="397" w:hanging="397"/>
            </w:pPr>
            <w:r w:rsidRPr="00A12E3F">
              <w:t xml:space="preserve">41. </w:t>
            </w:r>
            <w:r w:rsidR="005662B2" w:rsidRPr="00A12E3F">
              <w:tab/>
            </w:r>
            <w:r w:rsidRPr="00A12E3F">
              <w:t xml:space="preserve">Amend Policy 9 of the </w:t>
            </w:r>
            <w:r w:rsidR="00EC7BF6">
              <w:t>NPS-FM 2020</w:t>
            </w:r>
            <w:r w:rsidRPr="00A12E3F">
              <w:t xml:space="preserve"> to read: ‘there is no net loss of the extent and habitat quality [or ecosystem health] of rivers’. </w:t>
            </w:r>
          </w:p>
        </w:tc>
        <w:tc>
          <w:tcPr>
            <w:tcW w:w="4593" w:type="dxa"/>
            <w:shd w:val="clear" w:color="auto" w:fill="auto"/>
          </w:tcPr>
          <w:p w14:paraId="4135E45E" w14:textId="392DE065" w:rsidR="00E64676" w:rsidRPr="00A12E3F" w:rsidRDefault="0076635F" w:rsidP="005662B2">
            <w:pPr>
              <w:pStyle w:val="TableText"/>
            </w:pPr>
            <w:r w:rsidRPr="00A12E3F">
              <w:t xml:space="preserve">The Minister </w:t>
            </w:r>
            <w:r w:rsidR="00704F12" w:rsidRPr="00A12E3F">
              <w:t>amended Policy 9 (now Policy 7) to state that “the loss of river extent and values is avoided to the extent practicable”.</w:t>
            </w:r>
          </w:p>
        </w:tc>
      </w:tr>
    </w:tbl>
    <w:p w14:paraId="758953A2" w14:textId="45948B33" w:rsidR="00520FBC" w:rsidRPr="00A12E3F" w:rsidRDefault="00520FBC" w:rsidP="005662B2">
      <w:pPr>
        <w:pStyle w:val="BodyText"/>
        <w:spacing w:before="0" w:after="0"/>
      </w:pPr>
    </w:p>
    <w:p w14:paraId="15CF1D58" w14:textId="24E10F1C" w:rsidR="00E64676" w:rsidRPr="00A12E3F" w:rsidRDefault="00E64676" w:rsidP="00950310">
      <w:pPr>
        <w:pStyle w:val="Tableheading"/>
      </w:pPr>
      <w:bookmarkStart w:id="14" w:name="_Toc51337108"/>
      <w:r w:rsidRPr="00A12E3F">
        <w:t>Table 8</w:t>
      </w:r>
      <w:r w:rsidR="005662B2" w:rsidRPr="00A12E3F">
        <w:t>:</w:t>
      </w:r>
      <w:r w:rsidRPr="00A12E3F">
        <w:t xml:space="preserve"> </w:t>
      </w:r>
      <w:r w:rsidRPr="00A12E3F">
        <w:tab/>
        <w:t>Fish passage</w:t>
      </w:r>
      <w:bookmarkEnd w:id="14"/>
    </w:p>
    <w:tbl>
      <w:tblPr>
        <w:tblStyle w:val="TableGrid"/>
        <w:tblW w:w="8562"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ayout w:type="fixed"/>
        <w:tblLook w:val="04A0" w:firstRow="1" w:lastRow="0" w:firstColumn="1" w:lastColumn="0" w:noHBand="0" w:noVBand="1"/>
      </w:tblPr>
      <w:tblGrid>
        <w:gridCol w:w="3969"/>
        <w:gridCol w:w="4593"/>
      </w:tblGrid>
      <w:tr w:rsidR="005662B2" w:rsidRPr="00A12E3F" w14:paraId="0726BBB6" w14:textId="77777777" w:rsidTr="00822BFA">
        <w:trPr>
          <w:tblHeader/>
        </w:trPr>
        <w:tc>
          <w:tcPr>
            <w:tcW w:w="3969" w:type="dxa"/>
            <w:shd w:val="clear" w:color="auto" w:fill="1C556C"/>
          </w:tcPr>
          <w:p w14:paraId="45A58851" w14:textId="77777777" w:rsidR="00E64676" w:rsidRPr="00A12E3F" w:rsidRDefault="00E64676" w:rsidP="005662B2">
            <w:pPr>
              <w:pStyle w:val="TableTextbold"/>
              <w:rPr>
                <w:color w:val="FFFFFF" w:themeColor="background1"/>
              </w:rPr>
            </w:pPr>
            <w:r w:rsidRPr="00A12E3F">
              <w:rPr>
                <w:color w:val="FFFFFF" w:themeColor="background1"/>
              </w:rPr>
              <w:t>Recommendation</w:t>
            </w:r>
          </w:p>
        </w:tc>
        <w:tc>
          <w:tcPr>
            <w:tcW w:w="4593" w:type="dxa"/>
            <w:shd w:val="clear" w:color="auto" w:fill="1C556C"/>
          </w:tcPr>
          <w:p w14:paraId="7A6B72F9" w14:textId="4A7ABB40" w:rsidR="00E64676" w:rsidRPr="00A12E3F" w:rsidRDefault="00E64676" w:rsidP="005662B2">
            <w:pPr>
              <w:pStyle w:val="TableTextbold"/>
              <w:rPr>
                <w:color w:val="FFFFFF" w:themeColor="background1"/>
              </w:rPr>
            </w:pPr>
            <w:r w:rsidRPr="00A12E3F">
              <w:rPr>
                <w:color w:val="FFFFFF" w:themeColor="background1"/>
              </w:rPr>
              <w:t>Minister’s decision</w:t>
            </w:r>
          </w:p>
        </w:tc>
      </w:tr>
      <w:tr w:rsidR="00E64676" w:rsidRPr="00A12E3F" w14:paraId="6DC4C909" w14:textId="77777777" w:rsidTr="00822BFA">
        <w:tc>
          <w:tcPr>
            <w:tcW w:w="3969" w:type="dxa"/>
            <w:shd w:val="clear" w:color="auto" w:fill="auto"/>
          </w:tcPr>
          <w:p w14:paraId="23FF8AE8" w14:textId="38C6BE2D" w:rsidR="00E64676" w:rsidRPr="00A12E3F" w:rsidRDefault="00E64676" w:rsidP="005662B2">
            <w:pPr>
              <w:pStyle w:val="TableText"/>
              <w:ind w:left="397" w:hanging="397"/>
            </w:pPr>
            <w:r w:rsidRPr="00A12E3F">
              <w:t xml:space="preserve">45. </w:t>
            </w:r>
            <w:r w:rsidR="005662B2" w:rsidRPr="00A12E3F">
              <w:tab/>
            </w:r>
            <w:r w:rsidRPr="00A12E3F">
              <w:t xml:space="preserve">Clarify the relation between fish passage provisions in the </w:t>
            </w:r>
            <w:r w:rsidR="00EC7BF6">
              <w:t>NPS-FM 2020</w:t>
            </w:r>
            <w:r w:rsidRPr="00A12E3F">
              <w:t xml:space="preserve">, and those in the Freshwater Fisheries Regulations 1983, and the Conservation Act 1987. </w:t>
            </w:r>
          </w:p>
        </w:tc>
        <w:tc>
          <w:tcPr>
            <w:tcW w:w="4593" w:type="dxa"/>
            <w:shd w:val="clear" w:color="auto" w:fill="auto"/>
          </w:tcPr>
          <w:p w14:paraId="1D80B5A2" w14:textId="7FFBFF89" w:rsidR="00E64676" w:rsidRPr="00A12E3F" w:rsidRDefault="00DE6D06" w:rsidP="005662B2">
            <w:pPr>
              <w:pStyle w:val="TableText"/>
            </w:pPr>
            <w:r w:rsidRPr="00A12E3F">
              <w:t xml:space="preserve">The </w:t>
            </w:r>
            <w:r w:rsidR="004378AF" w:rsidRPr="00A12E3F">
              <w:t xml:space="preserve">Minister </w:t>
            </w:r>
            <w:r w:rsidR="00704F12" w:rsidRPr="00A12E3F">
              <w:t>accepted this recommendation in principle</w:t>
            </w:r>
            <w:r w:rsidR="007A664F" w:rsidRPr="00A12E3F">
              <w:t xml:space="preserve"> </w:t>
            </w:r>
            <w:r w:rsidR="00704F12" w:rsidRPr="00A12E3F">
              <w:t>but considered it could be best achieved through guidance.</w:t>
            </w:r>
            <w:r w:rsidR="005662B2" w:rsidRPr="00A12E3F">
              <w:t xml:space="preserve"> </w:t>
            </w:r>
          </w:p>
        </w:tc>
      </w:tr>
      <w:tr w:rsidR="00E64676" w:rsidRPr="00A12E3F" w14:paraId="051068B2" w14:textId="77777777" w:rsidTr="00822BFA">
        <w:tc>
          <w:tcPr>
            <w:tcW w:w="3969" w:type="dxa"/>
            <w:shd w:val="clear" w:color="auto" w:fill="auto"/>
          </w:tcPr>
          <w:p w14:paraId="7F9A57E4" w14:textId="77481C7E" w:rsidR="00E64676" w:rsidRPr="00A12E3F" w:rsidRDefault="00E64676" w:rsidP="005662B2">
            <w:pPr>
              <w:pStyle w:val="TableText"/>
              <w:ind w:left="397" w:hanging="397"/>
            </w:pPr>
            <w:r w:rsidRPr="00A12E3F">
              <w:t xml:space="preserve">46. </w:t>
            </w:r>
            <w:r w:rsidR="005662B2" w:rsidRPr="00A12E3F">
              <w:tab/>
            </w:r>
            <w:r w:rsidRPr="00A12E3F">
              <w:t xml:space="preserve">Review the drafting of the </w:t>
            </w:r>
            <w:r w:rsidR="00EC7BF6">
              <w:t>NPS-FM 2020</w:t>
            </w:r>
            <w:r w:rsidRPr="00A12E3F">
              <w:t xml:space="preserve"> to relate ‘aquatic life objectives’ to ‘environmental outcomes’, and ‘wo</w:t>
            </w:r>
            <w:r w:rsidR="00A75B14" w:rsidRPr="00A12E3F">
              <w:t>rk programmes’ to ‘action</w:t>
            </w:r>
            <w:r w:rsidR="00822BFA" w:rsidRPr="00A12E3F">
              <w:t> </w:t>
            </w:r>
            <w:r w:rsidR="00797E8B">
              <w:t>plans</w:t>
            </w:r>
            <w:r w:rsidRPr="00A12E3F">
              <w:t>’</w:t>
            </w:r>
            <w:r w:rsidR="00797E8B">
              <w:t>.</w:t>
            </w:r>
            <w:r w:rsidRPr="00A12E3F">
              <w:t xml:space="preserve"> </w:t>
            </w:r>
          </w:p>
        </w:tc>
        <w:tc>
          <w:tcPr>
            <w:tcW w:w="4593" w:type="dxa"/>
            <w:shd w:val="clear" w:color="auto" w:fill="auto"/>
          </w:tcPr>
          <w:p w14:paraId="5F2AB937" w14:textId="62CC8C6A" w:rsidR="00E64676" w:rsidRPr="00A12E3F" w:rsidRDefault="004378AF" w:rsidP="005662B2">
            <w:pPr>
              <w:pStyle w:val="TableText"/>
            </w:pPr>
            <w:r w:rsidRPr="00A12E3F">
              <w:t>The Minister a</w:t>
            </w:r>
            <w:r w:rsidR="00704F12" w:rsidRPr="00A12E3F">
              <w:t xml:space="preserve">ccepted this recommendation in part. </w:t>
            </w:r>
            <w:r w:rsidR="007A664F" w:rsidRPr="00A12E3F">
              <w:t>Changes were made</w:t>
            </w:r>
            <w:r w:rsidRPr="00A12E3F">
              <w:t xml:space="preserve"> to clarify that the requirement for a ‘work programme’ sits within an action plan (s</w:t>
            </w:r>
            <w:r w:rsidR="00A75B14" w:rsidRPr="00A12E3F">
              <w:t xml:space="preserve">ee 3.26 </w:t>
            </w:r>
            <w:r w:rsidRPr="00A12E3F">
              <w:t>(6) and (7)),</w:t>
            </w:r>
            <w:r w:rsidR="00A75B14" w:rsidRPr="00A12E3F">
              <w:t xml:space="preserve"> and</w:t>
            </w:r>
            <w:r w:rsidRPr="00A12E3F">
              <w:t xml:space="preserve"> for the fish passage objec</w:t>
            </w:r>
            <w:r w:rsidR="00A75B14" w:rsidRPr="00A12E3F">
              <w:t>tive required in clause 3.26 (1)</w:t>
            </w:r>
            <w:r w:rsidRPr="00A12E3F">
              <w:t xml:space="preserve">. </w:t>
            </w:r>
          </w:p>
        </w:tc>
      </w:tr>
    </w:tbl>
    <w:p w14:paraId="6EACF7AB" w14:textId="4BF8E635" w:rsidR="00520FBC" w:rsidRPr="00A12E3F" w:rsidRDefault="00520FBC" w:rsidP="00950310">
      <w:pPr>
        <w:pStyle w:val="BodyText"/>
      </w:pPr>
    </w:p>
    <w:p w14:paraId="1E65FAA1" w14:textId="77777777" w:rsidR="009B6E03" w:rsidRPr="00A12E3F" w:rsidRDefault="009B6E03" w:rsidP="005662B2">
      <w:pPr>
        <w:pStyle w:val="BodyText"/>
      </w:pPr>
    </w:p>
    <w:sectPr w:rsidR="009B6E03" w:rsidRPr="00A12E3F" w:rsidSect="00256A18">
      <w:footerReference w:type="even" r:id="rId28"/>
      <w:footerReference w:type="default" r:id="rId29"/>
      <w:pgSz w:w="11907" w:h="16840" w:code="9"/>
      <w:pgMar w:top="1134" w:right="1701" w:bottom="1134" w:left="1701" w:header="567" w:footer="56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698966" w16cid:durableId="230F4FAA"/>
  <w16cid:commentId w16cid:paraId="4D9050A1" w16cid:durableId="230F4F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C20D" w14:textId="77777777" w:rsidR="00FA273B" w:rsidRDefault="00FA273B" w:rsidP="0080531E">
      <w:pPr>
        <w:spacing w:before="0" w:after="0" w:line="240" w:lineRule="auto"/>
      </w:pPr>
      <w:r>
        <w:separator/>
      </w:r>
    </w:p>
    <w:p w14:paraId="094C3BDA" w14:textId="77777777" w:rsidR="00FA273B" w:rsidRDefault="00FA273B"/>
  </w:endnote>
  <w:endnote w:type="continuationSeparator" w:id="0">
    <w:p w14:paraId="4EEB1D92" w14:textId="77777777" w:rsidR="00FA273B" w:rsidRDefault="00FA273B" w:rsidP="0080531E">
      <w:pPr>
        <w:spacing w:before="0" w:after="0" w:line="240" w:lineRule="auto"/>
      </w:pPr>
      <w:r>
        <w:continuationSeparator/>
      </w:r>
    </w:p>
    <w:p w14:paraId="2CDA4F6B" w14:textId="77777777" w:rsidR="00FA273B" w:rsidRDefault="00FA2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BF80D" w14:textId="77777777" w:rsidR="00165800" w:rsidRDefault="0016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A9FBD" w14:textId="1FA17EDD" w:rsidR="008006D1" w:rsidRDefault="008006D1" w:rsidP="00734B9A">
    <w:pPr>
      <w:spacing w:before="0" w:after="0" w:line="240" w:lineRule="auto"/>
      <w:ind w:left="-57"/>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16DF" w14:textId="77777777" w:rsidR="00165800" w:rsidRDefault="001658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3A3F2" w14:textId="77777777" w:rsidR="008006D1" w:rsidRDefault="008006D1" w:rsidP="00E65427">
    <w:pPr>
      <w:spacing w:before="240" w:after="0"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24B19" w14:textId="77777777" w:rsidR="008006D1" w:rsidRDefault="008006D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B1CC5" w14:textId="3E7C4F67" w:rsidR="008006D1" w:rsidRDefault="008006D1" w:rsidP="00CD25E1">
    <w:pPr>
      <w:pStyle w:val="Footereven"/>
    </w:pPr>
    <w:r w:rsidRPr="004F458A">
      <w:rPr>
        <w:b/>
      </w:rPr>
      <w:fldChar w:fldCharType="begin"/>
    </w:r>
    <w:r w:rsidRPr="004F458A">
      <w:instrText xml:space="preserve"> PAGE </w:instrText>
    </w:r>
    <w:r w:rsidRPr="004F458A">
      <w:rPr>
        <w:b/>
      </w:rPr>
      <w:fldChar w:fldCharType="separate"/>
    </w:r>
    <w:r w:rsidR="003F3E9C">
      <w:rPr>
        <w:noProof/>
      </w:rPr>
      <w:t>12</w:t>
    </w:r>
    <w:r w:rsidRPr="004F458A">
      <w:rPr>
        <w:b/>
      </w:rPr>
      <w:fldChar w:fldCharType="end"/>
    </w:r>
    <w:r>
      <w:tab/>
    </w:r>
    <w:r w:rsidR="00256A18" w:rsidRPr="00256A18">
      <w:t xml:space="preserve">Summary of recommendations and the Minister for the Environment’s decisions </w:t>
    </w:r>
    <w:r w:rsidR="00797E8B">
      <w:t>on</w:t>
    </w:r>
    <w:r w:rsidR="00256A18" w:rsidRPr="00256A18">
      <w:t xml:space="preserve"> the </w:t>
    </w:r>
    <w:r w:rsidR="00EC7BF6">
      <w:t xml:space="preserve">NPS-FM </w:t>
    </w:r>
    <w:r w:rsidR="00256A18" w:rsidRPr="00256A18">
      <w:t>2020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566C" w14:textId="53FF10FE" w:rsidR="008006D1" w:rsidRDefault="008006D1" w:rsidP="00CD25E1">
    <w:pPr>
      <w:pStyle w:val="Footerodd"/>
    </w:pPr>
    <w:r>
      <w:tab/>
    </w:r>
    <w:r w:rsidR="004D08F0" w:rsidRPr="004D08F0">
      <w:t xml:space="preserve">Summary of recommendations and the Minister for the Environment’s decisions </w:t>
    </w:r>
    <w:r w:rsidR="00797E8B">
      <w:t>on</w:t>
    </w:r>
    <w:r w:rsidR="004D08F0" w:rsidRPr="004D08F0">
      <w:t xml:space="preserve"> the</w:t>
    </w:r>
    <w:r>
      <w:t xml:space="preserve"> </w:t>
    </w:r>
    <w:r w:rsidR="00EC7BF6">
      <w:t>NPS-FM 2020</w:t>
    </w:r>
    <w:r>
      <w:tab/>
    </w:r>
    <w:r>
      <w:fldChar w:fldCharType="begin"/>
    </w:r>
    <w:r>
      <w:instrText xml:space="preserve"> PAGE   \* MERGEFORMAT </w:instrText>
    </w:r>
    <w:r>
      <w:fldChar w:fldCharType="separate"/>
    </w:r>
    <w:r w:rsidR="003F3E9C">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112D2" w14:textId="77777777" w:rsidR="00FA273B" w:rsidRDefault="00FA273B" w:rsidP="00CB5C5F">
      <w:pPr>
        <w:spacing w:before="0" w:after="80" w:line="240" w:lineRule="auto"/>
      </w:pPr>
      <w:r>
        <w:separator/>
      </w:r>
    </w:p>
  </w:footnote>
  <w:footnote w:type="continuationSeparator" w:id="0">
    <w:p w14:paraId="2F9C7DE3" w14:textId="77777777" w:rsidR="00FA273B" w:rsidRDefault="00FA273B" w:rsidP="0080531E">
      <w:pPr>
        <w:spacing w:before="0" w:after="0" w:line="240" w:lineRule="auto"/>
      </w:pPr>
      <w:r>
        <w:continuationSeparator/>
      </w:r>
    </w:p>
    <w:p w14:paraId="21963FD0" w14:textId="77777777" w:rsidR="00FA273B" w:rsidRDefault="00FA27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5F306" w14:textId="77777777" w:rsidR="00165800" w:rsidRDefault="00165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ADFE6" w14:textId="129343AC" w:rsidR="008006D1" w:rsidRPr="00DE7BF8" w:rsidRDefault="008006D1" w:rsidP="00734B9A">
    <w:pPr>
      <w:pStyle w:val="Header"/>
      <w:ind w:left="-57"/>
      <w:jc w:val="left"/>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77724" w14:textId="77777777" w:rsidR="00165800" w:rsidRDefault="001658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AEE05" w14:textId="77777777" w:rsidR="008006D1" w:rsidRDefault="008006D1" w:rsidP="0036151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5CD8" w14:textId="77777777" w:rsidR="008006D1" w:rsidRDefault="00800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20197B"/>
    <w:multiLevelType w:val="hybridMultilevel"/>
    <w:tmpl w:val="7E564D6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8387896"/>
    <w:lvl w:ilvl="0">
      <w:start w:val="1"/>
      <w:numFmt w:val="bullet"/>
      <w:pStyle w:val="Blue-boxsub-bullet"/>
      <w:lvlText w:val="‒"/>
      <w:lvlJc w:val="left"/>
      <w:pPr>
        <w:ind w:left="1077" w:hanging="397"/>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2E907449"/>
    <w:multiLevelType w:val="hybridMultilevel"/>
    <w:tmpl w:val="48683D26"/>
    <w:lvl w:ilvl="0" w:tplc="C9C8B708">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7"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5"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535234"/>
    <w:multiLevelType w:val="singleLevel"/>
    <w:tmpl w:val="D1A2CC06"/>
    <w:lvl w:ilvl="0">
      <w:start w:val="1"/>
      <w:numFmt w:val="bullet"/>
      <w:pStyle w:val="Blue-boxbullet"/>
      <w:lvlText w:val=""/>
      <w:lvlJc w:val="left"/>
      <w:pPr>
        <w:ind w:left="644" w:hanging="360"/>
      </w:pPr>
      <w:rPr>
        <w:rFonts w:ascii="Symbol" w:hAnsi="Symbol" w:hint="default"/>
        <w:color w:val="1C556C"/>
        <w:sz w:val="16"/>
      </w:rPr>
    </w:lvl>
  </w:abstractNum>
  <w:abstractNum w:abstractNumId="27"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1E30568"/>
    <w:multiLevelType w:val="hybridMultilevel"/>
    <w:tmpl w:val="50369B6E"/>
    <w:lvl w:ilvl="0" w:tplc="409AAA60">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4376914"/>
    <w:multiLevelType w:val="hybridMultilevel"/>
    <w:tmpl w:val="BE345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3"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042717"/>
    <w:multiLevelType w:val="multilevel"/>
    <w:tmpl w:val="DCDEB9D0"/>
    <w:numStyleLink w:val="Style1"/>
  </w:abstractNum>
  <w:abstractNum w:abstractNumId="35"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7"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abstractNumId w:val="16"/>
  </w:num>
  <w:num w:numId="2">
    <w:abstractNumId w:val="26"/>
  </w:num>
  <w:num w:numId="3">
    <w:abstractNumId w:val="39"/>
  </w:num>
  <w:num w:numId="4">
    <w:abstractNumId w:val="21"/>
  </w:num>
  <w:num w:numId="5">
    <w:abstractNumId w:val="13"/>
  </w:num>
  <w:num w:numId="6">
    <w:abstractNumId w:val="8"/>
  </w:num>
  <w:num w:numId="7">
    <w:abstractNumId w:val="24"/>
  </w:num>
  <w:num w:numId="8">
    <w:abstractNumId w:val="23"/>
  </w:num>
  <w:num w:numId="9">
    <w:abstractNumId w:val="3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2"/>
  </w:num>
  <w:num w:numId="13">
    <w:abstractNumId w:val="12"/>
  </w:num>
  <w:num w:numId="14">
    <w:abstractNumId w:val="34"/>
  </w:num>
  <w:num w:numId="15">
    <w:abstractNumId w:val="22"/>
  </w:num>
  <w:num w:numId="16">
    <w:abstractNumId w:val="11"/>
  </w:num>
  <w:num w:numId="17">
    <w:abstractNumId w:val="33"/>
  </w:num>
  <w:num w:numId="18">
    <w:abstractNumId w:val="27"/>
  </w:num>
  <w:num w:numId="19">
    <w:abstractNumId w:val="35"/>
  </w:num>
  <w:num w:numId="20">
    <w:abstractNumId w:val="14"/>
  </w:num>
  <w:num w:numId="21">
    <w:abstractNumId w:val="28"/>
  </w:num>
  <w:num w:numId="22">
    <w:abstractNumId w:val="5"/>
  </w:num>
  <w:num w:numId="23">
    <w:abstractNumId w:val="25"/>
  </w:num>
  <w:num w:numId="24">
    <w:abstractNumId w:val="17"/>
  </w:num>
  <w:num w:numId="25">
    <w:abstractNumId w:val="37"/>
  </w:num>
  <w:num w:numId="26">
    <w:abstractNumId w:val="30"/>
  </w:num>
  <w:num w:numId="27">
    <w:abstractNumId w:val="0"/>
  </w:num>
  <w:num w:numId="28">
    <w:abstractNumId w:val="19"/>
  </w:num>
  <w:num w:numId="29">
    <w:abstractNumId w:val="9"/>
  </w:num>
  <w:num w:numId="30">
    <w:abstractNumId w:val="3"/>
  </w:num>
  <w:num w:numId="31">
    <w:abstractNumId w:val="2"/>
  </w:num>
  <w:num w:numId="32">
    <w:abstractNumId w:val="6"/>
  </w:num>
  <w:num w:numId="33">
    <w:abstractNumId w:val="10"/>
  </w:num>
  <w:num w:numId="34">
    <w:abstractNumId w:val="20"/>
  </w:num>
  <w:num w:numId="35">
    <w:abstractNumId w:val="18"/>
  </w:num>
  <w:num w:numId="36">
    <w:abstractNumId w:val="7"/>
  </w:num>
  <w:num w:numId="37">
    <w:abstractNumId w:val="36"/>
  </w:num>
  <w:num w:numId="38">
    <w:abstractNumId w:val="20"/>
  </w:num>
  <w:num w:numId="39">
    <w:abstractNumId w:val="20"/>
  </w:num>
  <w:num w:numId="40">
    <w:abstractNumId w:val="29"/>
  </w:num>
  <w:num w:numId="41">
    <w:abstractNumId w:val="15"/>
  </w:num>
  <w:num w:numId="42">
    <w:abstractNumId w:val="31"/>
  </w:num>
  <w:num w:numId="43">
    <w:abstractNumId w:val="4"/>
  </w:num>
  <w:num w:numId="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proofState w:spelling="clean" w:grammar="clean"/>
  <w:defaultTabStop w:val="397"/>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F9"/>
    <w:rsid w:val="00000792"/>
    <w:rsid w:val="00000F04"/>
    <w:rsid w:val="0000250F"/>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1745"/>
    <w:rsid w:val="00012555"/>
    <w:rsid w:val="00014236"/>
    <w:rsid w:val="000143AD"/>
    <w:rsid w:val="000148F6"/>
    <w:rsid w:val="00014D22"/>
    <w:rsid w:val="00015217"/>
    <w:rsid w:val="000159D2"/>
    <w:rsid w:val="00016264"/>
    <w:rsid w:val="00016993"/>
    <w:rsid w:val="00016A4C"/>
    <w:rsid w:val="00016CAB"/>
    <w:rsid w:val="00016E5B"/>
    <w:rsid w:val="0001749B"/>
    <w:rsid w:val="00017D75"/>
    <w:rsid w:val="00017FE5"/>
    <w:rsid w:val="00021910"/>
    <w:rsid w:val="00022E8D"/>
    <w:rsid w:val="0002348A"/>
    <w:rsid w:val="00024708"/>
    <w:rsid w:val="00024EE7"/>
    <w:rsid w:val="00025F96"/>
    <w:rsid w:val="00025FAB"/>
    <w:rsid w:val="00026E89"/>
    <w:rsid w:val="00026F1D"/>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1AC"/>
    <w:rsid w:val="000507FD"/>
    <w:rsid w:val="00050A22"/>
    <w:rsid w:val="00050E27"/>
    <w:rsid w:val="0005144F"/>
    <w:rsid w:val="00051AF1"/>
    <w:rsid w:val="00051D42"/>
    <w:rsid w:val="000538A1"/>
    <w:rsid w:val="00054636"/>
    <w:rsid w:val="00055375"/>
    <w:rsid w:val="00056319"/>
    <w:rsid w:val="000564E7"/>
    <w:rsid w:val="00056770"/>
    <w:rsid w:val="00057386"/>
    <w:rsid w:val="00057EEF"/>
    <w:rsid w:val="000619CB"/>
    <w:rsid w:val="00062387"/>
    <w:rsid w:val="00063514"/>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040"/>
    <w:rsid w:val="0007232B"/>
    <w:rsid w:val="000735A2"/>
    <w:rsid w:val="0007517E"/>
    <w:rsid w:val="00075FE1"/>
    <w:rsid w:val="00076667"/>
    <w:rsid w:val="00077473"/>
    <w:rsid w:val="00077481"/>
    <w:rsid w:val="000776F9"/>
    <w:rsid w:val="00077EE0"/>
    <w:rsid w:val="000802F9"/>
    <w:rsid w:val="0008145A"/>
    <w:rsid w:val="0008162D"/>
    <w:rsid w:val="00081793"/>
    <w:rsid w:val="000831C8"/>
    <w:rsid w:val="00083F5E"/>
    <w:rsid w:val="00084A56"/>
    <w:rsid w:val="00084FDB"/>
    <w:rsid w:val="0008505C"/>
    <w:rsid w:val="00085C46"/>
    <w:rsid w:val="0008686A"/>
    <w:rsid w:val="00087175"/>
    <w:rsid w:val="00087D35"/>
    <w:rsid w:val="000911BA"/>
    <w:rsid w:val="00091796"/>
    <w:rsid w:val="00091BA2"/>
    <w:rsid w:val="00091CB0"/>
    <w:rsid w:val="00094344"/>
    <w:rsid w:val="000953C6"/>
    <w:rsid w:val="000953F4"/>
    <w:rsid w:val="0009562C"/>
    <w:rsid w:val="0009590C"/>
    <w:rsid w:val="000959E7"/>
    <w:rsid w:val="00095E7D"/>
    <w:rsid w:val="000964DE"/>
    <w:rsid w:val="000972AB"/>
    <w:rsid w:val="00097B40"/>
    <w:rsid w:val="00097D0E"/>
    <w:rsid w:val="000A17EA"/>
    <w:rsid w:val="000A1C7A"/>
    <w:rsid w:val="000A2345"/>
    <w:rsid w:val="000A2394"/>
    <w:rsid w:val="000A31C1"/>
    <w:rsid w:val="000A32C5"/>
    <w:rsid w:val="000A3411"/>
    <w:rsid w:val="000A34CA"/>
    <w:rsid w:val="000A35A5"/>
    <w:rsid w:val="000A426F"/>
    <w:rsid w:val="000A4559"/>
    <w:rsid w:val="000A45FD"/>
    <w:rsid w:val="000A477B"/>
    <w:rsid w:val="000A558D"/>
    <w:rsid w:val="000A5611"/>
    <w:rsid w:val="000A563C"/>
    <w:rsid w:val="000A59C5"/>
    <w:rsid w:val="000A5DEA"/>
    <w:rsid w:val="000A5EBD"/>
    <w:rsid w:val="000A67EE"/>
    <w:rsid w:val="000A7658"/>
    <w:rsid w:val="000A7F0F"/>
    <w:rsid w:val="000A7F4C"/>
    <w:rsid w:val="000B02BC"/>
    <w:rsid w:val="000B0498"/>
    <w:rsid w:val="000B0F36"/>
    <w:rsid w:val="000B1942"/>
    <w:rsid w:val="000B1BED"/>
    <w:rsid w:val="000B2240"/>
    <w:rsid w:val="000B2477"/>
    <w:rsid w:val="000B2600"/>
    <w:rsid w:val="000B36F9"/>
    <w:rsid w:val="000B4074"/>
    <w:rsid w:val="000B4732"/>
    <w:rsid w:val="000B4BCD"/>
    <w:rsid w:val="000B66DC"/>
    <w:rsid w:val="000B6D1F"/>
    <w:rsid w:val="000C062F"/>
    <w:rsid w:val="000C17E7"/>
    <w:rsid w:val="000C2E10"/>
    <w:rsid w:val="000C3270"/>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7E"/>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1C23"/>
    <w:rsid w:val="00122189"/>
    <w:rsid w:val="00122280"/>
    <w:rsid w:val="00122D42"/>
    <w:rsid w:val="00123345"/>
    <w:rsid w:val="00123C46"/>
    <w:rsid w:val="0012470B"/>
    <w:rsid w:val="00125BD8"/>
    <w:rsid w:val="00125C75"/>
    <w:rsid w:val="00125C7E"/>
    <w:rsid w:val="001275DE"/>
    <w:rsid w:val="00127945"/>
    <w:rsid w:val="00127D94"/>
    <w:rsid w:val="00127E90"/>
    <w:rsid w:val="001302C1"/>
    <w:rsid w:val="001306D3"/>
    <w:rsid w:val="001310BF"/>
    <w:rsid w:val="00133A8F"/>
    <w:rsid w:val="00133E73"/>
    <w:rsid w:val="00133FDB"/>
    <w:rsid w:val="00134F4A"/>
    <w:rsid w:val="001350DA"/>
    <w:rsid w:val="00135E4E"/>
    <w:rsid w:val="00136246"/>
    <w:rsid w:val="001364D4"/>
    <w:rsid w:val="001371C8"/>
    <w:rsid w:val="001372ED"/>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5800"/>
    <w:rsid w:val="00166389"/>
    <w:rsid w:val="00166E03"/>
    <w:rsid w:val="00167E4C"/>
    <w:rsid w:val="00171449"/>
    <w:rsid w:val="0017199C"/>
    <w:rsid w:val="00171C7E"/>
    <w:rsid w:val="00171F35"/>
    <w:rsid w:val="00172552"/>
    <w:rsid w:val="00172873"/>
    <w:rsid w:val="00172CF7"/>
    <w:rsid w:val="0017319E"/>
    <w:rsid w:val="001739C4"/>
    <w:rsid w:val="00173A1F"/>
    <w:rsid w:val="00173BC3"/>
    <w:rsid w:val="00174128"/>
    <w:rsid w:val="0017425A"/>
    <w:rsid w:val="00174279"/>
    <w:rsid w:val="001754A9"/>
    <w:rsid w:val="00175C34"/>
    <w:rsid w:val="00175F9A"/>
    <w:rsid w:val="00176E98"/>
    <w:rsid w:val="00176F30"/>
    <w:rsid w:val="00177996"/>
    <w:rsid w:val="00177D62"/>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38F"/>
    <w:rsid w:val="00190A57"/>
    <w:rsid w:val="00190B3F"/>
    <w:rsid w:val="0019122C"/>
    <w:rsid w:val="00191908"/>
    <w:rsid w:val="00192DF3"/>
    <w:rsid w:val="0019301F"/>
    <w:rsid w:val="00193286"/>
    <w:rsid w:val="001937B8"/>
    <w:rsid w:val="00194BB7"/>
    <w:rsid w:val="00194CC5"/>
    <w:rsid w:val="001951B2"/>
    <w:rsid w:val="0019565D"/>
    <w:rsid w:val="00197564"/>
    <w:rsid w:val="00197EC2"/>
    <w:rsid w:val="00197ECE"/>
    <w:rsid w:val="001A09C7"/>
    <w:rsid w:val="001A1CED"/>
    <w:rsid w:val="001A279B"/>
    <w:rsid w:val="001A2DC3"/>
    <w:rsid w:val="001A2E87"/>
    <w:rsid w:val="001A3869"/>
    <w:rsid w:val="001A38C2"/>
    <w:rsid w:val="001A65C8"/>
    <w:rsid w:val="001A732E"/>
    <w:rsid w:val="001A7F30"/>
    <w:rsid w:val="001B0461"/>
    <w:rsid w:val="001B06E2"/>
    <w:rsid w:val="001B103A"/>
    <w:rsid w:val="001B103D"/>
    <w:rsid w:val="001B1513"/>
    <w:rsid w:val="001B1767"/>
    <w:rsid w:val="001B2453"/>
    <w:rsid w:val="001B3D48"/>
    <w:rsid w:val="001B5AF9"/>
    <w:rsid w:val="001B62C4"/>
    <w:rsid w:val="001B6600"/>
    <w:rsid w:val="001B6B9B"/>
    <w:rsid w:val="001B6C27"/>
    <w:rsid w:val="001B7144"/>
    <w:rsid w:val="001B7C84"/>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2EF1"/>
    <w:rsid w:val="001D30BB"/>
    <w:rsid w:val="001D488C"/>
    <w:rsid w:val="001D4CDF"/>
    <w:rsid w:val="001D4F88"/>
    <w:rsid w:val="001D578D"/>
    <w:rsid w:val="001D5818"/>
    <w:rsid w:val="001D653A"/>
    <w:rsid w:val="001D7DEE"/>
    <w:rsid w:val="001E02CB"/>
    <w:rsid w:val="001E14FD"/>
    <w:rsid w:val="001E180F"/>
    <w:rsid w:val="001E1C64"/>
    <w:rsid w:val="001E1CEC"/>
    <w:rsid w:val="001E26BA"/>
    <w:rsid w:val="001E2ECB"/>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02F"/>
    <w:rsid w:val="001F7675"/>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526"/>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37E5"/>
    <w:rsid w:val="00233C06"/>
    <w:rsid w:val="00233F24"/>
    <w:rsid w:val="002344DE"/>
    <w:rsid w:val="00234BBB"/>
    <w:rsid w:val="002356F4"/>
    <w:rsid w:val="00235D0D"/>
    <w:rsid w:val="00235F02"/>
    <w:rsid w:val="00236D28"/>
    <w:rsid w:val="00237435"/>
    <w:rsid w:val="00237FE4"/>
    <w:rsid w:val="00240656"/>
    <w:rsid w:val="00240C7A"/>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539F"/>
    <w:rsid w:val="00256388"/>
    <w:rsid w:val="00256A18"/>
    <w:rsid w:val="00256E44"/>
    <w:rsid w:val="00260919"/>
    <w:rsid w:val="002612FD"/>
    <w:rsid w:val="002613DC"/>
    <w:rsid w:val="00261755"/>
    <w:rsid w:val="00261AAA"/>
    <w:rsid w:val="00262097"/>
    <w:rsid w:val="00262D20"/>
    <w:rsid w:val="00262EC5"/>
    <w:rsid w:val="002634AB"/>
    <w:rsid w:val="002638E0"/>
    <w:rsid w:val="00263C19"/>
    <w:rsid w:val="00263E9F"/>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1C6"/>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3CA"/>
    <w:rsid w:val="00293A8F"/>
    <w:rsid w:val="00295155"/>
    <w:rsid w:val="00295C8F"/>
    <w:rsid w:val="00295D51"/>
    <w:rsid w:val="00296203"/>
    <w:rsid w:val="00296428"/>
    <w:rsid w:val="0029643D"/>
    <w:rsid w:val="0029706A"/>
    <w:rsid w:val="002972EE"/>
    <w:rsid w:val="0029794B"/>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8C1"/>
    <w:rsid w:val="002A4B0B"/>
    <w:rsid w:val="002A4B6F"/>
    <w:rsid w:val="002A4FFF"/>
    <w:rsid w:val="002A533C"/>
    <w:rsid w:val="002A56E1"/>
    <w:rsid w:val="002A59BD"/>
    <w:rsid w:val="002A75CA"/>
    <w:rsid w:val="002A7889"/>
    <w:rsid w:val="002A799A"/>
    <w:rsid w:val="002A7A0E"/>
    <w:rsid w:val="002B097D"/>
    <w:rsid w:val="002B11B2"/>
    <w:rsid w:val="002B18F7"/>
    <w:rsid w:val="002B3ED7"/>
    <w:rsid w:val="002B4778"/>
    <w:rsid w:val="002B4910"/>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649"/>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47D"/>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388E"/>
    <w:rsid w:val="00304FFF"/>
    <w:rsid w:val="00305557"/>
    <w:rsid w:val="0030561F"/>
    <w:rsid w:val="00305CA3"/>
    <w:rsid w:val="00306CA1"/>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66A1"/>
    <w:rsid w:val="00317A33"/>
    <w:rsid w:val="00320339"/>
    <w:rsid w:val="00321214"/>
    <w:rsid w:val="003213D5"/>
    <w:rsid w:val="00323737"/>
    <w:rsid w:val="00323AD6"/>
    <w:rsid w:val="00323F27"/>
    <w:rsid w:val="003242EF"/>
    <w:rsid w:val="00325339"/>
    <w:rsid w:val="003255AA"/>
    <w:rsid w:val="003314B6"/>
    <w:rsid w:val="00331A20"/>
    <w:rsid w:val="00331E65"/>
    <w:rsid w:val="00333107"/>
    <w:rsid w:val="0033343B"/>
    <w:rsid w:val="0033393C"/>
    <w:rsid w:val="0033527F"/>
    <w:rsid w:val="003357EE"/>
    <w:rsid w:val="00337368"/>
    <w:rsid w:val="00337B4D"/>
    <w:rsid w:val="003407A9"/>
    <w:rsid w:val="00340BA3"/>
    <w:rsid w:val="00340BAF"/>
    <w:rsid w:val="00340C2B"/>
    <w:rsid w:val="00340F9A"/>
    <w:rsid w:val="00341018"/>
    <w:rsid w:val="003420D9"/>
    <w:rsid w:val="003423E0"/>
    <w:rsid w:val="0034301A"/>
    <w:rsid w:val="00343D76"/>
    <w:rsid w:val="003442A0"/>
    <w:rsid w:val="00344DFD"/>
    <w:rsid w:val="003451D3"/>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5B0E"/>
    <w:rsid w:val="0035611A"/>
    <w:rsid w:val="00356C3D"/>
    <w:rsid w:val="00360B75"/>
    <w:rsid w:val="0036151C"/>
    <w:rsid w:val="00361A9B"/>
    <w:rsid w:val="00362CCF"/>
    <w:rsid w:val="003631DB"/>
    <w:rsid w:val="00364524"/>
    <w:rsid w:val="0036513A"/>
    <w:rsid w:val="00365237"/>
    <w:rsid w:val="0036559C"/>
    <w:rsid w:val="0036587E"/>
    <w:rsid w:val="003660CD"/>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6DC"/>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A07"/>
    <w:rsid w:val="003E2C1A"/>
    <w:rsid w:val="003E330F"/>
    <w:rsid w:val="003E3478"/>
    <w:rsid w:val="003E4511"/>
    <w:rsid w:val="003E4E74"/>
    <w:rsid w:val="003E5F7D"/>
    <w:rsid w:val="003E6520"/>
    <w:rsid w:val="003E67E7"/>
    <w:rsid w:val="003E6B3C"/>
    <w:rsid w:val="003E6B95"/>
    <w:rsid w:val="003E70FF"/>
    <w:rsid w:val="003E7F1B"/>
    <w:rsid w:val="003F0B41"/>
    <w:rsid w:val="003F1E39"/>
    <w:rsid w:val="003F229D"/>
    <w:rsid w:val="003F25F0"/>
    <w:rsid w:val="003F2D5B"/>
    <w:rsid w:val="003F3E9C"/>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27A"/>
    <w:rsid w:val="00404C44"/>
    <w:rsid w:val="00404EE8"/>
    <w:rsid w:val="0040510D"/>
    <w:rsid w:val="0040512D"/>
    <w:rsid w:val="0040602F"/>
    <w:rsid w:val="00406AFB"/>
    <w:rsid w:val="00407382"/>
    <w:rsid w:val="0040791B"/>
    <w:rsid w:val="004117D3"/>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DFE"/>
    <w:rsid w:val="00422E13"/>
    <w:rsid w:val="0042350F"/>
    <w:rsid w:val="00423599"/>
    <w:rsid w:val="0042384C"/>
    <w:rsid w:val="00423893"/>
    <w:rsid w:val="00423BC9"/>
    <w:rsid w:val="00424B2A"/>
    <w:rsid w:val="004255B4"/>
    <w:rsid w:val="00426766"/>
    <w:rsid w:val="004267D0"/>
    <w:rsid w:val="004279CA"/>
    <w:rsid w:val="00427A82"/>
    <w:rsid w:val="00427EA2"/>
    <w:rsid w:val="00430115"/>
    <w:rsid w:val="00430A4B"/>
    <w:rsid w:val="00430D2F"/>
    <w:rsid w:val="00431C46"/>
    <w:rsid w:val="004327E6"/>
    <w:rsid w:val="004329DC"/>
    <w:rsid w:val="00432AC6"/>
    <w:rsid w:val="00434C5E"/>
    <w:rsid w:val="00435765"/>
    <w:rsid w:val="00435B6D"/>
    <w:rsid w:val="00435DA3"/>
    <w:rsid w:val="004360B6"/>
    <w:rsid w:val="004362E5"/>
    <w:rsid w:val="00436356"/>
    <w:rsid w:val="004378AF"/>
    <w:rsid w:val="00440188"/>
    <w:rsid w:val="00440722"/>
    <w:rsid w:val="004425D9"/>
    <w:rsid w:val="00443244"/>
    <w:rsid w:val="00444AF6"/>
    <w:rsid w:val="0044519D"/>
    <w:rsid w:val="00445544"/>
    <w:rsid w:val="00445C0B"/>
    <w:rsid w:val="00446195"/>
    <w:rsid w:val="004462BE"/>
    <w:rsid w:val="00447CD0"/>
    <w:rsid w:val="00447FC2"/>
    <w:rsid w:val="004502F4"/>
    <w:rsid w:val="004506F4"/>
    <w:rsid w:val="004509D1"/>
    <w:rsid w:val="00450A42"/>
    <w:rsid w:val="004513A5"/>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0C6"/>
    <w:rsid w:val="00456547"/>
    <w:rsid w:val="004567FA"/>
    <w:rsid w:val="00456896"/>
    <w:rsid w:val="00456ADA"/>
    <w:rsid w:val="00456B0D"/>
    <w:rsid w:val="0045770D"/>
    <w:rsid w:val="0045790F"/>
    <w:rsid w:val="00457D63"/>
    <w:rsid w:val="00457E21"/>
    <w:rsid w:val="0046007E"/>
    <w:rsid w:val="0046024B"/>
    <w:rsid w:val="00460E36"/>
    <w:rsid w:val="00461155"/>
    <w:rsid w:val="0046218C"/>
    <w:rsid w:val="004623D4"/>
    <w:rsid w:val="00462580"/>
    <w:rsid w:val="00462747"/>
    <w:rsid w:val="00462AE7"/>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5AFF"/>
    <w:rsid w:val="00475D30"/>
    <w:rsid w:val="00475E8B"/>
    <w:rsid w:val="004765F4"/>
    <w:rsid w:val="00476B4D"/>
    <w:rsid w:val="00476CBC"/>
    <w:rsid w:val="00476E6C"/>
    <w:rsid w:val="00477282"/>
    <w:rsid w:val="00477947"/>
    <w:rsid w:val="00480FA1"/>
    <w:rsid w:val="00481FD7"/>
    <w:rsid w:val="00482DE5"/>
    <w:rsid w:val="00483266"/>
    <w:rsid w:val="0048352E"/>
    <w:rsid w:val="004836A9"/>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514A"/>
    <w:rsid w:val="004C5995"/>
    <w:rsid w:val="004C6572"/>
    <w:rsid w:val="004C6D4F"/>
    <w:rsid w:val="004C7541"/>
    <w:rsid w:val="004D08F0"/>
    <w:rsid w:val="004D1E71"/>
    <w:rsid w:val="004D2CDF"/>
    <w:rsid w:val="004D33CE"/>
    <w:rsid w:val="004D4AA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50D"/>
    <w:rsid w:val="004E684C"/>
    <w:rsid w:val="004E6FF1"/>
    <w:rsid w:val="004E76DB"/>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EF"/>
    <w:rsid w:val="005015B3"/>
    <w:rsid w:val="005019E0"/>
    <w:rsid w:val="0050211F"/>
    <w:rsid w:val="005022E7"/>
    <w:rsid w:val="00502A93"/>
    <w:rsid w:val="005037F9"/>
    <w:rsid w:val="00503D63"/>
    <w:rsid w:val="00506083"/>
    <w:rsid w:val="005068D6"/>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9DE"/>
    <w:rsid w:val="0051754D"/>
    <w:rsid w:val="0051785D"/>
    <w:rsid w:val="00517913"/>
    <w:rsid w:val="0052005F"/>
    <w:rsid w:val="00520200"/>
    <w:rsid w:val="00520E2D"/>
    <w:rsid w:val="00520F04"/>
    <w:rsid w:val="00520FBC"/>
    <w:rsid w:val="00521717"/>
    <w:rsid w:val="005224B2"/>
    <w:rsid w:val="00523B23"/>
    <w:rsid w:val="00523DFA"/>
    <w:rsid w:val="005254BC"/>
    <w:rsid w:val="005256FC"/>
    <w:rsid w:val="00525AF4"/>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6E44"/>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4B30"/>
    <w:rsid w:val="00554FFB"/>
    <w:rsid w:val="005568DE"/>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409"/>
    <w:rsid w:val="00564C23"/>
    <w:rsid w:val="00565406"/>
    <w:rsid w:val="00565570"/>
    <w:rsid w:val="005657DD"/>
    <w:rsid w:val="00565B29"/>
    <w:rsid w:val="005662B2"/>
    <w:rsid w:val="005664CC"/>
    <w:rsid w:val="0056664B"/>
    <w:rsid w:val="00567588"/>
    <w:rsid w:val="00567992"/>
    <w:rsid w:val="00567C3C"/>
    <w:rsid w:val="005702F8"/>
    <w:rsid w:val="0057076D"/>
    <w:rsid w:val="00571231"/>
    <w:rsid w:val="00571767"/>
    <w:rsid w:val="00571E44"/>
    <w:rsid w:val="00573E61"/>
    <w:rsid w:val="0057411B"/>
    <w:rsid w:val="00574525"/>
    <w:rsid w:val="00574778"/>
    <w:rsid w:val="0057498F"/>
    <w:rsid w:val="00574DE9"/>
    <w:rsid w:val="00575DF4"/>
    <w:rsid w:val="00576481"/>
    <w:rsid w:val="0057765D"/>
    <w:rsid w:val="005777FC"/>
    <w:rsid w:val="00577882"/>
    <w:rsid w:val="005808EB"/>
    <w:rsid w:val="00580D37"/>
    <w:rsid w:val="00581FA0"/>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1698"/>
    <w:rsid w:val="00593B87"/>
    <w:rsid w:val="00593C1C"/>
    <w:rsid w:val="00593E94"/>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4F39"/>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615"/>
    <w:rsid w:val="005C1D98"/>
    <w:rsid w:val="005C1DA5"/>
    <w:rsid w:val="005C2559"/>
    <w:rsid w:val="005C2873"/>
    <w:rsid w:val="005C34FC"/>
    <w:rsid w:val="005C3B5C"/>
    <w:rsid w:val="005C3C7F"/>
    <w:rsid w:val="005C4A3D"/>
    <w:rsid w:val="005C5143"/>
    <w:rsid w:val="005C5639"/>
    <w:rsid w:val="005C5742"/>
    <w:rsid w:val="005C760E"/>
    <w:rsid w:val="005C7E9E"/>
    <w:rsid w:val="005D18C9"/>
    <w:rsid w:val="005D1B72"/>
    <w:rsid w:val="005D2471"/>
    <w:rsid w:val="005D25A3"/>
    <w:rsid w:val="005D2779"/>
    <w:rsid w:val="005D3242"/>
    <w:rsid w:val="005D610C"/>
    <w:rsid w:val="005D74E7"/>
    <w:rsid w:val="005D7F7B"/>
    <w:rsid w:val="005E3BCD"/>
    <w:rsid w:val="005E4145"/>
    <w:rsid w:val="005E4A87"/>
    <w:rsid w:val="005E4DA5"/>
    <w:rsid w:val="005E503E"/>
    <w:rsid w:val="005E59C7"/>
    <w:rsid w:val="005E5AEE"/>
    <w:rsid w:val="005E5E7B"/>
    <w:rsid w:val="005E6095"/>
    <w:rsid w:val="005E6A3F"/>
    <w:rsid w:val="005E6DB8"/>
    <w:rsid w:val="005E7228"/>
    <w:rsid w:val="005E7284"/>
    <w:rsid w:val="005E76AE"/>
    <w:rsid w:val="005E7BAC"/>
    <w:rsid w:val="005F0E5C"/>
    <w:rsid w:val="005F134E"/>
    <w:rsid w:val="005F1365"/>
    <w:rsid w:val="005F2C1F"/>
    <w:rsid w:val="005F2E44"/>
    <w:rsid w:val="005F32B6"/>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EC8"/>
    <w:rsid w:val="00602FF4"/>
    <w:rsid w:val="00603228"/>
    <w:rsid w:val="00603864"/>
    <w:rsid w:val="00604ACD"/>
    <w:rsid w:val="00604C15"/>
    <w:rsid w:val="00604DC2"/>
    <w:rsid w:val="006060C4"/>
    <w:rsid w:val="006060FC"/>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20309"/>
    <w:rsid w:val="0062159D"/>
    <w:rsid w:val="00621680"/>
    <w:rsid w:val="00621EC5"/>
    <w:rsid w:val="006223E0"/>
    <w:rsid w:val="006224D0"/>
    <w:rsid w:val="00622BCE"/>
    <w:rsid w:val="00622E29"/>
    <w:rsid w:val="00623643"/>
    <w:rsid w:val="00624018"/>
    <w:rsid w:val="006240C4"/>
    <w:rsid w:val="00625304"/>
    <w:rsid w:val="0062581B"/>
    <w:rsid w:val="006261F4"/>
    <w:rsid w:val="00627B37"/>
    <w:rsid w:val="0063164E"/>
    <w:rsid w:val="0063191D"/>
    <w:rsid w:val="00633488"/>
    <w:rsid w:val="00633581"/>
    <w:rsid w:val="006339AF"/>
    <w:rsid w:val="00633C47"/>
    <w:rsid w:val="006348F7"/>
    <w:rsid w:val="0063512D"/>
    <w:rsid w:val="006358FB"/>
    <w:rsid w:val="00635AE2"/>
    <w:rsid w:val="00635E1E"/>
    <w:rsid w:val="006360EC"/>
    <w:rsid w:val="00636716"/>
    <w:rsid w:val="0063677C"/>
    <w:rsid w:val="00636972"/>
    <w:rsid w:val="00636B69"/>
    <w:rsid w:val="00636BC2"/>
    <w:rsid w:val="00637B72"/>
    <w:rsid w:val="006404D1"/>
    <w:rsid w:val="00640F43"/>
    <w:rsid w:val="006412CA"/>
    <w:rsid w:val="006420DA"/>
    <w:rsid w:val="00642A0A"/>
    <w:rsid w:val="006430D8"/>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3CE"/>
    <w:rsid w:val="00652907"/>
    <w:rsid w:val="00652E06"/>
    <w:rsid w:val="00653FC4"/>
    <w:rsid w:val="00654F91"/>
    <w:rsid w:val="00655361"/>
    <w:rsid w:val="00656253"/>
    <w:rsid w:val="00656799"/>
    <w:rsid w:val="00656B77"/>
    <w:rsid w:val="00656E72"/>
    <w:rsid w:val="006578A1"/>
    <w:rsid w:val="0066137B"/>
    <w:rsid w:val="0066174E"/>
    <w:rsid w:val="00661BBB"/>
    <w:rsid w:val="00661E57"/>
    <w:rsid w:val="006629E4"/>
    <w:rsid w:val="00663783"/>
    <w:rsid w:val="00663E47"/>
    <w:rsid w:val="006644A7"/>
    <w:rsid w:val="00664BDE"/>
    <w:rsid w:val="0066565B"/>
    <w:rsid w:val="00665C44"/>
    <w:rsid w:val="00666284"/>
    <w:rsid w:val="006667F3"/>
    <w:rsid w:val="00667366"/>
    <w:rsid w:val="00667AEA"/>
    <w:rsid w:val="006704FA"/>
    <w:rsid w:val="00670687"/>
    <w:rsid w:val="00670DC5"/>
    <w:rsid w:val="00671652"/>
    <w:rsid w:val="00671FAA"/>
    <w:rsid w:val="0067277F"/>
    <w:rsid w:val="00675DA5"/>
    <w:rsid w:val="00680482"/>
    <w:rsid w:val="006808DC"/>
    <w:rsid w:val="006813DD"/>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8AA"/>
    <w:rsid w:val="00685BCF"/>
    <w:rsid w:val="006871D0"/>
    <w:rsid w:val="0068751F"/>
    <w:rsid w:val="006900D1"/>
    <w:rsid w:val="00690297"/>
    <w:rsid w:val="0069115A"/>
    <w:rsid w:val="006912F1"/>
    <w:rsid w:val="00691387"/>
    <w:rsid w:val="00691917"/>
    <w:rsid w:val="006927F2"/>
    <w:rsid w:val="006931E1"/>
    <w:rsid w:val="00694310"/>
    <w:rsid w:val="00694700"/>
    <w:rsid w:val="00694803"/>
    <w:rsid w:val="00694CE8"/>
    <w:rsid w:val="0069569E"/>
    <w:rsid w:val="006956C6"/>
    <w:rsid w:val="0069600D"/>
    <w:rsid w:val="00696EE3"/>
    <w:rsid w:val="0069715D"/>
    <w:rsid w:val="00697392"/>
    <w:rsid w:val="006973E5"/>
    <w:rsid w:val="00697664"/>
    <w:rsid w:val="00697681"/>
    <w:rsid w:val="0069770C"/>
    <w:rsid w:val="006A08F2"/>
    <w:rsid w:val="006A0EDB"/>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58C"/>
    <w:rsid w:val="006A7D95"/>
    <w:rsid w:val="006B09F1"/>
    <w:rsid w:val="006B120D"/>
    <w:rsid w:val="006B13C1"/>
    <w:rsid w:val="006B2CC7"/>
    <w:rsid w:val="006B3AF9"/>
    <w:rsid w:val="006B44C5"/>
    <w:rsid w:val="006B555F"/>
    <w:rsid w:val="006B6242"/>
    <w:rsid w:val="006B6C7C"/>
    <w:rsid w:val="006B6EA4"/>
    <w:rsid w:val="006B755E"/>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A76"/>
    <w:rsid w:val="006C5CCA"/>
    <w:rsid w:val="006C625F"/>
    <w:rsid w:val="006C6355"/>
    <w:rsid w:val="006C749F"/>
    <w:rsid w:val="006C78A6"/>
    <w:rsid w:val="006C7AB4"/>
    <w:rsid w:val="006D006B"/>
    <w:rsid w:val="006D033D"/>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CB2"/>
    <w:rsid w:val="006E3D25"/>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4F12"/>
    <w:rsid w:val="00705345"/>
    <w:rsid w:val="00705467"/>
    <w:rsid w:val="0070638D"/>
    <w:rsid w:val="00706DBF"/>
    <w:rsid w:val="00707277"/>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5C9"/>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6CD0"/>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733"/>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6277"/>
    <w:rsid w:val="0076635F"/>
    <w:rsid w:val="0076656A"/>
    <w:rsid w:val="00766701"/>
    <w:rsid w:val="00766911"/>
    <w:rsid w:val="00767793"/>
    <w:rsid w:val="007679D8"/>
    <w:rsid w:val="00770803"/>
    <w:rsid w:val="00771319"/>
    <w:rsid w:val="007713E8"/>
    <w:rsid w:val="00771794"/>
    <w:rsid w:val="00771CCF"/>
    <w:rsid w:val="00771F7D"/>
    <w:rsid w:val="00772C3E"/>
    <w:rsid w:val="007736E8"/>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3D6"/>
    <w:rsid w:val="0078254E"/>
    <w:rsid w:val="00782628"/>
    <w:rsid w:val="007826AB"/>
    <w:rsid w:val="00782789"/>
    <w:rsid w:val="007840E2"/>
    <w:rsid w:val="0078569F"/>
    <w:rsid w:val="00785803"/>
    <w:rsid w:val="00785C4E"/>
    <w:rsid w:val="00785EB4"/>
    <w:rsid w:val="0078609A"/>
    <w:rsid w:val="00786F85"/>
    <w:rsid w:val="0078731A"/>
    <w:rsid w:val="00787487"/>
    <w:rsid w:val="007906F1"/>
    <w:rsid w:val="00790C5B"/>
    <w:rsid w:val="00790EDA"/>
    <w:rsid w:val="00791349"/>
    <w:rsid w:val="00791D85"/>
    <w:rsid w:val="00791DAF"/>
    <w:rsid w:val="007924CA"/>
    <w:rsid w:val="007948F1"/>
    <w:rsid w:val="00794CBF"/>
    <w:rsid w:val="00795365"/>
    <w:rsid w:val="0079567E"/>
    <w:rsid w:val="007961D5"/>
    <w:rsid w:val="00796A6F"/>
    <w:rsid w:val="00796C5D"/>
    <w:rsid w:val="00797B06"/>
    <w:rsid w:val="00797B9C"/>
    <w:rsid w:val="00797CEB"/>
    <w:rsid w:val="00797E8B"/>
    <w:rsid w:val="007A0483"/>
    <w:rsid w:val="007A1065"/>
    <w:rsid w:val="007A1D86"/>
    <w:rsid w:val="007A2A97"/>
    <w:rsid w:val="007A2CDC"/>
    <w:rsid w:val="007A371B"/>
    <w:rsid w:val="007A3832"/>
    <w:rsid w:val="007A3A0F"/>
    <w:rsid w:val="007A3E60"/>
    <w:rsid w:val="007A407D"/>
    <w:rsid w:val="007A464F"/>
    <w:rsid w:val="007A6196"/>
    <w:rsid w:val="007A63D5"/>
    <w:rsid w:val="007A664F"/>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2413"/>
    <w:rsid w:val="007C25AE"/>
    <w:rsid w:val="007C3152"/>
    <w:rsid w:val="007C333B"/>
    <w:rsid w:val="007C3914"/>
    <w:rsid w:val="007C3A85"/>
    <w:rsid w:val="007C3CEA"/>
    <w:rsid w:val="007C3D92"/>
    <w:rsid w:val="007C3E98"/>
    <w:rsid w:val="007C427E"/>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5074"/>
    <w:rsid w:val="007D674C"/>
    <w:rsid w:val="007D6B7B"/>
    <w:rsid w:val="007D6CF1"/>
    <w:rsid w:val="007D7131"/>
    <w:rsid w:val="007D7BEC"/>
    <w:rsid w:val="007D7CE3"/>
    <w:rsid w:val="007E051A"/>
    <w:rsid w:val="007E0798"/>
    <w:rsid w:val="007E1B72"/>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3D02"/>
    <w:rsid w:val="007F422D"/>
    <w:rsid w:val="007F4DBA"/>
    <w:rsid w:val="007F519C"/>
    <w:rsid w:val="007F534D"/>
    <w:rsid w:val="007F54A2"/>
    <w:rsid w:val="007F54FE"/>
    <w:rsid w:val="007F5535"/>
    <w:rsid w:val="007F5D32"/>
    <w:rsid w:val="007F72DC"/>
    <w:rsid w:val="007F795F"/>
    <w:rsid w:val="0080069C"/>
    <w:rsid w:val="008006D1"/>
    <w:rsid w:val="008006FD"/>
    <w:rsid w:val="00800DAF"/>
    <w:rsid w:val="0080148D"/>
    <w:rsid w:val="0080156B"/>
    <w:rsid w:val="00801A3A"/>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5FB"/>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2BFA"/>
    <w:rsid w:val="00823794"/>
    <w:rsid w:val="008237F4"/>
    <w:rsid w:val="00823F67"/>
    <w:rsid w:val="00824022"/>
    <w:rsid w:val="0082483A"/>
    <w:rsid w:val="00824A81"/>
    <w:rsid w:val="008257B8"/>
    <w:rsid w:val="008260ED"/>
    <w:rsid w:val="0082699D"/>
    <w:rsid w:val="00826E6B"/>
    <w:rsid w:val="008275FD"/>
    <w:rsid w:val="00830021"/>
    <w:rsid w:val="00830BA1"/>
    <w:rsid w:val="00830EB2"/>
    <w:rsid w:val="00831652"/>
    <w:rsid w:val="0083202E"/>
    <w:rsid w:val="0083304F"/>
    <w:rsid w:val="008334C9"/>
    <w:rsid w:val="00834122"/>
    <w:rsid w:val="0083516F"/>
    <w:rsid w:val="008352C5"/>
    <w:rsid w:val="008358A6"/>
    <w:rsid w:val="008359FB"/>
    <w:rsid w:val="00835B85"/>
    <w:rsid w:val="00835C56"/>
    <w:rsid w:val="008360FC"/>
    <w:rsid w:val="00836E81"/>
    <w:rsid w:val="008377C1"/>
    <w:rsid w:val="00837C90"/>
    <w:rsid w:val="00837EB1"/>
    <w:rsid w:val="0084042B"/>
    <w:rsid w:val="008409BB"/>
    <w:rsid w:val="0084184A"/>
    <w:rsid w:val="008423F2"/>
    <w:rsid w:val="00842A30"/>
    <w:rsid w:val="00842F71"/>
    <w:rsid w:val="00843179"/>
    <w:rsid w:val="008434B1"/>
    <w:rsid w:val="0084386A"/>
    <w:rsid w:val="00843E0E"/>
    <w:rsid w:val="008442EA"/>
    <w:rsid w:val="00844346"/>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3084"/>
    <w:rsid w:val="00853142"/>
    <w:rsid w:val="008540A6"/>
    <w:rsid w:val="00854420"/>
    <w:rsid w:val="00854481"/>
    <w:rsid w:val="00857591"/>
    <w:rsid w:val="00857E88"/>
    <w:rsid w:val="008612DB"/>
    <w:rsid w:val="00861411"/>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1511"/>
    <w:rsid w:val="008817B6"/>
    <w:rsid w:val="0088186D"/>
    <w:rsid w:val="00882448"/>
    <w:rsid w:val="00882F1D"/>
    <w:rsid w:val="00883A4D"/>
    <w:rsid w:val="00883B21"/>
    <w:rsid w:val="00883F8F"/>
    <w:rsid w:val="00884235"/>
    <w:rsid w:val="00885285"/>
    <w:rsid w:val="00885985"/>
    <w:rsid w:val="00886699"/>
    <w:rsid w:val="0088709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3D62"/>
    <w:rsid w:val="008A425C"/>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5F75"/>
    <w:rsid w:val="008C6255"/>
    <w:rsid w:val="008C684B"/>
    <w:rsid w:val="008C6ABD"/>
    <w:rsid w:val="008C6F18"/>
    <w:rsid w:val="008C7685"/>
    <w:rsid w:val="008D007A"/>
    <w:rsid w:val="008D07DE"/>
    <w:rsid w:val="008D0831"/>
    <w:rsid w:val="008D0E40"/>
    <w:rsid w:val="008D1E7F"/>
    <w:rsid w:val="008D2367"/>
    <w:rsid w:val="008D3B4A"/>
    <w:rsid w:val="008D427A"/>
    <w:rsid w:val="008D4DD5"/>
    <w:rsid w:val="008D5657"/>
    <w:rsid w:val="008D6752"/>
    <w:rsid w:val="008D69E7"/>
    <w:rsid w:val="008D6FC1"/>
    <w:rsid w:val="008E0140"/>
    <w:rsid w:val="008E0688"/>
    <w:rsid w:val="008E0BEF"/>
    <w:rsid w:val="008E266D"/>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47B"/>
    <w:rsid w:val="00902E5B"/>
    <w:rsid w:val="00903FD9"/>
    <w:rsid w:val="00904CF5"/>
    <w:rsid w:val="00905259"/>
    <w:rsid w:val="0090556C"/>
    <w:rsid w:val="00905633"/>
    <w:rsid w:val="00905EAE"/>
    <w:rsid w:val="009060C4"/>
    <w:rsid w:val="00906C91"/>
    <w:rsid w:val="00906C95"/>
    <w:rsid w:val="00907656"/>
    <w:rsid w:val="00907E47"/>
    <w:rsid w:val="00910570"/>
    <w:rsid w:val="009115EF"/>
    <w:rsid w:val="009116DD"/>
    <w:rsid w:val="00912148"/>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2F1C"/>
    <w:rsid w:val="00923463"/>
    <w:rsid w:val="00925238"/>
    <w:rsid w:val="00925ACF"/>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4DD"/>
    <w:rsid w:val="0094190D"/>
    <w:rsid w:val="00942354"/>
    <w:rsid w:val="00942681"/>
    <w:rsid w:val="00943A7E"/>
    <w:rsid w:val="00943E42"/>
    <w:rsid w:val="00943E5D"/>
    <w:rsid w:val="00944728"/>
    <w:rsid w:val="009453E8"/>
    <w:rsid w:val="00945664"/>
    <w:rsid w:val="00945AD1"/>
    <w:rsid w:val="00946ECB"/>
    <w:rsid w:val="00947268"/>
    <w:rsid w:val="0094750E"/>
    <w:rsid w:val="00947C94"/>
    <w:rsid w:val="00950310"/>
    <w:rsid w:val="009507C8"/>
    <w:rsid w:val="0095115E"/>
    <w:rsid w:val="0095118A"/>
    <w:rsid w:val="00952468"/>
    <w:rsid w:val="00954767"/>
    <w:rsid w:val="0095487A"/>
    <w:rsid w:val="009548FB"/>
    <w:rsid w:val="0095538B"/>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5D88"/>
    <w:rsid w:val="00966D9D"/>
    <w:rsid w:val="00966E4A"/>
    <w:rsid w:val="00967041"/>
    <w:rsid w:val="00970918"/>
    <w:rsid w:val="0097099E"/>
    <w:rsid w:val="00971761"/>
    <w:rsid w:val="0097216F"/>
    <w:rsid w:val="00972C3B"/>
    <w:rsid w:val="00973057"/>
    <w:rsid w:val="00974D50"/>
    <w:rsid w:val="009751AF"/>
    <w:rsid w:val="00975326"/>
    <w:rsid w:val="00975DEA"/>
    <w:rsid w:val="00977CDF"/>
    <w:rsid w:val="00977D07"/>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06A"/>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481B"/>
    <w:rsid w:val="009951D8"/>
    <w:rsid w:val="00995355"/>
    <w:rsid w:val="0099586F"/>
    <w:rsid w:val="0099717E"/>
    <w:rsid w:val="0099719E"/>
    <w:rsid w:val="009A0169"/>
    <w:rsid w:val="009A0A23"/>
    <w:rsid w:val="009A1B56"/>
    <w:rsid w:val="009A3C93"/>
    <w:rsid w:val="009A3D58"/>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171"/>
    <w:rsid w:val="009B42B6"/>
    <w:rsid w:val="009B42CC"/>
    <w:rsid w:val="009B43D6"/>
    <w:rsid w:val="009B5081"/>
    <w:rsid w:val="009B6985"/>
    <w:rsid w:val="009B69B3"/>
    <w:rsid w:val="009B6E03"/>
    <w:rsid w:val="009B7011"/>
    <w:rsid w:val="009B71E4"/>
    <w:rsid w:val="009C04EE"/>
    <w:rsid w:val="009C0CD4"/>
    <w:rsid w:val="009C15E7"/>
    <w:rsid w:val="009C17C8"/>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07B63"/>
    <w:rsid w:val="00A10586"/>
    <w:rsid w:val="00A10A48"/>
    <w:rsid w:val="00A110DA"/>
    <w:rsid w:val="00A1132B"/>
    <w:rsid w:val="00A11930"/>
    <w:rsid w:val="00A11B54"/>
    <w:rsid w:val="00A11CDC"/>
    <w:rsid w:val="00A1238C"/>
    <w:rsid w:val="00A1263D"/>
    <w:rsid w:val="00A12AF2"/>
    <w:rsid w:val="00A12D8A"/>
    <w:rsid w:val="00A12E3F"/>
    <w:rsid w:val="00A12E6C"/>
    <w:rsid w:val="00A136D0"/>
    <w:rsid w:val="00A13D1A"/>
    <w:rsid w:val="00A14DC2"/>
    <w:rsid w:val="00A14DD6"/>
    <w:rsid w:val="00A15D5E"/>
    <w:rsid w:val="00A161F8"/>
    <w:rsid w:val="00A169FA"/>
    <w:rsid w:val="00A1766A"/>
    <w:rsid w:val="00A200F4"/>
    <w:rsid w:val="00A206C9"/>
    <w:rsid w:val="00A20C27"/>
    <w:rsid w:val="00A20E7D"/>
    <w:rsid w:val="00A216BC"/>
    <w:rsid w:val="00A233E7"/>
    <w:rsid w:val="00A23931"/>
    <w:rsid w:val="00A23FD6"/>
    <w:rsid w:val="00A25317"/>
    <w:rsid w:val="00A25706"/>
    <w:rsid w:val="00A25D84"/>
    <w:rsid w:val="00A26029"/>
    <w:rsid w:val="00A262E4"/>
    <w:rsid w:val="00A268EA"/>
    <w:rsid w:val="00A26F2D"/>
    <w:rsid w:val="00A31CE0"/>
    <w:rsid w:val="00A31FA9"/>
    <w:rsid w:val="00A333BF"/>
    <w:rsid w:val="00A33825"/>
    <w:rsid w:val="00A3398F"/>
    <w:rsid w:val="00A33A48"/>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39D1"/>
    <w:rsid w:val="00A54DAE"/>
    <w:rsid w:val="00A56D3B"/>
    <w:rsid w:val="00A57450"/>
    <w:rsid w:val="00A57479"/>
    <w:rsid w:val="00A5755A"/>
    <w:rsid w:val="00A57C08"/>
    <w:rsid w:val="00A600D9"/>
    <w:rsid w:val="00A604CD"/>
    <w:rsid w:val="00A637A0"/>
    <w:rsid w:val="00A63ECD"/>
    <w:rsid w:val="00A64093"/>
    <w:rsid w:val="00A640EB"/>
    <w:rsid w:val="00A64815"/>
    <w:rsid w:val="00A65043"/>
    <w:rsid w:val="00A66DF9"/>
    <w:rsid w:val="00A670C3"/>
    <w:rsid w:val="00A704E4"/>
    <w:rsid w:val="00A7136A"/>
    <w:rsid w:val="00A71C44"/>
    <w:rsid w:val="00A72296"/>
    <w:rsid w:val="00A72CA1"/>
    <w:rsid w:val="00A7388E"/>
    <w:rsid w:val="00A74544"/>
    <w:rsid w:val="00A74548"/>
    <w:rsid w:val="00A74DF2"/>
    <w:rsid w:val="00A74E4D"/>
    <w:rsid w:val="00A7592E"/>
    <w:rsid w:val="00A75B14"/>
    <w:rsid w:val="00A76C1F"/>
    <w:rsid w:val="00A803FC"/>
    <w:rsid w:val="00A8071A"/>
    <w:rsid w:val="00A80DD9"/>
    <w:rsid w:val="00A80FCA"/>
    <w:rsid w:val="00A81CBC"/>
    <w:rsid w:val="00A82506"/>
    <w:rsid w:val="00A837CE"/>
    <w:rsid w:val="00A83DB5"/>
    <w:rsid w:val="00A83FBA"/>
    <w:rsid w:val="00A84636"/>
    <w:rsid w:val="00A84FE1"/>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0B3"/>
    <w:rsid w:val="00AA015F"/>
    <w:rsid w:val="00AA0C3A"/>
    <w:rsid w:val="00AA1723"/>
    <w:rsid w:val="00AA190D"/>
    <w:rsid w:val="00AA1FDD"/>
    <w:rsid w:val="00AA21EE"/>
    <w:rsid w:val="00AA22C3"/>
    <w:rsid w:val="00AA230D"/>
    <w:rsid w:val="00AA4941"/>
    <w:rsid w:val="00AA49E9"/>
    <w:rsid w:val="00AA5475"/>
    <w:rsid w:val="00AA5876"/>
    <w:rsid w:val="00AA6A8A"/>
    <w:rsid w:val="00AA6DD8"/>
    <w:rsid w:val="00AA6FA3"/>
    <w:rsid w:val="00AA70BB"/>
    <w:rsid w:val="00AA757C"/>
    <w:rsid w:val="00AA7F10"/>
    <w:rsid w:val="00AB0391"/>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5882"/>
    <w:rsid w:val="00AF6619"/>
    <w:rsid w:val="00AF6CFD"/>
    <w:rsid w:val="00AF7DC1"/>
    <w:rsid w:val="00B000AE"/>
    <w:rsid w:val="00B0040B"/>
    <w:rsid w:val="00B00830"/>
    <w:rsid w:val="00B00AB5"/>
    <w:rsid w:val="00B00CC0"/>
    <w:rsid w:val="00B00F5C"/>
    <w:rsid w:val="00B019C1"/>
    <w:rsid w:val="00B0236E"/>
    <w:rsid w:val="00B02506"/>
    <w:rsid w:val="00B02ACE"/>
    <w:rsid w:val="00B031C3"/>
    <w:rsid w:val="00B03913"/>
    <w:rsid w:val="00B04CEA"/>
    <w:rsid w:val="00B05607"/>
    <w:rsid w:val="00B05A08"/>
    <w:rsid w:val="00B05F14"/>
    <w:rsid w:val="00B06737"/>
    <w:rsid w:val="00B0765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D45"/>
    <w:rsid w:val="00B15E42"/>
    <w:rsid w:val="00B15EEE"/>
    <w:rsid w:val="00B16198"/>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DC8"/>
    <w:rsid w:val="00B315BB"/>
    <w:rsid w:val="00B31977"/>
    <w:rsid w:val="00B31EA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20E3"/>
    <w:rsid w:val="00B52336"/>
    <w:rsid w:val="00B5388C"/>
    <w:rsid w:val="00B54CD6"/>
    <w:rsid w:val="00B554F4"/>
    <w:rsid w:val="00B55CED"/>
    <w:rsid w:val="00B55D57"/>
    <w:rsid w:val="00B55F80"/>
    <w:rsid w:val="00B56480"/>
    <w:rsid w:val="00B565D6"/>
    <w:rsid w:val="00B576A4"/>
    <w:rsid w:val="00B57998"/>
    <w:rsid w:val="00B57CD0"/>
    <w:rsid w:val="00B57DA9"/>
    <w:rsid w:val="00B60177"/>
    <w:rsid w:val="00B60639"/>
    <w:rsid w:val="00B6308E"/>
    <w:rsid w:val="00B63D58"/>
    <w:rsid w:val="00B648E7"/>
    <w:rsid w:val="00B64E8A"/>
    <w:rsid w:val="00B65588"/>
    <w:rsid w:val="00B658D1"/>
    <w:rsid w:val="00B66064"/>
    <w:rsid w:val="00B66995"/>
    <w:rsid w:val="00B671A1"/>
    <w:rsid w:val="00B675A6"/>
    <w:rsid w:val="00B6794D"/>
    <w:rsid w:val="00B67B55"/>
    <w:rsid w:val="00B67C6C"/>
    <w:rsid w:val="00B70C61"/>
    <w:rsid w:val="00B70E5A"/>
    <w:rsid w:val="00B7220D"/>
    <w:rsid w:val="00B749B6"/>
    <w:rsid w:val="00B7509A"/>
    <w:rsid w:val="00B7613E"/>
    <w:rsid w:val="00B766C1"/>
    <w:rsid w:val="00B76966"/>
    <w:rsid w:val="00B76B96"/>
    <w:rsid w:val="00B76C64"/>
    <w:rsid w:val="00B76EFB"/>
    <w:rsid w:val="00B77129"/>
    <w:rsid w:val="00B77C37"/>
    <w:rsid w:val="00B8026B"/>
    <w:rsid w:val="00B807BF"/>
    <w:rsid w:val="00B809B1"/>
    <w:rsid w:val="00B82543"/>
    <w:rsid w:val="00B82998"/>
    <w:rsid w:val="00B82B1E"/>
    <w:rsid w:val="00B834B0"/>
    <w:rsid w:val="00B837F6"/>
    <w:rsid w:val="00B83DAE"/>
    <w:rsid w:val="00B84FB4"/>
    <w:rsid w:val="00B8756E"/>
    <w:rsid w:val="00B8767E"/>
    <w:rsid w:val="00B87DF9"/>
    <w:rsid w:val="00B91951"/>
    <w:rsid w:val="00B91A58"/>
    <w:rsid w:val="00B91EAD"/>
    <w:rsid w:val="00B920B9"/>
    <w:rsid w:val="00B92961"/>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AD1"/>
    <w:rsid w:val="00BA3D14"/>
    <w:rsid w:val="00BA435A"/>
    <w:rsid w:val="00BA54BA"/>
    <w:rsid w:val="00BA5603"/>
    <w:rsid w:val="00BA56D9"/>
    <w:rsid w:val="00BA6194"/>
    <w:rsid w:val="00BA7EEE"/>
    <w:rsid w:val="00BB2008"/>
    <w:rsid w:val="00BB29DF"/>
    <w:rsid w:val="00BB2CFC"/>
    <w:rsid w:val="00BB34DC"/>
    <w:rsid w:val="00BB35D0"/>
    <w:rsid w:val="00BB3AC4"/>
    <w:rsid w:val="00BB485F"/>
    <w:rsid w:val="00BB4999"/>
    <w:rsid w:val="00BB4BCD"/>
    <w:rsid w:val="00BB56C7"/>
    <w:rsid w:val="00BB5B62"/>
    <w:rsid w:val="00BB6502"/>
    <w:rsid w:val="00BB6BCD"/>
    <w:rsid w:val="00BB70F9"/>
    <w:rsid w:val="00BB7A70"/>
    <w:rsid w:val="00BB7C9B"/>
    <w:rsid w:val="00BC1527"/>
    <w:rsid w:val="00BC2306"/>
    <w:rsid w:val="00BC2F31"/>
    <w:rsid w:val="00BC4036"/>
    <w:rsid w:val="00BC4F0A"/>
    <w:rsid w:val="00BC509F"/>
    <w:rsid w:val="00BC51D2"/>
    <w:rsid w:val="00BC64BE"/>
    <w:rsid w:val="00BC7155"/>
    <w:rsid w:val="00BC7550"/>
    <w:rsid w:val="00BD0B72"/>
    <w:rsid w:val="00BD2668"/>
    <w:rsid w:val="00BD3924"/>
    <w:rsid w:val="00BD450F"/>
    <w:rsid w:val="00BD4512"/>
    <w:rsid w:val="00BD52AA"/>
    <w:rsid w:val="00BD739C"/>
    <w:rsid w:val="00BE1061"/>
    <w:rsid w:val="00BE1321"/>
    <w:rsid w:val="00BE2893"/>
    <w:rsid w:val="00BE2EB4"/>
    <w:rsid w:val="00BE2F5A"/>
    <w:rsid w:val="00BE37D3"/>
    <w:rsid w:val="00BE522A"/>
    <w:rsid w:val="00BE57B5"/>
    <w:rsid w:val="00BE7023"/>
    <w:rsid w:val="00BE7A7C"/>
    <w:rsid w:val="00BF0A44"/>
    <w:rsid w:val="00BF0CEC"/>
    <w:rsid w:val="00BF1A44"/>
    <w:rsid w:val="00BF1EDF"/>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34A4"/>
    <w:rsid w:val="00C03DD0"/>
    <w:rsid w:val="00C04445"/>
    <w:rsid w:val="00C04705"/>
    <w:rsid w:val="00C04A7F"/>
    <w:rsid w:val="00C04E2B"/>
    <w:rsid w:val="00C051AA"/>
    <w:rsid w:val="00C060A0"/>
    <w:rsid w:val="00C07187"/>
    <w:rsid w:val="00C075C9"/>
    <w:rsid w:val="00C07FAD"/>
    <w:rsid w:val="00C106C4"/>
    <w:rsid w:val="00C111EA"/>
    <w:rsid w:val="00C119AD"/>
    <w:rsid w:val="00C1228D"/>
    <w:rsid w:val="00C13FED"/>
    <w:rsid w:val="00C14E7D"/>
    <w:rsid w:val="00C15722"/>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694"/>
    <w:rsid w:val="00C8773E"/>
    <w:rsid w:val="00C903C4"/>
    <w:rsid w:val="00C90601"/>
    <w:rsid w:val="00C90D16"/>
    <w:rsid w:val="00C90DD3"/>
    <w:rsid w:val="00C9116A"/>
    <w:rsid w:val="00C9265D"/>
    <w:rsid w:val="00C92824"/>
    <w:rsid w:val="00C92D70"/>
    <w:rsid w:val="00C937BA"/>
    <w:rsid w:val="00C949FC"/>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560"/>
    <w:rsid w:val="00CB2EF5"/>
    <w:rsid w:val="00CB33E4"/>
    <w:rsid w:val="00CB4230"/>
    <w:rsid w:val="00CB431B"/>
    <w:rsid w:val="00CB4A77"/>
    <w:rsid w:val="00CB4EA5"/>
    <w:rsid w:val="00CB557F"/>
    <w:rsid w:val="00CB592B"/>
    <w:rsid w:val="00CB5C5F"/>
    <w:rsid w:val="00CB600E"/>
    <w:rsid w:val="00CB65B8"/>
    <w:rsid w:val="00CB6CDF"/>
    <w:rsid w:val="00CB71CC"/>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1DB1"/>
    <w:rsid w:val="00CD22B5"/>
    <w:rsid w:val="00CD22F4"/>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4DC"/>
    <w:rsid w:val="00CF1680"/>
    <w:rsid w:val="00CF1BD7"/>
    <w:rsid w:val="00CF21A5"/>
    <w:rsid w:val="00CF2518"/>
    <w:rsid w:val="00CF2DDE"/>
    <w:rsid w:val="00CF344A"/>
    <w:rsid w:val="00CF39A0"/>
    <w:rsid w:val="00CF3D1C"/>
    <w:rsid w:val="00CF4713"/>
    <w:rsid w:val="00CF4B12"/>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824"/>
    <w:rsid w:val="00D06C03"/>
    <w:rsid w:val="00D079CA"/>
    <w:rsid w:val="00D1037A"/>
    <w:rsid w:val="00D10D09"/>
    <w:rsid w:val="00D1163E"/>
    <w:rsid w:val="00D12362"/>
    <w:rsid w:val="00D12A4F"/>
    <w:rsid w:val="00D1462C"/>
    <w:rsid w:val="00D14C15"/>
    <w:rsid w:val="00D15CB3"/>
    <w:rsid w:val="00D15F51"/>
    <w:rsid w:val="00D169CA"/>
    <w:rsid w:val="00D16ED5"/>
    <w:rsid w:val="00D202B1"/>
    <w:rsid w:val="00D20662"/>
    <w:rsid w:val="00D21291"/>
    <w:rsid w:val="00D219C6"/>
    <w:rsid w:val="00D21C8A"/>
    <w:rsid w:val="00D2297E"/>
    <w:rsid w:val="00D22DE5"/>
    <w:rsid w:val="00D233BD"/>
    <w:rsid w:val="00D233D7"/>
    <w:rsid w:val="00D23CBB"/>
    <w:rsid w:val="00D25806"/>
    <w:rsid w:val="00D25E9D"/>
    <w:rsid w:val="00D25F1C"/>
    <w:rsid w:val="00D26DE6"/>
    <w:rsid w:val="00D26EE7"/>
    <w:rsid w:val="00D30232"/>
    <w:rsid w:val="00D30718"/>
    <w:rsid w:val="00D322FB"/>
    <w:rsid w:val="00D32475"/>
    <w:rsid w:val="00D32EF4"/>
    <w:rsid w:val="00D33F81"/>
    <w:rsid w:val="00D34850"/>
    <w:rsid w:val="00D35060"/>
    <w:rsid w:val="00D369D4"/>
    <w:rsid w:val="00D36AD7"/>
    <w:rsid w:val="00D373E9"/>
    <w:rsid w:val="00D37C61"/>
    <w:rsid w:val="00D403FF"/>
    <w:rsid w:val="00D404C4"/>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09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C1C"/>
    <w:rsid w:val="00D93E90"/>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6398"/>
    <w:rsid w:val="00DA7477"/>
    <w:rsid w:val="00DA7573"/>
    <w:rsid w:val="00DA7BD4"/>
    <w:rsid w:val="00DB0191"/>
    <w:rsid w:val="00DB0304"/>
    <w:rsid w:val="00DB0359"/>
    <w:rsid w:val="00DB0EF6"/>
    <w:rsid w:val="00DB0F8A"/>
    <w:rsid w:val="00DB26A8"/>
    <w:rsid w:val="00DB27CF"/>
    <w:rsid w:val="00DB2BB6"/>
    <w:rsid w:val="00DB324C"/>
    <w:rsid w:val="00DB3FD3"/>
    <w:rsid w:val="00DB5F2A"/>
    <w:rsid w:val="00DB6F45"/>
    <w:rsid w:val="00DB72B7"/>
    <w:rsid w:val="00DB7546"/>
    <w:rsid w:val="00DC0624"/>
    <w:rsid w:val="00DC0DC0"/>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685"/>
    <w:rsid w:val="00DD2893"/>
    <w:rsid w:val="00DD3DD6"/>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6D06"/>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B8F"/>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941"/>
    <w:rsid w:val="00E14C52"/>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621B"/>
    <w:rsid w:val="00E36450"/>
    <w:rsid w:val="00E36F43"/>
    <w:rsid w:val="00E37F0C"/>
    <w:rsid w:val="00E40ADF"/>
    <w:rsid w:val="00E418E3"/>
    <w:rsid w:val="00E41BD5"/>
    <w:rsid w:val="00E423DE"/>
    <w:rsid w:val="00E42F07"/>
    <w:rsid w:val="00E4370F"/>
    <w:rsid w:val="00E4441D"/>
    <w:rsid w:val="00E453AB"/>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4676"/>
    <w:rsid w:val="00E646B5"/>
    <w:rsid w:val="00E65427"/>
    <w:rsid w:val="00E6543F"/>
    <w:rsid w:val="00E661C0"/>
    <w:rsid w:val="00E663F5"/>
    <w:rsid w:val="00E66E97"/>
    <w:rsid w:val="00E70BD6"/>
    <w:rsid w:val="00E71305"/>
    <w:rsid w:val="00E72383"/>
    <w:rsid w:val="00E724D2"/>
    <w:rsid w:val="00E72D9F"/>
    <w:rsid w:val="00E73C41"/>
    <w:rsid w:val="00E74933"/>
    <w:rsid w:val="00E74EDC"/>
    <w:rsid w:val="00E75066"/>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90329"/>
    <w:rsid w:val="00E910D5"/>
    <w:rsid w:val="00E922C4"/>
    <w:rsid w:val="00E943AE"/>
    <w:rsid w:val="00E947B0"/>
    <w:rsid w:val="00E95C66"/>
    <w:rsid w:val="00E95D82"/>
    <w:rsid w:val="00E95F21"/>
    <w:rsid w:val="00E96273"/>
    <w:rsid w:val="00E96E97"/>
    <w:rsid w:val="00E97D49"/>
    <w:rsid w:val="00EA0251"/>
    <w:rsid w:val="00EA1065"/>
    <w:rsid w:val="00EA1294"/>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7808"/>
    <w:rsid w:val="00EC7BF6"/>
    <w:rsid w:val="00EC7BFA"/>
    <w:rsid w:val="00ED042E"/>
    <w:rsid w:val="00ED1295"/>
    <w:rsid w:val="00ED1C58"/>
    <w:rsid w:val="00ED2725"/>
    <w:rsid w:val="00ED34D1"/>
    <w:rsid w:val="00ED367F"/>
    <w:rsid w:val="00ED4206"/>
    <w:rsid w:val="00ED58A2"/>
    <w:rsid w:val="00ED58C3"/>
    <w:rsid w:val="00ED5C71"/>
    <w:rsid w:val="00ED5EEE"/>
    <w:rsid w:val="00ED667C"/>
    <w:rsid w:val="00ED7966"/>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0D06"/>
    <w:rsid w:val="00EF1230"/>
    <w:rsid w:val="00EF177B"/>
    <w:rsid w:val="00EF223B"/>
    <w:rsid w:val="00EF29DE"/>
    <w:rsid w:val="00EF3978"/>
    <w:rsid w:val="00EF3AAC"/>
    <w:rsid w:val="00EF4D42"/>
    <w:rsid w:val="00EF4FD1"/>
    <w:rsid w:val="00EF5318"/>
    <w:rsid w:val="00EF5C2F"/>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5DD3"/>
    <w:rsid w:val="00F06A47"/>
    <w:rsid w:val="00F0717F"/>
    <w:rsid w:val="00F0747A"/>
    <w:rsid w:val="00F07849"/>
    <w:rsid w:val="00F07882"/>
    <w:rsid w:val="00F07883"/>
    <w:rsid w:val="00F07CED"/>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746"/>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5988"/>
    <w:rsid w:val="00F365A7"/>
    <w:rsid w:val="00F3681C"/>
    <w:rsid w:val="00F3769D"/>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1D56"/>
    <w:rsid w:val="00F521DC"/>
    <w:rsid w:val="00F53199"/>
    <w:rsid w:val="00F541A1"/>
    <w:rsid w:val="00F54B09"/>
    <w:rsid w:val="00F54BEA"/>
    <w:rsid w:val="00F54E8A"/>
    <w:rsid w:val="00F552D3"/>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7846"/>
    <w:rsid w:val="00F67B42"/>
    <w:rsid w:val="00F70070"/>
    <w:rsid w:val="00F70B72"/>
    <w:rsid w:val="00F70DEF"/>
    <w:rsid w:val="00F70EA3"/>
    <w:rsid w:val="00F71398"/>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5F0F"/>
    <w:rsid w:val="00F962EB"/>
    <w:rsid w:val="00F96370"/>
    <w:rsid w:val="00F97940"/>
    <w:rsid w:val="00F97BA3"/>
    <w:rsid w:val="00F97EA2"/>
    <w:rsid w:val="00F97F0D"/>
    <w:rsid w:val="00FA0B0A"/>
    <w:rsid w:val="00FA121C"/>
    <w:rsid w:val="00FA1407"/>
    <w:rsid w:val="00FA1A68"/>
    <w:rsid w:val="00FA1B1A"/>
    <w:rsid w:val="00FA273B"/>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6A9C"/>
    <w:rsid w:val="00FC731E"/>
    <w:rsid w:val="00FD035A"/>
    <w:rsid w:val="00FD19F1"/>
    <w:rsid w:val="00FD1A7E"/>
    <w:rsid w:val="00FD2678"/>
    <w:rsid w:val="00FD2CC3"/>
    <w:rsid w:val="00FD31BF"/>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C3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733"/>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8B68EC"/>
    <w:pPr>
      <w:keepNext/>
      <w:tabs>
        <w:tab w:val="left" w:pos="851"/>
      </w:tabs>
      <w:spacing w:before="0" w:after="360" w:line="240" w:lineRule="auto"/>
      <w:jc w:val="left"/>
      <w:outlineLvl w:val="0"/>
    </w:pPr>
    <w:rPr>
      <w:rFonts w:eastAsiaTheme="majorEastAsia" w:cstheme="majorBidi"/>
      <w:b/>
      <w:bCs/>
      <w:color w:val="1C556C"/>
      <w:sz w:val="48"/>
      <w:szCs w:val="28"/>
    </w:rPr>
  </w:style>
  <w:style w:type="paragraph" w:styleId="Heading2">
    <w:name w:val="heading 2"/>
    <w:basedOn w:val="Normal"/>
    <w:next w:val="BodyText"/>
    <w:link w:val="Heading2Char"/>
    <w:qFormat/>
    <w:rsid w:val="00B51610"/>
    <w:pPr>
      <w:keepNext/>
      <w:tabs>
        <w:tab w:val="left" w:pos="851"/>
      </w:tabs>
      <w:spacing w:before="360" w:after="0" w:line="240" w:lineRule="auto"/>
      <w:jc w:val="left"/>
      <w:outlineLvl w:val="1"/>
    </w:pPr>
    <w:rPr>
      <w:rFonts w:eastAsiaTheme="majorEastAsia" w:cstheme="majorBidi"/>
      <w:b/>
      <w:bCs/>
      <w:color w:val="0F7B7D"/>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rFonts w:eastAsiaTheme="majorEastAsia" w:cstheme="majorBidi"/>
      <w:b/>
      <w:bCs/>
      <w:sz w:val="28"/>
    </w:rPr>
  </w:style>
  <w:style w:type="paragraph" w:styleId="Heading4">
    <w:name w:val="heading 4"/>
    <w:basedOn w:val="Heading3"/>
    <w:next w:val="BodyText"/>
    <w:link w:val="Heading4Char"/>
    <w:qFormat/>
    <w:rsid w:val="00B51610"/>
    <w:pPr>
      <w:outlineLvl w:val="3"/>
    </w:pPr>
    <w:rPr>
      <w:color w:val="0F7B7D"/>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8EC"/>
    <w:rPr>
      <w:rFonts w:ascii="Calibri" w:eastAsiaTheme="majorEastAsia" w:hAnsi="Calibri" w:cstheme="majorBidi"/>
      <w:b/>
      <w:bCs/>
      <w:color w:val="1C556C"/>
      <w:sz w:val="48"/>
      <w:szCs w:val="28"/>
      <w:lang w:eastAsia="en-NZ"/>
    </w:rPr>
  </w:style>
  <w:style w:type="character" w:customStyle="1" w:styleId="Heading2Char">
    <w:name w:val="Heading 2 Char"/>
    <w:basedOn w:val="DefaultParagraphFont"/>
    <w:link w:val="Heading2"/>
    <w:rsid w:val="00B51610"/>
    <w:rPr>
      <w:rFonts w:ascii="Calibri" w:eastAsiaTheme="majorEastAsia" w:hAnsi="Calibri" w:cstheme="majorBidi"/>
      <w:b/>
      <w:bCs/>
      <w:color w:val="0F7B7D"/>
      <w:sz w:val="36"/>
      <w:szCs w:val="26"/>
      <w:lang w:eastAsia="en-NZ"/>
    </w:rPr>
  </w:style>
  <w:style w:type="character" w:customStyle="1" w:styleId="Heading3Char">
    <w:name w:val="Heading 3 Char"/>
    <w:basedOn w:val="DefaultParagraphFont"/>
    <w:link w:val="Heading3"/>
    <w:rsid w:val="008B68EC"/>
    <w:rPr>
      <w:rFonts w:ascii="Calibri" w:eastAsiaTheme="majorEastAsia" w:hAnsi="Calibri" w:cstheme="majorBidi"/>
      <w:b/>
      <w:bCs/>
      <w:sz w:val="28"/>
      <w:lang w:eastAsia="en-NZ"/>
    </w:rPr>
  </w:style>
  <w:style w:type="character" w:customStyle="1" w:styleId="Heading4Char">
    <w:name w:val="Heading 4 Char"/>
    <w:basedOn w:val="DefaultParagraphFont"/>
    <w:link w:val="Heading4"/>
    <w:rsid w:val="00B51610"/>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qFormat/>
    <w:rsid w:val="00A56D3B"/>
    <w:pPr>
      <w:tabs>
        <w:tab w:val="left" w:pos="680"/>
      </w:tabs>
      <w:spacing w:before="0"/>
      <w:ind w:left="681" w:hanging="397"/>
    </w:pPr>
  </w:style>
  <w:style w:type="paragraph" w:customStyle="1" w:styleId="Boxheading">
    <w:name w:val="Box heading"/>
    <w:basedOn w:val="Box"/>
    <w:next w:val="Box"/>
    <w:uiPriority w:val="1"/>
    <w:qFormat/>
    <w:rsid w:val="001820A3"/>
    <w:pPr>
      <w:keepNext/>
      <w:spacing w:after="0"/>
    </w:pPr>
    <w:rPr>
      <w:b/>
    </w:rPr>
  </w:style>
  <w:style w:type="paragraph" w:customStyle="1" w:styleId="Bullet">
    <w:name w:val="Bullet"/>
    <w:basedOn w:val="Normal"/>
    <w:link w:val="BulletChar"/>
    <w:qFormat/>
    <w:rsid w:val="008B5A2D"/>
    <w:pPr>
      <w:numPr>
        <w:numId w:val="34"/>
      </w:numPr>
      <w:spacing w:before="0" w:line="280" w:lineRule="exact"/>
      <w:jc w:val="left"/>
    </w:pPr>
    <w:rPr>
      <w:rFonts w:eastAsia="Times New Roman" w:cs="Times New Roman"/>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1"/>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basedOn w:val="DefaultParagraphFont"/>
    <w:link w:val="Title"/>
    <w:uiPriority w:val="2"/>
    <w:rsid w:val="00684D9B"/>
    <w:rPr>
      <w:rFonts w:ascii="Calibri" w:eastAsiaTheme="minorEastAsia"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basedOn w:val="DefaultParagraphFont"/>
    <w:link w:val="Subtitle"/>
    <w:uiPriority w:val="2"/>
    <w:rsid w:val="00D94120"/>
    <w:rPr>
      <w:rFonts w:ascii="Calibri" w:eastAsiaTheme="minorEastAsia"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eastAsia="Times New Roman" w:hAnsi="Arial" w:cs="Times New Roman"/>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eastAsia="Times New Roman" w:hAnsi="Arial" w:cs="Times New Roman"/>
      <w:b/>
      <w:color w:val="auto"/>
      <w:sz w:val="22"/>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rsid w:val="00C15722"/>
    <w:pPr>
      <w:numPr>
        <w:numId w:val="31"/>
      </w:numPr>
      <w:spacing w:before="0"/>
      <w:ind w:left="681" w:hanging="397"/>
    </w:pPr>
  </w:style>
  <w:style w:type="paragraph" w:customStyle="1" w:styleId="Greentext-casestudytables">
    <w:name w:val="Green text - case study tables"/>
    <w:basedOn w:val="BodyText"/>
    <w:uiPriority w:val="1"/>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1754D"/>
    <w:pPr>
      <w:keepNext/>
      <w:spacing w:before="240" w:after="0"/>
    </w:pPr>
    <w:rPr>
      <w:rFonts w:eastAsia="Times New Roman"/>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qFormat/>
    <w:rsid w:val="005D3242"/>
    <w:pPr>
      <w:numPr>
        <w:numId w:val="2"/>
      </w:numPr>
      <w:tabs>
        <w:tab w:val="left" w:pos="680"/>
      </w:tabs>
      <w:spacing w:before="0"/>
      <w:ind w:left="681" w:hanging="397"/>
    </w:pPr>
    <w:rPr>
      <w:rFonts w:cs="Times New Roman"/>
      <w:szCs w:val="20"/>
    </w:rPr>
  </w:style>
  <w:style w:type="paragraph" w:customStyle="1" w:styleId="Blueboxheading">
    <w:name w:val="Blue box heading"/>
    <w:basedOn w:val="Blueboxtext"/>
    <w:next w:val="Blueboxtext"/>
    <w:uiPriority w:val="1"/>
    <w:qFormat/>
    <w:rsid w:val="007823D6"/>
    <w:pPr>
      <w:keepNext/>
      <w:spacing w:before="240" w:after="0"/>
    </w:pPr>
    <w:rPr>
      <w:rFonts w:cs="Times New Roman"/>
      <w:b/>
      <w:szCs w:val="20"/>
    </w:rPr>
  </w:style>
  <w:style w:type="paragraph" w:customStyle="1" w:styleId="Blue-boxsub-bullet">
    <w:name w:val="Blue-box sub-bullet"/>
    <w:basedOn w:val="Blueboxtext"/>
    <w:uiPriority w:val="1"/>
    <w:qFormat/>
    <w:rsid w:val="007823D6"/>
    <w:pPr>
      <w:numPr>
        <w:numId w:val="36"/>
      </w:numPr>
      <w:spacing w:before="0"/>
    </w:pPr>
    <w:rPr>
      <w:rFonts w:cs="Times New Roman"/>
      <w:szCs w:val="20"/>
    </w:rPr>
  </w:style>
  <w:style w:type="paragraph" w:customStyle="1" w:styleId="Greensub-bullet-casestudytables">
    <w:name w:val="Green sub-bullet - case study tables"/>
    <w:basedOn w:val="Greentext-casestudytables"/>
    <w:uiPriority w:val="1"/>
    <w:qFormat/>
    <w:rsid w:val="00C15722"/>
    <w:pPr>
      <w:numPr>
        <w:numId w:val="37"/>
      </w:numPr>
      <w:spacing w:before="0"/>
      <w:ind w:left="1077" w:hanging="397"/>
    </w:pPr>
  </w:style>
  <w:style w:type="paragraph" w:styleId="CommentText">
    <w:name w:val="annotation text"/>
    <w:basedOn w:val="Normal"/>
    <w:link w:val="CommentTextChar"/>
    <w:uiPriority w:val="99"/>
    <w:semiHidden/>
    <w:rsid w:val="003442A0"/>
    <w:pPr>
      <w:spacing w:line="240" w:lineRule="auto"/>
    </w:pPr>
    <w:rPr>
      <w:sz w:val="20"/>
      <w:szCs w:val="20"/>
    </w:rPr>
  </w:style>
  <w:style w:type="character" w:customStyle="1" w:styleId="CommentTextChar">
    <w:name w:val="Comment Text Char"/>
    <w:basedOn w:val="DefaultParagraphFont"/>
    <w:link w:val="CommentText"/>
    <w:uiPriority w:val="99"/>
    <w:semiHidden/>
    <w:rsid w:val="003442A0"/>
    <w:rPr>
      <w:rFonts w:ascii="Calibri" w:eastAsiaTheme="minorEastAsia" w:hAnsi="Calibri"/>
      <w:sz w:val="20"/>
      <w:szCs w:val="20"/>
      <w:lang w:eastAsia="en-NZ"/>
    </w:rPr>
  </w:style>
  <w:style w:type="paragraph" w:customStyle="1" w:styleId="Default">
    <w:name w:val="Default"/>
    <w:semiHidden/>
    <w:rsid w:val="000911BA"/>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7374">
      <w:bodyDiv w:val="1"/>
      <w:marLeft w:val="0"/>
      <w:marRight w:val="0"/>
      <w:marTop w:val="0"/>
      <w:marBottom w:val="0"/>
      <w:divBdr>
        <w:top w:val="none" w:sz="0" w:space="0" w:color="auto"/>
        <w:left w:val="none" w:sz="0" w:space="0" w:color="auto"/>
        <w:bottom w:val="none" w:sz="0" w:space="0" w:color="auto"/>
        <w:right w:val="none" w:sz="0" w:space="0" w:color="auto"/>
      </w:divBdr>
    </w:div>
    <w:div w:id="192232218">
      <w:bodyDiv w:val="1"/>
      <w:marLeft w:val="0"/>
      <w:marRight w:val="0"/>
      <w:marTop w:val="0"/>
      <w:marBottom w:val="0"/>
      <w:divBdr>
        <w:top w:val="none" w:sz="0" w:space="0" w:color="auto"/>
        <w:left w:val="none" w:sz="0" w:space="0" w:color="auto"/>
        <w:bottom w:val="none" w:sz="0" w:space="0" w:color="auto"/>
        <w:right w:val="none" w:sz="0" w:space="0" w:color="auto"/>
      </w:divBdr>
      <w:divsChild>
        <w:div w:id="1858352262">
          <w:marLeft w:val="0"/>
          <w:marRight w:val="0"/>
          <w:marTop w:val="0"/>
          <w:marBottom w:val="0"/>
          <w:divBdr>
            <w:top w:val="none" w:sz="0" w:space="0" w:color="auto"/>
            <w:left w:val="none" w:sz="0" w:space="0" w:color="auto"/>
            <w:bottom w:val="none" w:sz="0" w:space="0" w:color="auto"/>
            <w:right w:val="none" w:sz="0" w:space="0" w:color="auto"/>
          </w:divBdr>
        </w:div>
      </w:divsChild>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60770077">
      <w:bodyDiv w:val="1"/>
      <w:marLeft w:val="0"/>
      <w:marRight w:val="0"/>
      <w:marTop w:val="0"/>
      <w:marBottom w:val="0"/>
      <w:divBdr>
        <w:top w:val="none" w:sz="0" w:space="0" w:color="auto"/>
        <w:left w:val="none" w:sz="0" w:space="0" w:color="auto"/>
        <w:bottom w:val="none" w:sz="0" w:space="0" w:color="auto"/>
        <w:right w:val="none" w:sz="0" w:space="0" w:color="auto"/>
      </w:divBdr>
    </w:div>
    <w:div w:id="446824549">
      <w:bodyDiv w:val="1"/>
      <w:marLeft w:val="0"/>
      <w:marRight w:val="0"/>
      <w:marTop w:val="0"/>
      <w:marBottom w:val="0"/>
      <w:divBdr>
        <w:top w:val="none" w:sz="0" w:space="0" w:color="auto"/>
        <w:left w:val="none" w:sz="0" w:space="0" w:color="auto"/>
        <w:bottom w:val="none" w:sz="0" w:space="0" w:color="auto"/>
        <w:right w:val="none" w:sz="0" w:space="0" w:color="auto"/>
      </w:divBdr>
    </w:div>
    <w:div w:id="760839228">
      <w:bodyDiv w:val="1"/>
      <w:marLeft w:val="0"/>
      <w:marRight w:val="0"/>
      <w:marTop w:val="0"/>
      <w:marBottom w:val="0"/>
      <w:divBdr>
        <w:top w:val="none" w:sz="0" w:space="0" w:color="auto"/>
        <w:left w:val="none" w:sz="0" w:space="0" w:color="auto"/>
        <w:bottom w:val="none" w:sz="0" w:space="0" w:color="auto"/>
        <w:right w:val="none" w:sz="0" w:space="0" w:color="auto"/>
      </w:divBdr>
      <w:divsChild>
        <w:div w:id="2008943201">
          <w:marLeft w:val="0"/>
          <w:marRight w:val="0"/>
          <w:marTop w:val="0"/>
          <w:marBottom w:val="0"/>
          <w:divBdr>
            <w:top w:val="none" w:sz="0" w:space="0" w:color="auto"/>
            <w:left w:val="none" w:sz="0" w:space="0" w:color="auto"/>
            <w:bottom w:val="none" w:sz="0" w:space="0" w:color="auto"/>
            <w:right w:val="none" w:sz="0" w:space="0" w:color="auto"/>
          </w:divBdr>
        </w:div>
      </w:divsChild>
    </w:div>
    <w:div w:id="845902449">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www.legislation.govt.nz/regulation/public/2020/0175/latest/LMS379869.html" TargetMode="External"/><Relationship Id="rId3" Type="http://schemas.openxmlformats.org/officeDocument/2006/relationships/styles" Target="styles.xml"/><Relationship Id="rId21" Type="http://schemas.openxmlformats.org/officeDocument/2006/relationships/hyperlink" Target="https://www.mfe.govt.nz/sites/default/files/media/Fresh%20water/essential-freshwater.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www.legislation.govt.nz/regulation/public/2020/0174/latest/LMS364099.htm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fe.govt.nz/publications/fresh-water/essential-freshwater-report-of-freshwater-independent-advisory-panel"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mfe.govt.nz" TargetMode="External"/><Relationship Id="rId23" Type="http://schemas.openxmlformats.org/officeDocument/2006/relationships/hyperlink" Target="https://www.mfe.govt.nz/publications/fresh-water/action-healthy-waterways-summary-of-submissions-national-direction-our"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mfe.govt.nz/consultation/action-for-healthy-waterways" TargetMode="External"/><Relationship Id="rId27" Type="http://schemas.openxmlformats.org/officeDocument/2006/relationships/hyperlink" Target="http://www.legislation.govt.nz/regulation/public/2020/0176/latest/LMS351161.html" TargetMode="External"/><Relationship Id="rId30" Type="http://schemas.openxmlformats.org/officeDocument/2006/relationships/fontTable" Target="fontTable.xml"/></Relationships>
</file>

<file path=word/theme/theme1.xml><?xml version="1.0" encoding="utf-8"?>
<a:theme xmlns:a="http://schemas.openxmlformats.org/drawingml/2006/main" name="MF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FA9EC-7FFB-408F-9E1E-6D5BBD4C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3653</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2020-10-06T03:22:00Z</dcterms:created>
  <dcterms:modified xsi:type="dcterms:W3CDTF">2020-10-06T03:22:00Z</dcterms:modified>
</cp:coreProperties>
</file>