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E1CB2" w14:textId="78B6D1A7" w:rsidR="00B559A1" w:rsidRDefault="00BF0690" w:rsidP="00B559A1">
      <w:pPr>
        <w:pStyle w:val="Title"/>
      </w:pPr>
      <w:bookmarkStart w:id="0" w:name="_GoBack"/>
      <w:bookmarkEnd w:id="0"/>
      <w:r>
        <w:rPr>
          <w:noProof/>
        </w:rPr>
        <w:drawing>
          <wp:anchor distT="0" distB="0" distL="114300" distR="114300" simplePos="0" relativeHeight="251659265" behindDoc="0" locked="0" layoutInCell="1" allowOverlap="1" wp14:anchorId="6C9A5A6D" wp14:editId="5F05FD51">
            <wp:simplePos x="0" y="0"/>
            <wp:positionH relativeFrom="margin">
              <wp:posOffset>-882015</wp:posOffset>
            </wp:positionH>
            <wp:positionV relativeFrom="margin">
              <wp:posOffset>-3619500</wp:posOffset>
            </wp:positionV>
            <wp:extent cx="7575550" cy="107061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for summary of modelling to inform environmental impact assessment of nutrients proposals.pn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06100"/>
                    </a:xfrm>
                    <a:prstGeom prst="rect">
                      <a:avLst/>
                    </a:prstGeom>
                  </pic:spPr>
                </pic:pic>
              </a:graphicData>
            </a:graphic>
            <wp14:sizeRelH relativeFrom="margin">
              <wp14:pctWidth>0</wp14:pctWidth>
            </wp14:sizeRelH>
            <wp14:sizeRelV relativeFrom="margin">
              <wp14:pctHeight>0</wp14:pctHeight>
            </wp14:sizeRelV>
          </wp:anchor>
        </w:drawing>
      </w:r>
    </w:p>
    <w:p w14:paraId="7F83AD63" w14:textId="4B7AD63F" w:rsidR="0003640E" w:rsidRPr="006B77BB" w:rsidRDefault="0003640E" w:rsidP="0080531E">
      <w:pPr>
        <w:jc w:val="left"/>
        <w:rPr>
          <w:color w:val="FF0000"/>
        </w:rPr>
        <w:sectPr w:rsidR="0003640E" w:rsidRPr="006B77BB" w:rsidSect="001920A4">
          <w:headerReference w:type="even" r:id="rId9"/>
          <w:headerReference w:type="default" r:id="rId10"/>
          <w:footerReference w:type="even" r:id="rId11"/>
          <w:footerReference w:type="default" r:id="rId12"/>
          <w:headerReference w:type="first" r:id="rId13"/>
          <w:footerReference w:type="first" r:id="rId14"/>
          <w:pgSz w:w="11907" w:h="16840" w:code="9"/>
          <w:pgMar w:top="5670" w:right="1418" w:bottom="1701" w:left="1418" w:header="567" w:footer="1134" w:gutter="0"/>
          <w:cols w:space="720"/>
        </w:sectPr>
      </w:pPr>
    </w:p>
    <w:p w14:paraId="799FB276" w14:textId="77777777" w:rsidR="00452EC4" w:rsidRPr="006B77BB" w:rsidRDefault="00452EC4" w:rsidP="00775F57">
      <w:pPr>
        <w:pStyle w:val="Imprint"/>
        <w:spacing w:after="0"/>
        <w:rPr>
          <w:b/>
        </w:rPr>
      </w:pPr>
      <w:r w:rsidRPr="006B77BB">
        <w:rPr>
          <w:b/>
        </w:rPr>
        <w:lastRenderedPageBreak/>
        <w:t>Acknowledgements</w:t>
      </w:r>
    </w:p>
    <w:p w14:paraId="7E8E50AD" w14:textId="77777777" w:rsidR="00452EC4" w:rsidRPr="006B77BB" w:rsidRDefault="00F44A21" w:rsidP="00452EC4">
      <w:pPr>
        <w:pStyle w:val="Imprint"/>
      </w:pPr>
      <w:r>
        <w:t xml:space="preserve">The Ministry acknowledges Sandy Elliott and Sharleen Yalden of NIWA who provided the modelling </w:t>
      </w:r>
      <w:r w:rsidR="008B2B2B">
        <w:t xml:space="preserve">methodology and </w:t>
      </w:r>
      <w:r>
        <w:t>results</w:t>
      </w:r>
      <w:r w:rsidR="008B2B2B">
        <w:t>, and Ton Snelder of Land and Water People who reviewed the document</w:t>
      </w:r>
      <w:r>
        <w:t>.</w:t>
      </w:r>
    </w:p>
    <w:p w14:paraId="34B9E7C5" w14:textId="77777777" w:rsidR="00452EC4" w:rsidRPr="006B77BB" w:rsidRDefault="00452EC4" w:rsidP="00452EC4">
      <w:pPr>
        <w:pStyle w:val="Imprint"/>
      </w:pPr>
    </w:p>
    <w:p w14:paraId="5AFD5232" w14:textId="77777777" w:rsidR="00452EC4" w:rsidRPr="006B77BB" w:rsidRDefault="00452EC4" w:rsidP="00F44A21">
      <w:pPr>
        <w:pStyle w:val="Imprint"/>
      </w:pPr>
      <w:r w:rsidRPr="008B2B2B">
        <w:t xml:space="preserve">This </w:t>
      </w:r>
      <w:r w:rsidR="00775F57" w:rsidRPr="008B2B2B">
        <w:t>document</w:t>
      </w:r>
      <w:r w:rsidRPr="008B2B2B">
        <w:t xml:space="preserve"> may be cited as:</w:t>
      </w:r>
      <w:r w:rsidR="00775F57" w:rsidRPr="008B2B2B">
        <w:t xml:space="preserve"> Ministry for the Environment. </w:t>
      </w:r>
      <w:r w:rsidR="00F44A21" w:rsidRPr="008B2B2B">
        <w:t>2020</w:t>
      </w:r>
      <w:r w:rsidR="00775F57" w:rsidRPr="008B2B2B">
        <w:t xml:space="preserve">. </w:t>
      </w:r>
      <w:r w:rsidR="00F44A21" w:rsidRPr="008B2B2B">
        <w:rPr>
          <w:i/>
        </w:rPr>
        <w:t>Action for healthy waterways</w:t>
      </w:r>
      <w:r w:rsidR="00540F63" w:rsidRPr="008B2B2B">
        <w:rPr>
          <w:i/>
        </w:rPr>
        <w:t xml:space="preserve">: </w:t>
      </w:r>
      <w:r w:rsidR="00F44A21" w:rsidRPr="008B2B2B">
        <w:rPr>
          <w:i/>
        </w:rPr>
        <w:t>Summary of modelling to inform environmental impact assessment of nutrient proposals</w:t>
      </w:r>
      <w:r w:rsidR="00775F57" w:rsidRPr="008B2B2B">
        <w:t>. Wellington: Ministry for the Environment.</w:t>
      </w:r>
    </w:p>
    <w:p w14:paraId="43473C01" w14:textId="77777777" w:rsidR="0080531E" w:rsidRPr="006B77BB" w:rsidRDefault="0080531E" w:rsidP="0080531E">
      <w:pPr>
        <w:pStyle w:val="Imprint"/>
      </w:pPr>
    </w:p>
    <w:p w14:paraId="1ED5C529" w14:textId="77777777" w:rsidR="0080531E" w:rsidRPr="006B77BB" w:rsidRDefault="0080531E" w:rsidP="0080531E">
      <w:pPr>
        <w:pStyle w:val="Imprint"/>
      </w:pPr>
    </w:p>
    <w:p w14:paraId="09F984B9" w14:textId="77777777" w:rsidR="0080531E" w:rsidRPr="006B77BB" w:rsidRDefault="0080531E" w:rsidP="0080531E">
      <w:pPr>
        <w:pStyle w:val="Imprint"/>
      </w:pPr>
    </w:p>
    <w:p w14:paraId="446563FB" w14:textId="77777777" w:rsidR="0080531E" w:rsidRPr="006B77BB" w:rsidRDefault="0080531E" w:rsidP="0080531E">
      <w:pPr>
        <w:pStyle w:val="Imprint"/>
      </w:pPr>
    </w:p>
    <w:p w14:paraId="00B9658F" w14:textId="77777777" w:rsidR="0080531E" w:rsidRPr="006B77BB" w:rsidRDefault="0080531E" w:rsidP="0080531E">
      <w:pPr>
        <w:pStyle w:val="Imprint"/>
      </w:pPr>
    </w:p>
    <w:p w14:paraId="6379DC77" w14:textId="77777777" w:rsidR="0080531E" w:rsidRPr="006B77BB" w:rsidRDefault="0080531E" w:rsidP="0080531E">
      <w:pPr>
        <w:pStyle w:val="Imprint"/>
      </w:pPr>
    </w:p>
    <w:p w14:paraId="550B9FF1" w14:textId="77777777" w:rsidR="0080531E" w:rsidRPr="006B77BB" w:rsidRDefault="0080531E" w:rsidP="0080531E">
      <w:pPr>
        <w:pStyle w:val="Imprint"/>
      </w:pPr>
    </w:p>
    <w:p w14:paraId="3A03B645" w14:textId="77777777" w:rsidR="0080531E" w:rsidRDefault="0080531E" w:rsidP="0080531E">
      <w:pPr>
        <w:pStyle w:val="Imprint"/>
      </w:pPr>
    </w:p>
    <w:p w14:paraId="3B74471D" w14:textId="77777777" w:rsidR="00663783" w:rsidRPr="006B77BB" w:rsidRDefault="00663783" w:rsidP="0080531E">
      <w:pPr>
        <w:pStyle w:val="Imprint"/>
      </w:pPr>
    </w:p>
    <w:p w14:paraId="76D8F966" w14:textId="77777777" w:rsidR="00760C00" w:rsidRDefault="00760C00" w:rsidP="0080531E">
      <w:pPr>
        <w:pStyle w:val="Imprint"/>
      </w:pPr>
    </w:p>
    <w:p w14:paraId="7CE4C466" w14:textId="77777777" w:rsidR="003816D1" w:rsidRPr="006B77BB" w:rsidRDefault="003816D1" w:rsidP="0080531E">
      <w:pPr>
        <w:pStyle w:val="Imprint"/>
      </w:pPr>
    </w:p>
    <w:p w14:paraId="6F4F711E" w14:textId="77777777" w:rsidR="0080531E" w:rsidRPr="006B77BB" w:rsidRDefault="0080531E" w:rsidP="0080531E">
      <w:pPr>
        <w:pStyle w:val="Imprint"/>
      </w:pPr>
      <w:r w:rsidRPr="006B77BB">
        <w:t xml:space="preserve">Published in </w:t>
      </w:r>
      <w:r w:rsidR="00277CB6" w:rsidRPr="00277CB6">
        <w:t>May</w:t>
      </w:r>
      <w:r w:rsidR="00775F57" w:rsidRPr="00277CB6">
        <w:t xml:space="preserve"> </w:t>
      </w:r>
      <w:r w:rsidR="00540F63" w:rsidRPr="00277CB6">
        <w:t>2020</w:t>
      </w:r>
      <w:r w:rsidRPr="006B77BB">
        <w:t xml:space="preserve"> by the</w:t>
      </w:r>
      <w:r w:rsidRPr="006B77BB">
        <w:br/>
        <w:t xml:space="preserve">Ministry for the Environment </w:t>
      </w:r>
      <w:r w:rsidRPr="006B77BB">
        <w:br/>
        <w:t>Manatū Mō Te Taiao</w:t>
      </w:r>
      <w:r w:rsidRPr="006B77BB">
        <w:br/>
        <w:t>PO Box 10362, Wellington 6143, New Zealand</w:t>
      </w:r>
    </w:p>
    <w:p w14:paraId="55B373AC" w14:textId="6CFA3892" w:rsidR="0080531E" w:rsidRPr="006B77BB" w:rsidRDefault="0080531E" w:rsidP="0080531E">
      <w:pPr>
        <w:pStyle w:val="Imprint"/>
        <w:tabs>
          <w:tab w:val="left" w:pos="720"/>
        </w:tabs>
        <w:ind w:left="720" w:hanging="720"/>
      </w:pPr>
      <w:r w:rsidRPr="006B77BB">
        <w:t xml:space="preserve">ISBN: </w:t>
      </w:r>
      <w:r w:rsidRPr="006B77BB">
        <w:tab/>
      </w:r>
      <w:r w:rsidR="00E77E05" w:rsidRPr="00E77E05">
        <w:t xml:space="preserve">978-1-98-857988-7 </w:t>
      </w:r>
      <w:r w:rsidRPr="006B77BB">
        <w:t>(</w:t>
      </w:r>
      <w:r w:rsidR="00775F57" w:rsidRPr="006B77BB">
        <w:t>online</w:t>
      </w:r>
      <w:r w:rsidRPr="006B77BB">
        <w:t>)</w:t>
      </w:r>
    </w:p>
    <w:p w14:paraId="60697D5A" w14:textId="77777777" w:rsidR="0080531E" w:rsidRPr="006B77BB" w:rsidRDefault="0080531E" w:rsidP="0080531E">
      <w:pPr>
        <w:pStyle w:val="Imprint"/>
        <w:ind w:left="720" w:hanging="720"/>
      </w:pPr>
      <w:r w:rsidRPr="006B77BB">
        <w:t xml:space="preserve">Publication number: </w:t>
      </w:r>
      <w:r w:rsidRPr="00E77E05">
        <w:t xml:space="preserve">ME </w:t>
      </w:r>
      <w:r w:rsidR="00E77E05" w:rsidRPr="00E77E05">
        <w:t>1501</w:t>
      </w:r>
    </w:p>
    <w:p w14:paraId="49FAC6CD" w14:textId="77777777" w:rsidR="0080531E" w:rsidRPr="006B77BB" w:rsidRDefault="0080531E" w:rsidP="00593E94">
      <w:pPr>
        <w:pStyle w:val="Imprint"/>
        <w:spacing w:after="80"/>
      </w:pPr>
      <w:r w:rsidRPr="006B77BB">
        <w:t xml:space="preserve">© Crown copyright New Zealand </w:t>
      </w:r>
      <w:r w:rsidR="008B2B2B">
        <w:t>2020</w:t>
      </w:r>
    </w:p>
    <w:p w14:paraId="34A98FE6"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5" w:history="1">
        <w:r w:rsidRPr="006B77BB">
          <w:rPr>
            <w:rStyle w:val="Hyperlink"/>
          </w:rPr>
          <w:t>www.mfe.govt.nz</w:t>
        </w:r>
      </w:hyperlink>
      <w:r w:rsidR="00B51610" w:rsidRPr="006B77BB">
        <w:rPr>
          <w:rStyle w:val="Hyperlink"/>
          <w:color w:val="auto"/>
        </w:rPr>
        <w:t>.</w:t>
      </w:r>
    </w:p>
    <w:p w14:paraId="680233D5" w14:textId="77777777" w:rsidR="00A84FE1" w:rsidRDefault="00A84FE1" w:rsidP="00A84FE1">
      <w:pPr>
        <w:pStyle w:val="Imprint"/>
        <w:spacing w:before="240" w:after="0"/>
      </w:pPr>
      <w:r>
        <w:rPr>
          <w:noProof/>
        </w:rPr>
        <w:drawing>
          <wp:inline distT="0" distB="0" distL="0" distR="0" wp14:anchorId="4F0C4E04" wp14:editId="2619D92E">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78B64F2" w14:textId="77777777" w:rsidR="0080531E" w:rsidRPr="00A84FE1" w:rsidRDefault="0080531E" w:rsidP="00A84FE1">
      <w:pPr>
        <w:sectPr w:rsidR="0080531E" w:rsidRPr="00A84FE1" w:rsidSect="001920A4">
          <w:headerReference w:type="even" r:id="rId17"/>
          <w:headerReference w:type="default" r:id="rId18"/>
          <w:footerReference w:type="even" r:id="rId19"/>
          <w:footerReference w:type="default" r:id="rId20"/>
          <w:pgSz w:w="11907" w:h="16840" w:code="9"/>
          <w:pgMar w:top="1134" w:right="1418" w:bottom="1134" w:left="1418" w:header="567" w:footer="567" w:gutter="567"/>
          <w:pgNumType w:fmt="lowerRoman"/>
          <w:cols w:space="720"/>
        </w:sectPr>
      </w:pPr>
    </w:p>
    <w:p w14:paraId="79AC6756" w14:textId="77777777" w:rsidR="009C00F7" w:rsidRPr="006B77BB" w:rsidRDefault="009C00F7" w:rsidP="00F816F3">
      <w:pPr>
        <w:pStyle w:val="Heading"/>
        <w:tabs>
          <w:tab w:val="clear" w:pos="851"/>
        </w:tabs>
      </w:pPr>
      <w:bookmarkStart w:id="1" w:name="_Toc39145194"/>
      <w:bookmarkStart w:id="2" w:name="_Toc39145195"/>
      <w:r w:rsidRPr="006B77BB">
        <w:lastRenderedPageBreak/>
        <w:t>Contents</w:t>
      </w:r>
      <w:bookmarkEnd w:id="1"/>
    </w:p>
    <w:p w14:paraId="66053CC2" w14:textId="21DB8580" w:rsidR="00F147FB" w:rsidRDefault="009C00F7">
      <w:pPr>
        <w:pStyle w:val="TOC1"/>
        <w:rPr>
          <w:rFonts w:asciiTheme="minorHAnsi" w:hAnsiTheme="minorHAnsi"/>
          <w:noProof/>
        </w:rPr>
      </w:pPr>
      <w:r>
        <w:fldChar w:fldCharType="begin"/>
      </w:r>
      <w:r>
        <w:instrText xml:space="preserve"> TOC \o "2-2" \t "Heading 1,1" </w:instrText>
      </w:r>
      <w:r>
        <w:fldChar w:fldCharType="separate"/>
      </w:r>
      <w:r w:rsidR="00F147FB">
        <w:rPr>
          <w:noProof/>
        </w:rPr>
        <w:t>Executive summary</w:t>
      </w:r>
      <w:r w:rsidR="00F147FB">
        <w:rPr>
          <w:noProof/>
        </w:rPr>
        <w:tab/>
      </w:r>
      <w:r w:rsidR="00F147FB">
        <w:rPr>
          <w:noProof/>
        </w:rPr>
        <w:fldChar w:fldCharType="begin"/>
      </w:r>
      <w:r w:rsidR="00F147FB">
        <w:rPr>
          <w:noProof/>
        </w:rPr>
        <w:instrText xml:space="preserve"> PAGEREF _Toc40949858 \h </w:instrText>
      </w:r>
      <w:r w:rsidR="00F147FB">
        <w:rPr>
          <w:noProof/>
        </w:rPr>
      </w:r>
      <w:r w:rsidR="00F147FB">
        <w:rPr>
          <w:noProof/>
        </w:rPr>
        <w:fldChar w:fldCharType="separate"/>
      </w:r>
      <w:r w:rsidR="00067CE8">
        <w:rPr>
          <w:noProof/>
        </w:rPr>
        <w:t>5</w:t>
      </w:r>
      <w:r w:rsidR="00F147FB">
        <w:rPr>
          <w:noProof/>
        </w:rPr>
        <w:fldChar w:fldCharType="end"/>
      </w:r>
    </w:p>
    <w:p w14:paraId="71F8DBAE" w14:textId="1820144A" w:rsidR="00F147FB" w:rsidRDefault="00F147FB">
      <w:pPr>
        <w:pStyle w:val="TOC1"/>
        <w:rPr>
          <w:rFonts w:asciiTheme="minorHAnsi" w:hAnsiTheme="minorHAnsi"/>
          <w:noProof/>
        </w:rPr>
      </w:pPr>
      <w:r>
        <w:rPr>
          <w:noProof/>
        </w:rPr>
        <w:t xml:space="preserve">1. </w:t>
      </w:r>
      <w:r>
        <w:rPr>
          <w:rFonts w:asciiTheme="minorHAnsi" w:hAnsiTheme="minorHAnsi"/>
          <w:noProof/>
        </w:rPr>
        <w:tab/>
      </w:r>
      <w:r>
        <w:rPr>
          <w:noProof/>
        </w:rPr>
        <w:t>Introduction</w:t>
      </w:r>
      <w:r>
        <w:rPr>
          <w:noProof/>
        </w:rPr>
        <w:tab/>
      </w:r>
      <w:r>
        <w:rPr>
          <w:noProof/>
        </w:rPr>
        <w:fldChar w:fldCharType="begin"/>
      </w:r>
      <w:r>
        <w:rPr>
          <w:noProof/>
        </w:rPr>
        <w:instrText xml:space="preserve"> PAGEREF _Toc40949859 \h </w:instrText>
      </w:r>
      <w:r>
        <w:rPr>
          <w:noProof/>
        </w:rPr>
      </w:r>
      <w:r>
        <w:rPr>
          <w:noProof/>
        </w:rPr>
        <w:fldChar w:fldCharType="separate"/>
      </w:r>
      <w:r w:rsidR="00067CE8">
        <w:rPr>
          <w:noProof/>
        </w:rPr>
        <w:t>7</w:t>
      </w:r>
      <w:r>
        <w:rPr>
          <w:noProof/>
        </w:rPr>
        <w:fldChar w:fldCharType="end"/>
      </w:r>
    </w:p>
    <w:p w14:paraId="7310900E" w14:textId="08861BE3" w:rsidR="00F147FB" w:rsidRDefault="00F147FB">
      <w:pPr>
        <w:pStyle w:val="TOC2"/>
        <w:rPr>
          <w:rFonts w:asciiTheme="minorHAnsi" w:hAnsiTheme="minorHAnsi"/>
          <w:noProof/>
        </w:rPr>
      </w:pPr>
      <w:r>
        <w:rPr>
          <w:noProof/>
        </w:rPr>
        <w:t>Nitrogen and phosphorus</w:t>
      </w:r>
      <w:r>
        <w:rPr>
          <w:noProof/>
        </w:rPr>
        <w:tab/>
      </w:r>
      <w:r>
        <w:rPr>
          <w:noProof/>
        </w:rPr>
        <w:fldChar w:fldCharType="begin"/>
      </w:r>
      <w:r>
        <w:rPr>
          <w:noProof/>
        </w:rPr>
        <w:instrText xml:space="preserve"> PAGEREF _Toc40949860 \h </w:instrText>
      </w:r>
      <w:r>
        <w:rPr>
          <w:noProof/>
        </w:rPr>
      </w:r>
      <w:r>
        <w:rPr>
          <w:noProof/>
        </w:rPr>
        <w:fldChar w:fldCharType="separate"/>
      </w:r>
      <w:r w:rsidR="00067CE8">
        <w:rPr>
          <w:noProof/>
        </w:rPr>
        <w:t>7</w:t>
      </w:r>
      <w:r>
        <w:rPr>
          <w:noProof/>
        </w:rPr>
        <w:fldChar w:fldCharType="end"/>
      </w:r>
    </w:p>
    <w:p w14:paraId="5D734E03" w14:textId="44AFC4A7" w:rsidR="00F147FB" w:rsidRDefault="00F147FB">
      <w:pPr>
        <w:pStyle w:val="TOC2"/>
        <w:rPr>
          <w:rFonts w:asciiTheme="minorHAnsi" w:hAnsiTheme="minorHAnsi"/>
          <w:noProof/>
        </w:rPr>
      </w:pPr>
      <w:r>
        <w:rPr>
          <w:noProof/>
        </w:rPr>
        <w:t>Requirements under the 2017 NPS-FM</w:t>
      </w:r>
      <w:r>
        <w:rPr>
          <w:noProof/>
        </w:rPr>
        <w:tab/>
      </w:r>
      <w:r>
        <w:rPr>
          <w:noProof/>
        </w:rPr>
        <w:fldChar w:fldCharType="begin"/>
      </w:r>
      <w:r>
        <w:rPr>
          <w:noProof/>
        </w:rPr>
        <w:instrText xml:space="preserve"> PAGEREF _Toc40949861 \h </w:instrText>
      </w:r>
      <w:r>
        <w:rPr>
          <w:noProof/>
        </w:rPr>
      </w:r>
      <w:r>
        <w:rPr>
          <w:noProof/>
        </w:rPr>
        <w:fldChar w:fldCharType="separate"/>
      </w:r>
      <w:r w:rsidR="00067CE8">
        <w:rPr>
          <w:noProof/>
        </w:rPr>
        <w:t>7</w:t>
      </w:r>
      <w:r>
        <w:rPr>
          <w:noProof/>
        </w:rPr>
        <w:fldChar w:fldCharType="end"/>
      </w:r>
    </w:p>
    <w:p w14:paraId="2B84BCB5" w14:textId="026AACD6" w:rsidR="00F147FB" w:rsidRDefault="00F147FB">
      <w:pPr>
        <w:pStyle w:val="TOC2"/>
        <w:rPr>
          <w:rFonts w:asciiTheme="minorHAnsi" w:hAnsiTheme="minorHAnsi"/>
          <w:noProof/>
        </w:rPr>
      </w:pPr>
      <w:r>
        <w:rPr>
          <w:noProof/>
        </w:rPr>
        <w:t>Action for healthy waterways</w:t>
      </w:r>
      <w:r>
        <w:rPr>
          <w:noProof/>
        </w:rPr>
        <w:tab/>
      </w:r>
      <w:r>
        <w:rPr>
          <w:noProof/>
        </w:rPr>
        <w:fldChar w:fldCharType="begin"/>
      </w:r>
      <w:r>
        <w:rPr>
          <w:noProof/>
        </w:rPr>
        <w:instrText xml:space="preserve"> PAGEREF _Toc40949862 \h </w:instrText>
      </w:r>
      <w:r>
        <w:rPr>
          <w:noProof/>
        </w:rPr>
      </w:r>
      <w:r>
        <w:rPr>
          <w:noProof/>
        </w:rPr>
        <w:fldChar w:fldCharType="separate"/>
      </w:r>
      <w:r w:rsidR="00067CE8">
        <w:rPr>
          <w:noProof/>
        </w:rPr>
        <w:t>8</w:t>
      </w:r>
      <w:r>
        <w:rPr>
          <w:noProof/>
        </w:rPr>
        <w:fldChar w:fldCharType="end"/>
      </w:r>
    </w:p>
    <w:p w14:paraId="1E4829A6" w14:textId="1B6D8659" w:rsidR="00F147FB" w:rsidRDefault="00F147FB">
      <w:pPr>
        <w:pStyle w:val="TOC2"/>
        <w:rPr>
          <w:rFonts w:asciiTheme="minorHAnsi" w:hAnsiTheme="minorHAnsi"/>
          <w:noProof/>
        </w:rPr>
      </w:pPr>
      <w:r>
        <w:rPr>
          <w:noProof/>
        </w:rPr>
        <w:t>Purpose of this document</w:t>
      </w:r>
      <w:r>
        <w:rPr>
          <w:noProof/>
        </w:rPr>
        <w:tab/>
      </w:r>
      <w:r>
        <w:rPr>
          <w:noProof/>
        </w:rPr>
        <w:fldChar w:fldCharType="begin"/>
      </w:r>
      <w:r>
        <w:rPr>
          <w:noProof/>
        </w:rPr>
        <w:instrText xml:space="preserve"> PAGEREF _Toc40949863 \h </w:instrText>
      </w:r>
      <w:r>
        <w:rPr>
          <w:noProof/>
        </w:rPr>
      </w:r>
      <w:r>
        <w:rPr>
          <w:noProof/>
        </w:rPr>
        <w:fldChar w:fldCharType="separate"/>
      </w:r>
      <w:r w:rsidR="00067CE8">
        <w:rPr>
          <w:noProof/>
        </w:rPr>
        <w:t>8</w:t>
      </w:r>
      <w:r>
        <w:rPr>
          <w:noProof/>
        </w:rPr>
        <w:fldChar w:fldCharType="end"/>
      </w:r>
    </w:p>
    <w:p w14:paraId="51727A21" w14:textId="303C6DDD" w:rsidR="00F147FB" w:rsidRDefault="00F147FB">
      <w:pPr>
        <w:pStyle w:val="TOC1"/>
        <w:rPr>
          <w:rFonts w:asciiTheme="minorHAnsi" w:hAnsiTheme="minorHAnsi"/>
          <w:noProof/>
        </w:rPr>
      </w:pPr>
      <w:r>
        <w:rPr>
          <w:noProof/>
        </w:rPr>
        <w:t xml:space="preserve">2. </w:t>
      </w:r>
      <w:r>
        <w:rPr>
          <w:rFonts w:asciiTheme="minorHAnsi" w:hAnsiTheme="minorHAnsi"/>
          <w:noProof/>
        </w:rPr>
        <w:tab/>
      </w:r>
      <w:r>
        <w:rPr>
          <w:noProof/>
        </w:rPr>
        <w:t>Methods</w:t>
      </w:r>
      <w:r>
        <w:rPr>
          <w:noProof/>
        </w:rPr>
        <w:tab/>
      </w:r>
      <w:r>
        <w:rPr>
          <w:noProof/>
        </w:rPr>
        <w:fldChar w:fldCharType="begin"/>
      </w:r>
      <w:r>
        <w:rPr>
          <w:noProof/>
        </w:rPr>
        <w:instrText xml:space="preserve"> PAGEREF _Toc40949864 \h </w:instrText>
      </w:r>
      <w:r>
        <w:rPr>
          <w:noProof/>
        </w:rPr>
      </w:r>
      <w:r>
        <w:rPr>
          <w:noProof/>
        </w:rPr>
        <w:fldChar w:fldCharType="separate"/>
      </w:r>
      <w:r w:rsidR="00067CE8">
        <w:rPr>
          <w:noProof/>
        </w:rPr>
        <w:t>9</w:t>
      </w:r>
      <w:r>
        <w:rPr>
          <w:noProof/>
        </w:rPr>
        <w:fldChar w:fldCharType="end"/>
      </w:r>
    </w:p>
    <w:p w14:paraId="2FC42000" w14:textId="1A8840EE" w:rsidR="00F147FB" w:rsidRDefault="00F147FB">
      <w:pPr>
        <w:pStyle w:val="TOC2"/>
        <w:rPr>
          <w:rFonts w:asciiTheme="minorHAnsi" w:hAnsiTheme="minorHAnsi"/>
          <w:noProof/>
        </w:rPr>
      </w:pPr>
      <w:r>
        <w:rPr>
          <w:noProof/>
        </w:rPr>
        <w:t>Overview of modelling approach</w:t>
      </w:r>
      <w:r>
        <w:rPr>
          <w:noProof/>
        </w:rPr>
        <w:tab/>
      </w:r>
      <w:r>
        <w:rPr>
          <w:noProof/>
        </w:rPr>
        <w:fldChar w:fldCharType="begin"/>
      </w:r>
      <w:r>
        <w:rPr>
          <w:noProof/>
        </w:rPr>
        <w:instrText xml:space="preserve"> PAGEREF _Toc40949865 \h </w:instrText>
      </w:r>
      <w:r>
        <w:rPr>
          <w:noProof/>
        </w:rPr>
      </w:r>
      <w:r>
        <w:rPr>
          <w:noProof/>
        </w:rPr>
        <w:fldChar w:fldCharType="separate"/>
      </w:r>
      <w:r w:rsidR="00067CE8">
        <w:rPr>
          <w:noProof/>
        </w:rPr>
        <w:t>9</w:t>
      </w:r>
      <w:r>
        <w:rPr>
          <w:noProof/>
        </w:rPr>
        <w:fldChar w:fldCharType="end"/>
      </w:r>
    </w:p>
    <w:p w14:paraId="120C7BF1" w14:textId="5A513DBD" w:rsidR="00F147FB" w:rsidRDefault="00F147FB">
      <w:pPr>
        <w:pStyle w:val="TOC2"/>
        <w:rPr>
          <w:rFonts w:asciiTheme="minorHAnsi" w:hAnsiTheme="minorHAnsi"/>
          <w:noProof/>
        </w:rPr>
      </w:pPr>
      <w:r>
        <w:rPr>
          <w:noProof/>
        </w:rPr>
        <w:t>Input datasets</w:t>
      </w:r>
      <w:r>
        <w:rPr>
          <w:noProof/>
        </w:rPr>
        <w:tab/>
      </w:r>
      <w:r>
        <w:rPr>
          <w:noProof/>
        </w:rPr>
        <w:fldChar w:fldCharType="begin"/>
      </w:r>
      <w:r>
        <w:rPr>
          <w:noProof/>
        </w:rPr>
        <w:instrText xml:space="preserve"> PAGEREF _Toc40949866 \h </w:instrText>
      </w:r>
      <w:r>
        <w:rPr>
          <w:noProof/>
        </w:rPr>
      </w:r>
      <w:r>
        <w:rPr>
          <w:noProof/>
        </w:rPr>
        <w:fldChar w:fldCharType="separate"/>
      </w:r>
      <w:r w:rsidR="00067CE8">
        <w:rPr>
          <w:noProof/>
        </w:rPr>
        <w:t>10</w:t>
      </w:r>
      <w:r>
        <w:rPr>
          <w:noProof/>
        </w:rPr>
        <w:fldChar w:fldCharType="end"/>
      </w:r>
    </w:p>
    <w:p w14:paraId="03FB7B29" w14:textId="0073F2E1" w:rsidR="00F147FB" w:rsidRDefault="00F147FB">
      <w:pPr>
        <w:pStyle w:val="TOC2"/>
        <w:rPr>
          <w:rFonts w:asciiTheme="minorHAnsi" w:hAnsiTheme="minorHAnsi"/>
          <w:noProof/>
        </w:rPr>
      </w:pPr>
      <w:r>
        <w:rPr>
          <w:noProof/>
        </w:rPr>
        <w:t>Nutrient targets for managing periphyton</w:t>
      </w:r>
      <w:r>
        <w:rPr>
          <w:noProof/>
        </w:rPr>
        <w:tab/>
      </w:r>
      <w:r>
        <w:rPr>
          <w:noProof/>
        </w:rPr>
        <w:fldChar w:fldCharType="begin"/>
      </w:r>
      <w:r>
        <w:rPr>
          <w:noProof/>
        </w:rPr>
        <w:instrText xml:space="preserve"> PAGEREF _Toc40949867 \h </w:instrText>
      </w:r>
      <w:r>
        <w:rPr>
          <w:noProof/>
        </w:rPr>
      </w:r>
      <w:r>
        <w:rPr>
          <w:noProof/>
        </w:rPr>
        <w:fldChar w:fldCharType="separate"/>
      </w:r>
      <w:r w:rsidR="00067CE8">
        <w:rPr>
          <w:noProof/>
        </w:rPr>
        <w:t>11</w:t>
      </w:r>
      <w:r>
        <w:rPr>
          <w:noProof/>
        </w:rPr>
        <w:fldChar w:fldCharType="end"/>
      </w:r>
    </w:p>
    <w:p w14:paraId="61B0869F" w14:textId="5ED50FB1" w:rsidR="00F147FB" w:rsidRDefault="00F147FB">
      <w:pPr>
        <w:pStyle w:val="TOC2"/>
        <w:rPr>
          <w:rFonts w:asciiTheme="minorHAnsi" w:hAnsiTheme="minorHAnsi"/>
          <w:noProof/>
        </w:rPr>
      </w:pPr>
      <w:r>
        <w:rPr>
          <w:noProof/>
        </w:rPr>
        <w:t>Scenarios modelled</w:t>
      </w:r>
      <w:r>
        <w:rPr>
          <w:noProof/>
        </w:rPr>
        <w:tab/>
      </w:r>
      <w:r>
        <w:rPr>
          <w:noProof/>
        </w:rPr>
        <w:fldChar w:fldCharType="begin"/>
      </w:r>
      <w:r>
        <w:rPr>
          <w:noProof/>
        </w:rPr>
        <w:instrText xml:space="preserve"> PAGEREF _Toc40949868 \h </w:instrText>
      </w:r>
      <w:r>
        <w:rPr>
          <w:noProof/>
        </w:rPr>
      </w:r>
      <w:r>
        <w:rPr>
          <w:noProof/>
        </w:rPr>
        <w:fldChar w:fldCharType="separate"/>
      </w:r>
      <w:r w:rsidR="00067CE8">
        <w:rPr>
          <w:noProof/>
        </w:rPr>
        <w:t>11</w:t>
      </w:r>
      <w:r>
        <w:rPr>
          <w:noProof/>
        </w:rPr>
        <w:fldChar w:fldCharType="end"/>
      </w:r>
    </w:p>
    <w:p w14:paraId="4C295A7A" w14:textId="43635918" w:rsidR="00F147FB" w:rsidRDefault="00F147FB">
      <w:pPr>
        <w:pStyle w:val="TOC2"/>
        <w:rPr>
          <w:rFonts w:asciiTheme="minorHAnsi" w:hAnsiTheme="minorHAnsi"/>
          <w:noProof/>
        </w:rPr>
      </w:pPr>
      <w:r>
        <w:rPr>
          <w:noProof/>
        </w:rPr>
        <w:t>Model results analysis</w:t>
      </w:r>
      <w:r>
        <w:rPr>
          <w:noProof/>
        </w:rPr>
        <w:tab/>
      </w:r>
      <w:r>
        <w:rPr>
          <w:noProof/>
        </w:rPr>
        <w:fldChar w:fldCharType="begin"/>
      </w:r>
      <w:r>
        <w:rPr>
          <w:noProof/>
        </w:rPr>
        <w:instrText xml:space="preserve"> PAGEREF _Toc40949869 \h </w:instrText>
      </w:r>
      <w:r>
        <w:rPr>
          <w:noProof/>
        </w:rPr>
      </w:r>
      <w:r>
        <w:rPr>
          <w:noProof/>
        </w:rPr>
        <w:fldChar w:fldCharType="separate"/>
      </w:r>
      <w:r w:rsidR="00067CE8">
        <w:rPr>
          <w:noProof/>
        </w:rPr>
        <w:t>12</w:t>
      </w:r>
      <w:r>
        <w:rPr>
          <w:noProof/>
        </w:rPr>
        <w:fldChar w:fldCharType="end"/>
      </w:r>
    </w:p>
    <w:p w14:paraId="6980D68E" w14:textId="0A6FC29B" w:rsidR="00F147FB" w:rsidRDefault="00F147FB">
      <w:pPr>
        <w:pStyle w:val="TOC2"/>
        <w:rPr>
          <w:rFonts w:asciiTheme="minorHAnsi" w:hAnsiTheme="minorHAnsi"/>
          <w:noProof/>
        </w:rPr>
      </w:pPr>
      <w:r>
        <w:rPr>
          <w:noProof/>
        </w:rPr>
        <w:t>Assumptions and limitations</w:t>
      </w:r>
      <w:r>
        <w:rPr>
          <w:noProof/>
        </w:rPr>
        <w:tab/>
      </w:r>
      <w:r>
        <w:rPr>
          <w:noProof/>
        </w:rPr>
        <w:fldChar w:fldCharType="begin"/>
      </w:r>
      <w:r>
        <w:rPr>
          <w:noProof/>
        </w:rPr>
        <w:instrText xml:space="preserve"> PAGEREF _Toc40949870 \h </w:instrText>
      </w:r>
      <w:r>
        <w:rPr>
          <w:noProof/>
        </w:rPr>
      </w:r>
      <w:r>
        <w:rPr>
          <w:noProof/>
        </w:rPr>
        <w:fldChar w:fldCharType="separate"/>
      </w:r>
      <w:r w:rsidR="00067CE8">
        <w:rPr>
          <w:noProof/>
        </w:rPr>
        <w:t>12</w:t>
      </w:r>
      <w:r>
        <w:rPr>
          <w:noProof/>
        </w:rPr>
        <w:fldChar w:fldCharType="end"/>
      </w:r>
    </w:p>
    <w:p w14:paraId="0EB3F66E" w14:textId="404245F7" w:rsidR="00F147FB" w:rsidRDefault="00F147FB">
      <w:pPr>
        <w:pStyle w:val="TOC1"/>
        <w:rPr>
          <w:rFonts w:asciiTheme="minorHAnsi" w:hAnsiTheme="minorHAnsi"/>
          <w:noProof/>
        </w:rPr>
      </w:pPr>
      <w:r>
        <w:rPr>
          <w:noProof/>
        </w:rPr>
        <w:t xml:space="preserve">3. </w:t>
      </w:r>
      <w:r>
        <w:rPr>
          <w:rFonts w:asciiTheme="minorHAnsi" w:hAnsiTheme="minorHAnsi"/>
          <w:noProof/>
        </w:rPr>
        <w:tab/>
      </w:r>
      <w:r>
        <w:rPr>
          <w:noProof/>
        </w:rPr>
        <w:t>Results</w:t>
      </w:r>
      <w:r>
        <w:rPr>
          <w:noProof/>
        </w:rPr>
        <w:tab/>
      </w:r>
      <w:r>
        <w:rPr>
          <w:noProof/>
        </w:rPr>
        <w:fldChar w:fldCharType="begin"/>
      </w:r>
      <w:r>
        <w:rPr>
          <w:noProof/>
        </w:rPr>
        <w:instrText xml:space="preserve"> PAGEREF _Toc40949871 \h </w:instrText>
      </w:r>
      <w:r>
        <w:rPr>
          <w:noProof/>
        </w:rPr>
      </w:r>
      <w:r>
        <w:rPr>
          <w:noProof/>
        </w:rPr>
        <w:fldChar w:fldCharType="separate"/>
      </w:r>
      <w:r w:rsidR="00067CE8">
        <w:rPr>
          <w:noProof/>
        </w:rPr>
        <w:t>14</w:t>
      </w:r>
      <w:r>
        <w:rPr>
          <w:noProof/>
        </w:rPr>
        <w:fldChar w:fldCharType="end"/>
      </w:r>
    </w:p>
    <w:p w14:paraId="2901A291" w14:textId="3EB6AC55" w:rsidR="00F147FB" w:rsidRDefault="00F147FB">
      <w:pPr>
        <w:pStyle w:val="TOC2"/>
        <w:rPr>
          <w:rFonts w:asciiTheme="minorHAnsi" w:hAnsiTheme="minorHAnsi"/>
          <w:noProof/>
        </w:rPr>
      </w:pPr>
      <w:r>
        <w:rPr>
          <w:noProof/>
        </w:rPr>
        <w:t>Nutrient load reductions</w:t>
      </w:r>
      <w:r>
        <w:rPr>
          <w:noProof/>
        </w:rPr>
        <w:tab/>
      </w:r>
      <w:r>
        <w:rPr>
          <w:noProof/>
        </w:rPr>
        <w:fldChar w:fldCharType="begin"/>
      </w:r>
      <w:r>
        <w:rPr>
          <w:noProof/>
        </w:rPr>
        <w:instrText xml:space="preserve"> PAGEREF _Toc40949872 \h </w:instrText>
      </w:r>
      <w:r>
        <w:rPr>
          <w:noProof/>
        </w:rPr>
      </w:r>
      <w:r>
        <w:rPr>
          <w:noProof/>
        </w:rPr>
        <w:fldChar w:fldCharType="separate"/>
      </w:r>
      <w:r w:rsidR="00067CE8">
        <w:rPr>
          <w:noProof/>
        </w:rPr>
        <w:t>14</w:t>
      </w:r>
      <w:r>
        <w:rPr>
          <w:noProof/>
        </w:rPr>
        <w:fldChar w:fldCharType="end"/>
      </w:r>
    </w:p>
    <w:p w14:paraId="3EC66EE4" w14:textId="2E1B2EC7" w:rsidR="00F147FB" w:rsidRDefault="00F147FB">
      <w:pPr>
        <w:pStyle w:val="TOC2"/>
        <w:rPr>
          <w:rFonts w:asciiTheme="minorHAnsi" w:hAnsiTheme="minorHAnsi"/>
          <w:noProof/>
        </w:rPr>
      </w:pPr>
      <w:r>
        <w:rPr>
          <w:noProof/>
        </w:rPr>
        <w:t>Comparison to previous work</w:t>
      </w:r>
      <w:r>
        <w:rPr>
          <w:noProof/>
        </w:rPr>
        <w:tab/>
      </w:r>
      <w:r>
        <w:rPr>
          <w:noProof/>
        </w:rPr>
        <w:fldChar w:fldCharType="begin"/>
      </w:r>
      <w:r>
        <w:rPr>
          <w:noProof/>
        </w:rPr>
        <w:instrText xml:space="preserve"> PAGEREF _Toc40949873 \h </w:instrText>
      </w:r>
      <w:r>
        <w:rPr>
          <w:noProof/>
        </w:rPr>
      </w:r>
      <w:r>
        <w:rPr>
          <w:noProof/>
        </w:rPr>
        <w:fldChar w:fldCharType="separate"/>
      </w:r>
      <w:r w:rsidR="00067CE8">
        <w:rPr>
          <w:noProof/>
        </w:rPr>
        <w:t>21</w:t>
      </w:r>
      <w:r>
        <w:rPr>
          <w:noProof/>
        </w:rPr>
        <w:fldChar w:fldCharType="end"/>
      </w:r>
    </w:p>
    <w:p w14:paraId="5D98EEFA" w14:textId="60D2C44A" w:rsidR="00F147FB" w:rsidRDefault="00F147FB">
      <w:pPr>
        <w:pStyle w:val="TOC2"/>
        <w:rPr>
          <w:rFonts w:asciiTheme="minorHAnsi" w:hAnsiTheme="minorHAnsi"/>
          <w:noProof/>
        </w:rPr>
      </w:pPr>
      <w:r w:rsidRPr="006D1730">
        <w:rPr>
          <w:noProof/>
          <w:lang w:val="en-US" w:eastAsia="en-GB"/>
        </w:rPr>
        <w:t>Sensitivity testing of spatial exceedances for periphyton</w:t>
      </w:r>
      <w:r>
        <w:rPr>
          <w:noProof/>
        </w:rPr>
        <w:tab/>
      </w:r>
      <w:r>
        <w:rPr>
          <w:noProof/>
        </w:rPr>
        <w:fldChar w:fldCharType="begin"/>
      </w:r>
      <w:r>
        <w:rPr>
          <w:noProof/>
        </w:rPr>
        <w:instrText xml:space="preserve"> PAGEREF _Toc40949874 \h </w:instrText>
      </w:r>
      <w:r>
        <w:rPr>
          <w:noProof/>
        </w:rPr>
      </w:r>
      <w:r>
        <w:rPr>
          <w:noProof/>
        </w:rPr>
        <w:fldChar w:fldCharType="separate"/>
      </w:r>
      <w:r w:rsidR="00067CE8">
        <w:rPr>
          <w:noProof/>
        </w:rPr>
        <w:t>21</w:t>
      </w:r>
      <w:r>
        <w:rPr>
          <w:noProof/>
        </w:rPr>
        <w:fldChar w:fldCharType="end"/>
      </w:r>
    </w:p>
    <w:p w14:paraId="4F14D7F8" w14:textId="5DCCF1D1" w:rsidR="00F147FB" w:rsidRDefault="00F147FB">
      <w:pPr>
        <w:pStyle w:val="TOC1"/>
        <w:rPr>
          <w:rFonts w:asciiTheme="minorHAnsi" w:hAnsiTheme="minorHAnsi"/>
          <w:noProof/>
        </w:rPr>
      </w:pPr>
      <w:r>
        <w:rPr>
          <w:noProof/>
        </w:rPr>
        <w:t>References</w:t>
      </w:r>
      <w:r>
        <w:rPr>
          <w:noProof/>
        </w:rPr>
        <w:tab/>
      </w:r>
      <w:r>
        <w:rPr>
          <w:noProof/>
        </w:rPr>
        <w:fldChar w:fldCharType="begin"/>
      </w:r>
      <w:r>
        <w:rPr>
          <w:noProof/>
        </w:rPr>
        <w:instrText xml:space="preserve"> PAGEREF _Toc40949875 \h </w:instrText>
      </w:r>
      <w:r>
        <w:rPr>
          <w:noProof/>
        </w:rPr>
      </w:r>
      <w:r>
        <w:rPr>
          <w:noProof/>
        </w:rPr>
        <w:fldChar w:fldCharType="separate"/>
      </w:r>
      <w:r w:rsidR="00067CE8">
        <w:rPr>
          <w:noProof/>
        </w:rPr>
        <w:t>23</w:t>
      </w:r>
      <w:r>
        <w:rPr>
          <w:noProof/>
        </w:rPr>
        <w:fldChar w:fldCharType="end"/>
      </w:r>
    </w:p>
    <w:p w14:paraId="6DAE1531" w14:textId="4C3A1FB1" w:rsidR="00F147FB" w:rsidRDefault="00F147FB">
      <w:pPr>
        <w:pStyle w:val="TOC1"/>
        <w:rPr>
          <w:rFonts w:asciiTheme="minorHAnsi" w:hAnsiTheme="minorHAnsi"/>
          <w:noProof/>
        </w:rPr>
      </w:pPr>
      <w:r>
        <w:rPr>
          <w:noProof/>
        </w:rPr>
        <w:t>Appendix 1: Spatial exceedance criteria for periphyton</w:t>
      </w:r>
      <w:r>
        <w:rPr>
          <w:noProof/>
        </w:rPr>
        <w:tab/>
      </w:r>
      <w:r>
        <w:rPr>
          <w:noProof/>
        </w:rPr>
        <w:fldChar w:fldCharType="begin"/>
      </w:r>
      <w:r>
        <w:rPr>
          <w:noProof/>
        </w:rPr>
        <w:instrText xml:space="preserve"> PAGEREF _Toc40949876 \h </w:instrText>
      </w:r>
      <w:r>
        <w:rPr>
          <w:noProof/>
        </w:rPr>
      </w:r>
      <w:r>
        <w:rPr>
          <w:noProof/>
        </w:rPr>
        <w:fldChar w:fldCharType="separate"/>
      </w:r>
      <w:r w:rsidR="00067CE8">
        <w:rPr>
          <w:noProof/>
        </w:rPr>
        <w:t>24</w:t>
      </w:r>
      <w:r>
        <w:rPr>
          <w:noProof/>
        </w:rPr>
        <w:fldChar w:fldCharType="end"/>
      </w:r>
    </w:p>
    <w:p w14:paraId="4A6FD94F" w14:textId="363935D3" w:rsidR="00F147FB" w:rsidRDefault="00F147FB">
      <w:pPr>
        <w:pStyle w:val="TOC1"/>
        <w:rPr>
          <w:rFonts w:asciiTheme="minorHAnsi" w:hAnsiTheme="minorHAnsi"/>
          <w:noProof/>
        </w:rPr>
      </w:pPr>
      <w:r>
        <w:rPr>
          <w:noProof/>
        </w:rPr>
        <w:t>Appendix 2: Differences in total nitrogen (TN) concentration targets for periphyton</w:t>
      </w:r>
      <w:r>
        <w:rPr>
          <w:noProof/>
        </w:rPr>
        <w:tab/>
      </w:r>
      <w:r>
        <w:rPr>
          <w:noProof/>
        </w:rPr>
        <w:fldChar w:fldCharType="begin"/>
      </w:r>
      <w:r>
        <w:rPr>
          <w:noProof/>
        </w:rPr>
        <w:instrText xml:space="preserve"> PAGEREF _Toc40949877 \h </w:instrText>
      </w:r>
      <w:r>
        <w:rPr>
          <w:noProof/>
        </w:rPr>
      </w:r>
      <w:r>
        <w:rPr>
          <w:noProof/>
        </w:rPr>
        <w:fldChar w:fldCharType="separate"/>
      </w:r>
      <w:r w:rsidR="00067CE8">
        <w:rPr>
          <w:noProof/>
        </w:rPr>
        <w:t>37</w:t>
      </w:r>
      <w:r>
        <w:rPr>
          <w:noProof/>
        </w:rPr>
        <w:fldChar w:fldCharType="end"/>
      </w:r>
    </w:p>
    <w:p w14:paraId="3FF083BE" w14:textId="6ECF60AF" w:rsidR="00F147FB" w:rsidRDefault="00F147FB">
      <w:pPr>
        <w:pStyle w:val="TOC1"/>
        <w:rPr>
          <w:rFonts w:asciiTheme="minorHAnsi" w:hAnsiTheme="minorHAnsi"/>
          <w:noProof/>
        </w:rPr>
      </w:pPr>
      <w:r w:rsidRPr="006D1730">
        <w:rPr>
          <w:noProof/>
          <w:lang w:val="en-US" w:eastAsia="en-US"/>
        </w:rPr>
        <w:t>Appendix 3: Model results by scenario and region</w:t>
      </w:r>
      <w:r>
        <w:rPr>
          <w:noProof/>
        </w:rPr>
        <w:tab/>
      </w:r>
      <w:r>
        <w:rPr>
          <w:noProof/>
        </w:rPr>
        <w:fldChar w:fldCharType="begin"/>
      </w:r>
      <w:r>
        <w:rPr>
          <w:noProof/>
        </w:rPr>
        <w:instrText xml:space="preserve"> PAGEREF _Toc40949878 \h </w:instrText>
      </w:r>
      <w:r>
        <w:rPr>
          <w:noProof/>
        </w:rPr>
      </w:r>
      <w:r>
        <w:rPr>
          <w:noProof/>
        </w:rPr>
        <w:fldChar w:fldCharType="separate"/>
      </w:r>
      <w:r w:rsidR="00067CE8">
        <w:rPr>
          <w:noProof/>
        </w:rPr>
        <w:t>41</w:t>
      </w:r>
      <w:r>
        <w:rPr>
          <w:noProof/>
        </w:rPr>
        <w:fldChar w:fldCharType="end"/>
      </w:r>
    </w:p>
    <w:p w14:paraId="08FAD3EA" w14:textId="77777777" w:rsidR="00D64690" w:rsidRDefault="009C00F7" w:rsidP="0031712F">
      <w:pPr>
        <w:pStyle w:val="BodyText"/>
      </w:pPr>
      <w:r>
        <w:fldChar w:fldCharType="end"/>
      </w:r>
    </w:p>
    <w:p w14:paraId="19A05ADA" w14:textId="77777777" w:rsidR="009C00F7" w:rsidRPr="0031712F" w:rsidRDefault="009C00F7" w:rsidP="0031712F">
      <w:pPr>
        <w:pStyle w:val="BodyText"/>
      </w:pPr>
      <w:r>
        <w:br w:type="page"/>
      </w:r>
    </w:p>
    <w:p w14:paraId="37CA226E" w14:textId="77777777" w:rsidR="00532334" w:rsidRPr="006B77BB" w:rsidRDefault="00532334" w:rsidP="009C00F7">
      <w:pPr>
        <w:pStyle w:val="Heading"/>
      </w:pPr>
      <w:r w:rsidRPr="006B77BB">
        <w:lastRenderedPageBreak/>
        <w:t>Tables</w:t>
      </w:r>
      <w:bookmarkEnd w:id="2"/>
    </w:p>
    <w:p w14:paraId="6097A981" w14:textId="7031FB0B" w:rsidR="00580062" w:rsidRDefault="009C00F7">
      <w:pPr>
        <w:pStyle w:val="TableofFigures"/>
        <w:rPr>
          <w:rFonts w:asciiTheme="minorHAnsi" w:hAnsiTheme="minorHAnsi"/>
        </w:rPr>
      </w:pPr>
      <w:r w:rsidRPr="00B17CE0">
        <w:rPr>
          <w:rStyle w:val="Hyperlink"/>
        </w:rPr>
        <w:fldChar w:fldCharType="begin"/>
      </w:r>
      <w:r w:rsidRPr="00B17CE0">
        <w:rPr>
          <w:rStyle w:val="Hyperlink"/>
        </w:rPr>
        <w:instrText xml:space="preserve"> TOC \h \z \c "Table" </w:instrText>
      </w:r>
      <w:r w:rsidRPr="00B17CE0">
        <w:rPr>
          <w:rStyle w:val="Hyperlink"/>
        </w:rPr>
        <w:fldChar w:fldCharType="separate"/>
      </w:r>
      <w:hyperlink w:anchor="_Toc40950230" w:history="1">
        <w:r w:rsidR="00580062" w:rsidRPr="008E5AB6">
          <w:rPr>
            <w:rStyle w:val="Hyperlink"/>
          </w:rPr>
          <w:t xml:space="preserve">Table 1: </w:t>
        </w:r>
        <w:r w:rsidR="00580062">
          <w:rPr>
            <w:rFonts w:asciiTheme="minorHAnsi" w:hAnsiTheme="minorHAnsi"/>
          </w:rPr>
          <w:tab/>
        </w:r>
        <w:r w:rsidR="00580062" w:rsidRPr="008E5AB6">
          <w:rPr>
            <w:rStyle w:val="Hyperlink"/>
          </w:rPr>
          <w:t>Phosphorus load reduction target for different regions and its proportion to the current load. The figure includes different scenarios with 20</w:t>
        </w:r>
        <w:r w:rsidR="008E40DC">
          <w:rPr>
            <w:rStyle w:val="Hyperlink"/>
          </w:rPr>
          <w:t xml:space="preserve"> per cent</w:t>
        </w:r>
        <w:r w:rsidR="00580062" w:rsidRPr="008E5AB6">
          <w:rPr>
            <w:rStyle w:val="Hyperlink"/>
          </w:rPr>
          <w:t xml:space="preserve"> periphyton spatial exceedance criteria. Results for 10</w:t>
        </w:r>
        <w:r w:rsidR="008E40DC">
          <w:rPr>
            <w:rStyle w:val="Hyperlink"/>
          </w:rPr>
          <w:t xml:space="preserve"> per cent</w:t>
        </w:r>
        <w:r w:rsidR="00580062" w:rsidRPr="008E5AB6">
          <w:rPr>
            <w:rStyle w:val="Hyperlink"/>
          </w:rPr>
          <w:t xml:space="preserve"> and 30</w:t>
        </w:r>
        <w:r w:rsidR="008E40DC">
          <w:rPr>
            <w:rStyle w:val="Hyperlink"/>
          </w:rPr>
          <w:t xml:space="preserve"> per cent</w:t>
        </w:r>
        <w:r w:rsidR="00580062" w:rsidRPr="008E5AB6">
          <w:rPr>
            <w:rStyle w:val="Hyperlink"/>
          </w:rPr>
          <w:t xml:space="preserve"> periphyton spatial exceedance criteria can be found in Appendix 3</w:t>
        </w:r>
        <w:r w:rsidR="00580062">
          <w:rPr>
            <w:webHidden/>
          </w:rPr>
          <w:tab/>
        </w:r>
        <w:r w:rsidR="00580062">
          <w:rPr>
            <w:webHidden/>
          </w:rPr>
          <w:fldChar w:fldCharType="begin"/>
        </w:r>
        <w:r w:rsidR="00580062">
          <w:rPr>
            <w:webHidden/>
          </w:rPr>
          <w:instrText xml:space="preserve"> PAGEREF _Toc40950230 \h </w:instrText>
        </w:r>
        <w:r w:rsidR="00580062">
          <w:rPr>
            <w:webHidden/>
          </w:rPr>
        </w:r>
        <w:r w:rsidR="00580062">
          <w:rPr>
            <w:webHidden/>
          </w:rPr>
          <w:fldChar w:fldCharType="separate"/>
        </w:r>
        <w:r w:rsidR="00067CE8">
          <w:rPr>
            <w:webHidden/>
          </w:rPr>
          <w:t>14</w:t>
        </w:r>
        <w:r w:rsidR="00580062">
          <w:rPr>
            <w:webHidden/>
          </w:rPr>
          <w:fldChar w:fldCharType="end"/>
        </w:r>
      </w:hyperlink>
    </w:p>
    <w:p w14:paraId="354EA802" w14:textId="5AAB4A3A" w:rsidR="00580062" w:rsidRDefault="00925E93">
      <w:pPr>
        <w:pStyle w:val="TableofFigures"/>
        <w:rPr>
          <w:rFonts w:asciiTheme="minorHAnsi" w:hAnsiTheme="minorHAnsi"/>
        </w:rPr>
      </w:pPr>
      <w:hyperlink w:anchor="_Toc40950231" w:history="1">
        <w:r w:rsidR="00580062" w:rsidRPr="008E5AB6">
          <w:rPr>
            <w:rStyle w:val="Hyperlink"/>
          </w:rPr>
          <w:t xml:space="preserve">Table 2: </w:t>
        </w:r>
        <w:r w:rsidR="00580062">
          <w:rPr>
            <w:rFonts w:asciiTheme="minorHAnsi" w:hAnsiTheme="minorHAnsi"/>
          </w:rPr>
          <w:tab/>
        </w:r>
        <w:r w:rsidR="00580062" w:rsidRPr="008E5AB6">
          <w:rPr>
            <w:rStyle w:val="Hyperlink"/>
          </w:rPr>
          <w:t>Nitrogen load reduction targets for different regions and its proportion to the current load. The figure includes different scenarios with 20</w:t>
        </w:r>
        <w:r w:rsidR="008E40DC">
          <w:rPr>
            <w:rStyle w:val="Hyperlink"/>
          </w:rPr>
          <w:t xml:space="preserve"> per cent</w:t>
        </w:r>
        <w:r w:rsidR="00580062" w:rsidRPr="008E5AB6">
          <w:rPr>
            <w:rStyle w:val="Hyperlink"/>
          </w:rPr>
          <w:t xml:space="preserve"> periphyton spatial exceedance criteria. Results for 10</w:t>
        </w:r>
        <w:r w:rsidR="008E40DC">
          <w:rPr>
            <w:rStyle w:val="Hyperlink"/>
          </w:rPr>
          <w:t xml:space="preserve"> per cent</w:t>
        </w:r>
        <w:r w:rsidR="00580062" w:rsidRPr="008E5AB6">
          <w:rPr>
            <w:rStyle w:val="Hyperlink"/>
          </w:rPr>
          <w:t xml:space="preserve"> and 30</w:t>
        </w:r>
        <w:r w:rsidR="008E40DC">
          <w:rPr>
            <w:rStyle w:val="Hyperlink"/>
          </w:rPr>
          <w:t xml:space="preserve"> per cent</w:t>
        </w:r>
        <w:r w:rsidR="00580062" w:rsidRPr="008E5AB6">
          <w:rPr>
            <w:rStyle w:val="Hyperlink"/>
          </w:rPr>
          <w:t xml:space="preserve"> periphyton spatial exceedance criteria can be found in Appendix 3</w:t>
        </w:r>
        <w:r w:rsidR="00580062">
          <w:rPr>
            <w:webHidden/>
          </w:rPr>
          <w:tab/>
        </w:r>
        <w:r w:rsidR="00580062">
          <w:rPr>
            <w:webHidden/>
          </w:rPr>
          <w:fldChar w:fldCharType="begin"/>
        </w:r>
        <w:r w:rsidR="00580062">
          <w:rPr>
            <w:webHidden/>
          </w:rPr>
          <w:instrText xml:space="preserve"> PAGEREF _Toc40950231 \h </w:instrText>
        </w:r>
        <w:r w:rsidR="00580062">
          <w:rPr>
            <w:webHidden/>
          </w:rPr>
        </w:r>
        <w:r w:rsidR="00580062">
          <w:rPr>
            <w:webHidden/>
          </w:rPr>
          <w:fldChar w:fldCharType="separate"/>
        </w:r>
        <w:r w:rsidR="00067CE8">
          <w:rPr>
            <w:webHidden/>
          </w:rPr>
          <w:t>15</w:t>
        </w:r>
        <w:r w:rsidR="00580062">
          <w:rPr>
            <w:webHidden/>
          </w:rPr>
          <w:fldChar w:fldCharType="end"/>
        </w:r>
      </w:hyperlink>
    </w:p>
    <w:p w14:paraId="25902F04" w14:textId="0C0D4EFA" w:rsidR="00580062" w:rsidRDefault="00925E93">
      <w:pPr>
        <w:pStyle w:val="TableofFigures"/>
        <w:rPr>
          <w:rFonts w:asciiTheme="minorHAnsi" w:hAnsiTheme="minorHAnsi"/>
        </w:rPr>
      </w:pPr>
      <w:hyperlink w:anchor="_Toc40950232" w:history="1">
        <w:r w:rsidR="00580062" w:rsidRPr="008E5AB6">
          <w:rPr>
            <w:rStyle w:val="Hyperlink"/>
          </w:rPr>
          <w:t xml:space="preserve">Table 3: </w:t>
        </w:r>
        <w:r w:rsidR="00580062">
          <w:rPr>
            <w:rFonts w:asciiTheme="minorHAnsi" w:hAnsiTheme="minorHAnsi"/>
          </w:rPr>
          <w:tab/>
        </w:r>
        <w:r w:rsidR="00580062" w:rsidRPr="008E5AB6">
          <w:rPr>
            <w:rStyle w:val="Hyperlink"/>
          </w:rPr>
          <w:t>Nitrogen load and target reduction summary for MfE (2019) and this study.</w:t>
        </w:r>
        <w:r w:rsidR="00580062">
          <w:rPr>
            <w:webHidden/>
          </w:rPr>
          <w:tab/>
        </w:r>
        <w:r w:rsidR="00580062">
          <w:rPr>
            <w:webHidden/>
          </w:rPr>
          <w:fldChar w:fldCharType="begin"/>
        </w:r>
        <w:r w:rsidR="00580062">
          <w:rPr>
            <w:webHidden/>
          </w:rPr>
          <w:instrText xml:space="preserve"> PAGEREF _Toc40950232 \h </w:instrText>
        </w:r>
        <w:r w:rsidR="00580062">
          <w:rPr>
            <w:webHidden/>
          </w:rPr>
        </w:r>
        <w:r w:rsidR="00580062">
          <w:rPr>
            <w:webHidden/>
          </w:rPr>
          <w:fldChar w:fldCharType="separate"/>
        </w:r>
        <w:r w:rsidR="00067CE8">
          <w:rPr>
            <w:webHidden/>
          </w:rPr>
          <w:t>21</w:t>
        </w:r>
        <w:r w:rsidR="00580062">
          <w:rPr>
            <w:webHidden/>
          </w:rPr>
          <w:fldChar w:fldCharType="end"/>
        </w:r>
      </w:hyperlink>
    </w:p>
    <w:p w14:paraId="27688193" w14:textId="4435A68D" w:rsidR="00580062" w:rsidRDefault="00925E93">
      <w:pPr>
        <w:pStyle w:val="TableofFigures"/>
        <w:rPr>
          <w:rFonts w:asciiTheme="minorHAnsi" w:hAnsiTheme="minorHAnsi"/>
        </w:rPr>
      </w:pPr>
      <w:hyperlink w:anchor="_Toc40950233" w:history="1">
        <w:r w:rsidR="00580062" w:rsidRPr="008E5AB6">
          <w:rPr>
            <w:rStyle w:val="Hyperlink"/>
          </w:rPr>
          <w:t xml:space="preserve">Table 4: </w:t>
        </w:r>
        <w:r w:rsidR="00580062">
          <w:rPr>
            <w:rFonts w:asciiTheme="minorHAnsi" w:hAnsiTheme="minorHAnsi"/>
          </w:rPr>
          <w:tab/>
        </w:r>
        <w:r w:rsidR="00580062" w:rsidRPr="008E5AB6">
          <w:rPr>
            <w:rStyle w:val="Hyperlink"/>
          </w:rPr>
          <w:t>Sensitivity to choice of spatial exceedance criterion (the policy scenario is for new national bottom-lines set for DIN at 1 mg/L and DRP at 0.018 mg/L)</w:t>
        </w:r>
        <w:r w:rsidR="00580062">
          <w:rPr>
            <w:webHidden/>
          </w:rPr>
          <w:tab/>
        </w:r>
        <w:r w:rsidR="00580062">
          <w:rPr>
            <w:webHidden/>
          </w:rPr>
          <w:fldChar w:fldCharType="begin"/>
        </w:r>
        <w:r w:rsidR="00580062">
          <w:rPr>
            <w:webHidden/>
          </w:rPr>
          <w:instrText xml:space="preserve"> PAGEREF _Toc40950233 \h </w:instrText>
        </w:r>
        <w:r w:rsidR="00580062">
          <w:rPr>
            <w:webHidden/>
          </w:rPr>
        </w:r>
        <w:r w:rsidR="00580062">
          <w:rPr>
            <w:webHidden/>
          </w:rPr>
          <w:fldChar w:fldCharType="separate"/>
        </w:r>
        <w:r w:rsidR="00067CE8">
          <w:rPr>
            <w:webHidden/>
          </w:rPr>
          <w:t>22</w:t>
        </w:r>
        <w:r w:rsidR="00580062">
          <w:rPr>
            <w:webHidden/>
          </w:rPr>
          <w:fldChar w:fldCharType="end"/>
        </w:r>
      </w:hyperlink>
    </w:p>
    <w:p w14:paraId="6F3FA510" w14:textId="77777777" w:rsidR="009C00F7" w:rsidRPr="006B77BB" w:rsidRDefault="009C00F7" w:rsidP="000F629F">
      <w:pPr>
        <w:pStyle w:val="TableofFigures"/>
      </w:pPr>
      <w:r w:rsidRPr="00B17CE0">
        <w:rPr>
          <w:rStyle w:val="Hyperlink"/>
        </w:rPr>
        <w:fldChar w:fldCharType="end"/>
      </w:r>
    </w:p>
    <w:p w14:paraId="77AC4DA5" w14:textId="77777777" w:rsidR="00532334" w:rsidRDefault="00B51610" w:rsidP="008B68EC">
      <w:pPr>
        <w:pStyle w:val="Heading"/>
      </w:pPr>
      <w:bookmarkStart w:id="3" w:name="_Toc39145196"/>
      <w:r w:rsidRPr="006B77BB">
        <w:t>Figure</w:t>
      </w:r>
      <w:r w:rsidR="00532334" w:rsidRPr="006B77BB">
        <w:t>s</w:t>
      </w:r>
      <w:bookmarkEnd w:id="3"/>
    </w:p>
    <w:p w14:paraId="282BB671" w14:textId="09AB80A0" w:rsidR="00C755E6" w:rsidRDefault="009C00F7">
      <w:pPr>
        <w:pStyle w:val="TableofFigures"/>
        <w:rPr>
          <w:rFonts w:asciiTheme="minorHAnsi" w:hAnsiTheme="minorHAnsi"/>
        </w:rPr>
      </w:pPr>
      <w:r>
        <w:fldChar w:fldCharType="begin"/>
      </w:r>
      <w:r>
        <w:instrText xml:space="preserve"> TOC \h \z \c "Figure" </w:instrText>
      </w:r>
      <w:r>
        <w:fldChar w:fldCharType="separate"/>
      </w:r>
      <w:hyperlink w:anchor="_Toc40951010" w:history="1">
        <w:r w:rsidR="00C755E6" w:rsidRPr="003105C9">
          <w:rPr>
            <w:rStyle w:val="Hyperlink"/>
          </w:rPr>
          <w:t xml:space="preserve">Figure 1: </w:t>
        </w:r>
        <w:r w:rsidR="00C755E6">
          <w:rPr>
            <w:rFonts w:asciiTheme="minorHAnsi" w:hAnsiTheme="minorHAnsi"/>
          </w:rPr>
          <w:tab/>
        </w:r>
        <w:r w:rsidR="00C755E6" w:rsidRPr="003105C9">
          <w:rPr>
            <w:rStyle w:val="Hyperlink"/>
          </w:rPr>
          <w:t>Nitrogen load reductions required to achieve periphyton TN target, nitrate toxicity bottom-line and lake TN bottom-line described in the existing 2017 NPS-FM (baseline scenario)</w:t>
        </w:r>
        <w:r w:rsidR="00C755E6" w:rsidRPr="003105C9">
          <w:rPr>
            <w:rStyle w:val="Hyperlink"/>
            <w:rFonts w:ascii="Arial" w:hAnsi="Arial"/>
          </w:rPr>
          <w:t xml:space="preserve">. </w:t>
        </w:r>
        <w:r w:rsidR="00C755E6" w:rsidRPr="003105C9">
          <w:rPr>
            <w:rStyle w:val="Hyperlink"/>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_Toc40951010 \h </w:instrText>
        </w:r>
        <w:r w:rsidR="00C755E6">
          <w:rPr>
            <w:webHidden/>
          </w:rPr>
        </w:r>
        <w:r w:rsidR="00C755E6">
          <w:rPr>
            <w:webHidden/>
          </w:rPr>
          <w:fldChar w:fldCharType="separate"/>
        </w:r>
        <w:r w:rsidR="00067CE8">
          <w:rPr>
            <w:webHidden/>
          </w:rPr>
          <w:t>16</w:t>
        </w:r>
        <w:r w:rsidR="00C755E6">
          <w:rPr>
            <w:webHidden/>
          </w:rPr>
          <w:fldChar w:fldCharType="end"/>
        </w:r>
      </w:hyperlink>
    </w:p>
    <w:p w14:paraId="3002DE80" w14:textId="640C240A" w:rsidR="00C755E6" w:rsidRDefault="00925E93">
      <w:pPr>
        <w:pStyle w:val="TableofFigures"/>
        <w:rPr>
          <w:rFonts w:asciiTheme="minorHAnsi" w:hAnsiTheme="minorHAnsi"/>
        </w:rPr>
      </w:pPr>
      <w:hyperlink w:anchor="_Toc40951011" w:history="1">
        <w:r w:rsidR="00C755E6" w:rsidRPr="003105C9">
          <w:rPr>
            <w:rStyle w:val="Hyperlink"/>
          </w:rPr>
          <w:t>Figure 2:</w:t>
        </w:r>
        <w:r w:rsidR="00C755E6">
          <w:rPr>
            <w:rFonts w:asciiTheme="minorHAnsi" w:hAnsiTheme="minorHAnsi"/>
          </w:rPr>
          <w:tab/>
        </w:r>
        <w:r w:rsidR="00C755E6" w:rsidRPr="003105C9">
          <w:rPr>
            <w:rStyle w:val="Hyperlink"/>
          </w:rPr>
          <w:t>Additional nitrogen load reductions (above the baseline) required to achieve a new bottom-line for DIN of 1 mg/L (DIN1 scenario only)</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_Toc40951011 \h </w:instrText>
        </w:r>
        <w:r w:rsidR="00C755E6">
          <w:rPr>
            <w:webHidden/>
          </w:rPr>
        </w:r>
        <w:r w:rsidR="00C755E6">
          <w:rPr>
            <w:webHidden/>
          </w:rPr>
          <w:fldChar w:fldCharType="separate"/>
        </w:r>
        <w:r w:rsidR="00067CE8">
          <w:rPr>
            <w:webHidden/>
          </w:rPr>
          <w:t>17</w:t>
        </w:r>
        <w:r w:rsidR="00C755E6">
          <w:rPr>
            <w:webHidden/>
          </w:rPr>
          <w:fldChar w:fldCharType="end"/>
        </w:r>
      </w:hyperlink>
    </w:p>
    <w:p w14:paraId="791E98FB" w14:textId="702E2D16" w:rsidR="00C755E6" w:rsidRDefault="00925E93">
      <w:pPr>
        <w:pStyle w:val="TableofFigures"/>
        <w:rPr>
          <w:rFonts w:asciiTheme="minorHAnsi" w:hAnsiTheme="minorHAnsi"/>
        </w:rPr>
      </w:pPr>
      <w:hyperlink w:anchor="_Toc40951012" w:history="1">
        <w:r w:rsidR="00C755E6" w:rsidRPr="003105C9">
          <w:rPr>
            <w:rStyle w:val="Hyperlink"/>
          </w:rPr>
          <w:t>Figure 3:</w:t>
        </w:r>
        <w:r w:rsidR="00C755E6">
          <w:rPr>
            <w:rFonts w:asciiTheme="minorHAnsi" w:hAnsiTheme="minorHAnsi"/>
          </w:rPr>
          <w:tab/>
        </w:r>
        <w:r w:rsidR="00C755E6" w:rsidRPr="003105C9">
          <w:rPr>
            <w:rStyle w:val="Hyperlink"/>
          </w:rPr>
          <w:t>Total nitrogen load reductions required to achieve the baseline and a new bottom-line for DIN of 1 mg/L (baseline + DIN1 scenarios)</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_Toc40951012 \h </w:instrText>
        </w:r>
        <w:r w:rsidR="00C755E6">
          <w:rPr>
            <w:webHidden/>
          </w:rPr>
        </w:r>
        <w:r w:rsidR="00C755E6">
          <w:rPr>
            <w:webHidden/>
          </w:rPr>
          <w:fldChar w:fldCharType="separate"/>
        </w:r>
        <w:r w:rsidR="00067CE8">
          <w:rPr>
            <w:webHidden/>
          </w:rPr>
          <w:t>17</w:t>
        </w:r>
        <w:r w:rsidR="00C755E6">
          <w:rPr>
            <w:webHidden/>
          </w:rPr>
          <w:fldChar w:fldCharType="end"/>
        </w:r>
      </w:hyperlink>
    </w:p>
    <w:p w14:paraId="25DFD623" w14:textId="7974E5C0" w:rsidR="00C755E6" w:rsidRDefault="00925E93">
      <w:pPr>
        <w:pStyle w:val="TableofFigures"/>
        <w:rPr>
          <w:rFonts w:asciiTheme="minorHAnsi" w:hAnsiTheme="minorHAnsi"/>
        </w:rPr>
      </w:pPr>
      <w:hyperlink w:anchor="_Toc40951013" w:history="1">
        <w:r w:rsidR="00C755E6" w:rsidRPr="003105C9">
          <w:rPr>
            <w:rStyle w:val="Hyperlink"/>
          </w:rPr>
          <w:t xml:space="preserve">Figure 4: </w:t>
        </w:r>
        <w:r w:rsidR="00C755E6">
          <w:rPr>
            <w:rFonts w:asciiTheme="minorHAnsi" w:hAnsiTheme="minorHAnsi"/>
          </w:rPr>
          <w:tab/>
        </w:r>
        <w:r w:rsidR="00C755E6" w:rsidRPr="003105C9">
          <w:rPr>
            <w:rStyle w:val="Hyperlink"/>
          </w:rPr>
          <w:t>Additional nitrogen load reductions (above the baseline) required to achieve an amended nitrate toxicity bottom-line of 2.4 mg/L (NTox24 scenario only)</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_Toc40951013 \h </w:instrText>
        </w:r>
        <w:r w:rsidR="00C755E6">
          <w:rPr>
            <w:webHidden/>
          </w:rPr>
        </w:r>
        <w:r w:rsidR="00C755E6">
          <w:rPr>
            <w:webHidden/>
          </w:rPr>
          <w:fldChar w:fldCharType="separate"/>
        </w:r>
        <w:r w:rsidR="00067CE8">
          <w:rPr>
            <w:webHidden/>
          </w:rPr>
          <w:t>18</w:t>
        </w:r>
        <w:r w:rsidR="00C755E6">
          <w:rPr>
            <w:webHidden/>
          </w:rPr>
          <w:fldChar w:fldCharType="end"/>
        </w:r>
      </w:hyperlink>
    </w:p>
    <w:p w14:paraId="1726C76C" w14:textId="5345DF0B" w:rsidR="00C755E6" w:rsidRDefault="00925E93">
      <w:pPr>
        <w:pStyle w:val="TableofFigures"/>
        <w:rPr>
          <w:rFonts w:asciiTheme="minorHAnsi" w:hAnsiTheme="minorHAnsi"/>
        </w:rPr>
      </w:pPr>
      <w:hyperlink w:anchor="_Toc40951014" w:history="1">
        <w:r w:rsidR="00C755E6" w:rsidRPr="003105C9">
          <w:rPr>
            <w:rStyle w:val="Hyperlink"/>
          </w:rPr>
          <w:t xml:space="preserve">Figure 5: </w:t>
        </w:r>
        <w:r w:rsidR="00C755E6">
          <w:rPr>
            <w:rFonts w:asciiTheme="minorHAnsi" w:hAnsiTheme="minorHAnsi"/>
          </w:rPr>
          <w:tab/>
        </w:r>
        <w:r w:rsidR="00C755E6" w:rsidRPr="003105C9">
          <w:rPr>
            <w:rStyle w:val="Hyperlink"/>
          </w:rPr>
          <w:t>Total nitrogen load reductions required to achieve the baseline and an amended nitrate toxicity bottom-line of 2.4 mg/L (baseline + NTox24 scenarios)</w:t>
        </w:r>
        <w:r w:rsidR="00C755E6" w:rsidRPr="003105C9">
          <w:rPr>
            <w:rStyle w:val="Hyperlink"/>
            <w:rFonts w:ascii="Arial" w:eastAsia="Calibri" w:hAnsi="Arial"/>
          </w:rPr>
          <w:t xml:space="preserve">. </w:t>
        </w:r>
        <w:r w:rsidR="00C755E6" w:rsidRPr="003105C9">
          <w:rPr>
            <w:rStyle w:val="Hyperlink"/>
            <w:rFonts w:eastAsia="Calibri"/>
          </w:rPr>
          <w:t xml:space="preserve">The </w:t>
        </w:r>
        <w:r w:rsidR="00C755E6" w:rsidRPr="003105C9">
          <w:rPr>
            <w:rStyle w:val="Hyperlink"/>
          </w:rPr>
          <w:t>reduction</w:t>
        </w:r>
        <w:r w:rsidR="00C755E6" w:rsidRPr="003105C9">
          <w:rPr>
            <w:rStyle w:val="Hyperlink"/>
            <w:rFonts w:eastAsia="Calibri"/>
          </w:rPr>
          <w:t xml:space="preserve"> as a percentage of the estimated current load.</w:t>
        </w:r>
        <w:r w:rsidR="00C755E6">
          <w:rPr>
            <w:webHidden/>
          </w:rPr>
          <w:tab/>
        </w:r>
        <w:r w:rsidR="00C755E6">
          <w:rPr>
            <w:webHidden/>
          </w:rPr>
          <w:fldChar w:fldCharType="begin"/>
        </w:r>
        <w:r w:rsidR="00C755E6">
          <w:rPr>
            <w:webHidden/>
          </w:rPr>
          <w:instrText xml:space="preserve"> PAGEREF _Toc40951014 \h </w:instrText>
        </w:r>
        <w:r w:rsidR="00C755E6">
          <w:rPr>
            <w:webHidden/>
          </w:rPr>
        </w:r>
        <w:r w:rsidR="00C755E6">
          <w:rPr>
            <w:webHidden/>
          </w:rPr>
          <w:fldChar w:fldCharType="separate"/>
        </w:r>
        <w:r w:rsidR="00067CE8">
          <w:rPr>
            <w:webHidden/>
          </w:rPr>
          <w:t>18</w:t>
        </w:r>
        <w:r w:rsidR="00C755E6">
          <w:rPr>
            <w:webHidden/>
          </w:rPr>
          <w:fldChar w:fldCharType="end"/>
        </w:r>
      </w:hyperlink>
    </w:p>
    <w:p w14:paraId="45BD3162" w14:textId="02567376" w:rsidR="00C755E6" w:rsidRDefault="00925E93">
      <w:pPr>
        <w:pStyle w:val="TableofFigures"/>
        <w:rPr>
          <w:rFonts w:asciiTheme="minorHAnsi" w:hAnsiTheme="minorHAnsi"/>
        </w:rPr>
      </w:pPr>
      <w:hyperlink w:anchor="_Toc40951015" w:history="1">
        <w:r w:rsidR="00C755E6" w:rsidRPr="003105C9">
          <w:rPr>
            <w:rStyle w:val="Hyperlink"/>
          </w:rPr>
          <w:t xml:space="preserve">Figure 6: </w:t>
        </w:r>
        <w:r w:rsidR="00C755E6">
          <w:rPr>
            <w:rFonts w:asciiTheme="minorHAnsi" w:hAnsiTheme="minorHAnsi"/>
          </w:rPr>
          <w:tab/>
        </w:r>
        <w:r w:rsidR="00C755E6" w:rsidRPr="003105C9">
          <w:rPr>
            <w:rStyle w:val="Hyperlink"/>
          </w:rPr>
          <w:t>Phosphorus load reductions needed to achieve periphyton DRP target and lake TP bottom-line defined in the 2017 NPS-FM (baseline scenario)</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_Toc40951015 \h </w:instrText>
        </w:r>
        <w:r w:rsidR="00C755E6">
          <w:rPr>
            <w:webHidden/>
          </w:rPr>
        </w:r>
        <w:r w:rsidR="00C755E6">
          <w:rPr>
            <w:webHidden/>
          </w:rPr>
          <w:fldChar w:fldCharType="separate"/>
        </w:r>
        <w:r w:rsidR="00067CE8">
          <w:rPr>
            <w:webHidden/>
          </w:rPr>
          <w:t>19</w:t>
        </w:r>
        <w:r w:rsidR="00C755E6">
          <w:rPr>
            <w:webHidden/>
          </w:rPr>
          <w:fldChar w:fldCharType="end"/>
        </w:r>
      </w:hyperlink>
    </w:p>
    <w:p w14:paraId="061C4A75" w14:textId="016F0FA2" w:rsidR="00C755E6" w:rsidRDefault="00925E93">
      <w:pPr>
        <w:pStyle w:val="TableofFigures"/>
        <w:rPr>
          <w:rFonts w:asciiTheme="minorHAnsi" w:hAnsiTheme="minorHAnsi"/>
        </w:rPr>
      </w:pPr>
      <w:hyperlink w:anchor="_Toc40951016" w:history="1">
        <w:r w:rsidR="00C755E6" w:rsidRPr="003105C9">
          <w:rPr>
            <w:rStyle w:val="Hyperlink"/>
          </w:rPr>
          <w:t>Figure 7:</w:t>
        </w:r>
        <w:r w:rsidR="00C755E6">
          <w:rPr>
            <w:rFonts w:asciiTheme="minorHAnsi" w:hAnsiTheme="minorHAnsi"/>
          </w:rPr>
          <w:tab/>
        </w:r>
        <w:r w:rsidR="00C755E6" w:rsidRPr="003105C9">
          <w:rPr>
            <w:rStyle w:val="Hyperlink"/>
          </w:rPr>
          <w:t>Additional phosphorus load reductions (above the baseline) required to achieve a new bottom-line for DRP of 0.018 mg/L (DRP18 scenario only)</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sidRPr="003105C9">
          <w:rPr>
            <w:rStyle w:val="Hyperlink"/>
          </w:rPr>
          <w:t>.</w:t>
        </w:r>
        <w:r w:rsidR="00C755E6">
          <w:rPr>
            <w:webHidden/>
          </w:rPr>
          <w:tab/>
        </w:r>
        <w:r w:rsidR="00C755E6">
          <w:rPr>
            <w:webHidden/>
          </w:rPr>
          <w:fldChar w:fldCharType="begin"/>
        </w:r>
        <w:r w:rsidR="00C755E6">
          <w:rPr>
            <w:webHidden/>
          </w:rPr>
          <w:instrText xml:space="preserve"> PAGEREF _Toc40951016 \h </w:instrText>
        </w:r>
        <w:r w:rsidR="00C755E6">
          <w:rPr>
            <w:webHidden/>
          </w:rPr>
        </w:r>
        <w:r w:rsidR="00C755E6">
          <w:rPr>
            <w:webHidden/>
          </w:rPr>
          <w:fldChar w:fldCharType="separate"/>
        </w:r>
        <w:r w:rsidR="00067CE8">
          <w:rPr>
            <w:webHidden/>
          </w:rPr>
          <w:t>20</w:t>
        </w:r>
        <w:r w:rsidR="00C755E6">
          <w:rPr>
            <w:webHidden/>
          </w:rPr>
          <w:fldChar w:fldCharType="end"/>
        </w:r>
      </w:hyperlink>
    </w:p>
    <w:p w14:paraId="0661136B" w14:textId="67A31194" w:rsidR="00C755E6" w:rsidRDefault="00925E93">
      <w:pPr>
        <w:pStyle w:val="TableofFigures"/>
        <w:rPr>
          <w:rFonts w:asciiTheme="minorHAnsi" w:hAnsiTheme="minorHAnsi"/>
        </w:rPr>
      </w:pPr>
      <w:hyperlink w:anchor="_Toc40951017" w:history="1">
        <w:r w:rsidR="00C755E6" w:rsidRPr="003105C9">
          <w:rPr>
            <w:rStyle w:val="Hyperlink"/>
          </w:rPr>
          <w:t xml:space="preserve">Figure 8: </w:t>
        </w:r>
        <w:r w:rsidR="00C755E6">
          <w:rPr>
            <w:rFonts w:asciiTheme="minorHAnsi" w:hAnsiTheme="minorHAnsi"/>
          </w:rPr>
          <w:tab/>
        </w:r>
        <w:r w:rsidR="00C755E6" w:rsidRPr="003105C9">
          <w:rPr>
            <w:rStyle w:val="Hyperlink"/>
          </w:rPr>
          <w:t>Total phosphorus load reductions required to achieve the baseline and a new bottom-line for DRP of 0.018 mg/L (baseline + DRP18 scenarios)</w:t>
        </w:r>
        <w:r w:rsidR="00C755E6" w:rsidRPr="003105C9">
          <w:rPr>
            <w:rStyle w:val="Hyperlink"/>
            <w:rFonts w:ascii="Arial" w:eastAsia="Calibri" w:hAnsi="Arial"/>
          </w:rPr>
          <w:t xml:space="preserve">. </w:t>
        </w:r>
        <w:r w:rsidR="00C755E6" w:rsidRPr="003105C9">
          <w:rPr>
            <w:rStyle w:val="Hyperlink"/>
            <w:rFonts w:eastAsia="Calibri"/>
          </w:rPr>
          <w:t>The reduction is expressed as a percentage of the estimated current load.</w:t>
        </w:r>
        <w:r w:rsidR="00C755E6">
          <w:rPr>
            <w:webHidden/>
          </w:rPr>
          <w:tab/>
        </w:r>
        <w:r w:rsidR="00C755E6">
          <w:rPr>
            <w:webHidden/>
          </w:rPr>
          <w:fldChar w:fldCharType="begin"/>
        </w:r>
        <w:r w:rsidR="00C755E6">
          <w:rPr>
            <w:webHidden/>
          </w:rPr>
          <w:instrText xml:space="preserve"> PAGEREF _Toc40951017 \h </w:instrText>
        </w:r>
        <w:r w:rsidR="00C755E6">
          <w:rPr>
            <w:webHidden/>
          </w:rPr>
        </w:r>
        <w:r w:rsidR="00C755E6">
          <w:rPr>
            <w:webHidden/>
          </w:rPr>
          <w:fldChar w:fldCharType="separate"/>
        </w:r>
        <w:r w:rsidR="00067CE8">
          <w:rPr>
            <w:webHidden/>
          </w:rPr>
          <w:t>20</w:t>
        </w:r>
        <w:r w:rsidR="00C755E6">
          <w:rPr>
            <w:webHidden/>
          </w:rPr>
          <w:fldChar w:fldCharType="end"/>
        </w:r>
      </w:hyperlink>
    </w:p>
    <w:p w14:paraId="5532AA17" w14:textId="77777777" w:rsidR="00796A6F" w:rsidRPr="00554B30" w:rsidRDefault="009C00F7" w:rsidP="009C00F7">
      <w:pPr>
        <w:pStyle w:val="BodyText"/>
      </w:pPr>
      <w:r>
        <w:fldChar w:fldCharType="end"/>
      </w:r>
      <w:bookmarkStart w:id="4" w:name="_Toc215561202"/>
      <w:r w:rsidR="00796A6F" w:rsidRPr="00554B30">
        <w:br w:type="page"/>
      </w:r>
    </w:p>
    <w:p w14:paraId="13B4135E" w14:textId="77777777" w:rsidR="008B2B2B" w:rsidRPr="006842B2" w:rsidRDefault="008B2B2B" w:rsidP="009A6AD0">
      <w:pPr>
        <w:pStyle w:val="Heading1"/>
        <w:rPr>
          <w:rFonts w:asciiTheme="minorHAnsi" w:eastAsiaTheme="minorEastAsia" w:hAnsiTheme="minorHAnsi" w:cstheme="minorBidi"/>
          <w:color w:val="1C556C" w:themeColor="accent1"/>
          <w:szCs w:val="48"/>
        </w:rPr>
      </w:pPr>
      <w:bookmarkStart w:id="5" w:name="_Toc40949858"/>
      <w:bookmarkStart w:id="6" w:name="_Toc39145197"/>
      <w:bookmarkStart w:id="7" w:name="_Toc455564071"/>
      <w:bookmarkStart w:id="8" w:name="_Toc345760336"/>
      <w:bookmarkEnd w:id="4"/>
      <w:r>
        <w:lastRenderedPageBreak/>
        <w:t xml:space="preserve">Executive </w:t>
      </w:r>
      <w:r w:rsidR="009A6AD0" w:rsidRPr="009A6AD0">
        <w:t>s</w:t>
      </w:r>
      <w:r w:rsidRPr="009A6AD0">
        <w:t>ummary</w:t>
      </w:r>
      <w:bookmarkEnd w:id="5"/>
    </w:p>
    <w:p w14:paraId="7E57BCE9" w14:textId="0AA0FB1F" w:rsidR="008B2B2B" w:rsidRPr="009C58BE" w:rsidRDefault="008B2B2B" w:rsidP="00C507F4">
      <w:pPr>
        <w:pStyle w:val="BodyText"/>
      </w:pPr>
      <w:bookmarkStart w:id="9" w:name="_Toc40424550"/>
      <w:bookmarkStart w:id="10" w:name="_Toc40425106"/>
      <w:r w:rsidRPr="009C58BE">
        <w:t xml:space="preserve">In September 2019, the Government consulted on </w:t>
      </w:r>
      <w:r w:rsidRPr="0059238F">
        <w:rPr>
          <w:i/>
        </w:rPr>
        <w:t>Action for healthy waterways</w:t>
      </w:r>
      <w:r w:rsidRPr="009C58BE">
        <w:t>, a group of</w:t>
      </w:r>
      <w:r w:rsidR="009A5099" w:rsidRPr="009C58BE">
        <w:t> </w:t>
      </w:r>
      <w:r w:rsidRPr="009C58BE">
        <w:t xml:space="preserve">proposals to address systemic </w:t>
      </w:r>
      <w:r w:rsidR="0F92269D" w:rsidRPr="009C58BE">
        <w:t xml:space="preserve">freshwater management </w:t>
      </w:r>
      <w:r w:rsidR="00413496" w:rsidRPr="009C58BE">
        <w:t>issues and</w:t>
      </w:r>
      <w:r w:rsidRPr="009C58BE">
        <w:t xml:space="preserve"> reduce undesirable levels</w:t>
      </w:r>
      <w:r w:rsidR="009A5099" w:rsidRPr="009C58BE">
        <w:t> </w:t>
      </w:r>
      <w:r w:rsidRPr="009C58BE">
        <w:t>of</w:t>
      </w:r>
      <w:r w:rsidR="007028FC" w:rsidRPr="009C58BE">
        <w:t> </w:t>
      </w:r>
      <w:r w:rsidRPr="009C58BE">
        <w:t>sediment and pollution in waterways.</w:t>
      </w:r>
      <w:r w:rsidR="00B17CE0" w:rsidRPr="009C58BE">
        <w:t xml:space="preserve"> As part of</w:t>
      </w:r>
      <w:r w:rsidRPr="009C58BE">
        <w:t xml:space="preserve"> </w:t>
      </w:r>
      <w:r w:rsidRPr="0059238F">
        <w:rPr>
          <w:i/>
        </w:rPr>
        <w:t>Action for healthy waterways</w:t>
      </w:r>
      <w:r w:rsidRPr="009C58BE">
        <w:t>, the Government considered different options for improving management of nutrients (nitrogen, N</w:t>
      </w:r>
      <w:r w:rsidR="009A5099" w:rsidRPr="009C58BE">
        <w:t> </w:t>
      </w:r>
      <w:r w:rsidRPr="009C58BE">
        <w:t xml:space="preserve">and phosphorus, P) in New Zealand’s freshwaters. </w:t>
      </w:r>
      <w:r w:rsidR="00B17CE0" w:rsidRPr="009C58BE">
        <w:t>This policy development process is described further</w:t>
      </w:r>
      <w:r w:rsidR="00805723" w:rsidRPr="009C58BE">
        <w:t xml:space="preserve"> in </w:t>
      </w:r>
      <w:r w:rsidR="0059238F" w:rsidRPr="0059238F">
        <w:rPr>
          <w:i/>
        </w:rPr>
        <w:t xml:space="preserve">Regulatory Impact Analysis: Action for healthy waterways. Part II: Detailed Analysis </w:t>
      </w:r>
      <w:r w:rsidR="0059238F" w:rsidRPr="00BC21BD">
        <w:t>(Ministry for the Environment, 2020)</w:t>
      </w:r>
      <w:r w:rsidR="00805723" w:rsidRPr="009C58BE">
        <w:t>.</w:t>
      </w:r>
      <w:bookmarkEnd w:id="9"/>
      <w:bookmarkEnd w:id="10"/>
    </w:p>
    <w:p w14:paraId="06F72697" w14:textId="52820713" w:rsidR="008B2B2B" w:rsidRPr="009C58BE" w:rsidRDefault="008B2B2B" w:rsidP="007028FC">
      <w:pPr>
        <w:pStyle w:val="BodyText"/>
      </w:pPr>
      <w:bookmarkStart w:id="11" w:name="_Toc40424551"/>
      <w:bookmarkStart w:id="12" w:name="_Toc40425107"/>
      <w:r w:rsidRPr="009C58BE">
        <w:t xml:space="preserve">This document outlines environmental impact </w:t>
      </w:r>
      <w:r w:rsidRPr="007028FC">
        <w:t>assessment</w:t>
      </w:r>
      <w:r w:rsidRPr="009C58BE">
        <w:t xml:space="preserve"> analysis that informed </w:t>
      </w:r>
      <w:r w:rsidR="00805723" w:rsidRPr="009C58BE">
        <w:t xml:space="preserve">the </w:t>
      </w:r>
      <w:r w:rsidRPr="0059238F">
        <w:rPr>
          <w:i/>
        </w:rPr>
        <w:t>Action for healthy waterways</w:t>
      </w:r>
      <w:r w:rsidR="00B17CE0" w:rsidRPr="009C58BE">
        <w:t xml:space="preserve"> proposals</w:t>
      </w:r>
      <w:r w:rsidRPr="009C58BE">
        <w:t xml:space="preserve">. It describes modelling of the </w:t>
      </w:r>
      <w:r w:rsidR="00B17CE0" w:rsidRPr="009C58BE">
        <w:t xml:space="preserve">nutrient </w:t>
      </w:r>
      <w:r w:rsidRPr="009C58BE">
        <w:t xml:space="preserve">reductions that would be required to meet the </w:t>
      </w:r>
      <w:r w:rsidR="009C17BC">
        <w:t>existing</w:t>
      </w:r>
      <w:r w:rsidRPr="009C58BE">
        <w:t xml:space="preserve"> National Policy Statement for Freshwater Management</w:t>
      </w:r>
      <w:r w:rsidR="00805723" w:rsidRPr="009C58BE">
        <w:t xml:space="preserve"> (NPS</w:t>
      </w:r>
      <w:r w:rsidR="00D7297D" w:rsidRPr="009C58BE">
        <w:noBreakHyphen/>
      </w:r>
      <w:r w:rsidR="00805723" w:rsidRPr="009C58BE">
        <w:t>FM)</w:t>
      </w:r>
      <w:r w:rsidRPr="009C58BE">
        <w:t xml:space="preserve">, and compares these to the reductions that would be required under </w:t>
      </w:r>
      <w:r w:rsidR="00805723" w:rsidRPr="009C58BE">
        <w:t>different</w:t>
      </w:r>
      <w:r w:rsidRPr="009C58BE">
        <w:t xml:space="preserve"> scenarios</w:t>
      </w:r>
      <w:r w:rsidR="00805723" w:rsidRPr="009C58BE">
        <w:t>. The scenarios modelled were:</w:t>
      </w:r>
      <w:bookmarkEnd w:id="11"/>
      <w:bookmarkEnd w:id="12"/>
    </w:p>
    <w:p w14:paraId="529030B7" w14:textId="77777777" w:rsidR="008B2B2B" w:rsidRPr="00D815C4" w:rsidRDefault="008B2B2B" w:rsidP="003C170C">
      <w:pPr>
        <w:pStyle w:val="Bullet"/>
      </w:pPr>
      <w:bookmarkStart w:id="13" w:name="_Toc40424552"/>
      <w:bookmarkStart w:id="14" w:name="_Toc40425108"/>
      <w:r w:rsidRPr="00D815C4">
        <w:rPr>
          <w:b/>
        </w:rPr>
        <w:t>Baseline (2017 NPS-FM):</w:t>
      </w:r>
      <w:r w:rsidRPr="00D815C4">
        <w:t xml:space="preserve"> N and P concentrations to provide for periphyton, lake, and nitrate toxicity bottom-lines (the requirements under the 2017 NPS-FM).</w:t>
      </w:r>
      <w:bookmarkEnd w:id="13"/>
      <w:bookmarkEnd w:id="14"/>
    </w:p>
    <w:p w14:paraId="00A9CFB9" w14:textId="77777777" w:rsidR="008B2B2B" w:rsidRPr="00D815C4" w:rsidRDefault="008B2B2B" w:rsidP="003C170C">
      <w:pPr>
        <w:pStyle w:val="Bullet"/>
      </w:pPr>
      <w:bookmarkStart w:id="15" w:name="_Toc40424553"/>
      <w:bookmarkStart w:id="16" w:name="_Toc40425109"/>
      <w:r w:rsidRPr="00D815C4">
        <w:rPr>
          <w:b/>
        </w:rPr>
        <w:t>DIN1:</w:t>
      </w:r>
      <w:r w:rsidRPr="00D815C4">
        <w:t xml:space="preserve"> Baseline with addition of the proposed river </w:t>
      </w:r>
      <w:r w:rsidR="00805723" w:rsidRPr="00D815C4">
        <w:t>dissolved inorganic nitrogen (</w:t>
      </w:r>
      <w:r w:rsidRPr="00D815C4">
        <w:t>DIN</w:t>
      </w:r>
      <w:r w:rsidR="00805723" w:rsidRPr="00D815C4">
        <w:t>)</w:t>
      </w:r>
      <w:r w:rsidRPr="00D815C4">
        <w:t xml:space="preserve"> concentration bottom line (1 mg/L)</w:t>
      </w:r>
      <w:bookmarkEnd w:id="15"/>
      <w:bookmarkEnd w:id="16"/>
      <w:r w:rsidR="00F24E3D">
        <w:t>.</w:t>
      </w:r>
      <w:r w:rsidRPr="00D815C4">
        <w:t xml:space="preserve"> </w:t>
      </w:r>
    </w:p>
    <w:p w14:paraId="0D92AD9F" w14:textId="77777777" w:rsidR="008B2B2B" w:rsidRPr="00D815C4" w:rsidRDefault="008B2B2B" w:rsidP="003C170C">
      <w:pPr>
        <w:pStyle w:val="Bullet"/>
      </w:pPr>
      <w:bookmarkStart w:id="17" w:name="_Toc40424554"/>
      <w:bookmarkStart w:id="18" w:name="_Toc40425110"/>
      <w:r w:rsidRPr="00D815C4">
        <w:rPr>
          <w:b/>
        </w:rPr>
        <w:t>NTox24:</w:t>
      </w:r>
      <w:r w:rsidRPr="00D815C4">
        <w:t xml:space="preserve"> Baseline with alternative nitrate toxicity </w:t>
      </w:r>
      <w:r w:rsidR="00805723" w:rsidRPr="00D815C4">
        <w:t>bottom-line</w:t>
      </w:r>
      <w:r w:rsidRPr="00D815C4">
        <w:t xml:space="preserve"> (2.4 mg/L). Note this scenario does not have DIN </w:t>
      </w:r>
      <w:r w:rsidRPr="003C170C">
        <w:t>concentration</w:t>
      </w:r>
      <w:r w:rsidRPr="00D815C4">
        <w:t xml:space="preserve"> bottom line.</w:t>
      </w:r>
      <w:bookmarkEnd w:id="17"/>
      <w:bookmarkEnd w:id="18"/>
    </w:p>
    <w:p w14:paraId="4F1B7631" w14:textId="77777777" w:rsidR="008B2B2B" w:rsidRPr="00D815C4" w:rsidRDefault="008B2B2B" w:rsidP="003C170C">
      <w:pPr>
        <w:pStyle w:val="Bullet"/>
      </w:pPr>
      <w:bookmarkStart w:id="19" w:name="_Toc40424555"/>
      <w:bookmarkStart w:id="20" w:name="_Toc40425111"/>
      <w:r w:rsidRPr="00D815C4">
        <w:rPr>
          <w:b/>
        </w:rPr>
        <w:t>DRP18:</w:t>
      </w:r>
      <w:r w:rsidRPr="00D815C4">
        <w:t xml:space="preserve"> Baseline with addition of the proposed river </w:t>
      </w:r>
      <w:r w:rsidR="00805723" w:rsidRPr="00D815C4">
        <w:t>dissolved reactive phosphorus (</w:t>
      </w:r>
      <w:r w:rsidRPr="00D815C4">
        <w:t>DRP</w:t>
      </w:r>
      <w:r w:rsidR="00805723" w:rsidRPr="00D815C4">
        <w:t>)</w:t>
      </w:r>
      <w:r w:rsidRPr="00D815C4">
        <w:t xml:space="preserve"> concentration bottom-line (0.018 mg/L).</w:t>
      </w:r>
      <w:bookmarkEnd w:id="19"/>
      <w:bookmarkEnd w:id="20"/>
    </w:p>
    <w:p w14:paraId="6B921B70" w14:textId="200BD05C" w:rsidR="008B2B2B" w:rsidRPr="00C507F4" w:rsidRDefault="00805723" w:rsidP="003C170C">
      <w:pPr>
        <w:pStyle w:val="BodyText"/>
      </w:pPr>
      <w:bookmarkStart w:id="21" w:name="_Toc40424556"/>
      <w:bookmarkStart w:id="22" w:name="_Toc40425112"/>
      <w:r w:rsidRPr="00C507F4">
        <w:t xml:space="preserve">Within all of these scenarios different </w:t>
      </w:r>
      <w:r w:rsidR="53BA30AE" w:rsidRPr="00C507F4">
        <w:t xml:space="preserve">periphyton </w:t>
      </w:r>
      <w:r w:rsidRPr="00C507F4">
        <w:t>spatial exceedance criteria of 10</w:t>
      </w:r>
      <w:r w:rsidR="008E40DC">
        <w:t xml:space="preserve"> per cent</w:t>
      </w:r>
      <w:r w:rsidRPr="00C507F4">
        <w:t>, 20</w:t>
      </w:r>
      <w:r w:rsidR="008E40DC">
        <w:t xml:space="preserve"> per cent</w:t>
      </w:r>
      <w:r w:rsidRPr="00C507F4">
        <w:t xml:space="preserve"> and 30</w:t>
      </w:r>
      <w:r w:rsidR="008E40DC">
        <w:t xml:space="preserve"> per cent</w:t>
      </w:r>
      <w:r w:rsidRPr="00C507F4">
        <w:t xml:space="preserve"> were tested. </w:t>
      </w:r>
      <w:r w:rsidR="71DF9933" w:rsidRPr="00C507F4">
        <w:t xml:space="preserve">Periphyton spatial </w:t>
      </w:r>
      <w:r w:rsidR="2A1DE801" w:rsidRPr="00C507F4">
        <w:t>exceedance</w:t>
      </w:r>
      <w:r w:rsidR="71DF9933" w:rsidRPr="00C507F4">
        <w:t xml:space="preserve"> is an indicator of t</w:t>
      </w:r>
      <w:r w:rsidRPr="00C507F4">
        <w:t>he level of risk</w:t>
      </w:r>
      <w:r w:rsidR="30E0E85F" w:rsidRPr="00C507F4">
        <w:t xml:space="preserve"> accepted</w:t>
      </w:r>
      <w:r w:rsidRPr="00C507F4">
        <w:t xml:space="preserve"> by regional councils </w:t>
      </w:r>
      <w:r w:rsidR="469AA727" w:rsidRPr="00C507F4">
        <w:t>to</w:t>
      </w:r>
      <w:r w:rsidRPr="00C507F4">
        <w:t xml:space="preserve"> waterways having excessive levels of periphyton</w:t>
      </w:r>
      <w:r w:rsidR="009C58BE">
        <w:t>.</w:t>
      </w:r>
      <w:r w:rsidR="00F120A9" w:rsidRPr="009C58BE">
        <w:rPr>
          <w:vertAlign w:val="superscript"/>
        </w:rPr>
        <w:footnoteReference w:id="2"/>
      </w:r>
      <w:r w:rsidR="02CF949F" w:rsidRPr="00C507F4">
        <w:t xml:space="preserve"> Periphyton spatial exceedance is important because it </w:t>
      </w:r>
      <w:r w:rsidR="00A7510A" w:rsidRPr="00C507F4">
        <w:t>influences</w:t>
      </w:r>
      <w:r w:rsidR="02CF949F" w:rsidRPr="00C507F4">
        <w:t xml:space="preserve"> the size of the nutrient load reduction required to meet the periphyton biomass bottom-line contained in the </w:t>
      </w:r>
      <w:r w:rsidR="02CF949F" w:rsidRPr="00EF75A5">
        <w:t>existing 2017 NPS</w:t>
      </w:r>
      <w:r w:rsidR="00EF75A5" w:rsidRPr="00EF75A5">
        <w:t>-FM</w:t>
      </w:r>
      <w:r w:rsidR="02CF949F" w:rsidRPr="00EF75A5">
        <w:t>.</w:t>
      </w:r>
      <w:bookmarkEnd w:id="21"/>
      <w:bookmarkEnd w:id="22"/>
    </w:p>
    <w:p w14:paraId="5F3393EB" w14:textId="6F1EF331" w:rsidR="00805723" w:rsidRDefault="00805723" w:rsidP="003C170C">
      <w:pPr>
        <w:pStyle w:val="BodyText"/>
      </w:pPr>
      <w:r w:rsidRPr="006842B2">
        <w:t>The following results were generated using a periphyton spatial exceedance of 20</w:t>
      </w:r>
      <w:r w:rsidR="008E40DC">
        <w:t xml:space="preserve"> per cent</w:t>
      </w:r>
      <w:r w:rsidRPr="006842B2">
        <w:t>. The target nutrient reduction loads are expressed as a percentage reduction required in relation to the current level of nutrient loads. Baseline (2017 NPS-FM) nutrient reduction targets are also expressed, to show the source of the required reduction.</w:t>
      </w:r>
    </w:p>
    <w:p w14:paraId="58BE7E81" w14:textId="5ABB9E1E" w:rsidR="00805723" w:rsidRPr="00530C34" w:rsidRDefault="00805723" w:rsidP="00966C10">
      <w:pPr>
        <w:pStyle w:val="Heading5"/>
        <w:spacing w:before="240"/>
        <w:ind w:left="397" w:right="397"/>
        <w:rPr>
          <w:lang w:val="en-US" w:eastAsia="en-US"/>
        </w:rPr>
      </w:pPr>
      <w:r w:rsidRPr="00F72CAD">
        <w:rPr>
          <w:lang w:val="en-US" w:eastAsia="en-US"/>
        </w:rPr>
        <w:t xml:space="preserve">To achieve the requirements of the </w:t>
      </w:r>
      <w:r w:rsidR="00EF75A5" w:rsidRPr="00EF75A5">
        <w:rPr>
          <w:lang w:val="en-US" w:eastAsia="en-US"/>
        </w:rPr>
        <w:t xml:space="preserve">2017 </w:t>
      </w:r>
      <w:r w:rsidRPr="00EF75A5">
        <w:rPr>
          <w:lang w:val="en-US" w:eastAsia="en-US"/>
        </w:rPr>
        <w:t>NPS</w:t>
      </w:r>
      <w:r w:rsidR="00EF75A5" w:rsidRPr="00EF75A5">
        <w:rPr>
          <w:lang w:val="en-US" w:eastAsia="en-US"/>
        </w:rPr>
        <w:t>-FM</w:t>
      </w:r>
      <w:r w:rsidRPr="00EF75A5">
        <w:rPr>
          <w:lang w:val="en-US" w:eastAsia="en-US"/>
        </w:rPr>
        <w:t xml:space="preserve"> </w:t>
      </w:r>
      <w:r w:rsidR="00EF75A5">
        <w:rPr>
          <w:lang w:val="en-US" w:eastAsia="en-US"/>
        </w:rPr>
        <w:t>with</w:t>
      </w:r>
      <w:r w:rsidRPr="00F72CAD">
        <w:rPr>
          <w:lang w:val="en-US" w:eastAsia="en-US"/>
        </w:rPr>
        <w:t xml:space="preserve"> a national </w:t>
      </w:r>
      <w:r>
        <w:rPr>
          <w:lang w:val="en-US" w:eastAsia="en-US"/>
        </w:rPr>
        <w:t>bottom-line</w:t>
      </w:r>
      <w:r w:rsidRPr="00F72CAD">
        <w:rPr>
          <w:lang w:val="en-US" w:eastAsia="en-US"/>
        </w:rPr>
        <w:t xml:space="preserve"> for</w:t>
      </w:r>
      <w:r w:rsidR="00D7297D">
        <w:rPr>
          <w:lang w:val="en-US" w:eastAsia="en-US"/>
        </w:rPr>
        <w:t> </w:t>
      </w:r>
      <w:r w:rsidRPr="00F72CAD">
        <w:rPr>
          <w:lang w:val="en-US" w:eastAsia="en-US"/>
        </w:rPr>
        <w:t>DIN of</w:t>
      </w:r>
      <w:r w:rsidR="00C755E6">
        <w:rPr>
          <w:lang w:val="en-US" w:eastAsia="en-US"/>
        </w:rPr>
        <w:t> </w:t>
      </w:r>
      <w:r w:rsidRPr="00F72CAD">
        <w:rPr>
          <w:lang w:val="en-US" w:eastAsia="en-US"/>
        </w:rPr>
        <w:t>1</w:t>
      </w:r>
      <w:r w:rsidR="00966C10">
        <w:rPr>
          <w:lang w:val="en-US" w:eastAsia="en-US"/>
        </w:rPr>
        <w:t> </w:t>
      </w:r>
      <w:r w:rsidRPr="00F72CAD">
        <w:rPr>
          <w:lang w:val="en-US" w:eastAsia="en-US"/>
        </w:rPr>
        <w:t xml:space="preserve">mg/L </w:t>
      </w:r>
    </w:p>
    <w:p w14:paraId="1F07F66E" w14:textId="155B5F8F" w:rsidR="00805723" w:rsidRDefault="00805723" w:rsidP="00966C10">
      <w:pPr>
        <w:pStyle w:val="BodyText"/>
        <w:ind w:left="397" w:right="397"/>
        <w:rPr>
          <w:lang w:val="en-US" w:eastAsia="en-US"/>
        </w:rPr>
      </w:pPr>
      <w:r>
        <w:rPr>
          <w:lang w:val="en-US" w:eastAsia="en-US"/>
        </w:rPr>
        <w:t>N</w:t>
      </w:r>
      <w:r w:rsidRPr="00F72CAD">
        <w:rPr>
          <w:lang w:val="en-US" w:eastAsia="en-US"/>
        </w:rPr>
        <w:t xml:space="preserve">itrogen </w:t>
      </w:r>
      <w:r w:rsidRPr="00BC21BD">
        <w:rPr>
          <w:lang w:val="en-US" w:eastAsia="en-US"/>
        </w:rPr>
        <w:t xml:space="preserve">loads would have to reduce </w:t>
      </w:r>
      <w:r w:rsidRPr="00D7297D">
        <w:t>by</w:t>
      </w:r>
      <w:r w:rsidRPr="00BC21BD">
        <w:rPr>
          <w:lang w:val="en-US" w:eastAsia="en-US"/>
        </w:rPr>
        <w:t xml:space="preserve"> 10.2</w:t>
      </w:r>
      <w:r w:rsidR="008E40DC">
        <w:rPr>
          <w:lang w:val="en-US" w:eastAsia="en-US"/>
        </w:rPr>
        <w:t xml:space="preserve"> per cent</w:t>
      </w:r>
      <w:r w:rsidRPr="00BC21BD">
        <w:rPr>
          <w:lang w:val="en-US" w:eastAsia="en-US"/>
        </w:rPr>
        <w:t xml:space="preserve"> across New Zealand. Of that 10.2</w:t>
      </w:r>
      <w:r w:rsidR="008E40DC">
        <w:rPr>
          <w:lang w:val="en-US" w:eastAsia="en-US"/>
        </w:rPr>
        <w:t xml:space="preserve"> per cent</w:t>
      </w:r>
      <w:r w:rsidRPr="00BC21BD">
        <w:rPr>
          <w:lang w:val="en-US" w:eastAsia="en-US"/>
        </w:rPr>
        <w:t>, the</w:t>
      </w:r>
      <w:r w:rsidR="00966C10">
        <w:rPr>
          <w:lang w:val="en-US" w:eastAsia="en-US"/>
        </w:rPr>
        <w:t> </w:t>
      </w:r>
      <w:r w:rsidRPr="00BC21BD">
        <w:rPr>
          <w:lang w:val="en-US" w:eastAsia="en-US"/>
        </w:rPr>
        <w:t xml:space="preserve">new </w:t>
      </w:r>
      <w:r>
        <w:rPr>
          <w:lang w:val="en-US" w:eastAsia="en-US"/>
        </w:rPr>
        <w:t>bottom-line</w:t>
      </w:r>
      <w:r w:rsidRPr="00BC21BD">
        <w:rPr>
          <w:lang w:val="en-US" w:eastAsia="en-US"/>
        </w:rPr>
        <w:t xml:space="preserve"> contributes 3.0</w:t>
      </w:r>
      <w:r w:rsidR="008E40DC">
        <w:rPr>
          <w:lang w:val="en-US" w:eastAsia="en-US"/>
        </w:rPr>
        <w:t xml:space="preserve"> per cent</w:t>
      </w:r>
      <w:r w:rsidRPr="00BC21BD">
        <w:rPr>
          <w:lang w:val="en-US" w:eastAsia="en-US"/>
        </w:rPr>
        <w:t xml:space="preserve"> relative to the </w:t>
      </w:r>
      <w:r>
        <w:rPr>
          <w:lang w:val="en-US" w:eastAsia="en-US"/>
        </w:rPr>
        <w:t>current level of the nitrogen load</w:t>
      </w:r>
      <w:r w:rsidRPr="00BC21BD">
        <w:rPr>
          <w:lang w:val="en-US" w:eastAsia="en-US"/>
        </w:rPr>
        <w:t xml:space="preserve">. Regionally, the </w:t>
      </w:r>
      <w:r>
        <w:rPr>
          <w:lang w:val="en-US" w:eastAsia="en-US"/>
        </w:rPr>
        <w:t>DIN</w:t>
      </w:r>
      <w:r w:rsidRPr="00BC21BD">
        <w:rPr>
          <w:lang w:val="en-US" w:eastAsia="en-US"/>
        </w:rPr>
        <w:t xml:space="preserve"> </w:t>
      </w:r>
      <w:r>
        <w:rPr>
          <w:lang w:val="en-US" w:eastAsia="en-US"/>
        </w:rPr>
        <w:t>bottom-line</w:t>
      </w:r>
      <w:r w:rsidRPr="00BC21BD">
        <w:rPr>
          <w:lang w:val="en-US" w:eastAsia="en-US"/>
        </w:rPr>
        <w:t xml:space="preserve"> has the most noticeable </w:t>
      </w:r>
      <w:r w:rsidRPr="00BC21BD">
        <w:rPr>
          <w:lang w:val="en-US" w:eastAsia="en-US"/>
        </w:rPr>
        <w:lastRenderedPageBreak/>
        <w:t>impact in Canterbury (contributing 9.2</w:t>
      </w:r>
      <w:r w:rsidR="008E40DC">
        <w:rPr>
          <w:lang w:val="en-US" w:eastAsia="en-US"/>
        </w:rPr>
        <w:t xml:space="preserve"> per cent</w:t>
      </w:r>
      <w:r w:rsidRPr="00BC21BD">
        <w:rPr>
          <w:lang w:val="en-US" w:eastAsia="en-US"/>
        </w:rPr>
        <w:t xml:space="preserve"> to an overall 32.0</w:t>
      </w:r>
      <w:r w:rsidR="008E40DC">
        <w:rPr>
          <w:lang w:val="en-US" w:eastAsia="en-US"/>
        </w:rPr>
        <w:t xml:space="preserve"> per cent</w:t>
      </w:r>
      <w:r w:rsidRPr="00BC21BD">
        <w:rPr>
          <w:lang w:val="en-US" w:eastAsia="en-US"/>
        </w:rPr>
        <w:t xml:space="preserve"> reduction in nitrogen) and Waikato (contributing 6.7</w:t>
      </w:r>
      <w:r w:rsidR="008E40DC">
        <w:rPr>
          <w:lang w:val="en-US" w:eastAsia="en-US"/>
        </w:rPr>
        <w:t xml:space="preserve"> per cent</w:t>
      </w:r>
      <w:r w:rsidRPr="00BC21BD">
        <w:rPr>
          <w:lang w:val="en-US" w:eastAsia="en-US"/>
        </w:rPr>
        <w:t xml:space="preserve"> to an overall reduction of 9.9</w:t>
      </w:r>
      <w:r w:rsidR="008E40DC">
        <w:rPr>
          <w:lang w:val="en-US" w:eastAsia="en-US"/>
        </w:rPr>
        <w:t xml:space="preserve"> per cent</w:t>
      </w:r>
      <w:r w:rsidRPr="00BC21BD">
        <w:rPr>
          <w:lang w:val="en-US" w:eastAsia="en-US"/>
        </w:rPr>
        <w:t>).</w:t>
      </w:r>
    </w:p>
    <w:p w14:paraId="0F858C17" w14:textId="10BE613E" w:rsidR="00805723" w:rsidRDefault="00805723" w:rsidP="00966C10">
      <w:pPr>
        <w:pStyle w:val="Heading5"/>
        <w:spacing w:before="240"/>
        <w:ind w:left="397" w:right="397"/>
        <w:rPr>
          <w:lang w:val="en-US" w:eastAsia="en-US"/>
        </w:rPr>
      </w:pPr>
      <w:r w:rsidRPr="00EF75A5">
        <w:rPr>
          <w:lang w:val="en-US" w:eastAsia="en-US"/>
        </w:rPr>
        <w:t xml:space="preserve">To achieve the requirements of the </w:t>
      </w:r>
      <w:r w:rsidR="00EF75A5" w:rsidRPr="00EF75A5">
        <w:rPr>
          <w:lang w:val="en-US" w:eastAsia="en-US"/>
        </w:rPr>
        <w:t xml:space="preserve">2017 </w:t>
      </w:r>
      <w:r w:rsidRPr="00EF75A5">
        <w:rPr>
          <w:lang w:val="en-US" w:eastAsia="en-US"/>
        </w:rPr>
        <w:t>NPS</w:t>
      </w:r>
      <w:r w:rsidR="00EF75A5" w:rsidRPr="00EF75A5">
        <w:rPr>
          <w:lang w:val="en-US" w:eastAsia="en-US"/>
        </w:rPr>
        <w:t>-FM</w:t>
      </w:r>
      <w:r w:rsidRPr="00EF75A5">
        <w:rPr>
          <w:lang w:val="en-US" w:eastAsia="en-US"/>
        </w:rPr>
        <w:t xml:space="preserve"> </w:t>
      </w:r>
      <w:r w:rsidR="00EF75A5">
        <w:rPr>
          <w:lang w:val="en-US" w:eastAsia="en-US"/>
        </w:rPr>
        <w:t>wit</w:t>
      </w:r>
      <w:r w:rsidRPr="00EF75A5">
        <w:rPr>
          <w:lang w:val="en-US" w:eastAsia="en-US"/>
        </w:rPr>
        <w:t>h a strengthened national</w:t>
      </w:r>
      <w:r w:rsidRPr="00BC21BD">
        <w:rPr>
          <w:lang w:val="en-US" w:eastAsia="en-US"/>
        </w:rPr>
        <w:t xml:space="preserve"> </w:t>
      </w:r>
      <w:r>
        <w:rPr>
          <w:lang w:val="en-US" w:eastAsia="en-US"/>
        </w:rPr>
        <w:t>bottom</w:t>
      </w:r>
      <w:r w:rsidR="00966C10">
        <w:rPr>
          <w:lang w:val="en-US" w:eastAsia="en-US"/>
        </w:rPr>
        <w:noBreakHyphen/>
      </w:r>
      <w:r>
        <w:rPr>
          <w:lang w:val="en-US" w:eastAsia="en-US"/>
        </w:rPr>
        <w:t>line</w:t>
      </w:r>
      <w:r w:rsidRPr="00BC21BD">
        <w:rPr>
          <w:lang w:val="en-US" w:eastAsia="en-US"/>
        </w:rPr>
        <w:t xml:space="preserve"> for nitrate toxicity of 2.4 mg/L </w:t>
      </w:r>
    </w:p>
    <w:p w14:paraId="115C15B1" w14:textId="01A912BE" w:rsidR="00805723" w:rsidRDefault="00805723" w:rsidP="00966C10">
      <w:pPr>
        <w:pStyle w:val="BodyText"/>
        <w:ind w:left="397" w:right="397"/>
        <w:rPr>
          <w:lang w:val="en-US" w:eastAsia="en-US"/>
        </w:rPr>
      </w:pPr>
      <w:r>
        <w:rPr>
          <w:lang w:val="en-US" w:eastAsia="en-US"/>
        </w:rPr>
        <w:t>N</w:t>
      </w:r>
      <w:r w:rsidRPr="00BC21BD">
        <w:rPr>
          <w:lang w:val="en-US" w:eastAsia="en-US"/>
        </w:rPr>
        <w:t xml:space="preserve">itrogen loads would have to </w:t>
      </w:r>
      <w:r w:rsidRPr="0002076E">
        <w:t>reduce</w:t>
      </w:r>
      <w:r w:rsidRPr="00BC21BD">
        <w:rPr>
          <w:lang w:val="en-US" w:eastAsia="en-US"/>
        </w:rPr>
        <w:t xml:space="preserve"> by 7.7</w:t>
      </w:r>
      <w:r w:rsidR="008E40DC">
        <w:rPr>
          <w:lang w:val="en-US" w:eastAsia="en-US"/>
        </w:rPr>
        <w:t xml:space="preserve"> per cent</w:t>
      </w:r>
      <w:r w:rsidRPr="00BC21BD">
        <w:rPr>
          <w:lang w:val="en-US" w:eastAsia="en-US"/>
        </w:rPr>
        <w:t xml:space="preserve"> across New Zealand</w:t>
      </w:r>
      <w:r>
        <w:rPr>
          <w:lang w:val="en-US" w:eastAsia="en-US"/>
        </w:rPr>
        <w:t xml:space="preserve">. </w:t>
      </w:r>
      <w:r w:rsidRPr="00BC21BD">
        <w:rPr>
          <w:lang w:val="en-US" w:eastAsia="en-US"/>
        </w:rPr>
        <w:t>Of that 7.7</w:t>
      </w:r>
      <w:r w:rsidR="008E40DC">
        <w:rPr>
          <w:lang w:val="en-US" w:eastAsia="en-US"/>
        </w:rPr>
        <w:t xml:space="preserve"> per cent</w:t>
      </w:r>
      <w:r w:rsidRPr="00BC21BD">
        <w:rPr>
          <w:lang w:val="en-US" w:eastAsia="en-US"/>
        </w:rPr>
        <w:t xml:space="preserve">, the change to the </w:t>
      </w:r>
      <w:r>
        <w:rPr>
          <w:lang w:val="en-US" w:eastAsia="en-US"/>
        </w:rPr>
        <w:t>bottom-line</w:t>
      </w:r>
      <w:r w:rsidRPr="00BC21BD">
        <w:rPr>
          <w:lang w:val="en-US" w:eastAsia="en-US"/>
        </w:rPr>
        <w:t xml:space="preserve"> contributes 0.5</w:t>
      </w:r>
      <w:r w:rsidR="008E40DC">
        <w:rPr>
          <w:lang w:val="en-US" w:eastAsia="en-US"/>
        </w:rPr>
        <w:t xml:space="preserve"> per cent</w:t>
      </w:r>
      <w:r w:rsidRPr="00BC21BD">
        <w:rPr>
          <w:lang w:val="en-US" w:eastAsia="en-US"/>
        </w:rPr>
        <w:t xml:space="preserve"> relative to the baseload. The change is most noticeable in Canterbury and Waikato.</w:t>
      </w:r>
    </w:p>
    <w:p w14:paraId="14B8D7C8" w14:textId="3EF53D3A" w:rsidR="00805723" w:rsidRPr="00EF75A5" w:rsidRDefault="00805723" w:rsidP="00966C10">
      <w:pPr>
        <w:pStyle w:val="Heading5"/>
        <w:spacing w:before="240"/>
        <w:ind w:left="397" w:right="397"/>
        <w:rPr>
          <w:lang w:val="en-US" w:eastAsia="en-US"/>
        </w:rPr>
      </w:pPr>
      <w:r w:rsidRPr="00BC21BD">
        <w:rPr>
          <w:lang w:val="en-US" w:eastAsia="en-US"/>
        </w:rPr>
        <w:t xml:space="preserve">To achieve the requirements </w:t>
      </w:r>
      <w:r w:rsidRPr="00EF75A5">
        <w:rPr>
          <w:lang w:val="en-US" w:eastAsia="en-US"/>
        </w:rPr>
        <w:t xml:space="preserve">of the </w:t>
      </w:r>
      <w:r w:rsidR="00EF75A5" w:rsidRPr="00EF75A5">
        <w:rPr>
          <w:lang w:val="en-US" w:eastAsia="en-US"/>
        </w:rPr>
        <w:t xml:space="preserve">2017 </w:t>
      </w:r>
      <w:r w:rsidRPr="00EF75A5">
        <w:rPr>
          <w:lang w:val="en-US" w:eastAsia="en-US"/>
        </w:rPr>
        <w:t>NPS</w:t>
      </w:r>
      <w:r w:rsidR="00EF75A5" w:rsidRPr="00EF75A5">
        <w:rPr>
          <w:lang w:val="en-US" w:eastAsia="en-US"/>
        </w:rPr>
        <w:t>-FM</w:t>
      </w:r>
      <w:r w:rsidRPr="00EF75A5">
        <w:rPr>
          <w:lang w:val="en-US" w:eastAsia="en-US"/>
        </w:rPr>
        <w:t xml:space="preserve"> with a national bottom-line for DRP of</w:t>
      </w:r>
      <w:r w:rsidR="00966C10" w:rsidRPr="00EF75A5">
        <w:rPr>
          <w:lang w:val="en-US" w:eastAsia="en-US"/>
        </w:rPr>
        <w:t> </w:t>
      </w:r>
      <w:r w:rsidRPr="00EF75A5">
        <w:rPr>
          <w:lang w:val="en-US" w:eastAsia="en-US"/>
        </w:rPr>
        <w:t>0.018</w:t>
      </w:r>
      <w:r w:rsidR="0002076E" w:rsidRPr="00EF75A5">
        <w:rPr>
          <w:lang w:val="en-US" w:eastAsia="en-US"/>
        </w:rPr>
        <w:t> </w:t>
      </w:r>
      <w:r w:rsidRPr="00EF75A5">
        <w:rPr>
          <w:lang w:val="en-US" w:eastAsia="en-US"/>
        </w:rPr>
        <w:t xml:space="preserve">mg/L </w:t>
      </w:r>
    </w:p>
    <w:p w14:paraId="123ADB24" w14:textId="4CF275F6" w:rsidR="00805723" w:rsidRPr="00EF75A5" w:rsidRDefault="00805723" w:rsidP="00966C10">
      <w:pPr>
        <w:pStyle w:val="BodyText"/>
        <w:ind w:left="397" w:right="397"/>
        <w:rPr>
          <w:rFonts w:eastAsia="Calibri"/>
          <w:lang w:val="en-US" w:eastAsia="en-US"/>
        </w:rPr>
      </w:pPr>
      <w:r w:rsidRPr="00EF75A5">
        <w:rPr>
          <w:rFonts w:eastAsia="Calibri"/>
          <w:lang w:val="en-US" w:eastAsia="en-US"/>
        </w:rPr>
        <w:t>Phosphorus loads would have to reduce by 2.5</w:t>
      </w:r>
      <w:r w:rsidR="008E40DC">
        <w:rPr>
          <w:rFonts w:eastAsia="Calibri"/>
          <w:lang w:val="en-US" w:eastAsia="en-US"/>
        </w:rPr>
        <w:t xml:space="preserve"> per cent</w:t>
      </w:r>
      <w:r w:rsidRPr="00EF75A5">
        <w:rPr>
          <w:rFonts w:eastAsia="Calibri"/>
          <w:lang w:val="en-US" w:eastAsia="en-US"/>
        </w:rPr>
        <w:t xml:space="preserve"> across New Zealand. Of that 2.5</w:t>
      </w:r>
      <w:r w:rsidR="008E40DC">
        <w:rPr>
          <w:rFonts w:eastAsia="Calibri"/>
          <w:lang w:val="en-US" w:eastAsia="en-US"/>
        </w:rPr>
        <w:t xml:space="preserve"> per cent</w:t>
      </w:r>
      <w:r w:rsidRPr="00EF75A5">
        <w:rPr>
          <w:rFonts w:eastAsia="Calibri"/>
          <w:lang w:val="en-US" w:eastAsia="en-US"/>
        </w:rPr>
        <w:t>, the new bottom-line contributes 1.7</w:t>
      </w:r>
      <w:r w:rsidR="008E40DC">
        <w:rPr>
          <w:rFonts w:eastAsia="Calibri"/>
          <w:lang w:val="en-US" w:eastAsia="en-US"/>
        </w:rPr>
        <w:t xml:space="preserve"> per cent</w:t>
      </w:r>
      <w:r w:rsidRPr="00EF75A5">
        <w:rPr>
          <w:rFonts w:eastAsia="Calibri"/>
          <w:lang w:val="en-US" w:eastAsia="en-US"/>
        </w:rPr>
        <w:t xml:space="preserve"> relative to the baseload. The new bottom-line makes a noticeable difference in Waikato, Manawatū-Whanganui and Northland, but not elsewhere.</w:t>
      </w:r>
    </w:p>
    <w:p w14:paraId="76F5B27E" w14:textId="3E1CF6A0" w:rsidR="006842B2" w:rsidRPr="00A621E7" w:rsidRDefault="006842B2" w:rsidP="00966C10">
      <w:pPr>
        <w:pStyle w:val="BodyText"/>
      </w:pPr>
      <w:r w:rsidRPr="00EF75A5">
        <w:t>The</w:t>
      </w:r>
      <w:r w:rsidR="00C238B0" w:rsidRPr="00EF75A5">
        <w:t>re is only a small</w:t>
      </w:r>
      <w:r w:rsidRPr="00EF75A5">
        <w:t xml:space="preserve"> difference between </w:t>
      </w:r>
      <w:r w:rsidR="00C238B0" w:rsidRPr="00EF75A5">
        <w:t xml:space="preserve">a </w:t>
      </w:r>
      <w:r w:rsidRPr="00EF75A5">
        <w:t>10</w:t>
      </w:r>
      <w:r w:rsidR="008E40DC">
        <w:t xml:space="preserve"> per cent</w:t>
      </w:r>
      <w:r w:rsidRPr="00EF75A5">
        <w:t xml:space="preserve"> </w:t>
      </w:r>
      <w:r w:rsidR="00C238B0" w:rsidRPr="00EF75A5">
        <w:t xml:space="preserve">or </w:t>
      </w:r>
      <w:r w:rsidRPr="00EF75A5">
        <w:t>20</w:t>
      </w:r>
      <w:r w:rsidR="008E40DC">
        <w:t xml:space="preserve"> per cent</w:t>
      </w:r>
      <w:r w:rsidRPr="00EF75A5">
        <w:t xml:space="preserve"> spatial exceedance on the additional nutrient load reduction needed to meet the proposed new bottom-lines. </w:t>
      </w:r>
      <w:r w:rsidR="00C54CC6" w:rsidRPr="00EF75A5">
        <w:t>Assuming that other requirements, such as impacts on lakes and sensitive receiving environments don’t become more binding, a</w:t>
      </w:r>
      <w:r w:rsidRPr="00EF75A5">
        <w:t xml:space="preserve"> 30</w:t>
      </w:r>
      <w:r w:rsidR="008E40DC">
        <w:t xml:space="preserve"> per cent</w:t>
      </w:r>
      <w:r w:rsidRPr="00EF75A5">
        <w:t xml:space="preserve"> spatial exceedance </w:t>
      </w:r>
      <w:r w:rsidR="00C54CC6" w:rsidRPr="00EF75A5">
        <w:t>would mean that nutrient load reductions to meet the 2017 NPS</w:t>
      </w:r>
      <w:r w:rsidR="00EF75A5">
        <w:t>-FM</w:t>
      </w:r>
      <w:r w:rsidR="00C54CC6" w:rsidRPr="00EF75A5">
        <w:t xml:space="preserve"> periphyton bottom-line are less than the reductions required for the proposed DIN and DRP bottom-lines in many River Environment Classification (REC) classes (ie</w:t>
      </w:r>
      <w:r w:rsidR="00413496" w:rsidRPr="00EF75A5">
        <w:t>,</w:t>
      </w:r>
      <w:r w:rsidR="00C54CC6" w:rsidRPr="00EF75A5">
        <w:t xml:space="preserve"> DIN and DRP become the more stringent bottom line).</w:t>
      </w:r>
      <w:r w:rsidR="008E40DC">
        <w:t xml:space="preserve"> </w:t>
      </w:r>
    </w:p>
    <w:p w14:paraId="4ACD7160" w14:textId="77777777" w:rsidR="00805723" w:rsidRDefault="00805723" w:rsidP="006842B2">
      <w:pPr>
        <w:pStyle w:val="BodyText"/>
        <w:rPr>
          <w:rStyle w:val="Heading1Char"/>
          <w:rFonts w:eastAsiaTheme="minorEastAsia" w:cstheme="minorBidi"/>
          <w:b w:val="0"/>
          <w:bCs w:val="0"/>
          <w:color w:val="auto"/>
          <w:sz w:val="22"/>
          <w:szCs w:val="22"/>
        </w:rPr>
      </w:pPr>
    </w:p>
    <w:p w14:paraId="46835567" w14:textId="77777777" w:rsidR="008B2B2B" w:rsidRPr="008B2B2B" w:rsidRDefault="008B2B2B" w:rsidP="008B2B2B">
      <w:pPr>
        <w:pStyle w:val="BodyText"/>
        <w:rPr>
          <w:rStyle w:val="Heading1Char"/>
          <w:rFonts w:eastAsiaTheme="minorEastAsia" w:cstheme="minorBidi"/>
          <w:b w:val="0"/>
          <w:bCs w:val="0"/>
          <w:color w:val="auto"/>
          <w:sz w:val="22"/>
          <w:szCs w:val="22"/>
        </w:rPr>
      </w:pPr>
      <w:r w:rsidRPr="008B2B2B">
        <w:rPr>
          <w:rStyle w:val="Heading1Char"/>
          <w:rFonts w:eastAsiaTheme="minorEastAsia" w:cstheme="minorBidi"/>
          <w:b w:val="0"/>
          <w:bCs w:val="0"/>
          <w:color w:val="auto"/>
          <w:sz w:val="22"/>
          <w:szCs w:val="22"/>
        </w:rPr>
        <w:br w:type="page"/>
      </w:r>
    </w:p>
    <w:p w14:paraId="37702EFA" w14:textId="77777777" w:rsidR="00B0067B" w:rsidRDefault="21B3703A" w:rsidP="00966C10">
      <w:pPr>
        <w:pStyle w:val="Heading1"/>
        <w:rPr>
          <w:rStyle w:val="Heading1Char"/>
          <w:b/>
          <w:bCs/>
        </w:rPr>
      </w:pPr>
      <w:bookmarkStart w:id="23" w:name="_Toc40949859"/>
      <w:r w:rsidRPr="6E2BDE09">
        <w:rPr>
          <w:rStyle w:val="Heading1Char"/>
          <w:b/>
          <w:bCs/>
        </w:rPr>
        <w:lastRenderedPageBreak/>
        <w:t xml:space="preserve">1. </w:t>
      </w:r>
      <w:r w:rsidR="00966C10">
        <w:rPr>
          <w:rStyle w:val="Heading1Char"/>
          <w:b/>
          <w:bCs/>
        </w:rPr>
        <w:tab/>
      </w:r>
      <w:r w:rsidR="00B0067B" w:rsidRPr="6E2BDE09">
        <w:rPr>
          <w:rStyle w:val="Heading1Char"/>
          <w:b/>
          <w:bCs/>
        </w:rPr>
        <w:t>Introduction</w:t>
      </w:r>
      <w:bookmarkEnd w:id="6"/>
      <w:bookmarkEnd w:id="23"/>
    </w:p>
    <w:p w14:paraId="65C70F80" w14:textId="77777777" w:rsidR="004009B5" w:rsidRDefault="004009B5" w:rsidP="00966C10">
      <w:pPr>
        <w:pStyle w:val="Heading2"/>
        <w:spacing w:before="240"/>
      </w:pPr>
      <w:bookmarkStart w:id="24" w:name="_Toc39145198"/>
      <w:bookmarkStart w:id="25" w:name="_Toc40949860"/>
      <w:r>
        <w:t>Nitrogen and phosphorus</w:t>
      </w:r>
      <w:bookmarkEnd w:id="24"/>
      <w:bookmarkEnd w:id="25"/>
    </w:p>
    <w:p w14:paraId="20AA83CF" w14:textId="77777777" w:rsidR="004009B5" w:rsidRPr="00BC21BD" w:rsidRDefault="004009B5" w:rsidP="00966C10">
      <w:pPr>
        <w:pStyle w:val="BodyText"/>
      </w:pPr>
      <w:r w:rsidRPr="00BC21BD">
        <w:t>Nitrogen and phosphorus are nutrients that are necessary for all plant growth and are present naturally at low levels in freshwater ecosystems. However, excessive nutrients can:</w:t>
      </w:r>
    </w:p>
    <w:p w14:paraId="488F5BAA" w14:textId="77777777" w:rsidR="004009B5" w:rsidRPr="00966C10" w:rsidRDefault="004009B5" w:rsidP="00966C10">
      <w:pPr>
        <w:pStyle w:val="Bullet"/>
      </w:pPr>
      <w:r w:rsidRPr="00966C10">
        <w:t xml:space="preserve">contribute to problematic growth of </w:t>
      </w:r>
      <w:r w:rsidR="00BE0F0F" w:rsidRPr="00966C10">
        <w:t xml:space="preserve">phytoplankton (algae), </w:t>
      </w:r>
      <w:r w:rsidRPr="00966C10">
        <w:t xml:space="preserve">periphyton (slime) or macrophytes (rooted plants), affecting ecosystem health and people’s use and enjoyment of the waterbody </w:t>
      </w:r>
    </w:p>
    <w:p w14:paraId="3EBC5CD4" w14:textId="77777777" w:rsidR="004009B5" w:rsidRDefault="004009B5" w:rsidP="00966C10">
      <w:pPr>
        <w:pStyle w:val="Bullet"/>
      </w:pPr>
      <w:r w:rsidRPr="00966C10">
        <w:t>change</w:t>
      </w:r>
      <w:r>
        <w:t xml:space="preserve"> the ways that microbes and invertebrates break down and recycle organic matter (such as leaf litter) in rivers, which alters the way ecosystems function.</w:t>
      </w:r>
    </w:p>
    <w:p w14:paraId="5B420336" w14:textId="77777777" w:rsidR="004009B5" w:rsidRPr="00BC21BD" w:rsidRDefault="004009B5" w:rsidP="00966C10">
      <w:pPr>
        <w:pStyle w:val="BodyText"/>
      </w:pPr>
      <w:r>
        <w:t xml:space="preserve">Some forms of nitrogen can also have direct toxic impacts on </w:t>
      </w:r>
      <w:r w:rsidR="146D317E">
        <w:t xml:space="preserve">human and </w:t>
      </w:r>
      <w:r>
        <w:t>animal health</w:t>
      </w:r>
      <w:r w:rsidR="00A7510A">
        <w:rPr>
          <w:rStyle w:val="FootnoteReference"/>
        </w:rPr>
        <w:footnoteReference w:id="3"/>
      </w:r>
      <w:r>
        <w:t>.</w:t>
      </w:r>
    </w:p>
    <w:p w14:paraId="0E82126D" w14:textId="4D44EEB9" w:rsidR="00BA77C0" w:rsidRPr="00B67B36" w:rsidRDefault="005A02B2" w:rsidP="00B67B36">
      <w:pPr>
        <w:pStyle w:val="Heading2"/>
        <w:rPr>
          <w:rStyle w:val="Heading1Char"/>
          <w:b/>
          <w:bCs/>
          <w:color w:val="0F7B7D"/>
          <w:sz w:val="36"/>
          <w:szCs w:val="26"/>
        </w:rPr>
      </w:pPr>
      <w:bookmarkStart w:id="26" w:name="_Toc39145199"/>
      <w:bookmarkStart w:id="27" w:name="_Toc40949861"/>
      <w:r w:rsidRPr="00B67B36">
        <w:rPr>
          <w:rStyle w:val="Heading1Char"/>
          <w:b/>
          <w:bCs/>
          <w:color w:val="0F7B7D"/>
          <w:sz w:val="36"/>
          <w:szCs w:val="26"/>
        </w:rPr>
        <w:t xml:space="preserve">Requirements under the </w:t>
      </w:r>
      <w:bookmarkEnd w:id="26"/>
      <w:bookmarkEnd w:id="27"/>
      <w:r w:rsidR="00483079" w:rsidRPr="00B67B36">
        <w:rPr>
          <w:rStyle w:val="Heading1Char"/>
          <w:b/>
          <w:bCs/>
          <w:color w:val="0F7B7D"/>
          <w:sz w:val="36"/>
          <w:szCs w:val="26"/>
        </w:rPr>
        <w:t xml:space="preserve">existing National Policy Statement for Freshwater Management </w:t>
      </w:r>
    </w:p>
    <w:p w14:paraId="2F0990FA" w14:textId="15C14133" w:rsidR="00BA77C0" w:rsidRPr="00E9147F" w:rsidRDefault="00BA77C0" w:rsidP="00966C10">
      <w:pPr>
        <w:pStyle w:val="BodyText"/>
      </w:pPr>
      <w:bookmarkStart w:id="28" w:name="_Toc39145200"/>
      <w:bookmarkStart w:id="29" w:name="_Toc40424560"/>
      <w:bookmarkStart w:id="30" w:name="_Toc40425116"/>
      <w:r w:rsidRPr="00E9147F">
        <w:t xml:space="preserve">Under the Resource Management Act </w:t>
      </w:r>
      <w:r w:rsidR="00483079">
        <w:t xml:space="preserve">(1991) </w:t>
      </w:r>
      <w:r w:rsidRPr="00E9147F">
        <w:t>, local governments are responsible for implementing national requirements through their planning processes. Relevant content in</w:t>
      </w:r>
      <w:r w:rsidR="00E9147F">
        <w:t> </w:t>
      </w:r>
      <w:r w:rsidRPr="00E9147F">
        <w:t>regional plans is directed through the National Policy Statement for Freshwater Management</w:t>
      </w:r>
      <w:r w:rsidR="0083398E">
        <w:t> </w:t>
      </w:r>
      <w:r w:rsidRPr="00E9147F">
        <w:t>(NPS-FM).</w:t>
      </w:r>
      <w:bookmarkEnd w:id="28"/>
      <w:bookmarkEnd w:id="29"/>
      <w:bookmarkEnd w:id="30"/>
      <w:r w:rsidRPr="00E9147F">
        <w:t xml:space="preserve"> </w:t>
      </w:r>
    </w:p>
    <w:p w14:paraId="1D0B9533" w14:textId="68855BD6" w:rsidR="00BA77C0" w:rsidRPr="00E9147F" w:rsidRDefault="00BA77C0" w:rsidP="00966C10">
      <w:pPr>
        <w:pStyle w:val="BodyText"/>
      </w:pPr>
      <w:bookmarkStart w:id="31" w:name="_Toc39145201"/>
      <w:bookmarkStart w:id="32" w:name="_Toc40424561"/>
      <w:bookmarkStart w:id="33" w:name="_Toc40425117"/>
      <w:r w:rsidRPr="00E9147F">
        <w:t xml:space="preserve">The </w:t>
      </w:r>
      <w:r w:rsidR="009C17BC">
        <w:t>existing</w:t>
      </w:r>
      <w:r w:rsidR="005A02B2" w:rsidRPr="00E9147F">
        <w:t xml:space="preserve"> </w:t>
      </w:r>
      <w:r w:rsidRPr="00E9147F">
        <w:t xml:space="preserve">NPS-FM </w:t>
      </w:r>
      <w:r w:rsidR="00483079">
        <w:t xml:space="preserve">(2014, revised in 2017) </w:t>
      </w:r>
      <w:r w:rsidRPr="00E9147F">
        <w:t>directs councils to manage nutrients in rivers by setting objectives for ammonia and nitrate (in terms of their toxic effects, not their nutrient effects on plant growth) and for periphyton</w:t>
      </w:r>
      <w:r w:rsidR="00BE0F0F" w:rsidRPr="00E9147F">
        <w:t xml:space="preserve"> biomass</w:t>
      </w:r>
      <w:r w:rsidRPr="00E9147F">
        <w:t>. Councils are required to determine the levels of in-stream dissolved inorganic nitrogen (DIN) and dissolved reactive phosphorus (DRP) that will deliver their periphyton objective.</w:t>
      </w:r>
      <w:r w:rsidR="008E40DC">
        <w:t xml:space="preserve"> </w:t>
      </w:r>
      <w:r w:rsidRPr="00E9147F">
        <w:t>The NPS-FM makes it clear that</w:t>
      </w:r>
      <w:r w:rsidR="00BE0F0F" w:rsidRPr="00E9147F">
        <w:t xml:space="preserve"> nitrate and ammonia</w:t>
      </w:r>
      <w:r w:rsidRPr="00E9147F">
        <w:t xml:space="preserve"> toxicity </w:t>
      </w:r>
      <w:r w:rsidR="0067679D" w:rsidRPr="00E9147F">
        <w:t>bottom-line</w:t>
      </w:r>
      <w:r w:rsidRPr="00E9147F">
        <w:t>s are insufficient to provide for ecosystem health.</w:t>
      </w:r>
      <w:r w:rsidR="008E40DC">
        <w:t xml:space="preserve"> </w:t>
      </w:r>
      <w:r w:rsidRPr="00E9147F">
        <w:t>However, it does not directly specify the nutrient levels that will provide for ecosystem health.</w:t>
      </w:r>
      <w:bookmarkEnd w:id="31"/>
      <w:bookmarkEnd w:id="32"/>
      <w:bookmarkEnd w:id="33"/>
    </w:p>
    <w:p w14:paraId="606778DA" w14:textId="77777777" w:rsidR="00BA77C0" w:rsidRPr="00E9147F" w:rsidRDefault="00BA77C0" w:rsidP="00966C10">
      <w:pPr>
        <w:pStyle w:val="BodyText"/>
      </w:pPr>
      <w:bookmarkStart w:id="34" w:name="_Toc39145202"/>
      <w:bookmarkStart w:id="35" w:name="_Toc40424562"/>
      <w:bookmarkStart w:id="36" w:name="_Toc40425118"/>
      <w:r w:rsidRPr="00E9147F">
        <w:t xml:space="preserve">The periphyton attribute was intended to give councils flexibility in managing the negative effects of nutrients, because </w:t>
      </w:r>
      <w:r w:rsidR="00CA3A65" w:rsidRPr="00E9147F">
        <w:t xml:space="preserve">the </w:t>
      </w:r>
      <w:r w:rsidR="7C07F25E" w:rsidRPr="00E9147F">
        <w:t xml:space="preserve">impact of </w:t>
      </w:r>
      <w:r w:rsidR="03911ED5" w:rsidRPr="00E9147F">
        <w:t xml:space="preserve">the </w:t>
      </w:r>
      <w:r w:rsidR="00CA3A65" w:rsidRPr="00E9147F">
        <w:t>same</w:t>
      </w:r>
      <w:r w:rsidRPr="00E9147F">
        <w:t xml:space="preserve"> nutrient concentration</w:t>
      </w:r>
      <w:r w:rsidR="0DD0369D" w:rsidRPr="00E9147F">
        <w:t xml:space="preserve"> on </w:t>
      </w:r>
      <w:r w:rsidRPr="00E9147F">
        <w:t xml:space="preserve">periphyton </w:t>
      </w:r>
      <w:r w:rsidR="78AB1347" w:rsidRPr="00E9147F">
        <w:t>will</w:t>
      </w:r>
      <w:r w:rsidR="00966C10" w:rsidRPr="00E9147F">
        <w:t> </w:t>
      </w:r>
      <w:r w:rsidR="78AB1347" w:rsidRPr="00E9147F">
        <w:t>vary</w:t>
      </w:r>
      <w:r w:rsidR="4D3296AF" w:rsidRPr="00E9147F">
        <w:t xml:space="preserve"> due to other </w:t>
      </w:r>
      <w:r w:rsidR="28D5C1BE" w:rsidRPr="00E9147F">
        <w:t xml:space="preserve">factors </w:t>
      </w:r>
      <w:r w:rsidR="75D00216" w:rsidRPr="00E9147F">
        <w:t xml:space="preserve">present </w:t>
      </w:r>
      <w:r w:rsidR="28D5C1BE" w:rsidRPr="00E9147F">
        <w:t>(eg</w:t>
      </w:r>
      <w:r w:rsidR="00F120A9" w:rsidRPr="00E9147F">
        <w:t>,</w:t>
      </w:r>
      <w:r w:rsidR="28D5C1BE" w:rsidRPr="00E9147F">
        <w:t xml:space="preserve"> flow, stream shading, temperature bed type) at</w:t>
      </w:r>
      <w:r w:rsidRPr="00E9147F">
        <w:t xml:space="preserve"> different</w:t>
      </w:r>
      <w:r w:rsidR="580175AE" w:rsidRPr="00E9147F">
        <w:t xml:space="preserve"> </w:t>
      </w:r>
      <w:r w:rsidRPr="00E9147F">
        <w:t xml:space="preserve">locations. </w:t>
      </w:r>
      <w:bookmarkEnd w:id="34"/>
      <w:bookmarkEnd w:id="35"/>
      <w:bookmarkEnd w:id="36"/>
    </w:p>
    <w:p w14:paraId="7C942D4A" w14:textId="77777777" w:rsidR="005A02B2" w:rsidRPr="00E9147F" w:rsidRDefault="00BA77C0" w:rsidP="00966C10">
      <w:pPr>
        <w:pStyle w:val="BodyText"/>
      </w:pPr>
      <w:bookmarkStart w:id="37" w:name="_Toc39145203"/>
      <w:bookmarkStart w:id="38" w:name="_Toc40424563"/>
      <w:bookmarkStart w:id="39" w:name="_Toc40425119"/>
      <w:r w:rsidRPr="00E9147F">
        <w:t xml:space="preserve">Councils also need to work out target attribute states for each part of the catchment and manage the catchment to protect the most sensitive areas. That will mean the levels of nitrogen and phosphorus in rivers need to provide for the desired outcomes in nutrient-sensitive downstream environments (such as </w:t>
      </w:r>
      <w:r w:rsidR="00CA3A65" w:rsidRPr="00E9147F">
        <w:t>rivers,</w:t>
      </w:r>
      <w:r w:rsidRPr="00E9147F">
        <w:t xml:space="preserve"> lake</w:t>
      </w:r>
      <w:r w:rsidR="00CA3A65" w:rsidRPr="00E9147F">
        <w:t>s or estuaries</w:t>
      </w:r>
      <w:r w:rsidRPr="00E9147F">
        <w:t xml:space="preserve">). In rivers that neither grow periphyton nor have a sensitive receiving environment downstream, the nitrate and ammonia toxicity attributes </w:t>
      </w:r>
      <w:r w:rsidR="00CA3A65" w:rsidRPr="00E9147F">
        <w:t xml:space="preserve">provide the minimum </w:t>
      </w:r>
      <w:r w:rsidRPr="00E9147F">
        <w:t>requirement</w:t>
      </w:r>
      <w:r w:rsidR="00CA3A65" w:rsidRPr="00E9147F">
        <w:t xml:space="preserve"> for setting a target attribute state under the NPS-FM</w:t>
      </w:r>
      <w:r w:rsidRPr="00E9147F">
        <w:t>.</w:t>
      </w:r>
      <w:bookmarkEnd w:id="37"/>
      <w:bookmarkEnd w:id="38"/>
      <w:bookmarkEnd w:id="39"/>
    </w:p>
    <w:p w14:paraId="5B9A77E0" w14:textId="77777777" w:rsidR="004009B5" w:rsidRPr="00A621E7" w:rsidRDefault="004009B5" w:rsidP="00A621E7">
      <w:pPr>
        <w:pStyle w:val="Heading2"/>
      </w:pPr>
      <w:bookmarkStart w:id="40" w:name="_Toc39145204"/>
      <w:bookmarkStart w:id="41" w:name="_Toc40949862"/>
      <w:r w:rsidRPr="00A621E7">
        <w:lastRenderedPageBreak/>
        <w:t>Action for healthy waterways</w:t>
      </w:r>
      <w:bookmarkEnd w:id="40"/>
      <w:bookmarkEnd w:id="41"/>
    </w:p>
    <w:p w14:paraId="4FF5C04A" w14:textId="77777777" w:rsidR="006A4D14" w:rsidRPr="00E9147F" w:rsidRDefault="006A4D14" w:rsidP="00966C10">
      <w:pPr>
        <w:pStyle w:val="BodyText"/>
      </w:pPr>
      <w:bookmarkStart w:id="42" w:name="_Toc39145205"/>
      <w:bookmarkStart w:id="43" w:name="_Toc40424565"/>
      <w:bookmarkStart w:id="44" w:name="_Toc40425121"/>
      <w:r w:rsidRPr="00E9147F">
        <w:t xml:space="preserve">In October 2018, the Government launched the </w:t>
      </w:r>
      <w:r w:rsidRPr="00CC2EFB">
        <w:rPr>
          <w:i/>
          <w:iCs/>
        </w:rPr>
        <w:t>Essential Freshwater: Healthy Water, Fairly Allocated</w:t>
      </w:r>
      <w:r w:rsidRPr="00E9147F">
        <w:t xml:space="preserve"> work programme. The programme is the latest in a series of Government initiatives to address the effects of water use and land use on water quality and ecosystem health.</w:t>
      </w:r>
      <w:bookmarkEnd w:id="42"/>
      <w:bookmarkEnd w:id="43"/>
      <w:bookmarkEnd w:id="44"/>
      <w:r w:rsidRPr="00E9147F">
        <w:t xml:space="preserve"> </w:t>
      </w:r>
    </w:p>
    <w:p w14:paraId="21DEB0A6" w14:textId="77777777" w:rsidR="004009B5" w:rsidRPr="00E9147F" w:rsidRDefault="006A4D14" w:rsidP="00966C10">
      <w:pPr>
        <w:pStyle w:val="BodyText"/>
      </w:pPr>
      <w:bookmarkStart w:id="45" w:name="_Toc39145206"/>
      <w:bookmarkStart w:id="46" w:name="_Toc40424566"/>
      <w:bookmarkStart w:id="47" w:name="_Toc40425122"/>
      <w:r w:rsidRPr="00E9147F">
        <w:t xml:space="preserve">In September 2019, the Government consulted on </w:t>
      </w:r>
      <w:r w:rsidRPr="00CC2EFB">
        <w:rPr>
          <w:i/>
          <w:iCs/>
        </w:rPr>
        <w:t>Action for healthy waterways</w:t>
      </w:r>
      <w:r w:rsidRPr="00E9147F">
        <w:t>, a group of proposals to achieve a major part of the Essential Freshwater work programme. It addresses systemic issues with freshwater management and aims to reduce undesirable levels of sediment and pollution in waterways.</w:t>
      </w:r>
      <w:bookmarkEnd w:id="45"/>
      <w:bookmarkEnd w:id="46"/>
      <w:bookmarkEnd w:id="47"/>
    </w:p>
    <w:p w14:paraId="772B9B01" w14:textId="77777777" w:rsidR="004009B5" w:rsidRPr="00CC2EFB" w:rsidRDefault="005A02B2" w:rsidP="00CC2EFB">
      <w:pPr>
        <w:pStyle w:val="Heading2"/>
      </w:pPr>
      <w:bookmarkStart w:id="48" w:name="_Toc39145207"/>
      <w:bookmarkStart w:id="49" w:name="_Toc40424567"/>
      <w:bookmarkStart w:id="50" w:name="_Toc40949863"/>
      <w:r w:rsidRPr="00CC2EFB">
        <w:t>Purpose of this document</w:t>
      </w:r>
      <w:bookmarkEnd w:id="48"/>
      <w:bookmarkEnd w:id="49"/>
      <w:bookmarkEnd w:id="50"/>
    </w:p>
    <w:p w14:paraId="5EE6793C" w14:textId="77777777" w:rsidR="004009B5" w:rsidRPr="00BC21BD" w:rsidRDefault="004009B5" w:rsidP="00966C10">
      <w:pPr>
        <w:pStyle w:val="BodyText"/>
      </w:pPr>
      <w:r w:rsidRPr="00BC21BD">
        <w:t xml:space="preserve">The purpose of this </w:t>
      </w:r>
      <w:r w:rsidR="00CA3A65">
        <w:t>document</w:t>
      </w:r>
      <w:r w:rsidRPr="00BC21BD">
        <w:t xml:space="preserve"> </w:t>
      </w:r>
      <w:r w:rsidR="00CA3A65">
        <w:t>i</w:t>
      </w:r>
      <w:r w:rsidRPr="00BC21BD">
        <w:t xml:space="preserve">s to evaluate load reductions required to meet the </w:t>
      </w:r>
      <w:r w:rsidR="006A4D14" w:rsidRPr="00BC21BD">
        <w:t>new</w:t>
      </w:r>
      <w:r w:rsidRPr="00BC21BD">
        <w:t xml:space="preserve"> NPS-FM nutrient-related </w:t>
      </w:r>
      <w:r w:rsidR="0067679D">
        <w:t>bottom-line</w:t>
      </w:r>
      <w:r w:rsidRPr="00BC21BD">
        <w:t>s</w:t>
      </w:r>
      <w:r w:rsidR="006A4D14" w:rsidRPr="00BC21BD">
        <w:t xml:space="preserve"> proposed in </w:t>
      </w:r>
      <w:r w:rsidR="006A4D14" w:rsidRPr="00413496">
        <w:rPr>
          <w:i/>
        </w:rPr>
        <w:t xml:space="preserve">Action for </w:t>
      </w:r>
      <w:r w:rsidR="00413496" w:rsidRPr="00413496">
        <w:rPr>
          <w:i/>
        </w:rPr>
        <w:t>h</w:t>
      </w:r>
      <w:r w:rsidR="006A4D14" w:rsidRPr="00413496">
        <w:rPr>
          <w:i/>
        </w:rPr>
        <w:t xml:space="preserve">ealthy </w:t>
      </w:r>
      <w:r w:rsidR="00413496" w:rsidRPr="00413496">
        <w:rPr>
          <w:i/>
        </w:rPr>
        <w:t>w</w:t>
      </w:r>
      <w:r w:rsidR="006A4D14" w:rsidRPr="00413496">
        <w:rPr>
          <w:i/>
        </w:rPr>
        <w:t>aterways</w:t>
      </w:r>
      <w:r w:rsidRPr="00BC21BD">
        <w:t xml:space="preserve">, and compare these to the nutrient load reductions required under the baseline </w:t>
      </w:r>
      <w:r w:rsidR="00CA3A65">
        <w:t>defined by</w:t>
      </w:r>
      <w:r w:rsidRPr="00BC21BD">
        <w:t xml:space="preserve"> the 2017 NPS-FM. </w:t>
      </w:r>
      <w:r w:rsidR="00CA3A65">
        <w:t>L</w:t>
      </w:r>
      <w:r w:rsidR="00CA3A65" w:rsidRPr="00CA3A65">
        <w:t xml:space="preserve">oad reductions are changes required to the estimated/measured current loads to comply with the new NPS-FM </w:t>
      </w:r>
      <w:r w:rsidR="0067679D">
        <w:t>bottom-line</w:t>
      </w:r>
      <w:r w:rsidR="00CA3A65" w:rsidRPr="00CA3A65">
        <w:t>s and these reductions are compared with reductions need</w:t>
      </w:r>
      <w:r w:rsidR="00CA3A65">
        <w:t>ed</w:t>
      </w:r>
      <w:r w:rsidR="00CA3A65" w:rsidRPr="00CA3A65">
        <w:t xml:space="preserve"> to comply with the 2017 version of the NPS-FM, which is taken to be the baseline. </w:t>
      </w:r>
      <w:r w:rsidR="00CA3A65" w:rsidRPr="00BC21BD">
        <w:t>These nutrient load reductions will inform broader economic and policy evaluation.</w:t>
      </w:r>
    </w:p>
    <w:p w14:paraId="4AC5E703" w14:textId="3A22F3A7" w:rsidR="00D37E53" w:rsidRPr="00BC21BD" w:rsidRDefault="00D37E53" w:rsidP="0059238F">
      <w:pPr>
        <w:pStyle w:val="BodyText"/>
      </w:pPr>
      <w:r w:rsidRPr="00BC21BD">
        <w:t xml:space="preserve">The results of this work are also reported in </w:t>
      </w:r>
      <w:r w:rsidR="0059238F" w:rsidRPr="0059238F">
        <w:rPr>
          <w:i/>
        </w:rPr>
        <w:t>Regulatory Impact Analysis</w:t>
      </w:r>
      <w:r w:rsidR="0059238F">
        <w:rPr>
          <w:i/>
        </w:rPr>
        <w:t xml:space="preserve">: </w:t>
      </w:r>
      <w:r w:rsidR="0059238F" w:rsidRPr="0059238F">
        <w:rPr>
          <w:i/>
        </w:rPr>
        <w:t>Action for healthy waterways</w:t>
      </w:r>
      <w:r w:rsidR="0059238F">
        <w:rPr>
          <w:i/>
        </w:rPr>
        <w:t xml:space="preserve">. </w:t>
      </w:r>
      <w:r w:rsidR="0059238F" w:rsidRPr="0059238F">
        <w:rPr>
          <w:i/>
        </w:rPr>
        <w:t xml:space="preserve">Part II: Detailed Analysis </w:t>
      </w:r>
      <w:r w:rsidR="00D877B1" w:rsidRPr="00BC21BD">
        <w:t>(Ministry for the Environment, 2020)</w:t>
      </w:r>
      <w:r w:rsidRPr="00BC21BD">
        <w:t xml:space="preserve">. </w:t>
      </w:r>
    </w:p>
    <w:p w14:paraId="253C2D5E" w14:textId="77777777" w:rsidR="00B0067B" w:rsidRPr="00966C10" w:rsidRDefault="00B0067B" w:rsidP="00966C10">
      <w:pPr>
        <w:pStyle w:val="BodyText"/>
        <w:rPr>
          <w:rStyle w:val="Heading1Char"/>
          <w:rFonts w:eastAsiaTheme="minorEastAsia" w:cstheme="minorBidi"/>
          <w:b w:val="0"/>
          <w:bCs w:val="0"/>
          <w:color w:val="auto"/>
          <w:sz w:val="22"/>
          <w:szCs w:val="22"/>
        </w:rPr>
      </w:pPr>
      <w:r w:rsidRPr="00966C10">
        <w:rPr>
          <w:rStyle w:val="Heading1Char"/>
          <w:rFonts w:eastAsiaTheme="minorEastAsia" w:cstheme="minorBidi"/>
          <w:b w:val="0"/>
          <w:bCs w:val="0"/>
          <w:color w:val="auto"/>
          <w:sz w:val="22"/>
          <w:szCs w:val="22"/>
        </w:rPr>
        <w:br w:type="page"/>
      </w:r>
    </w:p>
    <w:p w14:paraId="10A5295F" w14:textId="77777777" w:rsidR="00B0067B" w:rsidRPr="00966C10" w:rsidRDefault="5A193151" w:rsidP="00966C10">
      <w:pPr>
        <w:pStyle w:val="Heading1"/>
        <w:rPr>
          <w:rStyle w:val="Heading1Char"/>
          <w:b/>
          <w:bCs/>
        </w:rPr>
      </w:pPr>
      <w:bookmarkStart w:id="51" w:name="_Toc39145208"/>
      <w:bookmarkStart w:id="52" w:name="_Toc40949864"/>
      <w:r w:rsidRPr="6E2BDE09">
        <w:rPr>
          <w:rStyle w:val="Heading1Char"/>
          <w:b/>
          <w:bCs/>
        </w:rPr>
        <w:lastRenderedPageBreak/>
        <w:t xml:space="preserve">2. </w:t>
      </w:r>
      <w:r w:rsidR="00966C10">
        <w:rPr>
          <w:rStyle w:val="Heading1Char"/>
          <w:b/>
          <w:bCs/>
        </w:rPr>
        <w:tab/>
      </w:r>
      <w:r w:rsidR="00B0067B" w:rsidRPr="6E2BDE09">
        <w:rPr>
          <w:rStyle w:val="Heading1Char"/>
          <w:b/>
          <w:bCs/>
        </w:rPr>
        <w:t>Methods</w:t>
      </w:r>
      <w:bookmarkEnd w:id="51"/>
      <w:bookmarkEnd w:id="52"/>
    </w:p>
    <w:p w14:paraId="2B30DA29" w14:textId="77777777" w:rsidR="00B0067B" w:rsidRDefault="00B0067B" w:rsidP="00C42D60">
      <w:pPr>
        <w:pStyle w:val="Heading2"/>
        <w:spacing w:before="120"/>
      </w:pPr>
      <w:bookmarkStart w:id="53" w:name="_Toc39145209"/>
      <w:bookmarkStart w:id="54" w:name="_Toc40949865"/>
      <w:r w:rsidRPr="00B0067B">
        <w:t>Overview of modelling approach</w:t>
      </w:r>
      <w:bookmarkEnd w:id="53"/>
      <w:bookmarkEnd w:id="54"/>
    </w:p>
    <w:p w14:paraId="0C2E16A9" w14:textId="1DE6DF6A" w:rsidR="00B0067B" w:rsidRPr="00CC2EFB" w:rsidRDefault="00D877B1" w:rsidP="00CC2EFB">
      <w:pPr>
        <w:pStyle w:val="BodyText"/>
      </w:pPr>
      <w:bookmarkStart w:id="55" w:name="_Toc40424570"/>
      <w:bookmarkStart w:id="56" w:name="_Toc40425126"/>
      <w:r w:rsidRPr="00CC2EFB">
        <w:t xml:space="preserve">Modelling was conducted by </w:t>
      </w:r>
      <w:r w:rsidR="57835F6F" w:rsidRPr="00CC2EFB">
        <w:t xml:space="preserve">the </w:t>
      </w:r>
      <w:r w:rsidR="00BE0F0F" w:rsidRPr="00CC2EFB">
        <w:t xml:space="preserve">National Institute for Water and Atmospheric </w:t>
      </w:r>
      <w:r w:rsidR="009B0F83">
        <w:t>R</w:t>
      </w:r>
      <w:r w:rsidR="00BE0F0F" w:rsidRPr="00CC2EFB">
        <w:t>esearch (</w:t>
      </w:r>
      <w:r w:rsidRPr="00CC2EFB">
        <w:t>NIWA</w:t>
      </w:r>
      <w:r w:rsidR="00BE0F0F" w:rsidRPr="00CC2EFB">
        <w:t>)</w:t>
      </w:r>
      <w:r w:rsidRPr="00CC2EFB">
        <w:t>, and</w:t>
      </w:r>
      <w:r w:rsidR="00A7510A" w:rsidRPr="00CC2EFB">
        <w:t xml:space="preserve"> data analysis and display was </w:t>
      </w:r>
      <w:r w:rsidR="69DC76C1" w:rsidRPr="00CC2EFB">
        <w:t>undertaken</w:t>
      </w:r>
      <w:r w:rsidRPr="00CC2EFB">
        <w:t xml:space="preserve"> by the Ministry for the Environment. </w:t>
      </w:r>
      <w:r w:rsidR="00B0067B" w:rsidRPr="00CC2EFB">
        <w:t xml:space="preserve">The modelling approach </w:t>
      </w:r>
      <w:r w:rsidR="00444EFC" w:rsidRPr="00CC2EFB">
        <w:t>taken by</w:t>
      </w:r>
      <w:r w:rsidR="00B0067B" w:rsidRPr="00CC2EFB">
        <w:t xml:space="preserve"> this stud</w:t>
      </w:r>
      <w:r w:rsidR="00875AFA" w:rsidRPr="00CC2EFB">
        <w:t>y</w:t>
      </w:r>
      <w:r w:rsidR="00B0067B" w:rsidRPr="00CC2EFB">
        <w:t xml:space="preserve"> follows previous modelling conducted for </w:t>
      </w:r>
      <w:r w:rsidRPr="00CC2EFB">
        <w:t>the Ministry for the Environment</w:t>
      </w:r>
      <w:r w:rsidR="00B0067B" w:rsidRPr="00CC2EFB">
        <w:t xml:space="preserve"> (Elliott </w:t>
      </w:r>
      <w:r w:rsidR="008E40DC">
        <w:t>et al</w:t>
      </w:r>
      <w:r w:rsidR="00B0067B" w:rsidRPr="00CC2EFB">
        <w:t xml:space="preserve"> 2016b; Elliott </w:t>
      </w:r>
      <w:r w:rsidR="008E40DC">
        <w:t>et al</w:t>
      </w:r>
      <w:r w:rsidR="00B0067B" w:rsidRPr="00CC2EFB">
        <w:t xml:space="preserve"> 2020), but is simplified in that only load reductions are considered (not</w:t>
      </w:r>
      <w:r w:rsidR="00444EFC" w:rsidRPr="00CC2EFB">
        <w:t xml:space="preserve"> potential</w:t>
      </w:r>
      <w:r w:rsidR="00B0067B" w:rsidRPr="00CC2EFB">
        <w:t xml:space="preserve"> load increases</w:t>
      </w:r>
      <w:bookmarkStart w:id="57" w:name="_Toc39145210"/>
      <w:bookmarkEnd w:id="55"/>
      <w:bookmarkEnd w:id="56"/>
      <w:r w:rsidR="00CA3A65" w:rsidRPr="00CC2EFB">
        <w:rPr>
          <w:vertAlign w:val="superscript"/>
        </w:rPr>
        <w:footnoteReference w:id="4"/>
      </w:r>
      <w:r w:rsidR="00B0067B" w:rsidRPr="00CC2EFB">
        <w:t>), m</w:t>
      </w:r>
      <w:r w:rsidR="006C4301" w:rsidRPr="00CC2EFB">
        <w:t>odel inputs are updated, and</w:t>
      </w:r>
      <w:r w:rsidR="00B0067B" w:rsidRPr="00CC2EFB">
        <w:t xml:space="preserve"> </w:t>
      </w:r>
      <w:r w:rsidR="006C4301" w:rsidRPr="00CC2EFB">
        <w:t xml:space="preserve">scenarios are tested </w:t>
      </w:r>
      <w:r w:rsidR="00B0067B" w:rsidRPr="00CC2EFB">
        <w:t xml:space="preserve">for </w:t>
      </w:r>
      <w:r w:rsidR="006C4301" w:rsidRPr="00CC2EFB">
        <w:t xml:space="preserve">proposed </w:t>
      </w:r>
      <w:r w:rsidR="0067679D" w:rsidRPr="00CC2EFB">
        <w:t>bottom-line</w:t>
      </w:r>
      <w:r w:rsidR="0015160D" w:rsidRPr="00CC2EFB">
        <w:t xml:space="preserve">s for </w:t>
      </w:r>
      <w:r w:rsidR="009B0F83" w:rsidRPr="00E9147F">
        <w:t>dissolved inorganic nitrogen (DIN) and dissolved reactive phosphorus (DRP)</w:t>
      </w:r>
      <w:r w:rsidR="00B0067B" w:rsidRPr="00CC2EFB">
        <w:t xml:space="preserve"> </w:t>
      </w:r>
      <w:r w:rsidR="006C4301" w:rsidRPr="00CC2EFB">
        <w:t>and nitrate toxicity</w:t>
      </w:r>
      <w:r w:rsidR="00B0067B" w:rsidRPr="00CC2EFB">
        <w:t>.</w:t>
      </w:r>
      <w:bookmarkEnd w:id="57"/>
    </w:p>
    <w:p w14:paraId="5F281AF9" w14:textId="3391B951" w:rsidR="00B0067B" w:rsidRPr="00CC2EFB" w:rsidRDefault="00F8515D" w:rsidP="00966C10">
      <w:pPr>
        <w:pStyle w:val="BodyText"/>
      </w:pPr>
      <w:bookmarkStart w:id="58" w:name="_Toc39145211"/>
      <w:bookmarkStart w:id="59" w:name="_Toc40424571"/>
      <w:bookmarkStart w:id="60" w:name="_Toc40425127"/>
      <w:r w:rsidRPr="00CC2EFB">
        <w:t xml:space="preserve">Current </w:t>
      </w:r>
      <w:r w:rsidR="00B0067B" w:rsidRPr="00CC2EFB">
        <w:t xml:space="preserve">catchment load estimates are based on the </w:t>
      </w:r>
      <w:r w:rsidR="00A7510A" w:rsidRPr="00CC2EFB">
        <w:t>Catchment Land Use for Environmental Sustainability (</w:t>
      </w:r>
      <w:r w:rsidR="00B0067B" w:rsidRPr="00CC2EFB">
        <w:t>CLUES</w:t>
      </w:r>
      <w:r w:rsidR="00A7510A" w:rsidRPr="00CC2EFB">
        <w:t>)</w:t>
      </w:r>
      <w:r w:rsidR="00B0067B" w:rsidRPr="00CC2EFB">
        <w:t xml:space="preserve"> catchment model (Elliott </w:t>
      </w:r>
      <w:r w:rsidR="008E40DC">
        <w:t>et al</w:t>
      </w:r>
      <w:r w:rsidR="00B0067B" w:rsidRPr="00CC2EFB">
        <w:t xml:space="preserve"> 2016a; Semadeni-Davies </w:t>
      </w:r>
      <w:r w:rsidR="008E40DC">
        <w:t>et al</w:t>
      </w:r>
      <w:r w:rsidR="00B0067B" w:rsidRPr="00CC2EFB">
        <w:t xml:space="preserve"> 2019; Semadeni-Davies </w:t>
      </w:r>
      <w:r w:rsidR="008E40DC">
        <w:t>et al</w:t>
      </w:r>
      <w:r w:rsidR="00B0067B" w:rsidRPr="00CC2EFB">
        <w:t xml:space="preserve"> 2020), which models contaminant load generation and transport through </w:t>
      </w:r>
      <w:r w:rsidR="00E87B1D" w:rsidRPr="00CC2EFB">
        <w:t xml:space="preserve">a representation of </w:t>
      </w:r>
      <w:r w:rsidR="00B0067B" w:rsidRPr="00CC2EFB">
        <w:t xml:space="preserve">the </w:t>
      </w:r>
      <w:r w:rsidRPr="00CC2EFB">
        <w:t xml:space="preserve">national drainage network provided by the </w:t>
      </w:r>
      <w:r w:rsidR="006C4301" w:rsidRPr="00CC2EFB">
        <w:t>River Environment Classification (</w:t>
      </w:r>
      <w:r w:rsidR="00B0067B" w:rsidRPr="00CC2EFB">
        <w:t>REC</w:t>
      </w:r>
      <w:r w:rsidR="006C4301" w:rsidRPr="00CC2EFB">
        <w:t>)</w:t>
      </w:r>
      <w:r w:rsidR="00B0067B" w:rsidRPr="00CC2EFB">
        <w:t xml:space="preserve">. </w:t>
      </w:r>
      <w:r w:rsidR="00CA3A65" w:rsidRPr="00CC2EFB">
        <w:t xml:space="preserve">Lakes were also represented within the network. </w:t>
      </w:r>
      <w:r w:rsidR="00B0067B" w:rsidRPr="00CC2EFB">
        <w:t xml:space="preserve">This study used the total nitrogen (TN) and total phosphorus (TP) components of CLUES. </w:t>
      </w:r>
      <w:bookmarkEnd w:id="58"/>
      <w:bookmarkEnd w:id="59"/>
      <w:bookmarkEnd w:id="60"/>
    </w:p>
    <w:p w14:paraId="209FAA89" w14:textId="77777777" w:rsidR="00B0067B" w:rsidRPr="00CC2EFB" w:rsidRDefault="00B0067B" w:rsidP="00966C10">
      <w:pPr>
        <w:pStyle w:val="BodyText"/>
      </w:pPr>
      <w:bookmarkStart w:id="61" w:name="_Toc39145212"/>
      <w:bookmarkStart w:id="62" w:name="_Toc40424572"/>
      <w:bookmarkStart w:id="63" w:name="_Toc40425128"/>
      <w:r w:rsidRPr="00CC2EFB">
        <w:t xml:space="preserve">The assessment of load reductions examines each stream </w:t>
      </w:r>
      <w:r w:rsidR="00CA3A65" w:rsidRPr="00CC2EFB">
        <w:t xml:space="preserve">network </w:t>
      </w:r>
      <w:r w:rsidRPr="00CC2EFB">
        <w:t xml:space="preserve">segment and lake of interest (evaluation locations) and compares the estimated current concentration with the target </w:t>
      </w:r>
      <w:r w:rsidR="0067679D" w:rsidRPr="00CC2EFB">
        <w:t>bottom-line</w:t>
      </w:r>
      <w:r w:rsidR="0095019C" w:rsidRPr="00CC2EFB">
        <w:t>s</w:t>
      </w:r>
      <w:r w:rsidRPr="00CC2EFB">
        <w:t xml:space="preserve">. The concentration reduction to meet the </w:t>
      </w:r>
      <w:r w:rsidR="0067679D" w:rsidRPr="00CC2EFB">
        <w:t>bottom-line</w:t>
      </w:r>
      <w:r w:rsidR="0095019C" w:rsidRPr="00CC2EFB">
        <w:t xml:space="preserve">s </w:t>
      </w:r>
      <w:r w:rsidRPr="00CC2EFB">
        <w:t>is calculated</w:t>
      </w:r>
      <w:r w:rsidR="00396904" w:rsidRPr="00CC2EFB">
        <w:t xml:space="preserve"> as a proportion of the current (estimated) concentration</w:t>
      </w:r>
      <w:r w:rsidRPr="00CC2EFB">
        <w:t xml:space="preserve">, and that proportion is applied to the current load (in a stream or out of a lake) to determine a maximum allowable load. If multiple </w:t>
      </w:r>
      <w:r w:rsidR="0067679D" w:rsidRPr="00CC2EFB">
        <w:t>bottom-line</w:t>
      </w:r>
      <w:r w:rsidR="0095019C" w:rsidRPr="00CC2EFB">
        <w:t>s apply</w:t>
      </w:r>
      <w:r w:rsidRPr="00CC2EFB">
        <w:t xml:space="preserve"> (for example, nitrate toxicity and general river ecosystem health), then</w:t>
      </w:r>
      <w:r w:rsidR="006C4301" w:rsidRPr="00CC2EFB">
        <w:t xml:space="preserve"> the</w:t>
      </w:r>
      <w:r w:rsidR="0083398E">
        <w:t> </w:t>
      </w:r>
      <w:r w:rsidR="0067679D" w:rsidRPr="00CC2EFB">
        <w:t>bottom-line</w:t>
      </w:r>
      <w:r w:rsidR="0095019C" w:rsidRPr="00CC2EFB">
        <w:t xml:space="preserve"> </w:t>
      </w:r>
      <w:r w:rsidRPr="00CC2EFB">
        <w:t xml:space="preserve">with the largest associated proportion reduction was chosen (the most </w:t>
      </w:r>
      <w:r w:rsidR="0095019C" w:rsidRPr="00CC2EFB">
        <w:t xml:space="preserve">strict </w:t>
      </w:r>
      <w:r w:rsidR="0067679D" w:rsidRPr="00CC2EFB">
        <w:t>bottom-line</w:t>
      </w:r>
      <w:r w:rsidRPr="00CC2EFB">
        <w:t>). For each catchment (as defined by terminal segment, that is, locations where the river reaches the coast):</w:t>
      </w:r>
      <w:bookmarkEnd w:id="61"/>
      <w:bookmarkEnd w:id="62"/>
      <w:bookmarkEnd w:id="63"/>
    </w:p>
    <w:p w14:paraId="285E08B6" w14:textId="77777777" w:rsidR="00B0067B" w:rsidRPr="00CC2EFB" w:rsidRDefault="00B0067B" w:rsidP="00BF1323">
      <w:pPr>
        <w:pStyle w:val="Bullet"/>
        <w:rPr>
          <w:rFonts w:eastAsiaTheme="minorEastAsia"/>
        </w:rPr>
      </w:pPr>
      <w:bookmarkStart w:id="64" w:name="_Toc39145213"/>
      <w:bookmarkStart w:id="65" w:name="_Toc40424573"/>
      <w:bookmarkStart w:id="66" w:name="_Toc40425129"/>
      <w:r w:rsidRPr="00CC2EFB">
        <w:rPr>
          <w:rFonts w:eastAsiaTheme="minorEastAsia"/>
        </w:rPr>
        <w:t xml:space="preserve">the </w:t>
      </w:r>
      <w:r w:rsidR="00396904" w:rsidRPr="00CC2EFB">
        <w:rPr>
          <w:rFonts w:eastAsiaTheme="minorEastAsia"/>
        </w:rPr>
        <w:t xml:space="preserve">‘critical </w:t>
      </w:r>
      <w:r w:rsidRPr="00CC2EFB">
        <w:rPr>
          <w:rFonts w:eastAsiaTheme="minorEastAsia"/>
        </w:rPr>
        <w:t>location</w:t>
      </w:r>
      <w:r w:rsidR="00396904" w:rsidRPr="00CC2EFB">
        <w:rPr>
          <w:rFonts w:eastAsiaTheme="minorEastAsia"/>
        </w:rPr>
        <w:t>’</w:t>
      </w:r>
      <w:r w:rsidRPr="00CC2EFB">
        <w:rPr>
          <w:rFonts w:eastAsiaTheme="minorEastAsia"/>
        </w:rPr>
        <w:t xml:space="preserve"> (stream segment or lake) requiring the greates</w:t>
      </w:r>
      <w:r w:rsidR="006C4301" w:rsidRPr="00CC2EFB">
        <w:rPr>
          <w:rFonts w:eastAsiaTheme="minorEastAsia"/>
        </w:rPr>
        <w:t>t</w:t>
      </w:r>
      <w:r w:rsidRPr="00CC2EFB">
        <w:rPr>
          <w:rFonts w:eastAsiaTheme="minorEastAsia"/>
        </w:rPr>
        <w:t xml:space="preserve"> proportion reduction in loading is determined, where the proportion reduction is how much the load needs to be reduced divided by the maximum it could be reduced if all land-use reverted to pre-development conditions </w:t>
      </w:r>
      <w:r w:rsidR="00D877B1" w:rsidRPr="00CC2EFB">
        <w:rPr>
          <w:rFonts w:eastAsiaTheme="minorEastAsia"/>
        </w:rPr>
        <w:t>and point sources were removed</w:t>
      </w:r>
      <w:bookmarkEnd w:id="64"/>
      <w:bookmarkEnd w:id="65"/>
      <w:bookmarkEnd w:id="66"/>
    </w:p>
    <w:p w14:paraId="3A80F7C6" w14:textId="7AA32B69" w:rsidR="00B0067B" w:rsidRPr="00CC2EFB" w:rsidRDefault="00D877B1" w:rsidP="00BF1323">
      <w:pPr>
        <w:pStyle w:val="Bullet"/>
        <w:rPr>
          <w:rFonts w:eastAsiaTheme="minorEastAsia"/>
        </w:rPr>
      </w:pPr>
      <w:bookmarkStart w:id="67" w:name="_Toc39145214"/>
      <w:bookmarkStart w:id="68" w:name="_Toc40424574"/>
      <w:bookmarkStart w:id="69" w:name="_Toc40425130"/>
      <w:r w:rsidRPr="00CC2EFB">
        <w:rPr>
          <w:rFonts w:eastAsiaTheme="minorEastAsia"/>
        </w:rPr>
        <w:t>a</w:t>
      </w:r>
      <w:r w:rsidR="00B0067B" w:rsidRPr="00CC2EFB">
        <w:rPr>
          <w:rFonts w:eastAsiaTheme="minorEastAsia"/>
        </w:rPr>
        <w:t>ll source loads upstream of the critical location are reduced by the same proportion</w:t>
      </w:r>
      <w:bookmarkEnd w:id="67"/>
      <w:bookmarkEnd w:id="68"/>
      <w:bookmarkEnd w:id="69"/>
    </w:p>
    <w:p w14:paraId="00AE2F9D" w14:textId="77777777" w:rsidR="00B0067B" w:rsidRPr="00CC2EFB" w:rsidRDefault="00D877B1" w:rsidP="00BF1323">
      <w:pPr>
        <w:pStyle w:val="Bullet"/>
        <w:rPr>
          <w:rFonts w:eastAsiaTheme="minorEastAsia"/>
        </w:rPr>
      </w:pPr>
      <w:bookmarkStart w:id="70" w:name="_Toc39145215"/>
      <w:bookmarkStart w:id="71" w:name="_Toc40424575"/>
      <w:bookmarkStart w:id="72" w:name="_Toc40425131"/>
      <w:r w:rsidRPr="00CC2EFB">
        <w:rPr>
          <w:rFonts w:eastAsiaTheme="minorEastAsia"/>
        </w:rPr>
        <w:t>t</w:t>
      </w:r>
      <w:r w:rsidR="00B0067B" w:rsidRPr="00CC2EFB">
        <w:rPr>
          <w:rFonts w:eastAsiaTheme="minorEastAsia"/>
        </w:rPr>
        <w:t>he new cumulative reduced loads are then calculated throughout the catchment, and the next critical location is found (if lo</w:t>
      </w:r>
      <w:r w:rsidRPr="00CC2EFB">
        <w:rPr>
          <w:rFonts w:eastAsiaTheme="minorEastAsia"/>
        </w:rPr>
        <w:t>ad reduction is still required)</w:t>
      </w:r>
      <w:bookmarkEnd w:id="70"/>
      <w:bookmarkEnd w:id="71"/>
      <w:bookmarkEnd w:id="72"/>
    </w:p>
    <w:p w14:paraId="10DBE3DA" w14:textId="77777777" w:rsidR="00B67B36" w:rsidRPr="00B67B36" w:rsidRDefault="00B67B36" w:rsidP="00B67B36">
      <w:pPr>
        <w:pStyle w:val="Bullet"/>
        <w:numPr>
          <w:ilvl w:val="0"/>
          <w:numId w:val="0"/>
        </w:numPr>
        <w:ind w:left="397"/>
        <w:rPr>
          <w:rFonts w:eastAsiaTheme="minorEastAsia" w:cstheme="minorBidi"/>
          <w:szCs w:val="22"/>
        </w:rPr>
      </w:pPr>
      <w:bookmarkStart w:id="73" w:name="_Toc39145216"/>
      <w:bookmarkStart w:id="74" w:name="_Toc40424576"/>
      <w:bookmarkStart w:id="75" w:name="_Toc40425132"/>
    </w:p>
    <w:p w14:paraId="590B79F2" w14:textId="77777777" w:rsidR="00B67B36" w:rsidRPr="00B67B36" w:rsidRDefault="00B67B36" w:rsidP="00B67B36">
      <w:pPr>
        <w:pStyle w:val="Bullet"/>
        <w:numPr>
          <w:ilvl w:val="0"/>
          <w:numId w:val="0"/>
        </w:numPr>
        <w:ind w:left="397"/>
        <w:rPr>
          <w:rFonts w:eastAsiaTheme="minorEastAsia" w:cstheme="minorBidi"/>
          <w:szCs w:val="22"/>
        </w:rPr>
      </w:pPr>
    </w:p>
    <w:p w14:paraId="356554DB" w14:textId="5468F1A7" w:rsidR="00875AFA" w:rsidRPr="009777E2" w:rsidRDefault="00D877B1" w:rsidP="00BF1323">
      <w:pPr>
        <w:pStyle w:val="Bullet"/>
        <w:rPr>
          <w:rStyle w:val="Heading1Char"/>
          <w:rFonts w:eastAsiaTheme="minorEastAsia" w:cstheme="minorBidi"/>
          <w:b w:val="0"/>
          <w:bCs w:val="0"/>
          <w:color w:val="auto"/>
          <w:sz w:val="22"/>
          <w:szCs w:val="22"/>
        </w:rPr>
      </w:pPr>
      <w:r w:rsidRPr="00CC2EFB">
        <w:rPr>
          <w:rFonts w:eastAsiaTheme="minorEastAsia"/>
        </w:rPr>
        <w:lastRenderedPageBreak/>
        <w:t>o</w:t>
      </w:r>
      <w:r w:rsidR="00B0067B" w:rsidRPr="00CC2EFB">
        <w:rPr>
          <w:rFonts w:eastAsiaTheme="minorEastAsia"/>
        </w:rPr>
        <w:t xml:space="preserve">nly reductions in concentrations and loading were considered (no increases), according to </w:t>
      </w:r>
      <w:r w:rsidR="00483079">
        <w:rPr>
          <w:rFonts w:eastAsiaTheme="minorEastAsia"/>
        </w:rPr>
        <w:t xml:space="preserve">the </w:t>
      </w:r>
      <w:r w:rsidR="00B0067B" w:rsidRPr="00CC2EFB">
        <w:rPr>
          <w:rFonts w:eastAsiaTheme="minorEastAsia"/>
        </w:rPr>
        <w:t>maintain</w:t>
      </w:r>
      <w:r w:rsidR="00483079">
        <w:rPr>
          <w:rFonts w:eastAsiaTheme="minorEastAsia"/>
        </w:rPr>
        <w:t xml:space="preserve"> </w:t>
      </w:r>
      <w:r w:rsidR="00B0067B" w:rsidRPr="00CC2EFB">
        <w:rPr>
          <w:rFonts w:eastAsiaTheme="minorEastAsia"/>
        </w:rPr>
        <w:t>or</w:t>
      </w:r>
      <w:r w:rsidR="00483079">
        <w:rPr>
          <w:rFonts w:eastAsiaTheme="minorEastAsia"/>
        </w:rPr>
        <w:t xml:space="preserve"> </w:t>
      </w:r>
      <w:r w:rsidR="00B0067B" w:rsidRPr="00CC2EFB">
        <w:rPr>
          <w:rFonts w:eastAsiaTheme="minorEastAsia"/>
        </w:rPr>
        <w:t xml:space="preserve">improve </w:t>
      </w:r>
      <w:r w:rsidR="00483079">
        <w:rPr>
          <w:rFonts w:eastAsiaTheme="minorEastAsia"/>
        </w:rPr>
        <w:t>provisions in the National Policy Statement for Freshwater Management (NPS-</w:t>
      </w:r>
      <w:r w:rsidR="00B0067B" w:rsidRPr="0059238F">
        <w:rPr>
          <w:rFonts w:eastAsiaTheme="minorEastAsia"/>
        </w:rPr>
        <w:t>FM</w:t>
      </w:r>
      <w:r w:rsidR="00483079">
        <w:rPr>
          <w:rFonts w:eastAsiaTheme="minorEastAsia"/>
        </w:rPr>
        <w:t>)</w:t>
      </w:r>
      <w:r w:rsidR="00B0067B" w:rsidRPr="009777E2">
        <w:rPr>
          <w:rStyle w:val="Heading1Char"/>
          <w:rFonts w:eastAsiaTheme="minorEastAsia" w:cstheme="minorBidi"/>
          <w:b w:val="0"/>
          <w:bCs w:val="0"/>
          <w:color w:val="auto"/>
          <w:sz w:val="22"/>
          <w:szCs w:val="22"/>
        </w:rPr>
        <w:t>.</w:t>
      </w:r>
      <w:bookmarkEnd w:id="73"/>
      <w:bookmarkEnd w:id="74"/>
      <w:bookmarkEnd w:id="75"/>
      <w:r w:rsidR="00875AFA">
        <w:rPr>
          <w:rStyle w:val="FootnoteReference"/>
        </w:rPr>
        <w:footnoteReference w:id="5"/>
      </w:r>
      <w:r w:rsidR="008E40DC">
        <w:rPr>
          <w:rStyle w:val="Heading1Char"/>
          <w:rFonts w:eastAsiaTheme="minorEastAsia" w:cstheme="minorBidi"/>
          <w:b w:val="0"/>
          <w:bCs w:val="0"/>
          <w:color w:val="auto"/>
          <w:sz w:val="22"/>
          <w:szCs w:val="22"/>
        </w:rPr>
        <w:t xml:space="preserve"> </w:t>
      </w:r>
    </w:p>
    <w:p w14:paraId="0B751F98" w14:textId="77777777" w:rsidR="00875AFA" w:rsidRPr="00A621E7" w:rsidRDefault="00875AFA" w:rsidP="00A621E7">
      <w:pPr>
        <w:pStyle w:val="Heading2"/>
        <w:rPr>
          <w:rStyle w:val="Heading1Char"/>
          <w:b/>
          <w:bCs/>
          <w:color w:val="0F7B7D"/>
          <w:sz w:val="36"/>
          <w:szCs w:val="26"/>
        </w:rPr>
      </w:pPr>
      <w:bookmarkStart w:id="76" w:name="_Toc39145217"/>
      <w:bookmarkStart w:id="77" w:name="_Toc40949866"/>
      <w:r w:rsidRPr="00A621E7">
        <w:rPr>
          <w:rStyle w:val="Heading1Char"/>
          <w:b/>
          <w:bCs/>
          <w:color w:val="0F7B7D"/>
          <w:sz w:val="36"/>
          <w:szCs w:val="26"/>
        </w:rPr>
        <w:t>Input datasets</w:t>
      </w:r>
      <w:bookmarkEnd w:id="76"/>
      <w:bookmarkEnd w:id="77"/>
    </w:p>
    <w:p w14:paraId="2749B47B" w14:textId="6C4C9D86" w:rsidR="00875AFA" w:rsidRPr="00CC2EFB" w:rsidRDefault="00875AFA" w:rsidP="00966C10">
      <w:pPr>
        <w:pStyle w:val="BodyText"/>
      </w:pPr>
      <w:bookmarkStart w:id="78" w:name="_Toc39145218"/>
      <w:bookmarkStart w:id="79" w:name="_Toc40424578"/>
      <w:bookmarkStart w:id="80" w:name="_Toc40425134"/>
      <w:r w:rsidRPr="00CC2EFB">
        <w:t>Source loadings for each REC sub</w:t>
      </w:r>
      <w:r w:rsidR="00AA265B">
        <w:t>-</w:t>
      </w:r>
      <w:r w:rsidRPr="00CC2EFB">
        <w:t>catchment were taken from the latest version of CLUES. They include pastoral sources calculated from a simplifi</w:t>
      </w:r>
      <w:r w:rsidR="00DA353E" w:rsidRPr="00CC2EFB">
        <w:t>ed version of Overseer nutrient</w:t>
      </w:r>
      <w:r w:rsidRPr="00CC2EFB">
        <w:t xml:space="preserve"> budgets. The version of Overseer uses the Overseer 6.2 calculation engine, but applies representative farm systems for each of dairy, intensive pasture and hill pasture, but can be modified for soil order, rainfall, slope, and stocking rate. The source</w:t>
      </w:r>
      <w:r w:rsidR="00396904" w:rsidRPr="00CC2EFB">
        <w:t xml:space="preserve"> load</w:t>
      </w:r>
      <w:r w:rsidRPr="00CC2EFB">
        <w:t>s for other land uses are determined as described in the CLUES documentation</w:t>
      </w:r>
      <w:r w:rsidR="00DA353E" w:rsidRPr="00CC2EFB">
        <w:t xml:space="preserve"> (Elliott </w:t>
      </w:r>
      <w:r w:rsidR="008E40DC">
        <w:t>et al</w:t>
      </w:r>
      <w:r w:rsidR="00DA353E" w:rsidRPr="00CC2EFB">
        <w:t xml:space="preserve"> 2016a; Semadeni-Davies </w:t>
      </w:r>
      <w:r w:rsidR="008E40DC">
        <w:t>et al</w:t>
      </w:r>
      <w:r w:rsidR="00DA353E" w:rsidRPr="00CC2EFB">
        <w:t xml:space="preserve"> 2019; Semadeni-Davies </w:t>
      </w:r>
      <w:r w:rsidR="008E40DC">
        <w:t>et al</w:t>
      </w:r>
      <w:r w:rsidR="00DA353E" w:rsidRPr="00CC2EFB">
        <w:t xml:space="preserve"> 2020)</w:t>
      </w:r>
      <w:r w:rsidRPr="00CC2EFB">
        <w:t xml:space="preserve"> and includes point sources.</w:t>
      </w:r>
      <w:bookmarkEnd w:id="78"/>
      <w:bookmarkEnd w:id="79"/>
      <w:bookmarkEnd w:id="80"/>
    </w:p>
    <w:p w14:paraId="519D973E" w14:textId="77777777" w:rsidR="00875AFA" w:rsidRPr="00CC2EFB" w:rsidRDefault="00875AFA" w:rsidP="00CC2EFB">
      <w:pPr>
        <w:pStyle w:val="BodyText"/>
      </w:pPr>
      <w:bookmarkStart w:id="81" w:name="_Toc39145219"/>
      <w:bookmarkStart w:id="82" w:name="_Toc40424579"/>
      <w:bookmarkStart w:id="83" w:name="_Toc40425135"/>
      <w:r w:rsidRPr="00CC2EFB">
        <w:t>The e</w:t>
      </w:r>
      <w:r w:rsidR="00D877B1" w:rsidRPr="00CC2EFB">
        <w:t>valuation locations comprised</w:t>
      </w:r>
      <w:r w:rsidRPr="00CC2EFB">
        <w:t>:</w:t>
      </w:r>
      <w:bookmarkEnd w:id="81"/>
      <w:bookmarkEnd w:id="82"/>
      <w:bookmarkEnd w:id="83"/>
    </w:p>
    <w:p w14:paraId="25C00715" w14:textId="5EAB21A1" w:rsidR="00875AFA" w:rsidRPr="00966C10" w:rsidRDefault="00875AFA" w:rsidP="00966C10">
      <w:pPr>
        <w:pStyle w:val="Bullet"/>
        <w:rPr>
          <w:rFonts w:eastAsiaTheme="minorEastAsia"/>
        </w:rPr>
      </w:pPr>
      <w:bookmarkStart w:id="84" w:name="_Toc40424580"/>
      <w:bookmarkStart w:id="85" w:name="_Toc40425136"/>
      <w:bookmarkStart w:id="86" w:name="_Toc39145220"/>
      <w:r w:rsidRPr="009670C6">
        <w:rPr>
          <w:rFonts w:eastAsiaTheme="minorEastAsia"/>
        </w:rPr>
        <w:t xml:space="preserve">2567 </w:t>
      </w:r>
      <w:r w:rsidRPr="00966C10">
        <w:rPr>
          <w:rFonts w:eastAsiaTheme="minorEastAsia"/>
        </w:rPr>
        <w:t>lakes</w:t>
      </w:r>
      <w:bookmarkEnd w:id="84"/>
      <w:bookmarkEnd w:id="85"/>
      <w:r w:rsidR="0020422A">
        <w:rPr>
          <w:rFonts w:eastAsiaTheme="minorEastAsia"/>
        </w:rPr>
        <w:t>.</w:t>
      </w:r>
      <w:bookmarkEnd w:id="86"/>
    </w:p>
    <w:p w14:paraId="52DC7723" w14:textId="0F8BD93D" w:rsidR="00875AFA" w:rsidRPr="00966C10" w:rsidRDefault="00875AFA" w:rsidP="00966C10">
      <w:pPr>
        <w:pStyle w:val="Bullet"/>
        <w:rPr>
          <w:rFonts w:eastAsiaTheme="minorEastAsia"/>
        </w:rPr>
      </w:pPr>
      <w:bookmarkStart w:id="87" w:name="_Toc39145221"/>
      <w:bookmarkStart w:id="88" w:name="_Toc40424581"/>
      <w:bookmarkStart w:id="89" w:name="_Toc40425137"/>
      <w:r w:rsidRPr="00966C10">
        <w:rPr>
          <w:rFonts w:eastAsiaTheme="minorEastAsia"/>
        </w:rPr>
        <w:t>All locations where re</w:t>
      </w:r>
      <w:r w:rsidR="00DA353E" w:rsidRPr="00966C10">
        <w:rPr>
          <w:rFonts w:eastAsiaTheme="minorEastAsia"/>
        </w:rPr>
        <w:t xml:space="preserve">levant water quality is measured (Larned </w:t>
      </w:r>
      <w:r w:rsidR="008E40DC">
        <w:rPr>
          <w:rFonts w:eastAsiaTheme="minorEastAsia"/>
        </w:rPr>
        <w:t>et al</w:t>
      </w:r>
      <w:r w:rsidR="00DA353E" w:rsidRPr="00966C10">
        <w:rPr>
          <w:rFonts w:eastAsiaTheme="minorEastAsia"/>
        </w:rPr>
        <w:t xml:space="preserve"> 2018a)</w:t>
      </w:r>
      <w:bookmarkEnd w:id="87"/>
      <w:bookmarkEnd w:id="88"/>
      <w:bookmarkEnd w:id="89"/>
      <w:r w:rsidR="0020422A">
        <w:rPr>
          <w:rFonts w:eastAsiaTheme="minorEastAsia"/>
        </w:rPr>
        <w:t>.</w:t>
      </w:r>
    </w:p>
    <w:p w14:paraId="6ED350A1" w14:textId="77777777" w:rsidR="00875AFA" w:rsidRPr="009670C6" w:rsidRDefault="00875AFA" w:rsidP="00966C10">
      <w:pPr>
        <w:pStyle w:val="Bullet"/>
        <w:rPr>
          <w:rFonts w:eastAsiaTheme="minorEastAsia"/>
        </w:rPr>
      </w:pPr>
      <w:bookmarkStart w:id="90" w:name="_Toc39145222"/>
      <w:bookmarkStart w:id="91" w:name="_Toc40424582"/>
      <w:bookmarkStart w:id="92" w:name="_Toc40425138"/>
      <w:r w:rsidRPr="00966C10">
        <w:rPr>
          <w:rFonts w:eastAsiaTheme="minorEastAsia"/>
        </w:rPr>
        <w:t>All river terminal</w:t>
      </w:r>
      <w:r w:rsidRPr="009670C6">
        <w:rPr>
          <w:rFonts w:eastAsiaTheme="minorEastAsia"/>
        </w:rPr>
        <w:t xml:space="preserve"> segments.</w:t>
      </w:r>
      <w:bookmarkEnd w:id="90"/>
      <w:bookmarkEnd w:id="91"/>
      <w:bookmarkEnd w:id="92"/>
    </w:p>
    <w:p w14:paraId="3BC9254D" w14:textId="77777777" w:rsidR="00875AFA" w:rsidRPr="006842B2" w:rsidRDefault="00875AFA" w:rsidP="00966C10">
      <w:pPr>
        <w:pStyle w:val="BodyText"/>
      </w:pPr>
      <w:bookmarkStart w:id="93" w:name="_Toc40424583"/>
      <w:bookmarkStart w:id="94" w:name="_Toc40425139"/>
      <w:r w:rsidRPr="00BF1323">
        <w:t xml:space="preserve">The estimated concentration was determined by measurements, where available, or </w:t>
      </w:r>
      <w:r w:rsidR="00420C65" w:rsidRPr="00BF1323">
        <w:t>otherwise</w:t>
      </w:r>
      <w:bookmarkStart w:id="95" w:name="_Toc39145223"/>
      <w:bookmarkEnd w:id="93"/>
      <w:bookmarkEnd w:id="94"/>
      <w:r w:rsidR="00420C65" w:rsidRPr="00BF1323">
        <w:t xml:space="preserve"> </w:t>
      </w:r>
      <w:r w:rsidRPr="006842B2">
        <w:t>concentrations</w:t>
      </w:r>
      <w:r w:rsidR="00CB4207" w:rsidRPr="006842B2">
        <w:t xml:space="preserve"> were</w:t>
      </w:r>
      <w:r w:rsidRPr="006842B2">
        <w:t xml:space="preserve"> </w:t>
      </w:r>
      <w:r w:rsidR="00CB4207" w:rsidRPr="006842B2">
        <w:t>estimated using the CLUES model</w:t>
      </w:r>
      <w:r w:rsidR="00CB4207" w:rsidRPr="006842B2" w:rsidDel="00420C65">
        <w:t xml:space="preserve"> </w:t>
      </w:r>
      <w:r w:rsidRPr="006842B2">
        <w:t>(non-monitored lakes, and most of the terminal reaches).</w:t>
      </w:r>
      <w:r w:rsidR="00665F75" w:rsidRPr="006842B2">
        <w:t xml:space="preserve"> The following datasets were used:</w:t>
      </w:r>
      <w:bookmarkEnd w:id="95"/>
    </w:p>
    <w:p w14:paraId="2EA8DBB5" w14:textId="272A6318" w:rsidR="00875AFA" w:rsidRPr="00BF1323" w:rsidRDefault="00875AFA" w:rsidP="00BF1323">
      <w:pPr>
        <w:pStyle w:val="Bullet"/>
        <w:tabs>
          <w:tab w:val="left" w:pos="397"/>
        </w:tabs>
        <w:rPr>
          <w:rFonts w:eastAsiaTheme="minorEastAsia"/>
        </w:rPr>
      </w:pPr>
      <w:bookmarkStart w:id="96" w:name="_Toc39145224"/>
      <w:bookmarkStart w:id="97" w:name="_Toc40424584"/>
      <w:bookmarkStart w:id="98" w:name="_Toc40425140"/>
      <w:r w:rsidRPr="00BF1323">
        <w:rPr>
          <w:rFonts w:eastAsiaTheme="minorEastAsia"/>
        </w:rPr>
        <w:t>Measured lake quality for 2013-17 (</w:t>
      </w:r>
      <w:r w:rsidR="00DA353E" w:rsidRPr="00BF1323">
        <w:rPr>
          <w:rFonts w:eastAsiaTheme="minorEastAsia"/>
        </w:rPr>
        <w:t xml:space="preserve">Larned </w:t>
      </w:r>
      <w:r w:rsidR="008E40DC">
        <w:rPr>
          <w:rFonts w:eastAsiaTheme="minorEastAsia"/>
        </w:rPr>
        <w:t>et al</w:t>
      </w:r>
      <w:r w:rsidR="00DA353E" w:rsidRPr="00BF1323">
        <w:rPr>
          <w:rFonts w:eastAsiaTheme="minorEastAsia"/>
        </w:rPr>
        <w:t xml:space="preserve"> 2018b</w:t>
      </w:r>
      <w:r w:rsidRPr="00BF1323">
        <w:rPr>
          <w:rFonts w:eastAsiaTheme="minorEastAsia"/>
        </w:rPr>
        <w:t>). The relevant summary statistics for the ecological and periphyton-related nutrient concentrations we</w:t>
      </w:r>
      <w:r w:rsidR="00D877B1" w:rsidRPr="00BF1323">
        <w:rPr>
          <w:rFonts w:eastAsiaTheme="minorEastAsia"/>
        </w:rPr>
        <w:t>re calculated from the</w:t>
      </w:r>
      <w:r w:rsidR="0083398E">
        <w:rPr>
          <w:rFonts w:eastAsiaTheme="minorEastAsia"/>
        </w:rPr>
        <w:t> </w:t>
      </w:r>
      <w:r w:rsidR="00D877B1" w:rsidRPr="00BF1323">
        <w:rPr>
          <w:rFonts w:eastAsiaTheme="minorEastAsia"/>
        </w:rPr>
        <w:t>datasets</w:t>
      </w:r>
      <w:bookmarkEnd w:id="96"/>
      <w:bookmarkEnd w:id="97"/>
      <w:bookmarkEnd w:id="98"/>
      <w:r w:rsidR="0020422A">
        <w:rPr>
          <w:rFonts w:eastAsiaTheme="minorEastAsia"/>
        </w:rPr>
        <w:t>.</w:t>
      </w:r>
    </w:p>
    <w:p w14:paraId="1F017557" w14:textId="77777777" w:rsidR="00665F75" w:rsidRPr="00BF1323" w:rsidRDefault="00665F75" w:rsidP="00BF1323">
      <w:pPr>
        <w:pStyle w:val="Bullet"/>
        <w:tabs>
          <w:tab w:val="left" w:pos="397"/>
        </w:tabs>
        <w:rPr>
          <w:rFonts w:eastAsiaTheme="minorEastAsia"/>
        </w:rPr>
      </w:pPr>
      <w:bookmarkStart w:id="99" w:name="_Toc39145225"/>
      <w:bookmarkStart w:id="100" w:name="_Toc40424585"/>
      <w:bookmarkStart w:id="101" w:name="_Toc40425141"/>
      <w:r w:rsidRPr="00BF1323">
        <w:rPr>
          <w:rFonts w:eastAsiaTheme="minorEastAsia"/>
        </w:rPr>
        <w:t>Predicted lake water quality data (Fraser and Snelder 2019)</w:t>
      </w:r>
      <w:bookmarkEnd w:id="99"/>
      <w:bookmarkEnd w:id="100"/>
      <w:bookmarkEnd w:id="101"/>
      <w:r w:rsidR="0020422A">
        <w:rPr>
          <w:rFonts w:eastAsiaTheme="minorEastAsia"/>
        </w:rPr>
        <w:t>.</w:t>
      </w:r>
    </w:p>
    <w:p w14:paraId="15FF4221" w14:textId="2866BD5B" w:rsidR="00665F75" w:rsidRPr="00BF1323" w:rsidRDefault="00875AFA" w:rsidP="00BF1323">
      <w:pPr>
        <w:pStyle w:val="Bullet"/>
        <w:tabs>
          <w:tab w:val="left" w:pos="397"/>
        </w:tabs>
        <w:rPr>
          <w:rFonts w:eastAsiaTheme="minorEastAsia"/>
        </w:rPr>
      </w:pPr>
      <w:bookmarkStart w:id="102" w:name="_Toc39145226"/>
      <w:bookmarkStart w:id="103" w:name="_Toc40424586"/>
      <w:bookmarkStart w:id="104" w:name="_Toc40425142"/>
      <w:r w:rsidRPr="00BF1323">
        <w:rPr>
          <w:rFonts w:eastAsiaTheme="minorEastAsia"/>
        </w:rPr>
        <w:t xml:space="preserve">Land use was based on FarmsOnline data for </w:t>
      </w:r>
      <w:r w:rsidR="005A4BBB" w:rsidRPr="00BF1323">
        <w:rPr>
          <w:rFonts w:eastAsiaTheme="minorEastAsia"/>
        </w:rPr>
        <w:t>2016</w:t>
      </w:r>
      <w:r w:rsidRPr="00BF1323">
        <w:rPr>
          <w:rFonts w:eastAsiaTheme="minorEastAsia"/>
        </w:rPr>
        <w:t>, but also to</w:t>
      </w:r>
      <w:r w:rsidR="00D877B1" w:rsidRPr="00BF1323">
        <w:rPr>
          <w:rFonts w:eastAsiaTheme="minorEastAsia"/>
        </w:rPr>
        <w:t>ok LCDB land cover into account</w:t>
      </w:r>
      <w:bookmarkEnd w:id="102"/>
      <w:bookmarkEnd w:id="103"/>
      <w:bookmarkEnd w:id="104"/>
      <w:r w:rsidR="0020422A">
        <w:rPr>
          <w:rFonts w:eastAsiaTheme="minorEastAsia"/>
        </w:rPr>
        <w:t>.</w:t>
      </w:r>
    </w:p>
    <w:p w14:paraId="7C98B650" w14:textId="6BEA8AEA" w:rsidR="00875AFA" w:rsidRPr="00BF1323" w:rsidRDefault="00665F75" w:rsidP="00BF1323">
      <w:pPr>
        <w:pStyle w:val="Bullet"/>
        <w:tabs>
          <w:tab w:val="left" w:pos="397"/>
        </w:tabs>
        <w:rPr>
          <w:rFonts w:eastAsiaTheme="minorEastAsia"/>
        </w:rPr>
      </w:pPr>
      <w:bookmarkStart w:id="105" w:name="_Toc39145227"/>
      <w:bookmarkStart w:id="106" w:name="_Toc40424587"/>
      <w:bookmarkStart w:id="107" w:name="_Toc40425143"/>
      <w:r w:rsidRPr="00BF1323">
        <w:rPr>
          <w:rFonts w:eastAsiaTheme="minorEastAsia"/>
        </w:rPr>
        <w:t>L</w:t>
      </w:r>
      <w:r w:rsidR="00875AFA" w:rsidRPr="00BF1323">
        <w:rPr>
          <w:rFonts w:eastAsiaTheme="minorEastAsia"/>
        </w:rPr>
        <w:t>and use proportion summaries for each REC sub</w:t>
      </w:r>
      <w:r w:rsidR="00AA265B">
        <w:rPr>
          <w:rFonts w:eastAsiaTheme="minorEastAsia"/>
        </w:rPr>
        <w:t>-</w:t>
      </w:r>
      <w:r w:rsidR="00875AFA" w:rsidRPr="00BF1323">
        <w:rPr>
          <w:rFonts w:eastAsiaTheme="minorEastAsia"/>
        </w:rPr>
        <w:t>catchment, in classes compatible with the CLUES model.</w:t>
      </w:r>
      <w:bookmarkEnd w:id="105"/>
      <w:bookmarkEnd w:id="106"/>
      <w:bookmarkEnd w:id="107"/>
    </w:p>
    <w:p w14:paraId="09972276" w14:textId="77777777" w:rsidR="00875AFA" w:rsidRPr="00BF1323" w:rsidRDefault="00875AFA" w:rsidP="00BF1323">
      <w:pPr>
        <w:pStyle w:val="BodyText"/>
      </w:pPr>
      <w:bookmarkStart w:id="108" w:name="_Toc39145228"/>
      <w:bookmarkStart w:id="109" w:name="_Toc40424588"/>
      <w:bookmarkStart w:id="110" w:name="_Toc40425144"/>
      <w:r w:rsidRPr="00BF1323">
        <w:t xml:space="preserve">The concentration </w:t>
      </w:r>
      <w:r w:rsidR="0067679D" w:rsidRPr="00BF1323">
        <w:t xml:space="preserve">bottom-lines </w:t>
      </w:r>
      <w:r w:rsidRPr="00BF1323">
        <w:t xml:space="preserve">used </w:t>
      </w:r>
      <w:r w:rsidR="0067679D" w:rsidRPr="00BF1323">
        <w:t xml:space="preserve">in this study </w:t>
      </w:r>
      <w:r w:rsidRPr="00BF1323">
        <w:t>were:</w:t>
      </w:r>
      <w:bookmarkEnd w:id="108"/>
      <w:bookmarkEnd w:id="109"/>
      <w:bookmarkEnd w:id="110"/>
    </w:p>
    <w:p w14:paraId="0611C50A" w14:textId="77777777" w:rsidR="004B6A33" w:rsidRPr="00BF186C" w:rsidRDefault="004B6A33" w:rsidP="00BF186C">
      <w:pPr>
        <w:pStyle w:val="Bullet"/>
        <w:tabs>
          <w:tab w:val="left" w:pos="397"/>
        </w:tabs>
        <w:rPr>
          <w:rFonts w:eastAsiaTheme="minorEastAsia"/>
        </w:rPr>
      </w:pPr>
      <w:bookmarkStart w:id="111" w:name="_Toc39145229"/>
      <w:bookmarkStart w:id="112" w:name="_Toc40424589"/>
      <w:bookmarkStart w:id="113" w:name="_Toc40425145"/>
      <w:r w:rsidRPr="00BF186C">
        <w:rPr>
          <w:rFonts w:eastAsiaTheme="minorEastAsia"/>
        </w:rPr>
        <w:t xml:space="preserve">Baseline </w:t>
      </w:r>
      <w:r w:rsidRPr="00BF1323">
        <w:rPr>
          <w:rFonts w:eastAsiaTheme="minorEastAsia"/>
        </w:rPr>
        <w:t>requirements</w:t>
      </w:r>
      <w:r w:rsidRPr="00BF186C">
        <w:rPr>
          <w:rFonts w:eastAsiaTheme="minorEastAsia"/>
        </w:rPr>
        <w:t xml:space="preserve"> in the 2017 NPS-FM:</w:t>
      </w:r>
      <w:bookmarkEnd w:id="111"/>
      <w:bookmarkEnd w:id="112"/>
      <w:bookmarkEnd w:id="113"/>
    </w:p>
    <w:p w14:paraId="72C0BEA3" w14:textId="77777777" w:rsidR="00875AFA" w:rsidRPr="002D693C" w:rsidRDefault="00875AFA" w:rsidP="002D693C">
      <w:pPr>
        <w:pStyle w:val="Sub-list"/>
      </w:pPr>
      <w:bookmarkStart w:id="114" w:name="_Toc39145230"/>
      <w:bookmarkStart w:id="115" w:name="_Toc40424590"/>
      <w:bookmarkStart w:id="116" w:name="_Toc40425146"/>
      <w:r w:rsidRPr="002D693C">
        <w:t xml:space="preserve">For nitrate toxicity, the </w:t>
      </w:r>
      <w:r w:rsidR="006C4301" w:rsidRPr="002D693C">
        <w:t xml:space="preserve">existing </w:t>
      </w:r>
      <w:r w:rsidRPr="002D693C">
        <w:t>bottom</w:t>
      </w:r>
      <w:r w:rsidR="0067679D" w:rsidRPr="002D693C">
        <w:t xml:space="preserve"> </w:t>
      </w:r>
      <w:r w:rsidRPr="002D693C">
        <w:t>line concentration for the median NPS-FM attribute (6.9 mg/L)</w:t>
      </w:r>
      <w:bookmarkEnd w:id="114"/>
      <w:bookmarkEnd w:id="115"/>
      <w:bookmarkEnd w:id="116"/>
      <w:r w:rsidR="0020422A">
        <w:t>.</w:t>
      </w:r>
    </w:p>
    <w:p w14:paraId="675E6148" w14:textId="687B7202" w:rsidR="004B6A33" w:rsidRPr="002D693C" w:rsidRDefault="004B6A33" w:rsidP="002D693C">
      <w:pPr>
        <w:pStyle w:val="Sub-list"/>
      </w:pPr>
      <w:bookmarkStart w:id="117" w:name="_Toc40424591"/>
      <w:bookmarkStart w:id="118" w:name="_Toc40425147"/>
      <w:bookmarkStart w:id="119" w:name="_Toc39145231"/>
      <w:r w:rsidRPr="002D693C">
        <w:t xml:space="preserve">For river periphyton, TN and DRP </w:t>
      </w:r>
      <w:r w:rsidR="0067679D" w:rsidRPr="002D693C">
        <w:t xml:space="preserve">targets </w:t>
      </w:r>
      <w:r w:rsidR="00396904" w:rsidRPr="002D693C">
        <w:t>to achieve periphyton objectives were derived</w:t>
      </w:r>
      <w:r w:rsidRPr="002D693C">
        <w:t xml:space="preserve"> based on Snelder </w:t>
      </w:r>
      <w:r w:rsidR="008E40DC">
        <w:t>et al</w:t>
      </w:r>
      <w:r w:rsidRPr="002D693C">
        <w:t xml:space="preserve"> (2019) but </w:t>
      </w:r>
      <w:r w:rsidR="00AB0309" w:rsidRPr="002D693C">
        <w:t>recalibrated</w:t>
      </w:r>
      <w:r w:rsidR="0067679D" w:rsidRPr="002D693C">
        <w:t xml:space="preserve"> using new information</w:t>
      </w:r>
      <w:r w:rsidRPr="002D693C">
        <w:t xml:space="preserve"> for nitrogen as described in Ministry for the Environment (2019). The </w:t>
      </w:r>
      <w:r w:rsidR="0067679D" w:rsidRPr="002D693C">
        <w:t xml:space="preserve">nutrient targets </w:t>
      </w:r>
      <w:r w:rsidR="00396904" w:rsidRPr="002D693C">
        <w:t xml:space="preserve">were </w:t>
      </w:r>
      <w:r w:rsidR="00D877B1" w:rsidRPr="002D693C">
        <w:t>calculated</w:t>
      </w:r>
      <w:r w:rsidRPr="002D693C">
        <w:t xml:space="preserve"> for each stream segment. </w:t>
      </w:r>
      <w:r w:rsidR="00396904" w:rsidRPr="002D693C">
        <w:t xml:space="preserve">These </w:t>
      </w:r>
      <w:r w:rsidR="0067679D" w:rsidRPr="002D693C">
        <w:t xml:space="preserve">nutrient targets </w:t>
      </w:r>
      <w:r w:rsidR="00396904" w:rsidRPr="002D693C">
        <w:t>vary by REC class to</w:t>
      </w:r>
      <w:r w:rsidR="0083398E">
        <w:t> </w:t>
      </w:r>
      <w:r w:rsidR="00396904" w:rsidRPr="002D693C">
        <w:t>account for differences in sensitivity of rivers to nutrients.</w:t>
      </w:r>
      <w:r w:rsidRPr="002D693C">
        <w:t xml:space="preserve"> Nutrient concentrations </w:t>
      </w:r>
      <w:r w:rsidRPr="002D693C">
        <w:lastRenderedPageBreak/>
        <w:t xml:space="preserve">associated with the </w:t>
      </w:r>
      <w:r w:rsidR="0067679D" w:rsidRPr="002D693C">
        <w:t xml:space="preserve">periphyton biomass </w:t>
      </w:r>
      <w:r w:rsidRPr="002D693C">
        <w:t>bottom-line of 200 mg chl-a/m</w:t>
      </w:r>
      <w:r w:rsidRPr="002D693C">
        <w:rPr>
          <w:vertAlign w:val="superscript"/>
        </w:rPr>
        <w:t>2</w:t>
      </w:r>
      <w:r w:rsidRPr="002D693C">
        <w:t xml:space="preserve"> were used. Three variants of </w:t>
      </w:r>
      <w:r w:rsidR="0067679D" w:rsidRPr="002D693C">
        <w:t xml:space="preserve">nutrient targets </w:t>
      </w:r>
      <w:r w:rsidRPr="002D693C">
        <w:t xml:space="preserve">are available, based on spatial exceedance </w:t>
      </w:r>
      <w:r w:rsidR="0067679D" w:rsidRPr="002D693C">
        <w:t xml:space="preserve">criteria </w:t>
      </w:r>
      <w:r w:rsidRPr="002D693C">
        <w:t>10</w:t>
      </w:r>
      <w:r w:rsidR="008E40DC">
        <w:t xml:space="preserve"> per cent</w:t>
      </w:r>
      <w:r w:rsidRPr="002D693C">
        <w:t>, 20</w:t>
      </w:r>
      <w:r w:rsidR="008E40DC">
        <w:t xml:space="preserve"> per cent</w:t>
      </w:r>
      <w:r w:rsidRPr="002D693C">
        <w:t xml:space="preserve"> and 30</w:t>
      </w:r>
      <w:r w:rsidR="008E40DC">
        <w:t xml:space="preserve"> per cent</w:t>
      </w:r>
      <w:r w:rsidR="0067679D" w:rsidRPr="002D693C">
        <w:t xml:space="preserve"> as described in Snelder (2019) and later in this document</w:t>
      </w:r>
      <w:r w:rsidRPr="002D693C">
        <w:t xml:space="preserve">. </w:t>
      </w:r>
      <w:bookmarkEnd w:id="117"/>
      <w:bookmarkEnd w:id="118"/>
      <w:bookmarkEnd w:id="119"/>
    </w:p>
    <w:p w14:paraId="2AC700EB" w14:textId="77777777" w:rsidR="004B6A33" w:rsidRPr="002D693C" w:rsidRDefault="004B6A33" w:rsidP="002D693C">
      <w:pPr>
        <w:pStyle w:val="Sub-list"/>
      </w:pPr>
      <w:bookmarkStart w:id="120" w:name="_Toc39145232"/>
      <w:bookmarkStart w:id="121" w:name="_Toc40424592"/>
      <w:bookmarkStart w:id="122" w:name="_Toc40425148"/>
      <w:r w:rsidRPr="002D693C">
        <w:t xml:space="preserve">Lake bottom-lines for median TN and TP. </w:t>
      </w:r>
      <w:r w:rsidR="0067679D" w:rsidRPr="002D693C">
        <w:t>Bottom-line</w:t>
      </w:r>
      <w:r w:rsidR="00396904" w:rsidRPr="002D693C">
        <w:t xml:space="preserve">s defined by the NPS-FM differ for two types of lakes where type is based on the mixing regime. </w:t>
      </w:r>
      <w:r w:rsidRPr="002D693C">
        <w:t xml:space="preserve">For monitored sites, where an estimate of lake mixing type was available, the estimated mixing type was used to determine the TN threshold (0.8 </w:t>
      </w:r>
      <w:r w:rsidR="007A50D9" w:rsidRPr="002D693C">
        <w:t>mg/L</w:t>
      </w:r>
      <w:r w:rsidRPr="002D693C">
        <w:t xml:space="preserve"> for polymictic lakes, 0.75 </w:t>
      </w:r>
      <w:r w:rsidR="007A50D9" w:rsidRPr="002D693C">
        <w:t>mg/L</w:t>
      </w:r>
      <w:r w:rsidRPr="002D693C">
        <w:t xml:space="preserve"> for seasonally-stratified or brackish lakes lake); for other lakes, where the mixing status is not known, the more conservative value of 0.75 </w:t>
      </w:r>
      <w:r w:rsidR="007A50D9" w:rsidRPr="002D693C">
        <w:t>mg/L</w:t>
      </w:r>
      <w:r w:rsidRPr="002D693C">
        <w:t xml:space="preserve"> was used. For TP the </w:t>
      </w:r>
      <w:r w:rsidR="0067679D" w:rsidRPr="002D693C">
        <w:t>bottom-line</w:t>
      </w:r>
      <w:r w:rsidRPr="002D693C">
        <w:t xml:space="preserve"> limit of 0.05</w:t>
      </w:r>
      <w:r w:rsidR="002F353E" w:rsidRPr="002D693C">
        <w:t> </w:t>
      </w:r>
      <w:r w:rsidR="007A50D9" w:rsidRPr="002D693C">
        <w:t>mg/L</w:t>
      </w:r>
      <w:r w:rsidRPr="002D693C">
        <w:t xml:space="preserve"> was used.</w:t>
      </w:r>
      <w:bookmarkEnd w:id="120"/>
      <w:bookmarkEnd w:id="121"/>
      <w:bookmarkEnd w:id="122"/>
    </w:p>
    <w:p w14:paraId="2F7AF138" w14:textId="77777777" w:rsidR="004B6A33" w:rsidRPr="002D693C" w:rsidRDefault="004B6A33" w:rsidP="002D693C">
      <w:pPr>
        <w:pStyle w:val="Bullet"/>
        <w:keepNext/>
        <w:rPr>
          <w:rFonts w:eastAsiaTheme="minorEastAsia"/>
        </w:rPr>
      </w:pPr>
      <w:bookmarkStart w:id="123" w:name="_Toc39145233"/>
      <w:bookmarkStart w:id="124" w:name="_Toc40424593"/>
      <w:bookmarkStart w:id="125" w:name="_Toc40425149"/>
      <w:r w:rsidRPr="002D693C">
        <w:rPr>
          <w:rFonts w:eastAsiaTheme="minorEastAsia"/>
        </w:rPr>
        <w:t xml:space="preserve">Proposals in </w:t>
      </w:r>
      <w:r w:rsidRPr="002D693C">
        <w:rPr>
          <w:rFonts w:eastAsiaTheme="minorEastAsia"/>
          <w:i/>
          <w:iCs/>
        </w:rPr>
        <w:t xml:space="preserve">Action for </w:t>
      </w:r>
      <w:r w:rsidR="00A75FC7" w:rsidRPr="002D693C">
        <w:rPr>
          <w:rFonts w:eastAsiaTheme="minorEastAsia"/>
          <w:i/>
          <w:iCs/>
        </w:rPr>
        <w:t>h</w:t>
      </w:r>
      <w:r w:rsidRPr="002D693C">
        <w:rPr>
          <w:rFonts w:eastAsiaTheme="minorEastAsia"/>
          <w:i/>
          <w:iCs/>
        </w:rPr>
        <w:t xml:space="preserve">ealthy </w:t>
      </w:r>
      <w:r w:rsidR="00A75FC7" w:rsidRPr="002D693C">
        <w:rPr>
          <w:rFonts w:eastAsiaTheme="minorEastAsia"/>
          <w:i/>
          <w:iCs/>
        </w:rPr>
        <w:t>w</w:t>
      </w:r>
      <w:r w:rsidRPr="002D693C">
        <w:rPr>
          <w:rFonts w:eastAsiaTheme="minorEastAsia"/>
          <w:i/>
          <w:iCs/>
        </w:rPr>
        <w:t>aterways</w:t>
      </w:r>
      <w:r w:rsidRPr="002D693C">
        <w:rPr>
          <w:rFonts w:eastAsiaTheme="minorEastAsia"/>
        </w:rPr>
        <w:t>:</w:t>
      </w:r>
      <w:bookmarkEnd w:id="123"/>
      <w:bookmarkEnd w:id="124"/>
      <w:bookmarkEnd w:id="125"/>
    </w:p>
    <w:p w14:paraId="1A84AD84" w14:textId="77777777" w:rsidR="00875AFA" w:rsidRPr="002D693C" w:rsidRDefault="00875AFA" w:rsidP="002D693C">
      <w:pPr>
        <w:pStyle w:val="Sub-list"/>
      </w:pPr>
      <w:bookmarkStart w:id="126" w:name="_Toc39145234"/>
      <w:bookmarkStart w:id="127" w:name="_Toc40424594"/>
      <w:bookmarkStart w:id="128" w:name="_Toc40425150"/>
      <w:r w:rsidRPr="002D693C">
        <w:t xml:space="preserve">For the new ecosystem health criteria, </w:t>
      </w:r>
      <w:r w:rsidR="0067679D" w:rsidRPr="002D693C">
        <w:t xml:space="preserve">consulted </w:t>
      </w:r>
      <w:r w:rsidRPr="002D693C">
        <w:t>bottom-line median concentration</w:t>
      </w:r>
      <w:r w:rsidR="004B6A33" w:rsidRPr="002D693C">
        <w:t>s</w:t>
      </w:r>
      <w:r w:rsidRPr="002D693C">
        <w:t xml:space="preserve"> of 1.0 </w:t>
      </w:r>
      <w:r w:rsidR="006C4301" w:rsidRPr="002D693C">
        <w:t>mg/L</w:t>
      </w:r>
      <w:r w:rsidRPr="002D693C">
        <w:t xml:space="preserve"> for DIN, and 0.0</w:t>
      </w:r>
      <w:r w:rsidR="006C4301" w:rsidRPr="002D693C">
        <w:t>18</w:t>
      </w:r>
      <w:r w:rsidRPr="002D693C">
        <w:t xml:space="preserve"> </w:t>
      </w:r>
      <w:r w:rsidR="006C4301" w:rsidRPr="002D693C">
        <w:t>mg/L</w:t>
      </w:r>
      <w:r w:rsidR="00D877B1" w:rsidRPr="002D693C">
        <w:t xml:space="preserve"> for DRP</w:t>
      </w:r>
      <w:bookmarkEnd w:id="126"/>
      <w:bookmarkEnd w:id="127"/>
      <w:bookmarkEnd w:id="128"/>
      <w:r w:rsidR="0020422A">
        <w:t>.</w:t>
      </w:r>
    </w:p>
    <w:p w14:paraId="6F014EF5" w14:textId="77777777" w:rsidR="004B6A33" w:rsidRPr="002D693C" w:rsidRDefault="004B6A33" w:rsidP="002D693C">
      <w:pPr>
        <w:pStyle w:val="Sub-list"/>
      </w:pPr>
      <w:bookmarkStart w:id="129" w:name="_Toc39145235"/>
      <w:bookmarkStart w:id="130" w:name="_Toc40424595"/>
      <w:bookmarkStart w:id="131" w:name="_Toc40425151"/>
      <w:r w:rsidRPr="002D693C">
        <w:t xml:space="preserve">For nitrate toxicity, alternative </w:t>
      </w:r>
      <w:r w:rsidR="0067679D" w:rsidRPr="002D693C">
        <w:t>bottom-line</w:t>
      </w:r>
      <w:r w:rsidRPr="002D693C">
        <w:t>s of 3.8 mg/L and 2.4 mg/L.</w:t>
      </w:r>
      <w:bookmarkEnd w:id="129"/>
      <w:bookmarkEnd w:id="130"/>
      <w:bookmarkEnd w:id="131"/>
    </w:p>
    <w:p w14:paraId="203EFB13" w14:textId="77777777" w:rsidR="00875AFA" w:rsidRPr="00966C10" w:rsidRDefault="00665F75" w:rsidP="00966C10">
      <w:pPr>
        <w:pStyle w:val="Heading2"/>
      </w:pPr>
      <w:bookmarkStart w:id="132" w:name="_Toc39145236"/>
      <w:bookmarkStart w:id="133" w:name="_Toc40949867"/>
      <w:r w:rsidRPr="00966C10">
        <w:t xml:space="preserve">Nutrient </w:t>
      </w:r>
      <w:r w:rsidR="00C654E6" w:rsidRPr="00966C10">
        <w:t>targets</w:t>
      </w:r>
      <w:r w:rsidRPr="00966C10">
        <w:t xml:space="preserve"> for managing periphyton</w:t>
      </w:r>
      <w:bookmarkEnd w:id="132"/>
      <w:bookmarkEnd w:id="133"/>
    </w:p>
    <w:p w14:paraId="2B32DB4D" w14:textId="3223D420" w:rsidR="002C33E1" w:rsidRPr="002D693C" w:rsidRDefault="002C33E1" w:rsidP="002D693C">
      <w:pPr>
        <w:pStyle w:val="BodyText"/>
      </w:pPr>
      <w:bookmarkStart w:id="134" w:name="_Toc40424597"/>
      <w:bookmarkStart w:id="135" w:name="_Toc40425153"/>
      <w:r w:rsidRPr="002D693C">
        <w:t xml:space="preserve">Deriving nutrient </w:t>
      </w:r>
      <w:r w:rsidR="00C654E6" w:rsidRPr="002D693C">
        <w:t>targets</w:t>
      </w:r>
      <w:r w:rsidRPr="002D693C">
        <w:t xml:space="preserve"> to </w:t>
      </w:r>
      <w:r w:rsidR="00396904" w:rsidRPr="002D693C">
        <w:t xml:space="preserve">achieve a periphyton biomass/abundance objective or to restrict periphyton biomass/abundance to levels less than the </w:t>
      </w:r>
      <w:r w:rsidR="0067679D" w:rsidRPr="002D693C">
        <w:t xml:space="preserve">biomass </w:t>
      </w:r>
      <w:r w:rsidR="00396904" w:rsidRPr="002D693C">
        <w:t xml:space="preserve">bottom line </w:t>
      </w:r>
      <w:r w:rsidRPr="002D693C">
        <w:t>cannot be 100</w:t>
      </w:r>
      <w:r w:rsidR="008E40DC">
        <w:t xml:space="preserve"> per cent</w:t>
      </w:r>
      <w:r w:rsidRPr="002D693C">
        <w:t xml:space="preserve"> certain because of natural variability</w:t>
      </w:r>
      <w:r w:rsidR="00396904" w:rsidRPr="002D693C">
        <w:t>,</w:t>
      </w:r>
      <w:r w:rsidRPr="002D693C">
        <w:t xml:space="preserve"> complex interactions in the environment</w:t>
      </w:r>
      <w:r w:rsidR="00396904" w:rsidRPr="002D693C">
        <w:t>, and the complexity of the relationship between nutrients and periphyton abundance</w:t>
      </w:r>
      <w:r w:rsidRPr="002D693C">
        <w:t>. This is because periphyton responds to a wide range of environmental drivers, such as</w:t>
      </w:r>
      <w:r w:rsidR="0020422A">
        <w:t>:</w:t>
      </w:r>
      <w:r w:rsidRPr="002D693C">
        <w:t xml:space="preserve"> nutrients, flows, temperature, light, and grazing by invertebrates. </w:t>
      </w:r>
      <w:r w:rsidR="00F72CAD" w:rsidRPr="002D693C">
        <w:t>For a given amount of nutrients in a river, there will always be a risk that the predicted amount of periphyton will be exceeded. Therefore,</w:t>
      </w:r>
      <w:r w:rsidRPr="002D693C">
        <w:t xml:space="preserve"> </w:t>
      </w:r>
      <w:r w:rsidR="00F72CAD" w:rsidRPr="002D693C">
        <w:t>the risk</w:t>
      </w:r>
      <w:r w:rsidR="00D877B1" w:rsidRPr="002D693C">
        <w:t>s</w:t>
      </w:r>
      <w:r w:rsidR="00F72CAD" w:rsidRPr="002D693C">
        <w:t xml:space="preserve"> of not achieving the periphyton</w:t>
      </w:r>
      <w:bookmarkEnd w:id="134"/>
      <w:bookmarkEnd w:id="135"/>
      <w:r w:rsidR="00F72CAD" w:rsidRPr="002D693C">
        <w:t xml:space="preserve"> </w:t>
      </w:r>
      <w:r w:rsidR="0067679D" w:rsidRPr="002D693C">
        <w:t>biomass bottom-line</w:t>
      </w:r>
      <w:r w:rsidRPr="002D693C">
        <w:t xml:space="preserve"> were built into the nutrient </w:t>
      </w:r>
      <w:r w:rsidR="00C654E6" w:rsidRPr="002D693C">
        <w:t>targets</w:t>
      </w:r>
      <w:r w:rsidRPr="002D693C">
        <w:t xml:space="preserve"> for managing periphyton</w:t>
      </w:r>
      <w:r w:rsidR="00F72CAD" w:rsidRPr="002D693C">
        <w:t xml:space="preserve">. The spatial exceedance criteria </w:t>
      </w:r>
      <w:r w:rsidR="00C654E6" w:rsidRPr="002D693C">
        <w:t>quantify</w:t>
      </w:r>
      <w:r w:rsidR="00F72CAD" w:rsidRPr="002D693C">
        <w:t xml:space="preserve"> the probability of a randomly chosen site</w:t>
      </w:r>
      <w:bookmarkStart w:id="136" w:name="_Toc39145237"/>
      <w:r w:rsidR="00F72CAD" w:rsidRPr="002D693C">
        <w:t xml:space="preserve"> </w:t>
      </w:r>
      <w:r w:rsidR="00A123D0" w:rsidRPr="002D693C">
        <w:t xml:space="preserve">having periphyton abundance greater than the </w:t>
      </w:r>
      <w:r w:rsidR="007A50D9" w:rsidRPr="002D693C">
        <w:t xml:space="preserve">biomass </w:t>
      </w:r>
      <w:r w:rsidR="0067679D" w:rsidRPr="002D693C">
        <w:t>bottom-line</w:t>
      </w:r>
      <w:r w:rsidR="00A123D0" w:rsidRPr="002D693C">
        <w:t xml:space="preserve"> </w:t>
      </w:r>
      <w:r w:rsidR="007F2514" w:rsidRPr="002D693C">
        <w:t xml:space="preserve">when the concentration is within the </w:t>
      </w:r>
      <w:r w:rsidR="00C654E6" w:rsidRPr="002D693C">
        <w:t>target concentration</w:t>
      </w:r>
      <w:r w:rsidR="00F72CAD" w:rsidRPr="002D693C">
        <w:t>.</w:t>
      </w:r>
      <w:bookmarkEnd w:id="136"/>
    </w:p>
    <w:p w14:paraId="5913D2D1" w14:textId="2D66CE96" w:rsidR="00716256" w:rsidRPr="002D693C" w:rsidRDefault="005A7BD8" w:rsidP="002D693C">
      <w:pPr>
        <w:pStyle w:val="BodyText"/>
      </w:pPr>
      <w:bookmarkStart w:id="137" w:name="_Toc39145238"/>
      <w:bookmarkStart w:id="138" w:name="_Toc40424598"/>
      <w:bookmarkStart w:id="139" w:name="_Toc40425154"/>
      <w:r w:rsidRPr="002D693C">
        <w:t>NIWA tested three</w:t>
      </w:r>
      <w:r w:rsidR="00716256" w:rsidRPr="002D693C">
        <w:t xml:space="preserve"> periphyton spatial exceedance criteria of 10</w:t>
      </w:r>
      <w:r w:rsidR="008E40DC">
        <w:t xml:space="preserve"> per cent</w:t>
      </w:r>
      <w:r w:rsidRPr="002D693C">
        <w:t xml:space="preserve">, </w:t>
      </w:r>
      <w:r w:rsidR="00716256" w:rsidRPr="002D693C">
        <w:t>20</w:t>
      </w:r>
      <w:r w:rsidR="008E40DC">
        <w:t xml:space="preserve"> per cent</w:t>
      </w:r>
      <w:r w:rsidRPr="002D693C">
        <w:t xml:space="preserve"> and 30</w:t>
      </w:r>
      <w:r w:rsidR="008E40DC">
        <w:t xml:space="preserve"> per cent</w:t>
      </w:r>
      <w:r w:rsidR="00716256" w:rsidRPr="002D693C">
        <w:t>.</w:t>
      </w:r>
      <w:bookmarkEnd w:id="137"/>
      <w:bookmarkEnd w:id="138"/>
      <w:bookmarkEnd w:id="139"/>
      <w:r w:rsidR="00716256" w:rsidRPr="002D693C">
        <w:t xml:space="preserve"> </w:t>
      </w:r>
    </w:p>
    <w:p w14:paraId="688B7E74" w14:textId="503E9922" w:rsidR="005A7BD8" w:rsidRPr="002D693C" w:rsidRDefault="005A7BD8" w:rsidP="002D693C">
      <w:pPr>
        <w:pStyle w:val="BodyText"/>
      </w:pPr>
      <w:bookmarkStart w:id="140" w:name="_Toc39145239"/>
      <w:bookmarkStart w:id="141" w:name="_Toc40424599"/>
      <w:bookmarkStart w:id="142" w:name="_Toc40425155"/>
      <w:r w:rsidRPr="002D693C">
        <w:t xml:space="preserve">Spatial exceedance is important because it affects the size of the nutrient load reduction required to meet the periphyton </w:t>
      </w:r>
      <w:r w:rsidR="007A50D9" w:rsidRPr="002D693C">
        <w:t xml:space="preserve">biomass </w:t>
      </w:r>
      <w:r w:rsidRPr="002D693C">
        <w:t xml:space="preserve">bottom-line contained in the existing </w:t>
      </w:r>
      <w:r w:rsidRPr="00483079">
        <w:t>2017 NPS</w:t>
      </w:r>
      <w:r w:rsidR="00483079">
        <w:t>-FM</w:t>
      </w:r>
      <w:r w:rsidRPr="002D693C">
        <w:t>.</w:t>
      </w:r>
      <w:bookmarkEnd w:id="140"/>
      <w:bookmarkEnd w:id="141"/>
      <w:bookmarkEnd w:id="142"/>
    </w:p>
    <w:p w14:paraId="4A7F22DF" w14:textId="77777777" w:rsidR="005A7BD8" w:rsidRPr="002D693C" w:rsidRDefault="005A7BD8" w:rsidP="002D693C">
      <w:pPr>
        <w:pStyle w:val="BodyText"/>
      </w:pPr>
      <w:bookmarkStart w:id="143" w:name="_Toc39145240"/>
      <w:bookmarkStart w:id="144" w:name="_Toc40424600"/>
      <w:bookmarkStart w:id="145" w:name="_Toc40425156"/>
      <w:r w:rsidRPr="002D693C">
        <w:t>The level of risk (spatial exceedance) is something that would be chosen by regional councils</w:t>
      </w:r>
      <w:r w:rsidR="00E7639B">
        <w:t> </w:t>
      </w:r>
      <w:r w:rsidRPr="002D693C">
        <w:t>based on their level of comfort with the risk of waterways having excessive levels of</w:t>
      </w:r>
      <w:r w:rsidR="00E7639B">
        <w:t> </w:t>
      </w:r>
      <w:r w:rsidRPr="002D693C">
        <w:t>periphyton.</w:t>
      </w:r>
      <w:bookmarkEnd w:id="143"/>
      <w:bookmarkEnd w:id="144"/>
      <w:bookmarkEnd w:id="145"/>
    </w:p>
    <w:p w14:paraId="0A69B316" w14:textId="77777777" w:rsidR="005A7BD8" w:rsidRPr="002D693C" w:rsidRDefault="005A7BD8" w:rsidP="002D693C">
      <w:pPr>
        <w:pStyle w:val="BodyText"/>
      </w:pPr>
      <w:bookmarkStart w:id="146" w:name="_Toc39145241"/>
      <w:bookmarkStart w:id="147" w:name="_Toc40424601"/>
      <w:bookmarkStart w:id="148" w:name="_Toc40425157"/>
      <w:r w:rsidRPr="002D693C">
        <w:t>See Appendi</w:t>
      </w:r>
      <w:r w:rsidR="00B17CE0" w:rsidRPr="002D693C">
        <w:t>ces</w:t>
      </w:r>
      <w:r w:rsidRPr="002D693C">
        <w:t xml:space="preserve"> 1</w:t>
      </w:r>
      <w:r w:rsidR="00B17CE0" w:rsidRPr="002D693C">
        <w:t xml:space="preserve"> and 2</w:t>
      </w:r>
      <w:r w:rsidR="002C33E1" w:rsidRPr="002D693C">
        <w:t xml:space="preserve"> for further information on spatial exceedance.</w:t>
      </w:r>
      <w:bookmarkEnd w:id="146"/>
      <w:bookmarkEnd w:id="147"/>
      <w:bookmarkEnd w:id="148"/>
    </w:p>
    <w:p w14:paraId="1407FFF4" w14:textId="77777777" w:rsidR="00875AFA" w:rsidRPr="00966C10" w:rsidRDefault="00875AFA" w:rsidP="00966C10">
      <w:pPr>
        <w:pStyle w:val="Heading2"/>
      </w:pPr>
      <w:bookmarkStart w:id="149" w:name="_Toc39145242"/>
      <w:bookmarkStart w:id="150" w:name="_Toc40949868"/>
      <w:r w:rsidRPr="00966C10">
        <w:t>Scenarios modelled</w:t>
      </w:r>
      <w:bookmarkEnd w:id="149"/>
      <w:bookmarkEnd w:id="150"/>
    </w:p>
    <w:p w14:paraId="11F2E685" w14:textId="7919DC9A" w:rsidR="007A50D9" w:rsidRPr="002D693C" w:rsidRDefault="00875AFA" w:rsidP="002D693C">
      <w:pPr>
        <w:pStyle w:val="BodyText"/>
      </w:pPr>
      <w:bookmarkStart w:id="151" w:name="_Toc39145243"/>
      <w:bookmarkStart w:id="152" w:name="_Toc40424603"/>
      <w:bookmarkStart w:id="153" w:name="_Toc40425159"/>
      <w:r w:rsidRPr="002D693C">
        <w:t>The following scenarios were modelled, for ea</w:t>
      </w:r>
      <w:r w:rsidR="002C33E1" w:rsidRPr="002D693C">
        <w:t xml:space="preserve">ch of N and P, and for each of </w:t>
      </w:r>
      <w:r w:rsidRPr="002D693C">
        <w:t>10</w:t>
      </w:r>
      <w:r w:rsidR="008E40DC">
        <w:t xml:space="preserve"> per cent</w:t>
      </w:r>
      <w:r w:rsidR="002C33E1" w:rsidRPr="002D693C">
        <w:t xml:space="preserve">, </w:t>
      </w:r>
      <w:r w:rsidRPr="002D693C">
        <w:t>20</w:t>
      </w:r>
      <w:r w:rsidR="008E40DC">
        <w:t xml:space="preserve"> per cent</w:t>
      </w:r>
      <w:r w:rsidR="002C33E1" w:rsidRPr="002D693C">
        <w:t xml:space="preserve"> and 30</w:t>
      </w:r>
      <w:r w:rsidR="008E40DC">
        <w:t xml:space="preserve"> per cent</w:t>
      </w:r>
      <w:r w:rsidRPr="002D693C">
        <w:t xml:space="preserve"> spatial exceedance:</w:t>
      </w:r>
      <w:bookmarkEnd w:id="151"/>
      <w:bookmarkEnd w:id="152"/>
      <w:bookmarkEnd w:id="153"/>
    </w:p>
    <w:p w14:paraId="2E823C9B" w14:textId="77777777" w:rsidR="00875AFA" w:rsidRPr="001D4C52" w:rsidRDefault="00AF4136" w:rsidP="001D4C52">
      <w:pPr>
        <w:pStyle w:val="Bullet"/>
        <w:rPr>
          <w:rFonts w:eastAsiaTheme="minorEastAsia"/>
        </w:rPr>
      </w:pPr>
      <w:bookmarkStart w:id="154" w:name="_Toc39145244"/>
      <w:bookmarkStart w:id="155" w:name="_Toc40424604"/>
      <w:bookmarkStart w:id="156" w:name="_Toc40425160"/>
      <w:r w:rsidRPr="001D4C52">
        <w:rPr>
          <w:rFonts w:eastAsiaTheme="minorEastAsia"/>
          <w:b/>
          <w:bCs/>
        </w:rPr>
        <w:t>Baseline (2017 NPS-FM)</w:t>
      </w:r>
      <w:r w:rsidR="00E25289" w:rsidRPr="001D4C52">
        <w:rPr>
          <w:rFonts w:eastAsiaTheme="minorEastAsia"/>
          <w:b/>
          <w:bCs/>
        </w:rPr>
        <w:t>:</w:t>
      </w:r>
      <w:r w:rsidR="00E25289" w:rsidRPr="001D4C52">
        <w:rPr>
          <w:rFonts w:eastAsiaTheme="minorEastAsia"/>
        </w:rPr>
        <w:t xml:space="preserve"> </w:t>
      </w:r>
      <w:r w:rsidR="002C33E1" w:rsidRPr="001D4C52">
        <w:rPr>
          <w:rFonts w:eastAsiaTheme="minorEastAsia"/>
        </w:rPr>
        <w:t>N and P concentrations to provide for p</w:t>
      </w:r>
      <w:r w:rsidR="00875AFA" w:rsidRPr="001D4C52">
        <w:rPr>
          <w:rFonts w:eastAsiaTheme="minorEastAsia"/>
        </w:rPr>
        <w:t xml:space="preserve">eriphyton, lake, and nitrate </w:t>
      </w:r>
      <w:r w:rsidR="002C33E1" w:rsidRPr="001D4C52">
        <w:rPr>
          <w:rFonts w:eastAsiaTheme="minorEastAsia"/>
        </w:rPr>
        <w:t xml:space="preserve">toxicity </w:t>
      </w:r>
      <w:r w:rsidR="0067679D" w:rsidRPr="001D4C52">
        <w:rPr>
          <w:rFonts w:eastAsiaTheme="minorEastAsia"/>
        </w:rPr>
        <w:t>bottom-line</w:t>
      </w:r>
      <w:r w:rsidR="006A4D14" w:rsidRPr="001D4C52">
        <w:rPr>
          <w:rFonts w:eastAsiaTheme="minorEastAsia"/>
        </w:rPr>
        <w:t>s</w:t>
      </w:r>
      <w:r w:rsidR="002C33E1" w:rsidRPr="001D4C52">
        <w:rPr>
          <w:rFonts w:eastAsiaTheme="minorEastAsia"/>
        </w:rPr>
        <w:t xml:space="preserve"> (the requirements under the 2017 NPS-FM)</w:t>
      </w:r>
      <w:r w:rsidR="00875AFA" w:rsidRPr="001D4C52">
        <w:rPr>
          <w:rFonts w:eastAsiaTheme="minorEastAsia"/>
        </w:rPr>
        <w:t>.</w:t>
      </w:r>
      <w:bookmarkEnd w:id="154"/>
      <w:bookmarkEnd w:id="155"/>
      <w:bookmarkEnd w:id="156"/>
    </w:p>
    <w:p w14:paraId="555BDA4D" w14:textId="77777777" w:rsidR="007A50D9" w:rsidRPr="001D4C52" w:rsidRDefault="00AF4136" w:rsidP="001D4C52">
      <w:pPr>
        <w:pStyle w:val="Bullet"/>
        <w:rPr>
          <w:rFonts w:eastAsiaTheme="minorEastAsia"/>
        </w:rPr>
      </w:pPr>
      <w:bookmarkStart w:id="157" w:name="_Toc40424605"/>
      <w:bookmarkStart w:id="158" w:name="_Toc40425161"/>
      <w:r w:rsidRPr="001D4C52">
        <w:rPr>
          <w:rFonts w:eastAsiaTheme="minorEastAsia"/>
          <w:b/>
          <w:bCs/>
        </w:rPr>
        <w:lastRenderedPageBreak/>
        <w:t>DIN1:</w:t>
      </w:r>
      <w:r w:rsidRPr="001D4C52">
        <w:rPr>
          <w:rFonts w:eastAsiaTheme="minorEastAsia"/>
        </w:rPr>
        <w:t xml:space="preserve"> </w:t>
      </w:r>
      <w:r w:rsidR="0018213E" w:rsidRPr="001D4C52">
        <w:rPr>
          <w:rFonts w:eastAsiaTheme="minorEastAsia"/>
        </w:rPr>
        <w:t>Baseline with a</w:t>
      </w:r>
      <w:r w:rsidR="00875AFA" w:rsidRPr="001D4C52">
        <w:rPr>
          <w:rFonts w:eastAsiaTheme="minorEastAsia"/>
        </w:rPr>
        <w:t xml:space="preserve">ddition of the proposed </w:t>
      </w:r>
      <w:r w:rsidR="007A50D9" w:rsidRPr="001D4C52">
        <w:rPr>
          <w:rFonts w:eastAsiaTheme="minorEastAsia"/>
        </w:rPr>
        <w:t xml:space="preserve">river </w:t>
      </w:r>
      <w:r w:rsidR="00F72CAD" w:rsidRPr="001D4C52">
        <w:rPr>
          <w:rFonts w:eastAsiaTheme="minorEastAsia"/>
        </w:rPr>
        <w:t>DIN</w:t>
      </w:r>
      <w:r w:rsidR="007A50D9" w:rsidRPr="001D4C52">
        <w:rPr>
          <w:rFonts w:eastAsiaTheme="minorEastAsia"/>
        </w:rPr>
        <w:t xml:space="preserve"> concentration bottom line (1 mg/L)</w:t>
      </w:r>
      <w:bookmarkEnd w:id="157"/>
      <w:bookmarkEnd w:id="158"/>
      <w:r w:rsidR="0020422A">
        <w:rPr>
          <w:rFonts w:eastAsiaTheme="minorEastAsia"/>
        </w:rPr>
        <w:t>.</w:t>
      </w:r>
      <w:r w:rsidR="00F72CAD" w:rsidRPr="001D4C52">
        <w:rPr>
          <w:rFonts w:eastAsiaTheme="minorEastAsia"/>
        </w:rPr>
        <w:t xml:space="preserve"> </w:t>
      </w:r>
    </w:p>
    <w:p w14:paraId="3FD2AD90" w14:textId="77777777" w:rsidR="007A50D9" w:rsidRPr="001D4C52" w:rsidRDefault="00AF4136" w:rsidP="001D4C52">
      <w:pPr>
        <w:pStyle w:val="Bullet"/>
        <w:rPr>
          <w:rFonts w:eastAsiaTheme="minorEastAsia"/>
        </w:rPr>
      </w:pPr>
      <w:bookmarkStart w:id="159" w:name="_Toc40424606"/>
      <w:bookmarkStart w:id="160" w:name="_Toc40425162"/>
      <w:r w:rsidRPr="001D4C52">
        <w:rPr>
          <w:rFonts w:eastAsiaTheme="minorEastAsia"/>
          <w:b/>
          <w:bCs/>
        </w:rPr>
        <w:t>NTox24:</w:t>
      </w:r>
      <w:r w:rsidRPr="001D4C52">
        <w:rPr>
          <w:rFonts w:eastAsiaTheme="minorEastAsia"/>
        </w:rPr>
        <w:t xml:space="preserve"> </w:t>
      </w:r>
      <w:r w:rsidR="0018213E" w:rsidRPr="001D4C52">
        <w:rPr>
          <w:rFonts w:eastAsiaTheme="minorEastAsia"/>
        </w:rPr>
        <w:t>Baseline with a</w:t>
      </w:r>
      <w:r w:rsidR="007A50D9" w:rsidRPr="001D4C52">
        <w:rPr>
          <w:rFonts w:eastAsiaTheme="minorEastAsia"/>
        </w:rPr>
        <w:t>lternative nitrate toxicity bottom-lines (2.4 mg/L).</w:t>
      </w:r>
      <w:r w:rsidR="008406A6" w:rsidRPr="001D4C52">
        <w:rPr>
          <w:rFonts w:eastAsiaTheme="minorEastAsia"/>
        </w:rPr>
        <w:t xml:space="preserve"> Note this scenario does not have DIN concentration bottom line.</w:t>
      </w:r>
      <w:bookmarkStart w:id="161" w:name="_Toc39145245"/>
      <w:bookmarkEnd w:id="159"/>
      <w:bookmarkEnd w:id="160"/>
    </w:p>
    <w:p w14:paraId="1059553E" w14:textId="77777777" w:rsidR="007A50D9" w:rsidRPr="001D4C52" w:rsidRDefault="00AF4136" w:rsidP="001D4C52">
      <w:pPr>
        <w:pStyle w:val="Bullet"/>
        <w:rPr>
          <w:rFonts w:eastAsiaTheme="minorEastAsia"/>
        </w:rPr>
      </w:pPr>
      <w:bookmarkStart w:id="162" w:name="_Toc40424607"/>
      <w:bookmarkStart w:id="163" w:name="_Toc40425163"/>
      <w:r w:rsidRPr="001D4C52">
        <w:rPr>
          <w:rFonts w:eastAsiaTheme="minorEastAsia"/>
          <w:b/>
          <w:bCs/>
        </w:rPr>
        <w:t>DRP18:</w:t>
      </w:r>
      <w:r w:rsidRPr="001D4C52">
        <w:rPr>
          <w:rFonts w:eastAsiaTheme="minorEastAsia"/>
        </w:rPr>
        <w:t xml:space="preserve"> </w:t>
      </w:r>
      <w:r w:rsidR="0018213E" w:rsidRPr="001D4C52">
        <w:rPr>
          <w:rFonts w:eastAsiaTheme="minorEastAsia"/>
        </w:rPr>
        <w:t>Baseline with a</w:t>
      </w:r>
      <w:r w:rsidR="007A50D9" w:rsidRPr="001D4C52">
        <w:rPr>
          <w:rFonts w:eastAsiaTheme="minorEastAsia"/>
        </w:rPr>
        <w:t xml:space="preserve">ddition of the proposed river </w:t>
      </w:r>
      <w:r w:rsidR="00F72CAD" w:rsidRPr="001D4C52">
        <w:rPr>
          <w:rFonts w:eastAsiaTheme="minorEastAsia"/>
        </w:rPr>
        <w:t xml:space="preserve">DRP </w:t>
      </w:r>
      <w:r w:rsidR="007A50D9" w:rsidRPr="001D4C52">
        <w:rPr>
          <w:rFonts w:eastAsiaTheme="minorEastAsia"/>
        </w:rPr>
        <w:t xml:space="preserve">concentration </w:t>
      </w:r>
      <w:r w:rsidR="0067679D" w:rsidRPr="001D4C52">
        <w:rPr>
          <w:rFonts w:eastAsiaTheme="minorEastAsia"/>
        </w:rPr>
        <w:t>bottom-line</w:t>
      </w:r>
      <w:r w:rsidR="007A50D9" w:rsidRPr="001D4C52">
        <w:rPr>
          <w:rFonts w:eastAsiaTheme="minorEastAsia"/>
        </w:rPr>
        <w:t xml:space="preserve"> (0.018</w:t>
      </w:r>
      <w:r w:rsidR="00C42D60" w:rsidRPr="001D4C52">
        <w:rPr>
          <w:rFonts w:eastAsiaTheme="minorEastAsia"/>
        </w:rPr>
        <w:t> </w:t>
      </w:r>
      <w:r w:rsidR="007A50D9" w:rsidRPr="001D4C52">
        <w:rPr>
          <w:rFonts w:eastAsiaTheme="minorEastAsia"/>
        </w:rPr>
        <w:t>mg/L)</w:t>
      </w:r>
      <w:r w:rsidR="002C33E1" w:rsidRPr="001D4C52">
        <w:rPr>
          <w:rFonts w:eastAsiaTheme="minorEastAsia"/>
        </w:rPr>
        <w:t>.</w:t>
      </w:r>
      <w:bookmarkEnd w:id="161"/>
      <w:bookmarkEnd w:id="162"/>
      <w:bookmarkEnd w:id="163"/>
    </w:p>
    <w:p w14:paraId="4E27DC87" w14:textId="77777777" w:rsidR="00145C8E" w:rsidRPr="001D4C52" w:rsidRDefault="00875AFA" w:rsidP="001D4C52">
      <w:pPr>
        <w:pStyle w:val="BodyText"/>
      </w:pPr>
      <w:bookmarkStart w:id="164" w:name="_Toc39145246"/>
      <w:bookmarkStart w:id="165" w:name="_Toc40424608"/>
      <w:bookmarkStart w:id="166" w:name="_Toc40425164"/>
      <w:r w:rsidRPr="001D4C52">
        <w:t xml:space="preserve">The purpose of these scenarios was to identify the additional load reductions imposed by </w:t>
      </w:r>
      <w:r w:rsidR="00C654E6" w:rsidRPr="001D4C52">
        <w:t>DIN</w:t>
      </w:r>
      <w:r w:rsidR="00AF2058" w:rsidRPr="001D4C52">
        <w:t>,</w:t>
      </w:r>
      <w:r w:rsidR="00C654E6" w:rsidRPr="001D4C52">
        <w:t xml:space="preserve"> DRP </w:t>
      </w:r>
      <w:r w:rsidR="00AF2058" w:rsidRPr="001D4C52">
        <w:t xml:space="preserve">and nitrate toxicity </w:t>
      </w:r>
      <w:r w:rsidR="0067679D" w:rsidRPr="001D4C52">
        <w:t>bottom-line</w:t>
      </w:r>
      <w:r w:rsidR="00C654E6" w:rsidRPr="001D4C52">
        <w:t>s</w:t>
      </w:r>
      <w:r w:rsidRPr="001D4C52">
        <w:t xml:space="preserve">, and the sensitivity of those reductions to the choice of </w:t>
      </w:r>
      <w:r w:rsidR="002C33E1" w:rsidRPr="001D4C52">
        <w:t>periphyton spatial exceedance criteria</w:t>
      </w:r>
      <w:r w:rsidR="00F72CAD" w:rsidRPr="001D4C52">
        <w:t>.</w:t>
      </w:r>
      <w:bookmarkEnd w:id="164"/>
      <w:bookmarkEnd w:id="165"/>
      <w:bookmarkEnd w:id="166"/>
    </w:p>
    <w:p w14:paraId="6A43F8F0" w14:textId="77777777" w:rsidR="00145C8E" w:rsidRPr="00C42D60" w:rsidRDefault="00145C8E" w:rsidP="002F353E">
      <w:pPr>
        <w:pStyle w:val="Heading2"/>
        <w:spacing w:before="320"/>
      </w:pPr>
      <w:bookmarkStart w:id="167" w:name="_Toc40949869"/>
      <w:r w:rsidRPr="00C42D60">
        <w:t xml:space="preserve">Model results </w:t>
      </w:r>
      <w:r w:rsidR="00093CD6" w:rsidRPr="00C42D60">
        <w:t>analysis</w:t>
      </w:r>
      <w:bookmarkEnd w:id="167"/>
    </w:p>
    <w:p w14:paraId="4CB1FD7B" w14:textId="77777777" w:rsidR="00023287" w:rsidRPr="00A621E7" w:rsidRDefault="00AB59BE" w:rsidP="00C42D60">
      <w:pPr>
        <w:pStyle w:val="BodyText"/>
      </w:pPr>
      <w:r w:rsidRPr="00A621E7">
        <w:t>T</w:t>
      </w:r>
      <w:r w:rsidR="00145C8E" w:rsidRPr="00A621E7">
        <w:t xml:space="preserve">he model </w:t>
      </w:r>
      <w:r w:rsidR="002D0A2A" w:rsidRPr="00A621E7">
        <w:t>evaluate</w:t>
      </w:r>
      <w:r w:rsidR="00023287" w:rsidRPr="00A621E7">
        <w:t>d</w:t>
      </w:r>
      <w:r w:rsidR="00D20EBD" w:rsidRPr="00A621E7">
        <w:t xml:space="preserve"> the</w:t>
      </w:r>
      <w:r w:rsidR="00145C8E" w:rsidRPr="00A621E7">
        <w:t xml:space="preserve"> minimum load reduction </w:t>
      </w:r>
      <w:r w:rsidR="002D0A2A" w:rsidRPr="00A621E7">
        <w:t>(t</w:t>
      </w:r>
      <w:r w:rsidR="00C3146C" w:rsidRPr="00A621E7">
        <w:t>onnes</w:t>
      </w:r>
      <w:r w:rsidR="002D0A2A" w:rsidRPr="00A621E7">
        <w:t>/y</w:t>
      </w:r>
      <w:r w:rsidR="00C3146C" w:rsidRPr="00A621E7">
        <w:t>ea</w:t>
      </w:r>
      <w:r w:rsidR="002D0A2A" w:rsidRPr="00A621E7">
        <w:t xml:space="preserve">r) </w:t>
      </w:r>
      <w:r w:rsidRPr="00A621E7">
        <w:t xml:space="preserve">required to </w:t>
      </w:r>
      <w:r w:rsidR="00D20EBD" w:rsidRPr="00A621E7">
        <w:t>be</w:t>
      </w:r>
      <w:r w:rsidRPr="00A621E7">
        <w:t xml:space="preserve"> compliant</w:t>
      </w:r>
      <w:r w:rsidR="00093CD6" w:rsidRPr="00A621E7">
        <w:t xml:space="preserve"> with the</w:t>
      </w:r>
      <w:r w:rsidR="00145C8E" w:rsidRPr="00A621E7">
        <w:t xml:space="preserve"> </w:t>
      </w:r>
      <w:r w:rsidRPr="00A621E7">
        <w:t>scenario-</w:t>
      </w:r>
      <w:r w:rsidR="00145C8E" w:rsidRPr="00A621E7">
        <w:t>defined bottom-lines</w:t>
      </w:r>
      <w:r w:rsidR="00093CD6" w:rsidRPr="00A621E7">
        <w:t xml:space="preserve"> at</w:t>
      </w:r>
      <w:r w:rsidRPr="00A621E7">
        <w:t xml:space="preserve"> </w:t>
      </w:r>
      <w:r w:rsidR="00D20EBD" w:rsidRPr="00A621E7">
        <w:t xml:space="preserve">all </w:t>
      </w:r>
      <w:r w:rsidR="00093CD6" w:rsidRPr="00A621E7">
        <w:t>downstream</w:t>
      </w:r>
      <w:r w:rsidR="00D20EBD" w:rsidRPr="00A621E7">
        <w:t xml:space="preserve"> evaluation points (reduction target)</w:t>
      </w:r>
      <w:r w:rsidR="002D0A2A" w:rsidRPr="00A621E7">
        <w:t>.</w:t>
      </w:r>
      <w:r w:rsidRPr="00A621E7">
        <w:t xml:space="preserve"> This reduction target evaluation </w:t>
      </w:r>
      <w:r w:rsidR="00023287" w:rsidRPr="00A621E7">
        <w:t>was</w:t>
      </w:r>
      <w:r w:rsidR="00D20EBD" w:rsidRPr="00A621E7">
        <w:t xml:space="preserve"> assessed</w:t>
      </w:r>
      <w:r w:rsidRPr="00A621E7">
        <w:t xml:space="preserve"> at all REC network segments</w:t>
      </w:r>
      <w:r w:rsidR="00D20EBD" w:rsidRPr="00A621E7">
        <w:t xml:space="preserve"> (see modelling approach and referenced docs for more information)</w:t>
      </w:r>
      <w:r w:rsidRPr="00A621E7">
        <w:t>.</w:t>
      </w:r>
      <w:r w:rsidR="00D20EBD" w:rsidRPr="00A621E7">
        <w:t xml:space="preserve"> </w:t>
      </w:r>
    </w:p>
    <w:p w14:paraId="63563FE8" w14:textId="77777777" w:rsidR="00023287" w:rsidRPr="00A621E7" w:rsidRDefault="00530C34" w:rsidP="00C42D60">
      <w:pPr>
        <w:pStyle w:val="BodyText"/>
      </w:pPr>
      <w:r w:rsidRPr="00A621E7">
        <w:t>The p</w:t>
      </w:r>
      <w:r w:rsidR="00D20EBD" w:rsidRPr="00A621E7">
        <w:t xml:space="preserve">roportional reduction target in relation to the current load (t/yr) for each scenario was projected on the map to illustrate the scale of reduction relative to the location. </w:t>
      </w:r>
      <w:r w:rsidR="00484F7A" w:rsidRPr="00A621E7">
        <w:t>The</w:t>
      </w:r>
      <w:r w:rsidR="00D20EBD" w:rsidRPr="00A621E7">
        <w:t xml:space="preserve"> additional load reduction required for </w:t>
      </w:r>
      <w:r w:rsidR="00023287" w:rsidRPr="00A621E7">
        <w:t xml:space="preserve">each </w:t>
      </w:r>
      <w:r w:rsidR="00D20EBD" w:rsidRPr="00A621E7">
        <w:t xml:space="preserve">proposed bottom-line were </w:t>
      </w:r>
      <w:r w:rsidR="00484F7A" w:rsidRPr="00A621E7">
        <w:t xml:space="preserve">calculated </w:t>
      </w:r>
      <w:r w:rsidR="00D20EBD" w:rsidRPr="00A621E7">
        <w:t>by subtracting the reduction target already required by the 2017 NPS-FM bottom-lines</w:t>
      </w:r>
      <w:r w:rsidR="00023287" w:rsidRPr="00A621E7">
        <w:t>. The additional reduction</w:t>
      </w:r>
      <w:r w:rsidRPr="00A621E7">
        <w:t>s</w:t>
      </w:r>
      <w:r w:rsidR="00023287" w:rsidRPr="00A621E7">
        <w:t xml:space="preserve"> </w:t>
      </w:r>
      <w:r w:rsidRPr="00A621E7">
        <w:t>at</w:t>
      </w:r>
      <w:r w:rsidR="002F353E">
        <w:t> </w:t>
      </w:r>
      <w:r w:rsidRPr="00A621E7">
        <w:t xml:space="preserve">each </w:t>
      </w:r>
      <w:r w:rsidR="00023287" w:rsidRPr="00A621E7">
        <w:t xml:space="preserve">REC </w:t>
      </w:r>
      <w:r w:rsidRPr="00A621E7">
        <w:t xml:space="preserve">segment </w:t>
      </w:r>
      <w:r w:rsidR="00023287" w:rsidRPr="00A621E7">
        <w:t>were also projected in the map to indicate the impact of the proposed bottom-lines.</w:t>
      </w:r>
    </w:p>
    <w:p w14:paraId="7EDE9A84" w14:textId="77777777" w:rsidR="00875AFA" w:rsidRPr="00A621E7" w:rsidRDefault="00093CD6" w:rsidP="00C42D60">
      <w:pPr>
        <w:pStyle w:val="BodyText"/>
        <w:rPr>
          <w:rStyle w:val="Heading1Char"/>
          <w:rFonts w:eastAsiaTheme="minorEastAsia" w:cstheme="minorBidi"/>
          <w:b w:val="0"/>
          <w:bCs w:val="0"/>
          <w:color w:val="auto"/>
          <w:sz w:val="22"/>
          <w:szCs w:val="22"/>
        </w:rPr>
      </w:pPr>
      <w:r w:rsidRPr="00A621E7">
        <w:t xml:space="preserve">The </w:t>
      </w:r>
      <w:r w:rsidR="00023287" w:rsidRPr="00A621E7">
        <w:t xml:space="preserve">numerical </w:t>
      </w:r>
      <w:r w:rsidRPr="00A621E7">
        <w:t xml:space="preserve">results were </w:t>
      </w:r>
      <w:r w:rsidR="00023287" w:rsidRPr="00A621E7">
        <w:t xml:space="preserve">then </w:t>
      </w:r>
      <w:r w:rsidR="00D20EBD" w:rsidRPr="00A621E7">
        <w:t>analysed</w:t>
      </w:r>
      <w:r w:rsidR="002D0A2A" w:rsidRPr="00A621E7">
        <w:t xml:space="preserve"> </w:t>
      </w:r>
      <w:r w:rsidR="00484F7A" w:rsidRPr="00A621E7">
        <w:t xml:space="preserve">at </w:t>
      </w:r>
      <w:r w:rsidR="002D0A2A" w:rsidRPr="00A621E7">
        <w:t xml:space="preserve">regional </w:t>
      </w:r>
      <w:r w:rsidR="00023287" w:rsidRPr="00A621E7">
        <w:t>and</w:t>
      </w:r>
      <w:r w:rsidR="002D0A2A" w:rsidRPr="00A621E7">
        <w:t xml:space="preserve"> national scale</w:t>
      </w:r>
      <w:r w:rsidR="00484F7A" w:rsidRPr="00A621E7">
        <w:t>s</w:t>
      </w:r>
      <w:r w:rsidR="00AB59BE" w:rsidRPr="00A621E7">
        <w:t>.</w:t>
      </w:r>
      <w:r w:rsidR="002D0A2A" w:rsidRPr="00A621E7">
        <w:t xml:space="preserve"> </w:t>
      </w:r>
      <w:r w:rsidR="00AB59BE" w:rsidRPr="00A621E7">
        <w:t xml:space="preserve">The total reduction targets (t/yr), as well as total reduction target relative to the total current </w:t>
      </w:r>
      <w:r w:rsidR="00AB59BE" w:rsidRPr="008E2CE8">
        <w:t>load</w:t>
      </w:r>
      <w:r w:rsidR="00173C55" w:rsidRPr="008E2CE8">
        <w:t xml:space="preserve"> (</w:t>
      </w:r>
      <w:r w:rsidR="00C3146C" w:rsidRPr="008E2CE8">
        <w:t>per cent</w:t>
      </w:r>
      <w:r w:rsidR="00173C55" w:rsidRPr="00A621E7">
        <w:t xml:space="preserve"> reduction)</w:t>
      </w:r>
      <w:r w:rsidR="00AB59BE" w:rsidRPr="00A621E7">
        <w:t xml:space="preserve"> were calculated</w:t>
      </w:r>
      <w:r w:rsidR="00173C55" w:rsidRPr="00A621E7">
        <w:t xml:space="preserve"> (added)</w:t>
      </w:r>
      <w:r w:rsidR="00AB59BE" w:rsidRPr="00A621E7">
        <w:t xml:space="preserve"> for each region and entire country.</w:t>
      </w:r>
      <w:r w:rsidR="00173C55" w:rsidRPr="00A621E7">
        <w:t xml:space="preserve"> </w:t>
      </w:r>
      <w:r w:rsidR="00023287" w:rsidRPr="00A621E7">
        <w:t>The additional reduction</w:t>
      </w:r>
      <w:r w:rsidR="00484F7A" w:rsidRPr="00A621E7">
        <w:t>s</w:t>
      </w:r>
      <w:r w:rsidR="002F353E">
        <w:t> </w:t>
      </w:r>
      <w:r w:rsidR="00023287" w:rsidRPr="00A621E7">
        <w:t>to meet the target were also calculated for each region.</w:t>
      </w:r>
    </w:p>
    <w:p w14:paraId="3CDAC818" w14:textId="77777777" w:rsidR="00E25289" w:rsidRPr="00C42D60" w:rsidRDefault="00E25289" w:rsidP="002F353E">
      <w:pPr>
        <w:pStyle w:val="Heading2"/>
        <w:spacing w:before="320"/>
      </w:pPr>
      <w:bookmarkStart w:id="168" w:name="_Toc39145247"/>
      <w:bookmarkStart w:id="169" w:name="_Toc40949870"/>
      <w:r w:rsidRPr="00C42D60">
        <w:t>Assumptions and limitations</w:t>
      </w:r>
      <w:bookmarkEnd w:id="168"/>
      <w:bookmarkEnd w:id="169"/>
    </w:p>
    <w:p w14:paraId="303B0A3A" w14:textId="213E3362" w:rsidR="00E25289" w:rsidRPr="00A621E7" w:rsidRDefault="00E25289" w:rsidP="00C42D60">
      <w:pPr>
        <w:pStyle w:val="BodyText"/>
      </w:pPr>
      <w:r w:rsidRPr="00A621E7">
        <w:t xml:space="preserve">This analysis was based on </w:t>
      </w:r>
      <w:r w:rsidR="008806C8" w:rsidRPr="00A621E7">
        <w:t xml:space="preserve">the </w:t>
      </w:r>
      <w:r w:rsidRPr="00A621E7">
        <w:t xml:space="preserve">modelled predictions of nutrient </w:t>
      </w:r>
      <w:r w:rsidR="00C3146C" w:rsidRPr="00A621E7">
        <w:t>concentrations that</w:t>
      </w:r>
      <w:r w:rsidR="008806C8" w:rsidRPr="00A621E7">
        <w:t xml:space="preserve"> is nation-wide but spatially explicit</w:t>
      </w:r>
      <w:r w:rsidRPr="00A621E7">
        <w:t xml:space="preserve">. Focusing on smaller scales </w:t>
      </w:r>
      <w:r w:rsidR="008806C8" w:rsidRPr="00A621E7">
        <w:t>using th</w:t>
      </w:r>
      <w:r w:rsidR="00530C34" w:rsidRPr="00A621E7">
        <w:t>ese</w:t>
      </w:r>
      <w:r w:rsidR="008806C8" w:rsidRPr="00A621E7">
        <w:t xml:space="preserve"> model results </w:t>
      </w:r>
      <w:r w:rsidRPr="00A621E7">
        <w:t>will introduce greater uncertainty</w:t>
      </w:r>
      <w:r w:rsidR="008806C8" w:rsidRPr="00A621E7">
        <w:t>, and analysis of such scales would benefit from using more localised and potentially detailed models.</w:t>
      </w:r>
    </w:p>
    <w:p w14:paraId="64040DD0" w14:textId="77777777" w:rsidR="00E25289" w:rsidRPr="00A621E7" w:rsidRDefault="00E25289" w:rsidP="00C42D60">
      <w:pPr>
        <w:pStyle w:val="BodyText"/>
      </w:pPr>
      <w:r w:rsidRPr="00A621E7">
        <w:t xml:space="preserve">This study did not take into account the stricter limits that may be required to manage estuaries because we do not yet have national </w:t>
      </w:r>
      <w:r w:rsidR="0067679D" w:rsidRPr="00A621E7">
        <w:t>bottom-line</w:t>
      </w:r>
      <w:r w:rsidRPr="00A621E7">
        <w:t xml:space="preserve">s for estuaries in the NPS-FM. </w:t>
      </w:r>
    </w:p>
    <w:p w14:paraId="0A92CDFD" w14:textId="3CC60CB4" w:rsidR="00E25289" w:rsidRPr="00BC21BD" w:rsidRDefault="00E25289" w:rsidP="00C42D60">
      <w:pPr>
        <w:pStyle w:val="BodyText"/>
      </w:pPr>
      <w:r w:rsidRPr="00BC21BD">
        <w:t xml:space="preserve">This analysis also assumes the effects of periphyton are managed solely by nutrient management and not by shading, flow manipulation, or other methods. This is a conservative assumption (ie, it maximises the impact of the current NPS-FM requirements) because measures other than nutrient concentration management could contribute to achieving periphyton objectives. The implications of this assumption will vary depending on the catchment in question. </w:t>
      </w:r>
    </w:p>
    <w:p w14:paraId="3CF52C31" w14:textId="194A55BA" w:rsidR="001D4C52" w:rsidRDefault="00E25289" w:rsidP="00C42D60">
      <w:pPr>
        <w:pStyle w:val="BodyText"/>
      </w:pPr>
      <w:r w:rsidRPr="00BC21BD">
        <w:t xml:space="preserve">If we expect councils to be less precautionary and set relatively </w:t>
      </w:r>
      <w:r w:rsidR="00805723">
        <w:t>permissive</w:t>
      </w:r>
      <w:r w:rsidRPr="00BC21BD">
        <w:t xml:space="preserve"> nutrient limits to manage periphyton, the relative </w:t>
      </w:r>
      <w:r w:rsidR="007F1A16" w:rsidRPr="00BC21BD">
        <w:t xml:space="preserve">reduction in nutrients required to meet the proposed </w:t>
      </w:r>
      <w:r w:rsidR="0067679D">
        <w:t>bottom-line</w:t>
      </w:r>
      <w:r w:rsidR="007F1A16" w:rsidRPr="00BC21BD">
        <w:t>s</w:t>
      </w:r>
      <w:r w:rsidRPr="00BC21BD">
        <w:t xml:space="preserve"> </w:t>
      </w:r>
      <w:r w:rsidR="00D937E4">
        <w:t>is smaller</w:t>
      </w:r>
      <w:r w:rsidRPr="00BC21BD">
        <w:t>. On the other hand, if we assume councils are more precautionary and set relatively tight nutrient limits to manage periphyton then the relative nutrient load reduc</w:t>
      </w:r>
      <w:r w:rsidR="007F1A16" w:rsidRPr="00BC21BD">
        <w:t xml:space="preserve">tion </w:t>
      </w:r>
      <w:r w:rsidR="007F1A16" w:rsidRPr="00BC21BD">
        <w:lastRenderedPageBreak/>
        <w:t xml:space="preserve">required to meet the proposed </w:t>
      </w:r>
      <w:r w:rsidR="0067679D">
        <w:t>bottom-line</w:t>
      </w:r>
      <w:r w:rsidR="007F1A16" w:rsidRPr="00BC21BD">
        <w:t>s</w:t>
      </w:r>
      <w:r w:rsidRPr="00BC21BD">
        <w:t xml:space="preserve"> </w:t>
      </w:r>
      <w:r w:rsidR="00D937E4">
        <w:t>is higher</w:t>
      </w:r>
      <w:r w:rsidRPr="00BC21BD">
        <w:t xml:space="preserve">. </w:t>
      </w:r>
      <w:r w:rsidR="00D937E4" w:rsidRPr="00D937E4">
        <w:t xml:space="preserve">The consequences of adopting different levels of precaution regarding achieving the periphyton </w:t>
      </w:r>
      <w:r w:rsidR="0067679D">
        <w:t>bottom-line</w:t>
      </w:r>
      <w:r w:rsidR="00D937E4" w:rsidRPr="00D937E4">
        <w:t xml:space="preserve">s have been represented by three </w:t>
      </w:r>
      <w:r w:rsidR="007F1A16" w:rsidRPr="00BC21BD">
        <w:t>spatial exceedance criteria of 10</w:t>
      </w:r>
      <w:r w:rsidR="008E40DC">
        <w:t xml:space="preserve"> per cent</w:t>
      </w:r>
      <w:r w:rsidR="007F1A16" w:rsidRPr="00BC21BD">
        <w:t>, 20</w:t>
      </w:r>
      <w:r w:rsidR="008E40DC">
        <w:t xml:space="preserve"> per cent</w:t>
      </w:r>
      <w:r w:rsidR="007F1A16" w:rsidRPr="00BC21BD">
        <w:t xml:space="preserve"> and 30</w:t>
      </w:r>
      <w:r w:rsidR="008E40DC">
        <w:t xml:space="preserve"> per cent</w:t>
      </w:r>
      <w:r w:rsidR="007F1A16" w:rsidRPr="00BC21BD">
        <w:t xml:space="preserve">. </w:t>
      </w:r>
    </w:p>
    <w:p w14:paraId="24AD2001" w14:textId="612B7641" w:rsidR="007F1A16" w:rsidRPr="00C42D60" w:rsidRDefault="007F1A16" w:rsidP="00C42D60">
      <w:pPr>
        <w:pStyle w:val="BodyText"/>
        <w:rPr>
          <w:rStyle w:val="Heading1Char"/>
          <w:rFonts w:eastAsiaTheme="minorEastAsia" w:cstheme="minorBidi"/>
          <w:b w:val="0"/>
          <w:bCs w:val="0"/>
          <w:color w:val="auto"/>
          <w:sz w:val="22"/>
          <w:szCs w:val="22"/>
        </w:rPr>
      </w:pPr>
    </w:p>
    <w:p w14:paraId="42857FD1" w14:textId="77777777" w:rsidR="00B67B36" w:rsidRDefault="00B67B36">
      <w:pPr>
        <w:spacing w:before="0" w:after="200" w:line="276" w:lineRule="auto"/>
        <w:jc w:val="left"/>
        <w:rPr>
          <w:rStyle w:val="Heading1Char"/>
        </w:rPr>
      </w:pPr>
      <w:bookmarkStart w:id="170" w:name="_Toc39145248"/>
      <w:bookmarkStart w:id="171" w:name="_Toc40949871"/>
      <w:r>
        <w:rPr>
          <w:rStyle w:val="Heading1Char"/>
          <w:b w:val="0"/>
          <w:bCs w:val="0"/>
        </w:rPr>
        <w:br w:type="page"/>
      </w:r>
    </w:p>
    <w:p w14:paraId="20B195CA" w14:textId="4AC2B61E" w:rsidR="00875AFA" w:rsidRPr="00C42D60" w:rsidRDefault="00B67B36" w:rsidP="00C42D60">
      <w:pPr>
        <w:pStyle w:val="Heading1"/>
        <w:rPr>
          <w:rStyle w:val="Heading1Char"/>
          <w:b/>
          <w:bCs/>
        </w:rPr>
      </w:pPr>
      <w:r>
        <w:rPr>
          <w:rStyle w:val="Heading1Char"/>
          <w:b/>
          <w:bCs/>
        </w:rPr>
        <w:lastRenderedPageBreak/>
        <w:t>3</w:t>
      </w:r>
      <w:r w:rsidR="3EE392FB" w:rsidRPr="00A621E7">
        <w:rPr>
          <w:rStyle w:val="Heading1Char"/>
          <w:b/>
          <w:bCs/>
        </w:rPr>
        <w:t xml:space="preserve"> </w:t>
      </w:r>
      <w:r w:rsidR="00C42D60">
        <w:rPr>
          <w:rStyle w:val="Heading1Char"/>
          <w:b/>
          <w:bCs/>
        </w:rPr>
        <w:tab/>
      </w:r>
      <w:r w:rsidR="00F72CAD" w:rsidRPr="00A621E7">
        <w:rPr>
          <w:rStyle w:val="Heading1Char"/>
          <w:b/>
          <w:bCs/>
        </w:rPr>
        <w:t>R</w:t>
      </w:r>
      <w:r w:rsidR="00875AFA" w:rsidRPr="00A621E7">
        <w:rPr>
          <w:rStyle w:val="Heading1Char"/>
          <w:b/>
          <w:bCs/>
        </w:rPr>
        <w:t>esults</w:t>
      </w:r>
      <w:bookmarkEnd w:id="170"/>
      <w:bookmarkEnd w:id="171"/>
    </w:p>
    <w:p w14:paraId="57CC2E8A" w14:textId="77777777" w:rsidR="007F1A16" w:rsidRPr="00A621E7" w:rsidRDefault="007F1A16" w:rsidP="00C42D60">
      <w:pPr>
        <w:pStyle w:val="Heading2"/>
        <w:spacing w:before="240"/>
      </w:pPr>
      <w:bookmarkStart w:id="172" w:name="_Toc39145249"/>
      <w:bookmarkStart w:id="173" w:name="_Toc40949872"/>
      <w:r w:rsidRPr="00A621E7">
        <w:t>Nutrient load reductions</w:t>
      </w:r>
      <w:bookmarkEnd w:id="172"/>
      <w:bookmarkEnd w:id="173"/>
    </w:p>
    <w:p w14:paraId="4F223AE6" w14:textId="6BBE620E" w:rsidR="00F72CAD" w:rsidRDefault="00F72CAD" w:rsidP="00C42D60">
      <w:pPr>
        <w:pStyle w:val="BodyText"/>
        <w:rPr>
          <w:lang w:val="en-US" w:eastAsia="en-GB"/>
        </w:rPr>
      </w:pPr>
      <w:r w:rsidRPr="6E2BDE09">
        <w:rPr>
          <w:lang w:val="en-US" w:eastAsia="en-GB"/>
        </w:rPr>
        <w:t>The following results were generated using a periphyton spatial exceedance criterion of 20</w:t>
      </w:r>
      <w:r w:rsidR="008E40DC">
        <w:rPr>
          <w:lang w:val="en-US" w:eastAsia="en-GB"/>
        </w:rPr>
        <w:t xml:space="preserve"> per cent</w:t>
      </w:r>
      <w:r w:rsidR="00147300" w:rsidRPr="6E2BDE09">
        <w:rPr>
          <w:lang w:val="en-US" w:eastAsia="en-GB"/>
        </w:rPr>
        <w:t>.</w:t>
      </w:r>
      <w:r w:rsidR="004009B5" w:rsidRPr="6E2BDE09">
        <w:rPr>
          <w:lang w:val="en-US" w:eastAsia="en-GB"/>
        </w:rPr>
        <w:t xml:space="preserve"> </w:t>
      </w:r>
      <w:r w:rsidR="00147300" w:rsidRPr="6E2BDE09">
        <w:rPr>
          <w:lang w:val="en-US" w:eastAsia="en-GB"/>
        </w:rPr>
        <w:t xml:space="preserve">The target nutrient reduction loads are expressed as </w:t>
      </w:r>
      <w:r w:rsidR="3A125505" w:rsidRPr="00483079">
        <w:rPr>
          <w:lang w:val="en-US" w:eastAsia="en-GB"/>
        </w:rPr>
        <w:t xml:space="preserve">the percentage </w:t>
      </w:r>
      <w:r w:rsidR="00147300" w:rsidRPr="00483079">
        <w:rPr>
          <w:lang w:val="en-US" w:eastAsia="en-GB"/>
        </w:rPr>
        <w:t>reduction required</w:t>
      </w:r>
      <w:r w:rsidR="004009B5" w:rsidRPr="00483079">
        <w:rPr>
          <w:lang w:val="en-US" w:eastAsia="en-GB"/>
        </w:rPr>
        <w:t xml:space="preserve"> </w:t>
      </w:r>
      <w:r w:rsidR="00147300" w:rsidRPr="00483079">
        <w:rPr>
          <w:lang w:val="en-US" w:eastAsia="en-GB"/>
        </w:rPr>
        <w:t xml:space="preserve">in relation to the current level of nutrient load. Baseline (2017 </w:t>
      </w:r>
      <w:r w:rsidR="00483079" w:rsidRPr="00483079">
        <w:rPr>
          <w:lang w:val="en-US" w:eastAsia="en-GB"/>
        </w:rPr>
        <w:t xml:space="preserve">National Policy Statement for Freshwater Management, </w:t>
      </w:r>
      <w:r w:rsidR="00147300" w:rsidRPr="00483079">
        <w:rPr>
          <w:lang w:val="en-US" w:eastAsia="en-GB"/>
        </w:rPr>
        <w:t>NPS-FM) nutrient reduction targets</w:t>
      </w:r>
      <w:r w:rsidR="00147300" w:rsidRPr="6E2BDE09">
        <w:rPr>
          <w:lang w:val="en-US" w:eastAsia="en-GB"/>
        </w:rPr>
        <w:t xml:space="preserve"> are also expressed to discuss the source of the required reduction </w:t>
      </w:r>
      <w:r w:rsidR="004009B5" w:rsidRPr="6E2BDE09">
        <w:rPr>
          <w:lang w:val="en-US" w:eastAsia="en-GB"/>
        </w:rPr>
        <w:t>(</w:t>
      </w:r>
      <w:r w:rsidR="00AF4136" w:rsidRPr="6E2BDE09">
        <w:rPr>
          <w:lang w:val="en-US" w:eastAsia="en-GB"/>
        </w:rPr>
        <w:t>Table</w:t>
      </w:r>
      <w:r w:rsidR="0082219D" w:rsidRPr="6E2BDE09">
        <w:rPr>
          <w:lang w:val="en-US" w:eastAsia="en-GB"/>
        </w:rPr>
        <w:t>s</w:t>
      </w:r>
      <w:r w:rsidR="00AF4136" w:rsidRPr="6E2BDE09">
        <w:rPr>
          <w:lang w:val="en-US" w:eastAsia="en-GB"/>
        </w:rPr>
        <w:t xml:space="preserve"> </w:t>
      </w:r>
      <w:r w:rsidR="009C00F7" w:rsidRPr="6E2BDE09">
        <w:rPr>
          <w:lang w:val="en-US" w:eastAsia="en-GB"/>
        </w:rPr>
        <w:t>1 and 2</w:t>
      </w:r>
      <w:r w:rsidR="00AF4136" w:rsidRPr="6E2BDE09">
        <w:rPr>
          <w:lang w:val="en-US" w:eastAsia="en-GB"/>
        </w:rPr>
        <w:t xml:space="preserve">, </w:t>
      </w:r>
      <w:r w:rsidR="004009B5" w:rsidRPr="6E2BDE09">
        <w:rPr>
          <w:lang w:val="en-US" w:eastAsia="en-GB"/>
        </w:rPr>
        <w:t>Figure 1).</w:t>
      </w:r>
    </w:p>
    <w:p w14:paraId="6F3A706E" w14:textId="74DDE643" w:rsidR="008406A6" w:rsidRPr="00530C34" w:rsidRDefault="00F72CAD" w:rsidP="00C42D60">
      <w:pPr>
        <w:pStyle w:val="Heading5"/>
        <w:rPr>
          <w:lang w:val="en-US" w:eastAsia="en-US"/>
        </w:rPr>
      </w:pPr>
      <w:r w:rsidRPr="00F72CAD">
        <w:rPr>
          <w:lang w:val="en-US" w:eastAsia="en-US"/>
        </w:rPr>
        <w:t>To achieve the requirements of the</w:t>
      </w:r>
      <w:r w:rsidR="00B50ACE">
        <w:rPr>
          <w:lang w:val="en-US" w:eastAsia="en-US"/>
        </w:rPr>
        <w:t xml:space="preserve"> 2017</w:t>
      </w:r>
      <w:r w:rsidRPr="00F72CAD">
        <w:rPr>
          <w:lang w:val="en-US" w:eastAsia="en-US"/>
        </w:rPr>
        <w:t xml:space="preserve"> </w:t>
      </w:r>
      <w:r w:rsidRPr="00483079">
        <w:rPr>
          <w:lang w:val="en-US" w:eastAsia="en-US"/>
        </w:rPr>
        <w:t>NPS</w:t>
      </w:r>
      <w:r w:rsidR="00483079">
        <w:rPr>
          <w:lang w:val="en-US" w:eastAsia="en-US"/>
        </w:rPr>
        <w:t>-FM</w:t>
      </w:r>
      <w:r w:rsidRPr="00F72CAD">
        <w:rPr>
          <w:lang w:val="en-US" w:eastAsia="en-US"/>
        </w:rPr>
        <w:t xml:space="preserve"> with a national </w:t>
      </w:r>
      <w:r w:rsidR="0067679D">
        <w:rPr>
          <w:lang w:val="en-US" w:eastAsia="en-US"/>
        </w:rPr>
        <w:t>bottom-line</w:t>
      </w:r>
      <w:r w:rsidRPr="00F72CAD">
        <w:rPr>
          <w:lang w:val="en-US" w:eastAsia="en-US"/>
        </w:rPr>
        <w:t xml:space="preserve"> for DIN of 1 mg/L </w:t>
      </w:r>
    </w:p>
    <w:p w14:paraId="2FF814DD" w14:textId="772FCDF0" w:rsidR="00357C93" w:rsidRDefault="008406A6" w:rsidP="00C42D60">
      <w:pPr>
        <w:pStyle w:val="BodyText"/>
        <w:rPr>
          <w:lang w:val="en-US" w:eastAsia="en-US"/>
        </w:rPr>
      </w:pPr>
      <w:r>
        <w:rPr>
          <w:lang w:val="en-US" w:eastAsia="en-US"/>
        </w:rPr>
        <w:t>N</w:t>
      </w:r>
      <w:r w:rsidRPr="00F72CAD">
        <w:rPr>
          <w:lang w:val="en-US" w:eastAsia="en-US"/>
        </w:rPr>
        <w:t xml:space="preserve">itrogen </w:t>
      </w:r>
      <w:r w:rsidR="00F72CAD" w:rsidRPr="00BC21BD">
        <w:rPr>
          <w:lang w:val="en-US" w:eastAsia="en-US"/>
        </w:rPr>
        <w:t>loads would have to reduce by 10</w:t>
      </w:r>
      <w:r w:rsidR="005A4BBB" w:rsidRPr="00BC21BD">
        <w:rPr>
          <w:lang w:val="en-US" w:eastAsia="en-US"/>
        </w:rPr>
        <w:t>.2</w:t>
      </w:r>
      <w:r w:rsidR="008E40DC">
        <w:rPr>
          <w:lang w:val="en-US" w:eastAsia="en-US"/>
        </w:rPr>
        <w:t xml:space="preserve"> per cent</w:t>
      </w:r>
      <w:r w:rsidR="00F72CAD" w:rsidRPr="00BC21BD">
        <w:rPr>
          <w:lang w:val="en-US" w:eastAsia="en-US"/>
        </w:rPr>
        <w:t xml:space="preserve"> across New Zealand</w:t>
      </w:r>
      <w:r w:rsidR="004009B5" w:rsidRPr="00BC21BD">
        <w:rPr>
          <w:lang w:val="en-US" w:eastAsia="en-US"/>
        </w:rPr>
        <w:t xml:space="preserve"> (Figures 2-3)</w:t>
      </w:r>
      <w:r w:rsidR="00F72CAD" w:rsidRPr="00BC21BD">
        <w:rPr>
          <w:lang w:val="en-US" w:eastAsia="en-US"/>
        </w:rPr>
        <w:t>. Of that 10</w:t>
      </w:r>
      <w:r w:rsidR="005A4BBB" w:rsidRPr="00BC21BD">
        <w:rPr>
          <w:lang w:val="en-US" w:eastAsia="en-US"/>
        </w:rPr>
        <w:t>.2</w:t>
      </w:r>
      <w:r w:rsidR="008E40DC">
        <w:rPr>
          <w:lang w:val="en-US" w:eastAsia="en-US"/>
        </w:rPr>
        <w:t xml:space="preserve"> per cent</w:t>
      </w:r>
      <w:r w:rsidR="00F72CAD" w:rsidRPr="00BC21BD">
        <w:rPr>
          <w:lang w:val="en-US" w:eastAsia="en-US"/>
        </w:rPr>
        <w:t xml:space="preserve">, the new </w:t>
      </w:r>
      <w:r w:rsidR="0067679D">
        <w:rPr>
          <w:lang w:val="en-US" w:eastAsia="en-US"/>
        </w:rPr>
        <w:t>bottom-line</w:t>
      </w:r>
      <w:r w:rsidR="00F72CAD" w:rsidRPr="00BC21BD">
        <w:rPr>
          <w:lang w:val="en-US" w:eastAsia="en-US"/>
        </w:rPr>
        <w:t xml:space="preserve"> contributes 3</w:t>
      </w:r>
      <w:r w:rsidR="005A4BBB" w:rsidRPr="00BC21BD">
        <w:rPr>
          <w:lang w:val="en-US" w:eastAsia="en-US"/>
        </w:rPr>
        <w:t>.0</w:t>
      </w:r>
      <w:r w:rsidR="008E40DC">
        <w:rPr>
          <w:lang w:val="en-US" w:eastAsia="en-US"/>
        </w:rPr>
        <w:t xml:space="preserve"> per cent</w:t>
      </w:r>
      <w:r w:rsidR="00F72CAD" w:rsidRPr="00BC21BD">
        <w:rPr>
          <w:lang w:val="en-US" w:eastAsia="en-US"/>
        </w:rPr>
        <w:t xml:space="preserve"> relative to the </w:t>
      </w:r>
      <w:r w:rsidR="00147300">
        <w:rPr>
          <w:lang w:val="en-US" w:eastAsia="en-US"/>
        </w:rPr>
        <w:t>current level of the nitrogen load</w:t>
      </w:r>
      <w:r w:rsidR="00F72CAD" w:rsidRPr="00BC21BD">
        <w:rPr>
          <w:lang w:val="en-US" w:eastAsia="en-US"/>
        </w:rPr>
        <w:t xml:space="preserve">. Regionally, the </w:t>
      </w:r>
      <w:r w:rsidR="00FB606C">
        <w:rPr>
          <w:lang w:val="en-US" w:eastAsia="en-US"/>
        </w:rPr>
        <w:t>DIN</w:t>
      </w:r>
      <w:r w:rsidR="00FB606C" w:rsidRPr="00BC21BD">
        <w:rPr>
          <w:lang w:val="en-US" w:eastAsia="en-US"/>
        </w:rPr>
        <w:t xml:space="preserve"> </w:t>
      </w:r>
      <w:r w:rsidR="0067679D">
        <w:rPr>
          <w:lang w:val="en-US" w:eastAsia="en-US"/>
        </w:rPr>
        <w:t>bottom-line</w:t>
      </w:r>
      <w:r w:rsidR="00F72CAD" w:rsidRPr="00BC21BD">
        <w:rPr>
          <w:lang w:val="en-US" w:eastAsia="en-US"/>
        </w:rPr>
        <w:t xml:space="preserve"> has the most noticeable impact in Canterbury (contributing 9</w:t>
      </w:r>
      <w:r w:rsidR="005A4BBB" w:rsidRPr="00BC21BD">
        <w:rPr>
          <w:lang w:val="en-US" w:eastAsia="en-US"/>
        </w:rPr>
        <w:t>.2</w:t>
      </w:r>
      <w:r w:rsidR="008E40DC">
        <w:rPr>
          <w:lang w:val="en-US" w:eastAsia="en-US"/>
        </w:rPr>
        <w:t xml:space="preserve"> per cent</w:t>
      </w:r>
      <w:r w:rsidR="00F72CAD" w:rsidRPr="00BC21BD">
        <w:rPr>
          <w:lang w:val="en-US" w:eastAsia="en-US"/>
        </w:rPr>
        <w:t xml:space="preserve"> to an overall 32</w:t>
      </w:r>
      <w:r w:rsidR="005A4BBB" w:rsidRPr="00BC21BD">
        <w:rPr>
          <w:lang w:val="en-US" w:eastAsia="en-US"/>
        </w:rPr>
        <w:t>.0</w:t>
      </w:r>
      <w:r w:rsidR="008E40DC">
        <w:rPr>
          <w:lang w:val="en-US" w:eastAsia="en-US"/>
        </w:rPr>
        <w:t xml:space="preserve"> per cent</w:t>
      </w:r>
      <w:r w:rsidR="00F72CAD" w:rsidRPr="00BC21BD">
        <w:rPr>
          <w:lang w:val="en-US" w:eastAsia="en-US"/>
        </w:rPr>
        <w:t xml:space="preserve"> reduction in nitrogen) and Waikato (contributing </w:t>
      </w:r>
      <w:r w:rsidR="005A4BBB" w:rsidRPr="00BC21BD">
        <w:rPr>
          <w:lang w:val="en-US" w:eastAsia="en-US"/>
        </w:rPr>
        <w:t>6.7</w:t>
      </w:r>
      <w:r w:rsidR="008E40DC">
        <w:rPr>
          <w:lang w:val="en-US" w:eastAsia="en-US"/>
        </w:rPr>
        <w:t xml:space="preserve"> per cent</w:t>
      </w:r>
      <w:r w:rsidR="00F72CAD" w:rsidRPr="00BC21BD">
        <w:rPr>
          <w:lang w:val="en-US" w:eastAsia="en-US"/>
        </w:rPr>
        <w:t xml:space="preserve"> to an overall reduction of </w:t>
      </w:r>
      <w:r w:rsidR="005A4BBB" w:rsidRPr="00BC21BD">
        <w:rPr>
          <w:lang w:val="en-US" w:eastAsia="en-US"/>
        </w:rPr>
        <w:t>9.9</w:t>
      </w:r>
      <w:r w:rsidR="008E40DC">
        <w:rPr>
          <w:lang w:val="en-US" w:eastAsia="en-US"/>
        </w:rPr>
        <w:t xml:space="preserve"> per cent</w:t>
      </w:r>
      <w:r w:rsidR="00F72CAD" w:rsidRPr="00BC21BD">
        <w:rPr>
          <w:lang w:val="en-US" w:eastAsia="en-US"/>
        </w:rPr>
        <w:t>).</w:t>
      </w:r>
    </w:p>
    <w:p w14:paraId="5B452126" w14:textId="730FC692" w:rsidR="008406A6" w:rsidRDefault="00F72CAD" w:rsidP="00C42D60">
      <w:pPr>
        <w:pStyle w:val="Heading5"/>
        <w:rPr>
          <w:lang w:val="en-US" w:eastAsia="en-US"/>
        </w:rPr>
      </w:pPr>
      <w:r w:rsidRPr="00BC21BD">
        <w:rPr>
          <w:lang w:val="en-US" w:eastAsia="en-US"/>
        </w:rPr>
        <w:t xml:space="preserve">To achieve the requirements of the </w:t>
      </w:r>
      <w:r w:rsidR="00B50ACE">
        <w:rPr>
          <w:lang w:val="en-US" w:eastAsia="en-US"/>
        </w:rPr>
        <w:t xml:space="preserve">2017 </w:t>
      </w:r>
      <w:r w:rsidRPr="00483079">
        <w:rPr>
          <w:lang w:val="en-US" w:eastAsia="en-US"/>
        </w:rPr>
        <w:t>NPS</w:t>
      </w:r>
      <w:r w:rsidR="00483079">
        <w:rPr>
          <w:lang w:val="en-US" w:eastAsia="en-US"/>
        </w:rPr>
        <w:t>-FM</w:t>
      </w:r>
      <w:r w:rsidRPr="00BC21BD">
        <w:rPr>
          <w:lang w:val="en-US" w:eastAsia="en-US"/>
        </w:rPr>
        <w:t xml:space="preserve"> with a strengthened national </w:t>
      </w:r>
      <w:r w:rsidR="0067679D">
        <w:rPr>
          <w:lang w:val="en-US" w:eastAsia="en-US"/>
        </w:rPr>
        <w:t>bottom-line</w:t>
      </w:r>
      <w:r w:rsidRPr="00BC21BD">
        <w:rPr>
          <w:lang w:val="en-US" w:eastAsia="en-US"/>
        </w:rPr>
        <w:t xml:space="preserve"> for nitrate toxicity of 2.4 mg/L </w:t>
      </w:r>
    </w:p>
    <w:p w14:paraId="061597DC" w14:textId="7AA55117" w:rsidR="00357C93" w:rsidRDefault="008406A6" w:rsidP="00C42D60">
      <w:pPr>
        <w:pStyle w:val="BodyText"/>
        <w:rPr>
          <w:lang w:val="en-US" w:eastAsia="en-US"/>
        </w:rPr>
      </w:pPr>
      <w:r>
        <w:rPr>
          <w:lang w:val="en-US" w:eastAsia="en-US"/>
        </w:rPr>
        <w:t>N</w:t>
      </w:r>
      <w:r w:rsidRPr="00BC21BD">
        <w:rPr>
          <w:lang w:val="en-US" w:eastAsia="en-US"/>
        </w:rPr>
        <w:t xml:space="preserve">itrogen </w:t>
      </w:r>
      <w:r w:rsidR="00F72CAD" w:rsidRPr="00BC21BD">
        <w:rPr>
          <w:lang w:val="en-US" w:eastAsia="en-US"/>
        </w:rPr>
        <w:t>loads would have to reduce by 7.7</w:t>
      </w:r>
      <w:r w:rsidR="008E40DC">
        <w:rPr>
          <w:lang w:val="en-US" w:eastAsia="en-US"/>
        </w:rPr>
        <w:t xml:space="preserve"> per cent</w:t>
      </w:r>
      <w:r w:rsidR="00F72CAD" w:rsidRPr="00BC21BD">
        <w:rPr>
          <w:lang w:val="en-US" w:eastAsia="en-US"/>
        </w:rPr>
        <w:t xml:space="preserve"> across New Zealand</w:t>
      </w:r>
      <w:r w:rsidR="004009B5" w:rsidRPr="00BC21BD">
        <w:rPr>
          <w:lang w:val="en-US" w:eastAsia="en-US"/>
        </w:rPr>
        <w:t xml:space="preserve"> (Figures 4-5)</w:t>
      </w:r>
      <w:r w:rsidR="00F72CAD" w:rsidRPr="00BC21BD">
        <w:rPr>
          <w:lang w:val="en-US" w:eastAsia="en-US"/>
        </w:rPr>
        <w:t>. Of that 7.7</w:t>
      </w:r>
      <w:r w:rsidR="008E40DC">
        <w:rPr>
          <w:lang w:val="en-US" w:eastAsia="en-US"/>
        </w:rPr>
        <w:t xml:space="preserve"> per cent</w:t>
      </w:r>
      <w:r w:rsidR="00F72CAD" w:rsidRPr="00BC21BD">
        <w:rPr>
          <w:lang w:val="en-US" w:eastAsia="en-US"/>
        </w:rPr>
        <w:t xml:space="preserve">, the change to the </w:t>
      </w:r>
      <w:r w:rsidR="0067679D">
        <w:rPr>
          <w:lang w:val="en-US" w:eastAsia="en-US"/>
        </w:rPr>
        <w:t>bottom-line</w:t>
      </w:r>
      <w:r w:rsidR="00F72CAD" w:rsidRPr="00BC21BD">
        <w:rPr>
          <w:lang w:val="en-US" w:eastAsia="en-US"/>
        </w:rPr>
        <w:t xml:space="preserve"> contributes 0.5</w:t>
      </w:r>
      <w:r w:rsidR="008E40DC">
        <w:rPr>
          <w:lang w:val="en-US" w:eastAsia="en-US"/>
        </w:rPr>
        <w:t xml:space="preserve"> per cent</w:t>
      </w:r>
      <w:r w:rsidR="00F72CAD" w:rsidRPr="00BC21BD">
        <w:rPr>
          <w:lang w:val="en-US" w:eastAsia="en-US"/>
        </w:rPr>
        <w:t xml:space="preserve"> relative to the baseload. The change is most noticeable in Canterbury and Waikato.</w:t>
      </w:r>
    </w:p>
    <w:p w14:paraId="056F795D" w14:textId="09264E6F" w:rsidR="008406A6" w:rsidRDefault="004009B5" w:rsidP="00C42D60">
      <w:pPr>
        <w:pStyle w:val="Heading5"/>
        <w:rPr>
          <w:lang w:val="en-US" w:eastAsia="en-US"/>
        </w:rPr>
      </w:pPr>
      <w:r w:rsidRPr="00BC21BD">
        <w:rPr>
          <w:lang w:val="en-US" w:eastAsia="en-US"/>
        </w:rPr>
        <w:t xml:space="preserve">To achieve the requirements of the </w:t>
      </w:r>
      <w:r w:rsidR="00B50ACE">
        <w:rPr>
          <w:lang w:val="en-US" w:eastAsia="en-US"/>
        </w:rPr>
        <w:t xml:space="preserve">2017 </w:t>
      </w:r>
      <w:r w:rsidRPr="00483079">
        <w:rPr>
          <w:lang w:val="en-US" w:eastAsia="en-US"/>
        </w:rPr>
        <w:t>NPS</w:t>
      </w:r>
      <w:r w:rsidR="00483079">
        <w:rPr>
          <w:lang w:val="en-US" w:eastAsia="en-US"/>
        </w:rPr>
        <w:t>-FM</w:t>
      </w:r>
      <w:r w:rsidRPr="00BC21BD">
        <w:rPr>
          <w:lang w:val="en-US" w:eastAsia="en-US"/>
        </w:rPr>
        <w:t xml:space="preserve"> with a national </w:t>
      </w:r>
      <w:r w:rsidR="0067679D">
        <w:rPr>
          <w:lang w:val="en-US" w:eastAsia="en-US"/>
        </w:rPr>
        <w:t>bottom-line</w:t>
      </w:r>
      <w:r w:rsidRPr="00BC21BD">
        <w:rPr>
          <w:lang w:val="en-US" w:eastAsia="en-US"/>
        </w:rPr>
        <w:t xml:space="preserve"> for </w:t>
      </w:r>
      <w:r w:rsidR="00D46A96" w:rsidRPr="00E9147F">
        <w:t xml:space="preserve">dissolved reactive phosphorus </w:t>
      </w:r>
      <w:r w:rsidR="00D46A96">
        <w:t>(</w:t>
      </w:r>
      <w:r w:rsidRPr="00BC21BD">
        <w:rPr>
          <w:lang w:val="en-US" w:eastAsia="en-US"/>
        </w:rPr>
        <w:t>DRP</w:t>
      </w:r>
      <w:r w:rsidR="00D46A96">
        <w:rPr>
          <w:lang w:val="en-US" w:eastAsia="en-US"/>
        </w:rPr>
        <w:t>)</w:t>
      </w:r>
      <w:r w:rsidRPr="00BC21BD">
        <w:rPr>
          <w:lang w:val="en-US" w:eastAsia="en-US"/>
        </w:rPr>
        <w:t xml:space="preserve"> of 0.018</w:t>
      </w:r>
      <w:r w:rsidR="00C42D60">
        <w:rPr>
          <w:lang w:val="en-US" w:eastAsia="en-US"/>
        </w:rPr>
        <w:t> </w:t>
      </w:r>
      <w:r w:rsidRPr="00BC21BD">
        <w:rPr>
          <w:lang w:val="en-US" w:eastAsia="en-US"/>
        </w:rPr>
        <w:t xml:space="preserve">mg/L </w:t>
      </w:r>
    </w:p>
    <w:p w14:paraId="208F9F3B" w14:textId="29E64F59" w:rsidR="004009B5" w:rsidRPr="00F72CAD" w:rsidRDefault="008406A6" w:rsidP="00C42D60">
      <w:pPr>
        <w:pStyle w:val="BodyText"/>
        <w:rPr>
          <w:lang w:val="en-US" w:eastAsia="en-US"/>
        </w:rPr>
      </w:pPr>
      <w:r>
        <w:rPr>
          <w:lang w:val="en-US" w:eastAsia="en-US"/>
        </w:rPr>
        <w:t>P</w:t>
      </w:r>
      <w:r w:rsidRPr="00BC21BD">
        <w:rPr>
          <w:lang w:val="en-US" w:eastAsia="en-US"/>
        </w:rPr>
        <w:t xml:space="preserve">hosphorus </w:t>
      </w:r>
      <w:r w:rsidR="004009B5" w:rsidRPr="00BC21BD">
        <w:rPr>
          <w:lang w:val="en-US" w:eastAsia="en-US"/>
        </w:rPr>
        <w:t xml:space="preserve">loads would have to reduce by </w:t>
      </w:r>
      <w:r w:rsidR="007404BF" w:rsidRPr="00BC21BD">
        <w:rPr>
          <w:lang w:val="en-US" w:eastAsia="en-US"/>
        </w:rPr>
        <w:t>2.5</w:t>
      </w:r>
      <w:r w:rsidR="008E40DC">
        <w:rPr>
          <w:lang w:val="en-US" w:eastAsia="en-US"/>
        </w:rPr>
        <w:t xml:space="preserve"> per cent</w:t>
      </w:r>
      <w:r w:rsidR="004009B5" w:rsidRPr="00BC21BD">
        <w:rPr>
          <w:lang w:val="en-US" w:eastAsia="en-US"/>
        </w:rPr>
        <w:t xml:space="preserve"> across New Zealand (Figures 6-7). Of that </w:t>
      </w:r>
      <w:r w:rsidR="007404BF" w:rsidRPr="00BC21BD">
        <w:rPr>
          <w:lang w:val="en-US" w:eastAsia="en-US"/>
        </w:rPr>
        <w:t>2.5</w:t>
      </w:r>
      <w:r w:rsidR="008E40DC">
        <w:rPr>
          <w:lang w:val="en-US" w:eastAsia="en-US"/>
        </w:rPr>
        <w:t xml:space="preserve"> per cent</w:t>
      </w:r>
      <w:r w:rsidR="004009B5" w:rsidRPr="00BC21BD">
        <w:rPr>
          <w:lang w:val="en-US" w:eastAsia="en-US"/>
        </w:rPr>
        <w:t>, the</w:t>
      </w:r>
      <w:r w:rsidR="004009B5" w:rsidRPr="00F72CAD">
        <w:rPr>
          <w:lang w:val="en-US" w:eastAsia="en-US"/>
        </w:rPr>
        <w:t xml:space="preserve"> new </w:t>
      </w:r>
      <w:r w:rsidR="0067679D">
        <w:rPr>
          <w:lang w:val="en-US" w:eastAsia="en-US"/>
        </w:rPr>
        <w:t>bottom-line</w:t>
      </w:r>
      <w:r w:rsidR="004009B5" w:rsidRPr="00F72CAD">
        <w:rPr>
          <w:lang w:val="en-US" w:eastAsia="en-US"/>
        </w:rPr>
        <w:t xml:space="preserve"> contributes </w:t>
      </w:r>
      <w:r w:rsidR="004009B5" w:rsidRPr="00D37E53">
        <w:rPr>
          <w:lang w:val="en-US" w:eastAsia="en-US"/>
        </w:rPr>
        <w:t>1.7</w:t>
      </w:r>
      <w:r w:rsidR="008E40DC">
        <w:rPr>
          <w:lang w:val="en-US" w:eastAsia="en-US"/>
        </w:rPr>
        <w:t xml:space="preserve"> per cent</w:t>
      </w:r>
      <w:r w:rsidR="004009B5" w:rsidRPr="00F72CAD">
        <w:rPr>
          <w:lang w:val="en-US" w:eastAsia="en-US"/>
        </w:rPr>
        <w:t xml:space="preserve"> relative to the baseload. The new </w:t>
      </w:r>
      <w:r w:rsidR="0067679D">
        <w:rPr>
          <w:lang w:val="en-US" w:eastAsia="en-US"/>
        </w:rPr>
        <w:t>bottom-line</w:t>
      </w:r>
      <w:r w:rsidR="004009B5" w:rsidRPr="00F72CAD">
        <w:rPr>
          <w:lang w:val="en-US" w:eastAsia="en-US"/>
        </w:rPr>
        <w:t xml:space="preserve"> makes a noticeable difference in Waikato, Manawatū-Whanganui and Northland, but not elsewhere.</w:t>
      </w:r>
    </w:p>
    <w:p w14:paraId="40DC67FC" w14:textId="544EEB3F" w:rsidR="009C00F7" w:rsidRDefault="009C00F7" w:rsidP="00C42D60">
      <w:pPr>
        <w:pStyle w:val="Tableheading"/>
      </w:pPr>
      <w:bookmarkStart w:id="174" w:name="_Toc40950230"/>
      <w:r>
        <w:t xml:space="preserve">Table </w:t>
      </w:r>
      <w:r>
        <w:fldChar w:fldCharType="begin"/>
      </w:r>
      <w:r>
        <w:instrText>SEQ Table \* ARABIC</w:instrText>
      </w:r>
      <w:r>
        <w:fldChar w:fldCharType="separate"/>
      </w:r>
      <w:r w:rsidR="003D2D41">
        <w:rPr>
          <w:noProof/>
        </w:rPr>
        <w:t>1</w:t>
      </w:r>
      <w:r>
        <w:fldChar w:fldCharType="end"/>
      </w:r>
      <w:r>
        <w:t xml:space="preserve">: </w:t>
      </w:r>
      <w:r w:rsidR="00C42D60">
        <w:tab/>
      </w:r>
      <w:r w:rsidRPr="009C00F7">
        <w:t xml:space="preserve">Phosphorus load reduction target for different </w:t>
      </w:r>
      <w:r w:rsidRPr="00C42D60">
        <w:t>regions</w:t>
      </w:r>
      <w:r w:rsidRPr="009C00F7">
        <w:t xml:space="preserve"> and its proportion to the current load. The</w:t>
      </w:r>
      <w:r w:rsidR="00C42D60">
        <w:t> </w:t>
      </w:r>
      <w:r w:rsidRPr="009C00F7">
        <w:t>figure includes different scenarios with 20</w:t>
      </w:r>
      <w:r w:rsidR="008E40DC">
        <w:t xml:space="preserve"> per cent</w:t>
      </w:r>
      <w:r w:rsidRPr="009C00F7">
        <w:t xml:space="preserve"> periphyton spatial exceedance criteria. Results for</w:t>
      </w:r>
      <w:r w:rsidR="00C42D60">
        <w:t> </w:t>
      </w:r>
      <w:r w:rsidRPr="009C00F7">
        <w:t>10</w:t>
      </w:r>
      <w:r w:rsidR="008E40DC">
        <w:t xml:space="preserve"> per cent</w:t>
      </w:r>
      <w:r w:rsidRPr="009C00F7">
        <w:t xml:space="preserve"> and 30</w:t>
      </w:r>
      <w:r w:rsidR="008E40DC">
        <w:t xml:space="preserve"> per cent</w:t>
      </w:r>
      <w:r w:rsidRPr="009C00F7">
        <w:t xml:space="preserve"> periphyton spatial exceedance criteria can be found in</w:t>
      </w:r>
      <w:r w:rsidR="00F7001F">
        <w:t> </w:t>
      </w:r>
      <w:r w:rsidRPr="009C00F7">
        <w:t>Appendix 3</w:t>
      </w:r>
      <w:bookmarkEnd w:id="174"/>
      <w:r w:rsidR="00B50C21">
        <w:t>.</w:t>
      </w:r>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324"/>
        <w:gridCol w:w="1391"/>
        <w:gridCol w:w="2177"/>
        <w:gridCol w:w="1613"/>
      </w:tblGrid>
      <w:tr w:rsidR="006026D8" w:rsidRPr="00D815C4" w14:paraId="3AE82527" w14:textId="77777777" w:rsidTr="001920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4" w:type="pct"/>
            <w:vMerge w:val="restart"/>
            <w:noWrap/>
            <w:vAlign w:val="bottom"/>
            <w:hideMark/>
          </w:tcPr>
          <w:p w14:paraId="628E084F" w14:textId="77777777" w:rsidR="006026D8" w:rsidRPr="00D815C4" w:rsidRDefault="006026D8" w:rsidP="006026D8">
            <w:pPr>
              <w:pStyle w:val="TableText"/>
              <w:jc w:val="center"/>
              <w:rPr>
                <w:rFonts w:eastAsia="Times New Roman"/>
                <w:lang w:eastAsia="ja-JP"/>
              </w:rPr>
            </w:pPr>
            <w:r w:rsidRPr="00D815C4">
              <w:t>Scenario</w:t>
            </w:r>
          </w:p>
        </w:tc>
        <w:tc>
          <w:tcPr>
            <w:tcW w:w="818" w:type="pct"/>
            <w:vAlign w:val="center"/>
            <w:hideMark/>
          </w:tcPr>
          <w:p w14:paraId="7DE1AFC3" w14:textId="77777777" w:rsidR="006026D8" w:rsidRPr="00D815C4" w:rsidRDefault="006026D8" w:rsidP="006026D8">
            <w:pPr>
              <w:pStyle w:val="TableText"/>
              <w:spacing w:after="0"/>
              <w:jc w:val="center"/>
              <w:cnfStyle w:val="100000000000" w:firstRow="1" w:lastRow="0" w:firstColumn="0" w:lastColumn="0" w:oddVBand="0" w:evenVBand="0" w:oddHBand="0" w:evenHBand="0" w:firstRowFirstColumn="0" w:firstRowLastColumn="0" w:lastRowFirstColumn="0" w:lastRowLastColumn="0"/>
              <w:rPr>
                <w:rFonts w:eastAsia="Times New Roman"/>
                <w:lang w:eastAsia="ja-JP"/>
              </w:rPr>
            </w:pPr>
            <w:r w:rsidRPr="00D815C4">
              <w:t>Current load</w:t>
            </w:r>
          </w:p>
        </w:tc>
        <w:tc>
          <w:tcPr>
            <w:tcW w:w="1280" w:type="pct"/>
            <w:noWrap/>
            <w:hideMark/>
          </w:tcPr>
          <w:p w14:paraId="5620CFB6" w14:textId="77777777" w:rsidR="006026D8" w:rsidRPr="00D815C4" w:rsidRDefault="006026D8" w:rsidP="006026D8">
            <w:pPr>
              <w:pStyle w:val="TableText"/>
              <w:spacing w:after="0"/>
              <w:jc w:val="center"/>
              <w:cnfStyle w:val="100000000000" w:firstRow="1" w:lastRow="0" w:firstColumn="0" w:lastColumn="0" w:oddVBand="0" w:evenVBand="0" w:oddHBand="0" w:evenHBand="0" w:firstRowFirstColumn="0" w:firstRowLastColumn="0" w:lastRowFirstColumn="0" w:lastRowLastColumn="0"/>
              <w:rPr>
                <w:rFonts w:eastAsia="Times New Roman"/>
                <w:lang w:eastAsia="ja-JP"/>
              </w:rPr>
            </w:pPr>
            <w:r w:rsidRPr="00D815C4">
              <w:t>2017 NPS-FM</w:t>
            </w:r>
          </w:p>
        </w:tc>
        <w:tc>
          <w:tcPr>
            <w:tcW w:w="949" w:type="pct"/>
            <w:noWrap/>
            <w:vAlign w:val="center"/>
            <w:hideMark/>
          </w:tcPr>
          <w:p w14:paraId="43CD6D55" w14:textId="77777777" w:rsidR="006026D8" w:rsidRPr="00D815C4" w:rsidRDefault="006026D8" w:rsidP="006026D8">
            <w:pPr>
              <w:pStyle w:val="TableText"/>
              <w:spacing w:after="0"/>
              <w:jc w:val="center"/>
              <w:cnfStyle w:val="100000000000" w:firstRow="1" w:lastRow="0" w:firstColumn="0" w:lastColumn="0" w:oddVBand="0" w:evenVBand="0" w:oddHBand="0" w:evenHBand="0" w:firstRowFirstColumn="0" w:firstRowLastColumn="0" w:lastRowFirstColumn="0" w:lastRowLastColumn="0"/>
              <w:rPr>
                <w:rFonts w:eastAsia="Times New Roman"/>
                <w:lang w:eastAsia="ja-JP"/>
              </w:rPr>
            </w:pPr>
            <w:r w:rsidRPr="00D815C4">
              <w:t>DRP18</w:t>
            </w:r>
          </w:p>
        </w:tc>
      </w:tr>
      <w:tr w:rsidR="006026D8" w:rsidRPr="00D815C4" w14:paraId="301B486A" w14:textId="77777777" w:rsidTr="001920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4" w:type="pct"/>
            <w:vMerge/>
            <w:noWrap/>
            <w:vAlign w:val="bottom"/>
            <w:hideMark/>
          </w:tcPr>
          <w:p w14:paraId="76E629BF" w14:textId="77777777" w:rsidR="006026D8" w:rsidRPr="00D815C4" w:rsidRDefault="006026D8" w:rsidP="006026D8">
            <w:pPr>
              <w:pStyle w:val="TableText"/>
              <w:spacing w:before="0"/>
              <w:jc w:val="center"/>
              <w:rPr>
                <w:rFonts w:eastAsia="Times New Roman"/>
                <w:lang w:eastAsia="ja-JP"/>
              </w:rPr>
            </w:pPr>
          </w:p>
        </w:tc>
        <w:tc>
          <w:tcPr>
            <w:tcW w:w="818" w:type="pct"/>
            <w:noWrap/>
            <w:vAlign w:val="center"/>
            <w:hideMark/>
          </w:tcPr>
          <w:p w14:paraId="76DC89C2" w14:textId="77777777" w:rsidR="006026D8" w:rsidRPr="00D815C4" w:rsidRDefault="006026D8" w:rsidP="006026D8">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ja-JP"/>
              </w:rPr>
            </w:pPr>
            <w:r w:rsidRPr="00D815C4">
              <w:t>t/yr</w:t>
            </w:r>
          </w:p>
        </w:tc>
        <w:tc>
          <w:tcPr>
            <w:tcW w:w="1280" w:type="pct"/>
            <w:vAlign w:val="center"/>
            <w:hideMark/>
          </w:tcPr>
          <w:p w14:paraId="059DBD9C" w14:textId="77777777" w:rsidR="006026D8" w:rsidRPr="00D815C4" w:rsidRDefault="006026D8" w:rsidP="006026D8">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ja-JP"/>
              </w:rPr>
            </w:pPr>
            <w:r w:rsidRPr="00D815C4">
              <w:t>t/yr (%)</w:t>
            </w:r>
          </w:p>
        </w:tc>
        <w:tc>
          <w:tcPr>
            <w:tcW w:w="949" w:type="pct"/>
            <w:vAlign w:val="center"/>
            <w:hideMark/>
          </w:tcPr>
          <w:p w14:paraId="0F7FACF7" w14:textId="77777777" w:rsidR="006026D8" w:rsidRPr="00D815C4" w:rsidRDefault="006026D8" w:rsidP="006026D8">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ja-JP"/>
              </w:rPr>
            </w:pPr>
            <w:r w:rsidRPr="00D815C4">
              <w:t>t/yr (%)</w:t>
            </w:r>
          </w:p>
        </w:tc>
      </w:tr>
      <w:tr w:rsidR="00437902" w:rsidRPr="0062560D" w14:paraId="2C373F98"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shd w:val="clear" w:color="auto" w:fill="auto"/>
            <w:noWrap/>
            <w:vAlign w:val="bottom"/>
            <w:hideMark/>
          </w:tcPr>
          <w:p w14:paraId="21B5C554" w14:textId="77777777" w:rsidR="00437902" w:rsidRPr="0062560D" w:rsidRDefault="00437902" w:rsidP="00D815C4">
            <w:pPr>
              <w:pStyle w:val="TableText"/>
              <w:rPr>
                <w:rFonts w:eastAsia="Times New Roman" w:cs="Calibri"/>
                <w:lang w:eastAsia="ja-JP"/>
              </w:rPr>
            </w:pPr>
            <w:r w:rsidRPr="0062560D">
              <w:rPr>
                <w:rFonts w:cs="Calibri"/>
                <w:color w:val="000000"/>
              </w:rPr>
              <w:t>Auckland</w:t>
            </w:r>
          </w:p>
        </w:tc>
        <w:tc>
          <w:tcPr>
            <w:tcW w:w="818" w:type="pct"/>
            <w:shd w:val="clear" w:color="auto" w:fill="auto"/>
            <w:vAlign w:val="bottom"/>
            <w:hideMark/>
          </w:tcPr>
          <w:p w14:paraId="555FF18B"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ja-JP"/>
              </w:rPr>
            </w:pPr>
            <w:r w:rsidRPr="0062560D">
              <w:rPr>
                <w:rFonts w:cs="Calibri"/>
                <w:color w:val="000000"/>
              </w:rPr>
              <w:t>565</w:t>
            </w:r>
          </w:p>
        </w:tc>
        <w:tc>
          <w:tcPr>
            <w:tcW w:w="1280" w:type="pct"/>
            <w:shd w:val="clear" w:color="auto" w:fill="auto"/>
            <w:vAlign w:val="bottom"/>
            <w:hideMark/>
          </w:tcPr>
          <w:p w14:paraId="5CC24D04"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ja-JP"/>
              </w:rPr>
            </w:pPr>
            <w:r w:rsidRPr="0062560D">
              <w:rPr>
                <w:rFonts w:cs="Calibri"/>
                <w:color w:val="000000"/>
              </w:rPr>
              <w:t>26 (5)</w:t>
            </w:r>
          </w:p>
        </w:tc>
        <w:tc>
          <w:tcPr>
            <w:tcW w:w="949" w:type="pct"/>
            <w:tcBorders>
              <w:right w:val="nil"/>
            </w:tcBorders>
            <w:shd w:val="clear" w:color="auto" w:fill="auto"/>
            <w:vAlign w:val="bottom"/>
            <w:hideMark/>
          </w:tcPr>
          <w:p w14:paraId="25118565"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ja-JP"/>
              </w:rPr>
            </w:pPr>
            <w:r w:rsidRPr="0062560D">
              <w:rPr>
                <w:rFonts w:cs="Calibri"/>
                <w:color w:val="000000"/>
              </w:rPr>
              <w:t>36 (6)</w:t>
            </w:r>
          </w:p>
        </w:tc>
      </w:tr>
      <w:tr w:rsidR="00437902" w:rsidRPr="0062560D" w14:paraId="09A1FF51"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5E8F8422"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Bay of Plenty</w:t>
            </w:r>
          </w:p>
        </w:tc>
        <w:tc>
          <w:tcPr>
            <w:tcW w:w="818" w:type="pct"/>
            <w:noWrap/>
            <w:vAlign w:val="bottom"/>
            <w:hideMark/>
          </w:tcPr>
          <w:p w14:paraId="42CCE4FE"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2,990</w:t>
            </w:r>
          </w:p>
        </w:tc>
        <w:tc>
          <w:tcPr>
            <w:tcW w:w="1280" w:type="pct"/>
            <w:noWrap/>
            <w:vAlign w:val="bottom"/>
            <w:hideMark/>
          </w:tcPr>
          <w:p w14:paraId="4979B98B"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38 (1)</w:t>
            </w:r>
          </w:p>
        </w:tc>
        <w:tc>
          <w:tcPr>
            <w:tcW w:w="949" w:type="pct"/>
            <w:noWrap/>
            <w:vAlign w:val="bottom"/>
            <w:hideMark/>
          </w:tcPr>
          <w:p w14:paraId="5DCFD818"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124 (4)</w:t>
            </w:r>
          </w:p>
        </w:tc>
      </w:tr>
      <w:tr w:rsidR="00437902" w:rsidRPr="0062560D" w14:paraId="435B847A"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26CC7DCD"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Canterbury</w:t>
            </w:r>
          </w:p>
        </w:tc>
        <w:tc>
          <w:tcPr>
            <w:tcW w:w="818" w:type="pct"/>
            <w:noWrap/>
            <w:vAlign w:val="bottom"/>
            <w:hideMark/>
          </w:tcPr>
          <w:p w14:paraId="0E02DDDE"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3,262</w:t>
            </w:r>
          </w:p>
        </w:tc>
        <w:tc>
          <w:tcPr>
            <w:tcW w:w="1280" w:type="pct"/>
            <w:noWrap/>
            <w:vAlign w:val="bottom"/>
            <w:hideMark/>
          </w:tcPr>
          <w:p w14:paraId="1F065090"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15 (0)</w:t>
            </w:r>
          </w:p>
        </w:tc>
        <w:tc>
          <w:tcPr>
            <w:tcW w:w="949" w:type="pct"/>
            <w:tcBorders>
              <w:right w:val="nil"/>
            </w:tcBorders>
            <w:noWrap/>
            <w:vAlign w:val="bottom"/>
            <w:hideMark/>
          </w:tcPr>
          <w:p w14:paraId="504D5FA8"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22 (1)</w:t>
            </w:r>
          </w:p>
        </w:tc>
      </w:tr>
      <w:tr w:rsidR="00437902" w:rsidRPr="0062560D" w14:paraId="6A29A231"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28F60AFF"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Gisborne</w:t>
            </w:r>
          </w:p>
        </w:tc>
        <w:tc>
          <w:tcPr>
            <w:tcW w:w="818" w:type="pct"/>
            <w:noWrap/>
            <w:vAlign w:val="bottom"/>
            <w:hideMark/>
          </w:tcPr>
          <w:p w14:paraId="0210A7D7"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10,233</w:t>
            </w:r>
          </w:p>
        </w:tc>
        <w:tc>
          <w:tcPr>
            <w:tcW w:w="1280" w:type="pct"/>
            <w:noWrap/>
            <w:vAlign w:val="bottom"/>
            <w:hideMark/>
          </w:tcPr>
          <w:p w14:paraId="5403965B"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19 (0)</w:t>
            </w:r>
          </w:p>
        </w:tc>
        <w:tc>
          <w:tcPr>
            <w:tcW w:w="949" w:type="pct"/>
            <w:noWrap/>
            <w:vAlign w:val="bottom"/>
            <w:hideMark/>
          </w:tcPr>
          <w:p w14:paraId="28AC0431"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21 (0)</w:t>
            </w:r>
          </w:p>
        </w:tc>
      </w:tr>
      <w:tr w:rsidR="00437902" w:rsidRPr="0062560D" w14:paraId="72A6B822"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5A401C33"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Hawke</w:t>
            </w:r>
            <w:r w:rsidR="00F7001F">
              <w:rPr>
                <w:rFonts w:cs="Calibri"/>
                <w:color w:val="000000"/>
              </w:rPr>
              <w:t>’</w:t>
            </w:r>
            <w:r w:rsidRPr="0062560D">
              <w:rPr>
                <w:rFonts w:cs="Calibri"/>
                <w:color w:val="000000"/>
              </w:rPr>
              <w:t>s Bay</w:t>
            </w:r>
          </w:p>
        </w:tc>
        <w:tc>
          <w:tcPr>
            <w:tcW w:w="818" w:type="pct"/>
            <w:noWrap/>
            <w:vAlign w:val="bottom"/>
            <w:hideMark/>
          </w:tcPr>
          <w:p w14:paraId="6886A7AB"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2,956</w:t>
            </w:r>
          </w:p>
        </w:tc>
        <w:tc>
          <w:tcPr>
            <w:tcW w:w="1280" w:type="pct"/>
            <w:noWrap/>
            <w:vAlign w:val="bottom"/>
            <w:hideMark/>
          </w:tcPr>
          <w:p w14:paraId="10DB2E7B"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79 (3)</w:t>
            </w:r>
          </w:p>
        </w:tc>
        <w:tc>
          <w:tcPr>
            <w:tcW w:w="949" w:type="pct"/>
            <w:tcBorders>
              <w:right w:val="nil"/>
            </w:tcBorders>
            <w:noWrap/>
            <w:vAlign w:val="bottom"/>
            <w:hideMark/>
          </w:tcPr>
          <w:p w14:paraId="4392D29D"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104 (4)</w:t>
            </w:r>
          </w:p>
        </w:tc>
      </w:tr>
      <w:tr w:rsidR="00437902" w:rsidRPr="0062560D" w14:paraId="7F1E5E34"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00F2EE29" w14:textId="76CE99ED" w:rsidR="00437902" w:rsidRPr="0062560D" w:rsidRDefault="00437902" w:rsidP="00B50C21">
            <w:pPr>
              <w:pStyle w:val="TableText"/>
              <w:rPr>
                <w:rFonts w:eastAsia="Times New Roman" w:cs="Calibri"/>
                <w:color w:val="000000"/>
                <w:lang w:eastAsia="ja-JP"/>
              </w:rPr>
            </w:pPr>
            <w:r w:rsidRPr="0062560D">
              <w:rPr>
                <w:rFonts w:cs="Calibri"/>
                <w:color w:val="000000"/>
              </w:rPr>
              <w:t>Manawat</w:t>
            </w:r>
            <w:r w:rsidR="00B50C21">
              <w:rPr>
                <w:rFonts w:cs="Calibri"/>
                <w:color w:val="000000"/>
              </w:rPr>
              <w:t>ū</w:t>
            </w:r>
            <w:r w:rsidRPr="0062560D">
              <w:rPr>
                <w:rFonts w:cs="Calibri"/>
                <w:color w:val="000000"/>
              </w:rPr>
              <w:t>-Wanganui</w:t>
            </w:r>
          </w:p>
        </w:tc>
        <w:tc>
          <w:tcPr>
            <w:tcW w:w="818" w:type="pct"/>
            <w:noWrap/>
            <w:vAlign w:val="bottom"/>
            <w:hideMark/>
          </w:tcPr>
          <w:p w14:paraId="02A74D7A"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3,640</w:t>
            </w:r>
          </w:p>
        </w:tc>
        <w:tc>
          <w:tcPr>
            <w:tcW w:w="1280" w:type="pct"/>
            <w:noWrap/>
            <w:vAlign w:val="bottom"/>
            <w:hideMark/>
          </w:tcPr>
          <w:p w14:paraId="6753E5BC"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92 (3)</w:t>
            </w:r>
          </w:p>
        </w:tc>
        <w:tc>
          <w:tcPr>
            <w:tcW w:w="949" w:type="pct"/>
            <w:noWrap/>
            <w:vAlign w:val="bottom"/>
            <w:hideMark/>
          </w:tcPr>
          <w:p w14:paraId="18A14D47" w14:textId="77777777" w:rsidR="00437902" w:rsidRPr="0062560D" w:rsidRDefault="00437902" w:rsidP="006026D8">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372 (10)</w:t>
            </w:r>
          </w:p>
        </w:tc>
      </w:tr>
      <w:tr w:rsidR="00437902" w:rsidRPr="0062560D" w14:paraId="7D918D7A"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4B10E0AF"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lastRenderedPageBreak/>
              <w:t>Marlborough</w:t>
            </w:r>
          </w:p>
        </w:tc>
        <w:tc>
          <w:tcPr>
            <w:tcW w:w="818" w:type="pct"/>
            <w:noWrap/>
            <w:vAlign w:val="bottom"/>
            <w:hideMark/>
          </w:tcPr>
          <w:p w14:paraId="618873B6"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616</w:t>
            </w:r>
          </w:p>
        </w:tc>
        <w:tc>
          <w:tcPr>
            <w:tcW w:w="1280" w:type="pct"/>
            <w:noWrap/>
            <w:vAlign w:val="bottom"/>
            <w:hideMark/>
          </w:tcPr>
          <w:p w14:paraId="4ACBFAA9"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 (0)</w:t>
            </w:r>
          </w:p>
        </w:tc>
        <w:tc>
          <w:tcPr>
            <w:tcW w:w="949" w:type="pct"/>
            <w:tcBorders>
              <w:right w:val="nil"/>
            </w:tcBorders>
            <w:noWrap/>
            <w:vAlign w:val="bottom"/>
            <w:hideMark/>
          </w:tcPr>
          <w:p w14:paraId="0E5C14AB" w14:textId="77777777" w:rsidR="00437902" w:rsidRPr="0062560D" w:rsidRDefault="00437902" w:rsidP="006026D8">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21 (3)</w:t>
            </w:r>
          </w:p>
        </w:tc>
      </w:tr>
      <w:tr w:rsidR="00437902" w:rsidRPr="0062560D" w14:paraId="40D6B17C"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53ED8BB6"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Nelson</w:t>
            </w:r>
          </w:p>
        </w:tc>
        <w:tc>
          <w:tcPr>
            <w:tcW w:w="818" w:type="pct"/>
            <w:noWrap/>
            <w:vAlign w:val="bottom"/>
            <w:hideMark/>
          </w:tcPr>
          <w:p w14:paraId="5B15B1D6" w14:textId="77777777" w:rsidR="00437902" w:rsidRPr="0062560D" w:rsidRDefault="00C5372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Pr>
                <w:rFonts w:cs="Calibri"/>
                <w:color w:val="000000"/>
              </w:rPr>
              <w:t>e</w:t>
            </w:r>
          </w:p>
        </w:tc>
        <w:tc>
          <w:tcPr>
            <w:tcW w:w="1280" w:type="pct"/>
            <w:noWrap/>
            <w:vAlign w:val="bottom"/>
            <w:hideMark/>
          </w:tcPr>
          <w:p w14:paraId="6A544E15"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530C34">
              <w:rPr>
                <w:rFonts w:cs="Calibri"/>
                <w:color w:val="000000"/>
              </w:rPr>
              <w:t>-</w:t>
            </w:r>
            <w:r w:rsidRPr="0062560D">
              <w:rPr>
                <w:rFonts w:cs="Calibri"/>
                <w:color w:val="000000"/>
              </w:rPr>
              <w:t xml:space="preserve"> (1)</w:t>
            </w:r>
          </w:p>
        </w:tc>
        <w:tc>
          <w:tcPr>
            <w:tcW w:w="949" w:type="pct"/>
            <w:noWrap/>
            <w:vAlign w:val="bottom"/>
            <w:hideMark/>
          </w:tcPr>
          <w:p w14:paraId="3F4478A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 (2)</w:t>
            </w:r>
          </w:p>
        </w:tc>
      </w:tr>
      <w:tr w:rsidR="00437902" w:rsidRPr="0062560D" w14:paraId="5E61A98F"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0763A8B5"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Northland</w:t>
            </w:r>
          </w:p>
        </w:tc>
        <w:tc>
          <w:tcPr>
            <w:tcW w:w="818" w:type="pct"/>
            <w:noWrap/>
            <w:vAlign w:val="bottom"/>
            <w:hideMark/>
          </w:tcPr>
          <w:p w14:paraId="154BE63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1,865</w:t>
            </w:r>
          </w:p>
        </w:tc>
        <w:tc>
          <w:tcPr>
            <w:tcW w:w="1280" w:type="pct"/>
            <w:noWrap/>
            <w:vAlign w:val="bottom"/>
            <w:hideMark/>
          </w:tcPr>
          <w:p w14:paraId="1BCCC519"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36 (2)</w:t>
            </w:r>
          </w:p>
        </w:tc>
        <w:tc>
          <w:tcPr>
            <w:tcW w:w="949" w:type="pct"/>
            <w:tcBorders>
              <w:right w:val="nil"/>
            </w:tcBorders>
            <w:noWrap/>
            <w:vAlign w:val="bottom"/>
            <w:hideMark/>
          </w:tcPr>
          <w:p w14:paraId="19B20B21"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156 (8)</w:t>
            </w:r>
          </w:p>
        </w:tc>
      </w:tr>
      <w:tr w:rsidR="00437902" w:rsidRPr="0062560D" w14:paraId="2D9460E3"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63B2B21B"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Otago</w:t>
            </w:r>
          </w:p>
        </w:tc>
        <w:tc>
          <w:tcPr>
            <w:tcW w:w="818" w:type="pct"/>
            <w:noWrap/>
            <w:vAlign w:val="bottom"/>
            <w:hideMark/>
          </w:tcPr>
          <w:p w14:paraId="5967A9D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3,744</w:t>
            </w:r>
          </w:p>
        </w:tc>
        <w:tc>
          <w:tcPr>
            <w:tcW w:w="1280" w:type="pct"/>
            <w:noWrap/>
            <w:vAlign w:val="bottom"/>
            <w:hideMark/>
          </w:tcPr>
          <w:p w14:paraId="78ECB7B6"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31 (1)</w:t>
            </w:r>
          </w:p>
        </w:tc>
        <w:tc>
          <w:tcPr>
            <w:tcW w:w="949" w:type="pct"/>
            <w:noWrap/>
            <w:vAlign w:val="bottom"/>
            <w:hideMark/>
          </w:tcPr>
          <w:p w14:paraId="2C50A9F2"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39 (1)</w:t>
            </w:r>
          </w:p>
        </w:tc>
      </w:tr>
      <w:tr w:rsidR="00437902" w:rsidRPr="0062560D" w14:paraId="2B7E9BF9"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3055B23E"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Southland</w:t>
            </w:r>
          </w:p>
        </w:tc>
        <w:tc>
          <w:tcPr>
            <w:tcW w:w="818" w:type="pct"/>
            <w:noWrap/>
            <w:vAlign w:val="bottom"/>
            <w:hideMark/>
          </w:tcPr>
          <w:p w14:paraId="62A3BCD4"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4,106</w:t>
            </w:r>
          </w:p>
        </w:tc>
        <w:tc>
          <w:tcPr>
            <w:tcW w:w="1280" w:type="pct"/>
            <w:noWrap/>
            <w:vAlign w:val="bottom"/>
            <w:hideMark/>
          </w:tcPr>
          <w:p w14:paraId="3E8FF5B8"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50 (1)</w:t>
            </w:r>
          </w:p>
        </w:tc>
        <w:tc>
          <w:tcPr>
            <w:tcW w:w="949" w:type="pct"/>
            <w:tcBorders>
              <w:right w:val="nil"/>
            </w:tcBorders>
            <w:noWrap/>
            <w:vAlign w:val="bottom"/>
            <w:hideMark/>
          </w:tcPr>
          <w:p w14:paraId="33D2727B"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60 (1)</w:t>
            </w:r>
          </w:p>
        </w:tc>
      </w:tr>
      <w:tr w:rsidR="00437902" w:rsidRPr="0062560D" w14:paraId="6998F838"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33325748"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Taranaki</w:t>
            </w:r>
          </w:p>
        </w:tc>
        <w:tc>
          <w:tcPr>
            <w:tcW w:w="818" w:type="pct"/>
            <w:noWrap/>
            <w:vAlign w:val="bottom"/>
            <w:hideMark/>
          </w:tcPr>
          <w:p w14:paraId="2D4B24F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1,155</w:t>
            </w:r>
          </w:p>
        </w:tc>
        <w:tc>
          <w:tcPr>
            <w:tcW w:w="1280" w:type="pct"/>
            <w:noWrap/>
            <w:vAlign w:val="bottom"/>
            <w:hideMark/>
          </w:tcPr>
          <w:p w14:paraId="36D71B2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18 (2)</w:t>
            </w:r>
          </w:p>
        </w:tc>
        <w:tc>
          <w:tcPr>
            <w:tcW w:w="949" w:type="pct"/>
            <w:noWrap/>
            <w:vAlign w:val="bottom"/>
            <w:hideMark/>
          </w:tcPr>
          <w:p w14:paraId="753ABE07"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51 (4)</w:t>
            </w:r>
          </w:p>
        </w:tc>
      </w:tr>
      <w:tr w:rsidR="00437902" w:rsidRPr="0062560D" w14:paraId="2FE3C631"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2C7768EB"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Tasman</w:t>
            </w:r>
          </w:p>
        </w:tc>
        <w:tc>
          <w:tcPr>
            <w:tcW w:w="818" w:type="pct"/>
            <w:noWrap/>
            <w:vAlign w:val="bottom"/>
            <w:hideMark/>
          </w:tcPr>
          <w:p w14:paraId="7C00BA69"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603</w:t>
            </w:r>
          </w:p>
        </w:tc>
        <w:tc>
          <w:tcPr>
            <w:tcW w:w="1280" w:type="pct"/>
            <w:noWrap/>
            <w:vAlign w:val="bottom"/>
            <w:hideMark/>
          </w:tcPr>
          <w:p w14:paraId="42FC5371"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530C34">
              <w:rPr>
                <w:rFonts w:cs="Calibri"/>
                <w:color w:val="000000"/>
              </w:rPr>
              <w:t>-</w:t>
            </w:r>
            <w:r w:rsidRPr="0062560D">
              <w:rPr>
                <w:rFonts w:cs="Calibri"/>
                <w:color w:val="000000"/>
              </w:rPr>
              <w:t xml:space="preserve"> (0)</w:t>
            </w:r>
          </w:p>
        </w:tc>
        <w:tc>
          <w:tcPr>
            <w:tcW w:w="949" w:type="pct"/>
            <w:tcBorders>
              <w:right w:val="nil"/>
            </w:tcBorders>
            <w:noWrap/>
            <w:vAlign w:val="bottom"/>
            <w:hideMark/>
          </w:tcPr>
          <w:p w14:paraId="6519F548"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5 (1)</w:t>
            </w:r>
          </w:p>
        </w:tc>
      </w:tr>
      <w:tr w:rsidR="00437902" w:rsidRPr="0062560D" w14:paraId="0D8EC0A3"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50370304"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Waikato</w:t>
            </w:r>
          </w:p>
        </w:tc>
        <w:tc>
          <w:tcPr>
            <w:tcW w:w="818" w:type="pct"/>
            <w:noWrap/>
            <w:vAlign w:val="bottom"/>
            <w:hideMark/>
          </w:tcPr>
          <w:p w14:paraId="697B99A6"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2,569</w:t>
            </w:r>
          </w:p>
        </w:tc>
        <w:tc>
          <w:tcPr>
            <w:tcW w:w="1280" w:type="pct"/>
            <w:noWrap/>
            <w:vAlign w:val="bottom"/>
            <w:hideMark/>
          </w:tcPr>
          <w:p w14:paraId="45C27668"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70 (3)</w:t>
            </w:r>
          </w:p>
        </w:tc>
        <w:tc>
          <w:tcPr>
            <w:tcW w:w="949" w:type="pct"/>
            <w:noWrap/>
            <w:vAlign w:val="bottom"/>
            <w:hideMark/>
          </w:tcPr>
          <w:p w14:paraId="50454C59"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367 (14)</w:t>
            </w:r>
          </w:p>
        </w:tc>
      </w:tr>
      <w:tr w:rsidR="00437902" w:rsidRPr="0062560D" w14:paraId="2CE30A26"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3880D993"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Wellington</w:t>
            </w:r>
          </w:p>
        </w:tc>
        <w:tc>
          <w:tcPr>
            <w:tcW w:w="818" w:type="pct"/>
            <w:noWrap/>
            <w:vAlign w:val="bottom"/>
            <w:hideMark/>
          </w:tcPr>
          <w:p w14:paraId="4227A442"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1,060</w:t>
            </w:r>
          </w:p>
        </w:tc>
        <w:tc>
          <w:tcPr>
            <w:tcW w:w="1280" w:type="pct"/>
            <w:noWrap/>
            <w:vAlign w:val="bottom"/>
            <w:hideMark/>
          </w:tcPr>
          <w:p w14:paraId="05D5593D"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14 (1)</w:t>
            </w:r>
          </w:p>
        </w:tc>
        <w:tc>
          <w:tcPr>
            <w:tcW w:w="949" w:type="pct"/>
            <w:tcBorders>
              <w:right w:val="nil"/>
            </w:tcBorders>
            <w:noWrap/>
            <w:vAlign w:val="bottom"/>
            <w:hideMark/>
          </w:tcPr>
          <w:p w14:paraId="64CD23CB"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36 (3)</w:t>
            </w:r>
          </w:p>
        </w:tc>
      </w:tr>
      <w:tr w:rsidR="00437902" w:rsidRPr="0062560D" w14:paraId="113F58F2" w14:textId="77777777" w:rsidTr="006026D8">
        <w:tc>
          <w:tcPr>
            <w:cnfStyle w:val="001000000000" w:firstRow="0" w:lastRow="0" w:firstColumn="1" w:lastColumn="0" w:oddVBand="0" w:evenVBand="0" w:oddHBand="0" w:evenHBand="0" w:firstRowFirstColumn="0" w:firstRowLastColumn="0" w:lastRowFirstColumn="0" w:lastRowLastColumn="0"/>
            <w:tcW w:w="1954" w:type="pct"/>
            <w:noWrap/>
            <w:vAlign w:val="bottom"/>
            <w:hideMark/>
          </w:tcPr>
          <w:p w14:paraId="1D0920C2"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West Coast</w:t>
            </w:r>
          </w:p>
        </w:tc>
        <w:tc>
          <w:tcPr>
            <w:tcW w:w="818" w:type="pct"/>
            <w:noWrap/>
            <w:vAlign w:val="bottom"/>
            <w:hideMark/>
          </w:tcPr>
          <w:p w14:paraId="023A7ADD"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62560D">
              <w:rPr>
                <w:rFonts w:cs="Calibri"/>
                <w:color w:val="000000"/>
              </w:rPr>
              <w:t>15,579</w:t>
            </w:r>
          </w:p>
        </w:tc>
        <w:tc>
          <w:tcPr>
            <w:tcW w:w="1280" w:type="pct"/>
            <w:noWrap/>
            <w:vAlign w:val="bottom"/>
            <w:hideMark/>
          </w:tcPr>
          <w:p w14:paraId="18880F3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530C34">
              <w:rPr>
                <w:rFonts w:cs="Calibri"/>
                <w:color w:val="000000"/>
              </w:rPr>
              <w:t>-</w:t>
            </w:r>
            <w:r w:rsidRPr="0062560D">
              <w:rPr>
                <w:rFonts w:cs="Calibri"/>
                <w:color w:val="000000"/>
              </w:rPr>
              <w:t xml:space="preserve"> (0)</w:t>
            </w:r>
          </w:p>
        </w:tc>
        <w:tc>
          <w:tcPr>
            <w:tcW w:w="949" w:type="pct"/>
            <w:noWrap/>
            <w:vAlign w:val="bottom"/>
            <w:hideMark/>
          </w:tcPr>
          <w:p w14:paraId="36BD24F3"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ja-JP"/>
              </w:rPr>
            </w:pPr>
            <w:r w:rsidRPr="00530C34">
              <w:rPr>
                <w:rFonts w:cs="Calibri"/>
                <w:color w:val="000000"/>
              </w:rPr>
              <w:t>-</w:t>
            </w:r>
            <w:r w:rsidRPr="0062560D">
              <w:rPr>
                <w:rFonts w:cs="Calibri"/>
                <w:color w:val="000000"/>
              </w:rPr>
              <w:t xml:space="preserve"> (0)</w:t>
            </w:r>
          </w:p>
        </w:tc>
      </w:tr>
      <w:tr w:rsidR="00437902" w:rsidRPr="0062560D" w14:paraId="787F70BF" w14:textId="77777777" w:rsidTr="00192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pct"/>
            <w:tcBorders>
              <w:left w:val="nil"/>
            </w:tcBorders>
            <w:noWrap/>
            <w:vAlign w:val="bottom"/>
            <w:hideMark/>
          </w:tcPr>
          <w:p w14:paraId="4643E726" w14:textId="77777777" w:rsidR="00437902" w:rsidRPr="0062560D" w:rsidRDefault="00437902" w:rsidP="00D815C4">
            <w:pPr>
              <w:pStyle w:val="TableText"/>
              <w:rPr>
                <w:rFonts w:eastAsia="Times New Roman" w:cs="Calibri"/>
                <w:color w:val="000000"/>
                <w:lang w:eastAsia="ja-JP"/>
              </w:rPr>
            </w:pPr>
            <w:r w:rsidRPr="0062560D">
              <w:rPr>
                <w:rFonts w:cs="Calibri"/>
                <w:color w:val="000000"/>
              </w:rPr>
              <w:t>New Zealand</w:t>
            </w:r>
          </w:p>
        </w:tc>
        <w:tc>
          <w:tcPr>
            <w:tcW w:w="818" w:type="pct"/>
            <w:noWrap/>
            <w:vAlign w:val="bottom"/>
            <w:hideMark/>
          </w:tcPr>
          <w:p w14:paraId="36076F3A"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54,964</w:t>
            </w:r>
          </w:p>
        </w:tc>
        <w:tc>
          <w:tcPr>
            <w:tcW w:w="1280" w:type="pct"/>
            <w:noWrap/>
            <w:vAlign w:val="bottom"/>
            <w:hideMark/>
          </w:tcPr>
          <w:p w14:paraId="5642D66A"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488 (1)</w:t>
            </w:r>
          </w:p>
        </w:tc>
        <w:tc>
          <w:tcPr>
            <w:tcW w:w="949" w:type="pct"/>
            <w:tcBorders>
              <w:right w:val="nil"/>
            </w:tcBorders>
            <w:noWrap/>
            <w:vAlign w:val="bottom"/>
            <w:hideMark/>
          </w:tcPr>
          <w:p w14:paraId="5D28923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ja-JP"/>
              </w:rPr>
            </w:pPr>
            <w:r w:rsidRPr="0062560D">
              <w:rPr>
                <w:rFonts w:cs="Calibri"/>
                <w:color w:val="000000"/>
              </w:rPr>
              <w:t>1</w:t>
            </w:r>
            <w:r w:rsidRPr="00530C34">
              <w:rPr>
                <w:rFonts w:cs="Calibri"/>
                <w:color w:val="000000"/>
              </w:rPr>
              <w:t>,</w:t>
            </w:r>
            <w:r w:rsidRPr="0062560D">
              <w:rPr>
                <w:rFonts w:cs="Calibri"/>
                <w:color w:val="000000"/>
              </w:rPr>
              <w:t>414 (3)</w:t>
            </w:r>
          </w:p>
        </w:tc>
      </w:tr>
    </w:tbl>
    <w:p w14:paraId="4C1544E0" w14:textId="77777777" w:rsidR="00AF4136" w:rsidRDefault="00AF4136" w:rsidP="00B771BB">
      <w:pPr>
        <w:pStyle w:val="BodyText"/>
        <w:spacing w:before="0" w:after="0"/>
        <w:rPr>
          <w:lang w:val="en-US" w:eastAsia="en-US"/>
        </w:rPr>
      </w:pPr>
    </w:p>
    <w:p w14:paraId="67001805" w14:textId="3E57F38D" w:rsidR="009C00F7" w:rsidRDefault="009C00F7" w:rsidP="00C3146C">
      <w:pPr>
        <w:pStyle w:val="Tableheading"/>
      </w:pPr>
      <w:bookmarkStart w:id="175" w:name="_Toc40950231"/>
      <w:r>
        <w:t xml:space="preserve">Table </w:t>
      </w:r>
      <w:r>
        <w:fldChar w:fldCharType="begin"/>
      </w:r>
      <w:r>
        <w:instrText>SEQ Table \* ARABIC</w:instrText>
      </w:r>
      <w:r>
        <w:fldChar w:fldCharType="separate"/>
      </w:r>
      <w:r w:rsidR="003D2D41">
        <w:rPr>
          <w:noProof/>
        </w:rPr>
        <w:t>2</w:t>
      </w:r>
      <w:r>
        <w:fldChar w:fldCharType="end"/>
      </w:r>
      <w:r>
        <w:t xml:space="preserve">: </w:t>
      </w:r>
      <w:r w:rsidR="00A4308E">
        <w:tab/>
      </w:r>
      <w:r w:rsidRPr="009C00F7">
        <w:t>Nitrogen load reduction targets for different regions and its proportion to the current load. The figure includes different scenarios with 20</w:t>
      </w:r>
      <w:r w:rsidR="008E40DC">
        <w:t xml:space="preserve"> per cent</w:t>
      </w:r>
      <w:r w:rsidRPr="009C00F7">
        <w:t xml:space="preserve"> periphyton spatial exceedance criteria. Results for 10</w:t>
      </w:r>
      <w:r w:rsidR="008E40DC">
        <w:t xml:space="preserve"> per cent</w:t>
      </w:r>
      <w:r w:rsidRPr="009C00F7">
        <w:t xml:space="preserve"> and 30</w:t>
      </w:r>
      <w:r w:rsidR="008E40DC">
        <w:t xml:space="preserve"> per cent</w:t>
      </w:r>
      <w:r w:rsidRPr="009C00F7">
        <w:t xml:space="preserve"> periphyton spatial exceedance criteria can be found in</w:t>
      </w:r>
      <w:r w:rsidR="00B771BB">
        <w:t> </w:t>
      </w:r>
      <w:r w:rsidRPr="009C00F7">
        <w:t>Appendix 3</w:t>
      </w:r>
      <w:bookmarkEnd w:id="175"/>
      <w:r w:rsidR="00B50C21">
        <w:t>.</w:t>
      </w:r>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010"/>
        <w:gridCol w:w="1977"/>
        <w:gridCol w:w="1801"/>
        <w:gridCol w:w="1303"/>
        <w:gridCol w:w="1414"/>
      </w:tblGrid>
      <w:tr w:rsidR="00A4308E" w:rsidRPr="0062560D" w14:paraId="37FDCCDE" w14:textId="77777777" w:rsidTr="00B77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vMerge w:val="restart"/>
            <w:noWrap/>
            <w:vAlign w:val="bottom"/>
            <w:hideMark/>
          </w:tcPr>
          <w:p w14:paraId="09A65F12" w14:textId="77777777" w:rsidR="00A4308E" w:rsidRPr="00D815C4" w:rsidRDefault="00A4308E" w:rsidP="00D815C4">
            <w:pPr>
              <w:pStyle w:val="TableText"/>
            </w:pPr>
            <w:r w:rsidRPr="00D815C4">
              <w:t>Scenario</w:t>
            </w:r>
          </w:p>
        </w:tc>
        <w:tc>
          <w:tcPr>
            <w:tcW w:w="1162" w:type="pct"/>
            <w:vAlign w:val="center"/>
            <w:hideMark/>
          </w:tcPr>
          <w:p w14:paraId="4E99F48E" w14:textId="77777777" w:rsidR="00A4308E" w:rsidRPr="00D815C4" w:rsidRDefault="00A4308E" w:rsidP="00A4308E">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D815C4">
              <w:t>Current load</w:t>
            </w:r>
          </w:p>
        </w:tc>
        <w:tc>
          <w:tcPr>
            <w:tcW w:w="1059" w:type="pct"/>
            <w:noWrap/>
            <w:hideMark/>
          </w:tcPr>
          <w:p w14:paraId="0347BC36" w14:textId="77777777" w:rsidR="00A4308E" w:rsidRPr="00D815C4" w:rsidRDefault="00A4308E" w:rsidP="00A4308E">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D815C4">
              <w:t>2017 NPS-FM</w:t>
            </w:r>
          </w:p>
        </w:tc>
        <w:tc>
          <w:tcPr>
            <w:tcW w:w="766" w:type="pct"/>
            <w:noWrap/>
            <w:vAlign w:val="center"/>
            <w:hideMark/>
          </w:tcPr>
          <w:p w14:paraId="720C282D" w14:textId="77777777" w:rsidR="00A4308E" w:rsidRPr="00D815C4" w:rsidRDefault="00A4308E" w:rsidP="00A4308E">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D815C4">
              <w:t>DIN1</w:t>
            </w:r>
          </w:p>
        </w:tc>
        <w:tc>
          <w:tcPr>
            <w:tcW w:w="831" w:type="pct"/>
            <w:noWrap/>
            <w:vAlign w:val="center"/>
            <w:hideMark/>
          </w:tcPr>
          <w:p w14:paraId="576E27E8" w14:textId="77777777" w:rsidR="00A4308E" w:rsidRPr="00D815C4" w:rsidRDefault="00A4308E" w:rsidP="00A4308E">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D815C4">
              <w:rPr>
                <w:bCs w:val="0"/>
              </w:rPr>
              <w:t>NTox24</w:t>
            </w:r>
          </w:p>
        </w:tc>
      </w:tr>
      <w:tr w:rsidR="00A4308E" w:rsidRPr="0062560D" w14:paraId="122D6400"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vMerge/>
            <w:tcBorders>
              <w:top w:val="none" w:sz="0" w:space="0" w:color="auto"/>
              <w:left w:val="none" w:sz="0" w:space="0" w:color="auto"/>
              <w:bottom w:val="none" w:sz="0" w:space="0" w:color="auto"/>
            </w:tcBorders>
            <w:shd w:val="clear" w:color="auto" w:fill="1C556C" w:themeFill="accent1"/>
            <w:noWrap/>
            <w:hideMark/>
          </w:tcPr>
          <w:p w14:paraId="1EA93578" w14:textId="77777777" w:rsidR="00A4308E" w:rsidRPr="00D815C4" w:rsidRDefault="00A4308E" w:rsidP="00D815C4">
            <w:pPr>
              <w:pStyle w:val="TableText"/>
              <w:rPr>
                <w:color w:val="FFFFFF" w:themeColor="background1"/>
              </w:rPr>
            </w:pPr>
          </w:p>
        </w:tc>
        <w:tc>
          <w:tcPr>
            <w:tcW w:w="1162" w:type="pct"/>
            <w:tcBorders>
              <w:top w:val="none" w:sz="0" w:space="0" w:color="auto"/>
              <w:bottom w:val="none" w:sz="0" w:space="0" w:color="auto"/>
            </w:tcBorders>
            <w:shd w:val="clear" w:color="auto" w:fill="1C556C" w:themeFill="accent1"/>
            <w:noWrap/>
            <w:vAlign w:val="center"/>
            <w:hideMark/>
          </w:tcPr>
          <w:p w14:paraId="5C7507BF" w14:textId="77777777" w:rsidR="00A4308E" w:rsidRPr="00D815C4" w:rsidRDefault="00A4308E" w:rsidP="00A4308E">
            <w:pPr>
              <w:pStyle w:val="TableText"/>
              <w:spacing w:befor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815C4">
              <w:rPr>
                <w:b/>
                <w:color w:val="FFFFFF" w:themeColor="background1"/>
              </w:rPr>
              <w:t>t/yr</w:t>
            </w:r>
          </w:p>
        </w:tc>
        <w:tc>
          <w:tcPr>
            <w:tcW w:w="1059" w:type="pct"/>
            <w:tcBorders>
              <w:top w:val="none" w:sz="0" w:space="0" w:color="auto"/>
              <w:bottom w:val="none" w:sz="0" w:space="0" w:color="auto"/>
            </w:tcBorders>
            <w:shd w:val="clear" w:color="auto" w:fill="1C556C" w:themeFill="accent1"/>
            <w:vAlign w:val="center"/>
            <w:hideMark/>
          </w:tcPr>
          <w:p w14:paraId="10B70B59" w14:textId="77777777" w:rsidR="00A4308E" w:rsidRPr="00D815C4" w:rsidRDefault="00A4308E" w:rsidP="00A4308E">
            <w:pPr>
              <w:pStyle w:val="TableText"/>
              <w:spacing w:befor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815C4">
              <w:rPr>
                <w:b/>
                <w:color w:val="FFFFFF" w:themeColor="background1"/>
              </w:rPr>
              <w:t>t/yr (%)</w:t>
            </w:r>
          </w:p>
        </w:tc>
        <w:tc>
          <w:tcPr>
            <w:tcW w:w="766" w:type="pct"/>
            <w:tcBorders>
              <w:top w:val="none" w:sz="0" w:space="0" w:color="auto"/>
              <w:bottom w:val="none" w:sz="0" w:space="0" w:color="auto"/>
            </w:tcBorders>
            <w:shd w:val="clear" w:color="auto" w:fill="1C556C" w:themeFill="accent1"/>
            <w:vAlign w:val="center"/>
            <w:hideMark/>
          </w:tcPr>
          <w:p w14:paraId="593B0A74" w14:textId="77777777" w:rsidR="00A4308E" w:rsidRPr="00D815C4" w:rsidRDefault="00A4308E" w:rsidP="00A4308E">
            <w:pPr>
              <w:pStyle w:val="TableText"/>
              <w:spacing w:befor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815C4">
              <w:rPr>
                <w:b/>
                <w:color w:val="FFFFFF" w:themeColor="background1"/>
              </w:rPr>
              <w:t>t/yr (%)</w:t>
            </w:r>
          </w:p>
        </w:tc>
        <w:tc>
          <w:tcPr>
            <w:tcW w:w="831" w:type="pct"/>
            <w:tcBorders>
              <w:top w:val="none" w:sz="0" w:space="0" w:color="auto"/>
              <w:bottom w:val="none" w:sz="0" w:space="0" w:color="auto"/>
              <w:right w:val="none" w:sz="0" w:space="0" w:color="auto"/>
            </w:tcBorders>
            <w:shd w:val="clear" w:color="auto" w:fill="1C556C" w:themeFill="accent1"/>
            <w:vAlign w:val="center"/>
            <w:hideMark/>
          </w:tcPr>
          <w:p w14:paraId="490CFC07" w14:textId="77777777" w:rsidR="00A4308E" w:rsidRPr="00D815C4" w:rsidRDefault="00A4308E" w:rsidP="00A4308E">
            <w:pPr>
              <w:pStyle w:val="TableText"/>
              <w:spacing w:befor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815C4">
              <w:rPr>
                <w:b/>
                <w:color w:val="FFFFFF" w:themeColor="background1"/>
              </w:rPr>
              <w:t>t/yr (%)</w:t>
            </w:r>
          </w:p>
        </w:tc>
      </w:tr>
      <w:tr w:rsidR="00437902" w:rsidRPr="0062560D" w14:paraId="17D90671" w14:textId="77777777" w:rsidTr="00B771BB">
        <w:tc>
          <w:tcPr>
            <w:cnfStyle w:val="001000000000" w:firstRow="0" w:lastRow="0" w:firstColumn="1" w:lastColumn="0" w:oddVBand="0" w:evenVBand="0" w:oddHBand="0" w:evenHBand="0" w:firstRowFirstColumn="0" w:firstRowLastColumn="0" w:lastRowFirstColumn="0" w:lastRowLastColumn="0"/>
            <w:tcW w:w="1182" w:type="pct"/>
            <w:shd w:val="clear" w:color="auto" w:fill="auto"/>
            <w:noWrap/>
            <w:hideMark/>
          </w:tcPr>
          <w:p w14:paraId="7262041A" w14:textId="77777777" w:rsidR="00437902" w:rsidRPr="00530C34" w:rsidRDefault="00437902" w:rsidP="00D815C4">
            <w:pPr>
              <w:pStyle w:val="TableText"/>
            </w:pPr>
            <w:r w:rsidRPr="0062560D">
              <w:rPr>
                <w:rFonts w:eastAsia="Times New Roman"/>
                <w:color w:val="000000"/>
                <w:lang w:eastAsia="ja-JP"/>
              </w:rPr>
              <w:t>Auckland</w:t>
            </w:r>
          </w:p>
        </w:tc>
        <w:tc>
          <w:tcPr>
            <w:tcW w:w="1162" w:type="pct"/>
            <w:shd w:val="clear" w:color="auto" w:fill="auto"/>
            <w:hideMark/>
          </w:tcPr>
          <w:p w14:paraId="35444AD0" w14:textId="77777777" w:rsidR="00437902" w:rsidRPr="00530C34"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pPr>
            <w:r w:rsidRPr="0062560D">
              <w:rPr>
                <w:color w:val="000000"/>
              </w:rPr>
              <w:t>4,460</w:t>
            </w:r>
          </w:p>
        </w:tc>
        <w:tc>
          <w:tcPr>
            <w:tcW w:w="1059" w:type="pct"/>
            <w:shd w:val="clear" w:color="auto" w:fill="auto"/>
            <w:hideMark/>
          </w:tcPr>
          <w:p w14:paraId="17F6E0A9" w14:textId="77777777" w:rsidR="00437902" w:rsidRPr="00530C34"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pPr>
            <w:r w:rsidRPr="0062560D">
              <w:rPr>
                <w:rFonts w:eastAsia="Times New Roman"/>
                <w:color w:val="000000"/>
                <w:lang w:eastAsia="ja-JP"/>
              </w:rPr>
              <w:t>111 (2)</w:t>
            </w:r>
          </w:p>
        </w:tc>
        <w:tc>
          <w:tcPr>
            <w:tcW w:w="766" w:type="pct"/>
            <w:shd w:val="clear" w:color="auto" w:fill="auto"/>
            <w:hideMark/>
          </w:tcPr>
          <w:p w14:paraId="751577BA" w14:textId="77777777" w:rsidR="00437902" w:rsidRPr="00530C34"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pPr>
            <w:r w:rsidRPr="0062560D">
              <w:rPr>
                <w:rFonts w:eastAsia="Times New Roman"/>
                <w:color w:val="000000"/>
                <w:lang w:eastAsia="ja-JP"/>
              </w:rPr>
              <w:t>169 (4)</w:t>
            </w:r>
          </w:p>
        </w:tc>
        <w:tc>
          <w:tcPr>
            <w:tcW w:w="831" w:type="pct"/>
            <w:shd w:val="clear" w:color="auto" w:fill="auto"/>
            <w:hideMark/>
          </w:tcPr>
          <w:p w14:paraId="539F0D96" w14:textId="77777777" w:rsidR="00437902" w:rsidRPr="00530C34"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pPr>
            <w:r w:rsidRPr="0062560D">
              <w:rPr>
                <w:rFonts w:eastAsia="Times New Roman"/>
                <w:color w:val="000000"/>
                <w:lang w:eastAsia="ja-JP"/>
              </w:rPr>
              <w:t>112 (3)</w:t>
            </w:r>
          </w:p>
        </w:tc>
      </w:tr>
      <w:tr w:rsidR="00437902" w:rsidRPr="0062560D" w14:paraId="4BDAA78A"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7BD8D372"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Bay of Plenty</w:t>
            </w:r>
          </w:p>
        </w:tc>
        <w:tc>
          <w:tcPr>
            <w:tcW w:w="1162" w:type="pct"/>
            <w:tcBorders>
              <w:top w:val="none" w:sz="0" w:space="0" w:color="auto"/>
              <w:bottom w:val="none" w:sz="0" w:space="0" w:color="auto"/>
            </w:tcBorders>
            <w:noWrap/>
            <w:hideMark/>
          </w:tcPr>
          <w:p w14:paraId="4834B7AC"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13,057</w:t>
            </w:r>
          </w:p>
        </w:tc>
        <w:tc>
          <w:tcPr>
            <w:tcW w:w="1059" w:type="pct"/>
            <w:tcBorders>
              <w:top w:val="none" w:sz="0" w:space="0" w:color="auto"/>
              <w:bottom w:val="none" w:sz="0" w:space="0" w:color="auto"/>
            </w:tcBorders>
            <w:noWrap/>
            <w:hideMark/>
          </w:tcPr>
          <w:p w14:paraId="297713A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155 (1)</w:t>
            </w:r>
          </w:p>
        </w:tc>
        <w:tc>
          <w:tcPr>
            <w:tcW w:w="766" w:type="pct"/>
            <w:tcBorders>
              <w:top w:val="none" w:sz="0" w:space="0" w:color="auto"/>
              <w:bottom w:val="none" w:sz="0" w:space="0" w:color="auto"/>
            </w:tcBorders>
            <w:noWrap/>
            <w:hideMark/>
          </w:tcPr>
          <w:p w14:paraId="583ADE04"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300 (2)</w:t>
            </w:r>
          </w:p>
        </w:tc>
        <w:tc>
          <w:tcPr>
            <w:tcW w:w="831" w:type="pct"/>
            <w:tcBorders>
              <w:top w:val="none" w:sz="0" w:space="0" w:color="auto"/>
              <w:bottom w:val="none" w:sz="0" w:space="0" w:color="auto"/>
              <w:right w:val="none" w:sz="0" w:space="0" w:color="auto"/>
            </w:tcBorders>
            <w:noWrap/>
            <w:hideMark/>
          </w:tcPr>
          <w:p w14:paraId="65641731"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155 (1)</w:t>
            </w:r>
          </w:p>
        </w:tc>
      </w:tr>
      <w:tr w:rsidR="00437902" w:rsidRPr="0062560D" w14:paraId="01BD7BB7"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1E5A32D3"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Canterbury</w:t>
            </w:r>
          </w:p>
        </w:tc>
        <w:tc>
          <w:tcPr>
            <w:tcW w:w="1162" w:type="pct"/>
            <w:noWrap/>
            <w:hideMark/>
          </w:tcPr>
          <w:p w14:paraId="055C8C64"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33,355</w:t>
            </w:r>
          </w:p>
        </w:tc>
        <w:tc>
          <w:tcPr>
            <w:tcW w:w="1059" w:type="pct"/>
            <w:noWrap/>
            <w:hideMark/>
          </w:tcPr>
          <w:p w14:paraId="4A829399"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7,610 (23)</w:t>
            </w:r>
          </w:p>
        </w:tc>
        <w:tc>
          <w:tcPr>
            <w:tcW w:w="766" w:type="pct"/>
            <w:noWrap/>
            <w:hideMark/>
          </w:tcPr>
          <w:p w14:paraId="0E652210"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10,690 (32)</w:t>
            </w:r>
          </w:p>
        </w:tc>
        <w:tc>
          <w:tcPr>
            <w:tcW w:w="831" w:type="pct"/>
            <w:noWrap/>
            <w:hideMark/>
          </w:tcPr>
          <w:p w14:paraId="58D86C3E"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8,671 (26)</w:t>
            </w:r>
          </w:p>
        </w:tc>
      </w:tr>
      <w:tr w:rsidR="00437902" w:rsidRPr="0062560D" w14:paraId="530827F4"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5D3FD240"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Gisborne</w:t>
            </w:r>
          </w:p>
        </w:tc>
        <w:tc>
          <w:tcPr>
            <w:tcW w:w="1162" w:type="pct"/>
            <w:tcBorders>
              <w:top w:val="none" w:sz="0" w:space="0" w:color="auto"/>
              <w:bottom w:val="none" w:sz="0" w:space="0" w:color="auto"/>
            </w:tcBorders>
            <w:noWrap/>
            <w:hideMark/>
          </w:tcPr>
          <w:p w14:paraId="7471D8FC"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4,482</w:t>
            </w:r>
          </w:p>
        </w:tc>
        <w:tc>
          <w:tcPr>
            <w:tcW w:w="1059" w:type="pct"/>
            <w:tcBorders>
              <w:top w:val="none" w:sz="0" w:space="0" w:color="auto"/>
              <w:bottom w:val="none" w:sz="0" w:space="0" w:color="auto"/>
            </w:tcBorders>
            <w:noWrap/>
            <w:hideMark/>
          </w:tcPr>
          <w:p w14:paraId="4E9E366E"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 (0)</w:t>
            </w:r>
          </w:p>
        </w:tc>
        <w:tc>
          <w:tcPr>
            <w:tcW w:w="766" w:type="pct"/>
            <w:tcBorders>
              <w:top w:val="none" w:sz="0" w:space="0" w:color="auto"/>
              <w:bottom w:val="none" w:sz="0" w:space="0" w:color="auto"/>
            </w:tcBorders>
            <w:noWrap/>
            <w:hideMark/>
          </w:tcPr>
          <w:p w14:paraId="269AEF9B"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 (0)</w:t>
            </w:r>
          </w:p>
        </w:tc>
        <w:tc>
          <w:tcPr>
            <w:tcW w:w="831" w:type="pct"/>
            <w:tcBorders>
              <w:top w:val="none" w:sz="0" w:space="0" w:color="auto"/>
              <w:bottom w:val="none" w:sz="0" w:space="0" w:color="auto"/>
              <w:right w:val="none" w:sz="0" w:space="0" w:color="auto"/>
            </w:tcBorders>
            <w:noWrap/>
            <w:hideMark/>
          </w:tcPr>
          <w:p w14:paraId="20E6D864"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 (0)</w:t>
            </w:r>
          </w:p>
        </w:tc>
      </w:tr>
      <w:tr w:rsidR="00437902" w:rsidRPr="0062560D" w14:paraId="37721BF3"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7AF19B3F"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Hawke's Bay</w:t>
            </w:r>
          </w:p>
        </w:tc>
        <w:tc>
          <w:tcPr>
            <w:tcW w:w="1162" w:type="pct"/>
            <w:noWrap/>
            <w:hideMark/>
          </w:tcPr>
          <w:p w14:paraId="21DDB766"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12,672</w:t>
            </w:r>
          </w:p>
        </w:tc>
        <w:tc>
          <w:tcPr>
            <w:tcW w:w="1059" w:type="pct"/>
            <w:noWrap/>
            <w:hideMark/>
          </w:tcPr>
          <w:p w14:paraId="51D1931A"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891 (7)</w:t>
            </w:r>
          </w:p>
        </w:tc>
        <w:tc>
          <w:tcPr>
            <w:tcW w:w="766" w:type="pct"/>
            <w:noWrap/>
            <w:hideMark/>
          </w:tcPr>
          <w:p w14:paraId="70053E7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1,008 (8)</w:t>
            </w:r>
          </w:p>
        </w:tc>
        <w:tc>
          <w:tcPr>
            <w:tcW w:w="831" w:type="pct"/>
            <w:noWrap/>
            <w:hideMark/>
          </w:tcPr>
          <w:p w14:paraId="143B066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891 (7)</w:t>
            </w:r>
          </w:p>
        </w:tc>
      </w:tr>
      <w:tr w:rsidR="00437902" w:rsidRPr="0062560D" w14:paraId="18412131"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2FA71464" w14:textId="76D07EE1" w:rsidR="00437902" w:rsidRPr="0062560D" w:rsidRDefault="00437902" w:rsidP="00B50C21">
            <w:pPr>
              <w:pStyle w:val="TableText"/>
              <w:rPr>
                <w:rFonts w:eastAsia="Times New Roman"/>
                <w:color w:val="000000"/>
                <w:lang w:eastAsia="ja-JP"/>
              </w:rPr>
            </w:pPr>
            <w:r w:rsidRPr="0062560D">
              <w:rPr>
                <w:rFonts w:eastAsia="Times New Roman"/>
                <w:color w:val="000000"/>
                <w:lang w:eastAsia="ja-JP"/>
              </w:rPr>
              <w:t>Manawat</w:t>
            </w:r>
            <w:r w:rsidR="00B50C21">
              <w:rPr>
                <w:rFonts w:eastAsia="Times New Roman"/>
                <w:color w:val="000000"/>
                <w:lang w:eastAsia="ja-JP"/>
              </w:rPr>
              <w:t>ū</w:t>
            </w:r>
            <w:r w:rsidRPr="0062560D">
              <w:rPr>
                <w:rFonts w:eastAsia="Times New Roman"/>
                <w:color w:val="000000"/>
                <w:lang w:eastAsia="ja-JP"/>
              </w:rPr>
              <w:t>-Wanganui</w:t>
            </w:r>
          </w:p>
        </w:tc>
        <w:tc>
          <w:tcPr>
            <w:tcW w:w="1162" w:type="pct"/>
            <w:tcBorders>
              <w:top w:val="none" w:sz="0" w:space="0" w:color="auto"/>
              <w:bottom w:val="none" w:sz="0" w:space="0" w:color="auto"/>
            </w:tcBorders>
            <w:noWrap/>
            <w:hideMark/>
          </w:tcPr>
          <w:p w14:paraId="37C6155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21,261</w:t>
            </w:r>
          </w:p>
        </w:tc>
        <w:tc>
          <w:tcPr>
            <w:tcW w:w="1059" w:type="pct"/>
            <w:tcBorders>
              <w:top w:val="none" w:sz="0" w:space="0" w:color="auto"/>
              <w:bottom w:val="none" w:sz="0" w:space="0" w:color="auto"/>
            </w:tcBorders>
            <w:noWrap/>
            <w:hideMark/>
          </w:tcPr>
          <w:p w14:paraId="452EBD92"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918 (4)</w:t>
            </w:r>
          </w:p>
        </w:tc>
        <w:tc>
          <w:tcPr>
            <w:tcW w:w="766" w:type="pct"/>
            <w:tcBorders>
              <w:top w:val="none" w:sz="0" w:space="0" w:color="auto"/>
              <w:bottom w:val="none" w:sz="0" w:space="0" w:color="auto"/>
            </w:tcBorders>
            <w:noWrap/>
            <w:hideMark/>
          </w:tcPr>
          <w:p w14:paraId="2D2B5EA2"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1,147 (5)</w:t>
            </w:r>
          </w:p>
        </w:tc>
        <w:tc>
          <w:tcPr>
            <w:tcW w:w="831" w:type="pct"/>
            <w:tcBorders>
              <w:top w:val="none" w:sz="0" w:space="0" w:color="auto"/>
              <w:bottom w:val="none" w:sz="0" w:space="0" w:color="auto"/>
              <w:right w:val="none" w:sz="0" w:space="0" w:color="auto"/>
            </w:tcBorders>
            <w:noWrap/>
            <w:hideMark/>
          </w:tcPr>
          <w:p w14:paraId="73DA4976"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918 (4)</w:t>
            </w:r>
          </w:p>
        </w:tc>
      </w:tr>
      <w:tr w:rsidR="00437902" w:rsidRPr="0062560D" w14:paraId="09D2D9FE"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15A308E1"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Marlborough</w:t>
            </w:r>
          </w:p>
        </w:tc>
        <w:tc>
          <w:tcPr>
            <w:tcW w:w="1162" w:type="pct"/>
            <w:noWrap/>
            <w:hideMark/>
          </w:tcPr>
          <w:p w14:paraId="2A985C6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2,638</w:t>
            </w:r>
          </w:p>
        </w:tc>
        <w:tc>
          <w:tcPr>
            <w:tcW w:w="1059" w:type="pct"/>
            <w:noWrap/>
            <w:hideMark/>
          </w:tcPr>
          <w:p w14:paraId="321EC6BF"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4 (0)</w:t>
            </w:r>
          </w:p>
        </w:tc>
        <w:tc>
          <w:tcPr>
            <w:tcW w:w="766" w:type="pct"/>
            <w:noWrap/>
            <w:hideMark/>
          </w:tcPr>
          <w:p w14:paraId="61BB5E9B"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 (1)</w:t>
            </w:r>
          </w:p>
        </w:tc>
        <w:tc>
          <w:tcPr>
            <w:tcW w:w="831" w:type="pct"/>
            <w:noWrap/>
            <w:hideMark/>
          </w:tcPr>
          <w:p w14:paraId="6C295C9D"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4 (0)</w:t>
            </w:r>
          </w:p>
        </w:tc>
      </w:tr>
      <w:tr w:rsidR="00437902" w:rsidRPr="0062560D" w14:paraId="12D38B5F"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79018890"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Nelson</w:t>
            </w:r>
          </w:p>
        </w:tc>
        <w:tc>
          <w:tcPr>
            <w:tcW w:w="1162" w:type="pct"/>
            <w:tcBorders>
              <w:top w:val="none" w:sz="0" w:space="0" w:color="auto"/>
              <w:bottom w:val="none" w:sz="0" w:space="0" w:color="auto"/>
            </w:tcBorders>
            <w:noWrap/>
            <w:hideMark/>
          </w:tcPr>
          <w:p w14:paraId="4AE0EB5B"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139</w:t>
            </w:r>
          </w:p>
        </w:tc>
        <w:tc>
          <w:tcPr>
            <w:tcW w:w="1059" w:type="pct"/>
            <w:tcBorders>
              <w:top w:val="none" w:sz="0" w:space="0" w:color="auto"/>
              <w:bottom w:val="none" w:sz="0" w:space="0" w:color="auto"/>
            </w:tcBorders>
            <w:noWrap/>
            <w:hideMark/>
          </w:tcPr>
          <w:p w14:paraId="31B1E364"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530C34">
              <w:rPr>
                <w:rFonts w:eastAsia="Times New Roman"/>
                <w:color w:val="000000"/>
                <w:lang w:eastAsia="ja-JP"/>
              </w:rPr>
              <w:t xml:space="preserve">- </w:t>
            </w:r>
            <w:r w:rsidRPr="0062560D">
              <w:rPr>
                <w:rFonts w:eastAsia="Times New Roman"/>
                <w:color w:val="000000"/>
                <w:lang w:eastAsia="ja-JP"/>
              </w:rPr>
              <w:t>(0)</w:t>
            </w:r>
          </w:p>
        </w:tc>
        <w:tc>
          <w:tcPr>
            <w:tcW w:w="766" w:type="pct"/>
            <w:tcBorders>
              <w:top w:val="none" w:sz="0" w:space="0" w:color="auto"/>
              <w:bottom w:val="none" w:sz="0" w:space="0" w:color="auto"/>
            </w:tcBorders>
            <w:noWrap/>
            <w:hideMark/>
          </w:tcPr>
          <w:p w14:paraId="106D4B4C"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530C34">
              <w:rPr>
                <w:rFonts w:eastAsia="Times New Roman"/>
                <w:color w:val="000000"/>
                <w:lang w:eastAsia="ja-JP"/>
              </w:rPr>
              <w:t xml:space="preserve">- </w:t>
            </w:r>
            <w:r w:rsidRPr="0062560D">
              <w:rPr>
                <w:rFonts w:eastAsia="Times New Roman"/>
                <w:color w:val="000000"/>
                <w:lang w:eastAsia="ja-JP"/>
              </w:rPr>
              <w:t>(0)</w:t>
            </w:r>
          </w:p>
        </w:tc>
        <w:tc>
          <w:tcPr>
            <w:tcW w:w="831" w:type="pct"/>
            <w:tcBorders>
              <w:top w:val="none" w:sz="0" w:space="0" w:color="auto"/>
              <w:bottom w:val="none" w:sz="0" w:space="0" w:color="auto"/>
              <w:right w:val="none" w:sz="0" w:space="0" w:color="auto"/>
            </w:tcBorders>
            <w:noWrap/>
            <w:hideMark/>
          </w:tcPr>
          <w:p w14:paraId="4BEE5F87"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530C34">
              <w:rPr>
                <w:rFonts w:eastAsia="Times New Roman"/>
                <w:color w:val="000000"/>
                <w:lang w:eastAsia="ja-JP"/>
              </w:rPr>
              <w:t xml:space="preserve">- </w:t>
            </w:r>
            <w:r w:rsidRPr="0062560D">
              <w:rPr>
                <w:rFonts w:eastAsia="Times New Roman"/>
                <w:color w:val="000000"/>
                <w:lang w:eastAsia="ja-JP"/>
              </w:rPr>
              <w:t>(0)</w:t>
            </w:r>
          </w:p>
        </w:tc>
      </w:tr>
      <w:tr w:rsidR="00437902" w:rsidRPr="0062560D" w14:paraId="23C52399"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5896805F"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Northland</w:t>
            </w:r>
          </w:p>
        </w:tc>
        <w:tc>
          <w:tcPr>
            <w:tcW w:w="1162" w:type="pct"/>
            <w:noWrap/>
            <w:hideMark/>
          </w:tcPr>
          <w:p w14:paraId="20C79395"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14,365</w:t>
            </w:r>
          </w:p>
        </w:tc>
        <w:tc>
          <w:tcPr>
            <w:tcW w:w="1059" w:type="pct"/>
            <w:noWrap/>
            <w:hideMark/>
          </w:tcPr>
          <w:p w14:paraId="23757127"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66 (0)</w:t>
            </w:r>
          </w:p>
        </w:tc>
        <w:tc>
          <w:tcPr>
            <w:tcW w:w="766" w:type="pct"/>
            <w:noWrap/>
            <w:hideMark/>
          </w:tcPr>
          <w:p w14:paraId="6B82BD95"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124 (1)</w:t>
            </w:r>
          </w:p>
        </w:tc>
        <w:tc>
          <w:tcPr>
            <w:tcW w:w="831" w:type="pct"/>
            <w:noWrap/>
            <w:hideMark/>
          </w:tcPr>
          <w:p w14:paraId="11AFE3D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67 (0)</w:t>
            </w:r>
          </w:p>
        </w:tc>
      </w:tr>
      <w:tr w:rsidR="00437902" w:rsidRPr="0062560D" w14:paraId="31C2BEFA"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5CF372A8"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Otago</w:t>
            </w:r>
          </w:p>
        </w:tc>
        <w:tc>
          <w:tcPr>
            <w:tcW w:w="1162" w:type="pct"/>
            <w:tcBorders>
              <w:top w:val="none" w:sz="0" w:space="0" w:color="auto"/>
              <w:bottom w:val="none" w:sz="0" w:space="0" w:color="auto"/>
            </w:tcBorders>
            <w:noWrap/>
            <w:hideMark/>
          </w:tcPr>
          <w:p w14:paraId="02827B37"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17,572</w:t>
            </w:r>
          </w:p>
        </w:tc>
        <w:tc>
          <w:tcPr>
            <w:tcW w:w="1059" w:type="pct"/>
            <w:tcBorders>
              <w:top w:val="none" w:sz="0" w:space="0" w:color="auto"/>
              <w:bottom w:val="none" w:sz="0" w:space="0" w:color="auto"/>
            </w:tcBorders>
            <w:noWrap/>
            <w:hideMark/>
          </w:tcPr>
          <w:p w14:paraId="62BD9AD6"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544 (3)</w:t>
            </w:r>
          </w:p>
        </w:tc>
        <w:tc>
          <w:tcPr>
            <w:tcW w:w="766" w:type="pct"/>
            <w:tcBorders>
              <w:top w:val="none" w:sz="0" w:space="0" w:color="auto"/>
              <w:bottom w:val="none" w:sz="0" w:space="0" w:color="auto"/>
            </w:tcBorders>
            <w:noWrap/>
            <w:hideMark/>
          </w:tcPr>
          <w:p w14:paraId="1EE9E3E1"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680 (4)</w:t>
            </w:r>
          </w:p>
        </w:tc>
        <w:tc>
          <w:tcPr>
            <w:tcW w:w="831" w:type="pct"/>
            <w:tcBorders>
              <w:top w:val="none" w:sz="0" w:space="0" w:color="auto"/>
              <w:bottom w:val="none" w:sz="0" w:space="0" w:color="auto"/>
              <w:right w:val="none" w:sz="0" w:space="0" w:color="auto"/>
            </w:tcBorders>
            <w:noWrap/>
            <w:hideMark/>
          </w:tcPr>
          <w:p w14:paraId="0DD7FAF2"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577 (3)</w:t>
            </w:r>
          </w:p>
        </w:tc>
      </w:tr>
      <w:tr w:rsidR="00437902" w:rsidRPr="0062560D" w14:paraId="48299D8B"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172544FB"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Southland</w:t>
            </w:r>
          </w:p>
        </w:tc>
        <w:tc>
          <w:tcPr>
            <w:tcW w:w="1162" w:type="pct"/>
            <w:noWrap/>
            <w:hideMark/>
          </w:tcPr>
          <w:p w14:paraId="0BD40197"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26,690</w:t>
            </w:r>
          </w:p>
        </w:tc>
        <w:tc>
          <w:tcPr>
            <w:tcW w:w="1059" w:type="pct"/>
            <w:noWrap/>
            <w:hideMark/>
          </w:tcPr>
          <w:p w14:paraId="5F4DBE5E"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3,677 (14)</w:t>
            </w:r>
          </w:p>
        </w:tc>
        <w:tc>
          <w:tcPr>
            <w:tcW w:w="766" w:type="pct"/>
            <w:noWrap/>
            <w:hideMark/>
          </w:tcPr>
          <w:p w14:paraId="448D050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4,282 (16)</w:t>
            </w:r>
          </w:p>
        </w:tc>
        <w:tc>
          <w:tcPr>
            <w:tcW w:w="831" w:type="pct"/>
            <w:noWrap/>
            <w:hideMark/>
          </w:tcPr>
          <w:p w14:paraId="71078296"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3,704 (14)</w:t>
            </w:r>
          </w:p>
        </w:tc>
      </w:tr>
      <w:tr w:rsidR="00437902" w:rsidRPr="0062560D" w14:paraId="48D2CDF5"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7F8DAA72"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Taranaki</w:t>
            </w:r>
          </w:p>
        </w:tc>
        <w:tc>
          <w:tcPr>
            <w:tcW w:w="1162" w:type="pct"/>
            <w:tcBorders>
              <w:top w:val="none" w:sz="0" w:space="0" w:color="auto"/>
              <w:bottom w:val="none" w:sz="0" w:space="0" w:color="auto"/>
            </w:tcBorders>
            <w:noWrap/>
            <w:hideMark/>
          </w:tcPr>
          <w:p w14:paraId="78D0C628"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14,484</w:t>
            </w:r>
          </w:p>
        </w:tc>
        <w:tc>
          <w:tcPr>
            <w:tcW w:w="1059" w:type="pct"/>
            <w:tcBorders>
              <w:top w:val="none" w:sz="0" w:space="0" w:color="auto"/>
              <w:bottom w:val="none" w:sz="0" w:space="0" w:color="auto"/>
            </w:tcBorders>
            <w:noWrap/>
            <w:hideMark/>
          </w:tcPr>
          <w:p w14:paraId="7C4ED85A"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1,556 (11)</w:t>
            </w:r>
          </w:p>
        </w:tc>
        <w:tc>
          <w:tcPr>
            <w:tcW w:w="766" w:type="pct"/>
            <w:tcBorders>
              <w:top w:val="none" w:sz="0" w:space="0" w:color="auto"/>
              <w:bottom w:val="none" w:sz="0" w:space="0" w:color="auto"/>
            </w:tcBorders>
            <w:noWrap/>
            <w:hideMark/>
          </w:tcPr>
          <w:p w14:paraId="77CEDD38"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1,696 (12)</w:t>
            </w:r>
          </w:p>
        </w:tc>
        <w:tc>
          <w:tcPr>
            <w:tcW w:w="831" w:type="pct"/>
            <w:tcBorders>
              <w:top w:val="none" w:sz="0" w:space="0" w:color="auto"/>
              <w:bottom w:val="none" w:sz="0" w:space="0" w:color="auto"/>
              <w:right w:val="none" w:sz="0" w:space="0" w:color="auto"/>
            </w:tcBorders>
            <w:noWrap/>
            <w:hideMark/>
          </w:tcPr>
          <w:p w14:paraId="5609962B"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1,556 (11)</w:t>
            </w:r>
          </w:p>
        </w:tc>
      </w:tr>
      <w:tr w:rsidR="00437902" w:rsidRPr="0062560D" w14:paraId="17439E30"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5A33FDC7"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Tasman</w:t>
            </w:r>
          </w:p>
        </w:tc>
        <w:tc>
          <w:tcPr>
            <w:tcW w:w="1162" w:type="pct"/>
            <w:noWrap/>
            <w:hideMark/>
          </w:tcPr>
          <w:p w14:paraId="179BA9F7"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3,352</w:t>
            </w:r>
          </w:p>
        </w:tc>
        <w:tc>
          <w:tcPr>
            <w:tcW w:w="1059" w:type="pct"/>
            <w:noWrap/>
            <w:hideMark/>
          </w:tcPr>
          <w:p w14:paraId="49D42712"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 (0)</w:t>
            </w:r>
          </w:p>
        </w:tc>
        <w:tc>
          <w:tcPr>
            <w:tcW w:w="766" w:type="pct"/>
            <w:noWrap/>
            <w:hideMark/>
          </w:tcPr>
          <w:p w14:paraId="6AEBBC2C"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9 (0)</w:t>
            </w:r>
          </w:p>
        </w:tc>
        <w:tc>
          <w:tcPr>
            <w:tcW w:w="831" w:type="pct"/>
            <w:noWrap/>
            <w:hideMark/>
          </w:tcPr>
          <w:p w14:paraId="709ECDA1"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 (0)</w:t>
            </w:r>
          </w:p>
        </w:tc>
      </w:tr>
      <w:tr w:rsidR="00437902" w:rsidRPr="0062560D" w14:paraId="52CB9098"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1818654A"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Waikato</w:t>
            </w:r>
          </w:p>
        </w:tc>
        <w:tc>
          <w:tcPr>
            <w:tcW w:w="1162" w:type="pct"/>
            <w:tcBorders>
              <w:top w:val="none" w:sz="0" w:space="0" w:color="auto"/>
              <w:bottom w:val="none" w:sz="0" w:space="0" w:color="auto"/>
            </w:tcBorders>
            <w:noWrap/>
            <w:hideMark/>
          </w:tcPr>
          <w:p w14:paraId="7AF29727"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38,377</w:t>
            </w:r>
          </w:p>
        </w:tc>
        <w:tc>
          <w:tcPr>
            <w:tcW w:w="1059" w:type="pct"/>
            <w:tcBorders>
              <w:top w:val="none" w:sz="0" w:space="0" w:color="auto"/>
              <w:bottom w:val="none" w:sz="0" w:space="0" w:color="auto"/>
            </w:tcBorders>
            <w:noWrap/>
            <w:hideMark/>
          </w:tcPr>
          <w:p w14:paraId="479DBA1D"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1,231 (3)</w:t>
            </w:r>
          </w:p>
        </w:tc>
        <w:tc>
          <w:tcPr>
            <w:tcW w:w="766" w:type="pct"/>
            <w:tcBorders>
              <w:top w:val="none" w:sz="0" w:space="0" w:color="auto"/>
              <w:bottom w:val="none" w:sz="0" w:space="0" w:color="auto"/>
            </w:tcBorders>
            <w:noWrap/>
            <w:hideMark/>
          </w:tcPr>
          <w:p w14:paraId="08F9C99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3,808 (10)</w:t>
            </w:r>
          </w:p>
        </w:tc>
        <w:tc>
          <w:tcPr>
            <w:tcW w:w="831" w:type="pct"/>
            <w:tcBorders>
              <w:top w:val="none" w:sz="0" w:space="0" w:color="auto"/>
              <w:bottom w:val="none" w:sz="0" w:space="0" w:color="auto"/>
              <w:right w:val="none" w:sz="0" w:space="0" w:color="auto"/>
            </w:tcBorders>
            <w:noWrap/>
            <w:hideMark/>
          </w:tcPr>
          <w:p w14:paraId="71B89F7E"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1,294 (3)</w:t>
            </w:r>
          </w:p>
        </w:tc>
      </w:tr>
      <w:tr w:rsidR="00437902" w:rsidRPr="0062560D" w14:paraId="1643C773"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6676FFBE"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Wellington</w:t>
            </w:r>
          </w:p>
        </w:tc>
        <w:tc>
          <w:tcPr>
            <w:tcW w:w="1162" w:type="pct"/>
            <w:noWrap/>
            <w:hideMark/>
          </w:tcPr>
          <w:p w14:paraId="7E3E04C5"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6,918</w:t>
            </w:r>
          </w:p>
        </w:tc>
        <w:tc>
          <w:tcPr>
            <w:tcW w:w="1059" w:type="pct"/>
            <w:noWrap/>
            <w:hideMark/>
          </w:tcPr>
          <w:p w14:paraId="2C49F739"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158 (2)</w:t>
            </w:r>
          </w:p>
        </w:tc>
        <w:tc>
          <w:tcPr>
            <w:tcW w:w="766" w:type="pct"/>
            <w:noWrap/>
            <w:hideMark/>
          </w:tcPr>
          <w:p w14:paraId="2C9E10B6"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172 (2)</w:t>
            </w:r>
          </w:p>
        </w:tc>
        <w:tc>
          <w:tcPr>
            <w:tcW w:w="831" w:type="pct"/>
            <w:noWrap/>
            <w:hideMark/>
          </w:tcPr>
          <w:p w14:paraId="46F3E923"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158 (2)</w:t>
            </w:r>
          </w:p>
        </w:tc>
      </w:tr>
      <w:tr w:rsidR="00437902" w:rsidRPr="0062560D" w14:paraId="7BECFF7F" w14:textId="77777777" w:rsidTr="00B7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noWrap/>
            <w:hideMark/>
          </w:tcPr>
          <w:p w14:paraId="41473130"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West Coast</w:t>
            </w:r>
          </w:p>
        </w:tc>
        <w:tc>
          <w:tcPr>
            <w:tcW w:w="1162" w:type="pct"/>
            <w:tcBorders>
              <w:top w:val="none" w:sz="0" w:space="0" w:color="auto"/>
              <w:bottom w:val="none" w:sz="0" w:space="0" w:color="auto"/>
            </w:tcBorders>
            <w:noWrap/>
            <w:hideMark/>
          </w:tcPr>
          <w:p w14:paraId="6336D0EF"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color w:val="000000"/>
              </w:rPr>
              <w:t>21,875</w:t>
            </w:r>
          </w:p>
        </w:tc>
        <w:tc>
          <w:tcPr>
            <w:tcW w:w="1059" w:type="pct"/>
            <w:tcBorders>
              <w:top w:val="none" w:sz="0" w:space="0" w:color="auto"/>
              <w:bottom w:val="none" w:sz="0" w:space="0" w:color="auto"/>
            </w:tcBorders>
            <w:noWrap/>
            <w:hideMark/>
          </w:tcPr>
          <w:p w14:paraId="48FA3A23"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19 (0)</w:t>
            </w:r>
          </w:p>
        </w:tc>
        <w:tc>
          <w:tcPr>
            <w:tcW w:w="766" w:type="pct"/>
            <w:tcBorders>
              <w:top w:val="none" w:sz="0" w:space="0" w:color="auto"/>
              <w:bottom w:val="none" w:sz="0" w:space="0" w:color="auto"/>
            </w:tcBorders>
            <w:noWrap/>
            <w:hideMark/>
          </w:tcPr>
          <w:p w14:paraId="42953E56"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22 (0)</w:t>
            </w:r>
          </w:p>
        </w:tc>
        <w:tc>
          <w:tcPr>
            <w:tcW w:w="831" w:type="pct"/>
            <w:tcBorders>
              <w:top w:val="none" w:sz="0" w:space="0" w:color="auto"/>
              <w:bottom w:val="none" w:sz="0" w:space="0" w:color="auto"/>
              <w:right w:val="none" w:sz="0" w:space="0" w:color="auto"/>
            </w:tcBorders>
            <w:noWrap/>
            <w:hideMark/>
          </w:tcPr>
          <w:p w14:paraId="7285391D" w14:textId="77777777" w:rsidR="00437902" w:rsidRPr="0062560D" w:rsidRDefault="00437902" w:rsidP="00A4308E">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19 (0)</w:t>
            </w:r>
          </w:p>
        </w:tc>
      </w:tr>
      <w:tr w:rsidR="00437902" w:rsidRPr="0062560D" w14:paraId="15F46CA3" w14:textId="77777777" w:rsidTr="00B771BB">
        <w:tc>
          <w:tcPr>
            <w:cnfStyle w:val="001000000000" w:firstRow="0" w:lastRow="0" w:firstColumn="1" w:lastColumn="0" w:oddVBand="0" w:evenVBand="0" w:oddHBand="0" w:evenHBand="0" w:firstRowFirstColumn="0" w:firstRowLastColumn="0" w:lastRowFirstColumn="0" w:lastRowLastColumn="0"/>
            <w:tcW w:w="1182" w:type="pct"/>
            <w:noWrap/>
            <w:hideMark/>
          </w:tcPr>
          <w:p w14:paraId="4E12B5FA" w14:textId="77777777" w:rsidR="00437902" w:rsidRPr="0062560D" w:rsidRDefault="00437902" w:rsidP="00D815C4">
            <w:pPr>
              <w:pStyle w:val="TableText"/>
              <w:rPr>
                <w:rFonts w:eastAsia="Times New Roman"/>
                <w:color w:val="000000"/>
                <w:lang w:eastAsia="ja-JP"/>
              </w:rPr>
            </w:pPr>
            <w:r w:rsidRPr="0062560D">
              <w:rPr>
                <w:rFonts w:eastAsia="Times New Roman"/>
                <w:color w:val="000000"/>
                <w:lang w:eastAsia="ja-JP"/>
              </w:rPr>
              <w:t>New Zealand</w:t>
            </w:r>
          </w:p>
        </w:tc>
        <w:tc>
          <w:tcPr>
            <w:tcW w:w="1162" w:type="pct"/>
            <w:noWrap/>
            <w:hideMark/>
          </w:tcPr>
          <w:p w14:paraId="3EDC27FD"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color w:val="000000"/>
              </w:rPr>
              <w:t>235,698</w:t>
            </w:r>
          </w:p>
        </w:tc>
        <w:tc>
          <w:tcPr>
            <w:tcW w:w="1059" w:type="pct"/>
            <w:noWrap/>
            <w:hideMark/>
          </w:tcPr>
          <w:p w14:paraId="1EF6EB88"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16,951 (7)</w:t>
            </w:r>
          </w:p>
        </w:tc>
        <w:tc>
          <w:tcPr>
            <w:tcW w:w="766" w:type="pct"/>
            <w:noWrap/>
            <w:hideMark/>
          </w:tcPr>
          <w:p w14:paraId="01B672FD"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24,131 (10)</w:t>
            </w:r>
          </w:p>
        </w:tc>
        <w:tc>
          <w:tcPr>
            <w:tcW w:w="831" w:type="pct"/>
            <w:noWrap/>
            <w:hideMark/>
          </w:tcPr>
          <w:p w14:paraId="4F65F853" w14:textId="77777777" w:rsidR="00437902" w:rsidRPr="0062560D" w:rsidRDefault="00437902" w:rsidP="00A4308E">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ja-JP"/>
              </w:rPr>
            </w:pPr>
            <w:r w:rsidRPr="0062560D">
              <w:rPr>
                <w:rFonts w:eastAsia="Times New Roman"/>
                <w:color w:val="000000"/>
                <w:lang w:eastAsia="ja-JP"/>
              </w:rPr>
              <w:t>18,138 (8)</w:t>
            </w:r>
          </w:p>
        </w:tc>
      </w:tr>
    </w:tbl>
    <w:p w14:paraId="5CF86395" w14:textId="77777777" w:rsidR="00AF4136" w:rsidRDefault="00AF4136" w:rsidP="00B771BB">
      <w:pPr>
        <w:pStyle w:val="BodyText"/>
        <w:rPr>
          <w:lang w:val="en-US" w:eastAsia="en-US"/>
        </w:rPr>
      </w:pPr>
    </w:p>
    <w:p w14:paraId="40113813" w14:textId="77777777" w:rsidR="00AF4136" w:rsidRPr="00B771BB" w:rsidRDefault="00AF4136" w:rsidP="00B771BB">
      <w:pPr>
        <w:pStyle w:val="BodyText"/>
        <w:sectPr w:rsidR="00AF4136" w:rsidRPr="00B771BB" w:rsidSect="004256CC">
          <w:footerReference w:type="even" r:id="rId21"/>
          <w:footerReference w:type="default" r:id="rId22"/>
          <w:pgSz w:w="11907" w:h="16840" w:code="9"/>
          <w:pgMar w:top="1134" w:right="1418" w:bottom="1134" w:left="1361" w:header="567" w:footer="567" w:gutter="567"/>
          <w:cols w:space="720"/>
          <w:docGrid w:linePitch="299"/>
        </w:sectPr>
      </w:pPr>
    </w:p>
    <w:tbl>
      <w:tblPr>
        <w:tblStyle w:val="TableGrid3"/>
        <w:tblW w:w="12962" w:type="dxa"/>
        <w:tblLook w:val="0600" w:firstRow="0" w:lastRow="0" w:firstColumn="0" w:lastColumn="0" w:noHBand="1" w:noVBand="1"/>
      </w:tblPr>
      <w:tblGrid>
        <w:gridCol w:w="6666"/>
        <w:gridCol w:w="389"/>
        <w:gridCol w:w="6607"/>
      </w:tblGrid>
      <w:tr w:rsidR="007F1A16" w:rsidRPr="007F1A16" w14:paraId="4969CC43" w14:textId="77777777" w:rsidTr="007879F2">
        <w:tc>
          <w:tcPr>
            <w:tcW w:w="5000" w:type="pct"/>
            <w:gridSpan w:val="3"/>
            <w:tcBorders>
              <w:top w:val="nil"/>
              <w:left w:val="nil"/>
              <w:bottom w:val="nil"/>
              <w:right w:val="nil"/>
            </w:tcBorders>
          </w:tcPr>
          <w:p w14:paraId="6FA10EC9" w14:textId="5DAB28E6" w:rsidR="007F1A16" w:rsidRPr="007F1A16" w:rsidRDefault="00D815C4" w:rsidP="00097AE0">
            <w:pPr>
              <w:pStyle w:val="Figureheading"/>
              <w:spacing w:before="0"/>
              <w:rPr>
                <w:rFonts w:eastAsia="Calibri" w:cs="Times New Roman"/>
                <w:noProof/>
              </w:rPr>
            </w:pPr>
            <w:bookmarkStart w:id="176" w:name="_Toc40951010"/>
            <w:r>
              <w:lastRenderedPageBreak/>
              <w:t xml:space="preserve">Figure </w:t>
            </w:r>
            <w:r>
              <w:fldChar w:fldCharType="begin"/>
            </w:r>
            <w:r>
              <w:instrText>SEQ Figure \* ARABIC</w:instrText>
            </w:r>
            <w:r>
              <w:fldChar w:fldCharType="separate"/>
            </w:r>
            <w:r w:rsidR="003D2D41">
              <w:rPr>
                <w:noProof/>
              </w:rPr>
              <w:t>1</w:t>
            </w:r>
            <w:r>
              <w:fldChar w:fldCharType="end"/>
            </w:r>
            <w:r>
              <w:t xml:space="preserve">: </w:t>
            </w:r>
            <w:r w:rsidR="00B771BB">
              <w:tab/>
            </w:r>
            <w:r w:rsidRPr="6E2BDE09">
              <w:t xml:space="preserve">Nitrogen load reductions required to achieve </w:t>
            </w:r>
            <w:r>
              <w:t xml:space="preserve">periphyton </w:t>
            </w:r>
            <w:r w:rsidR="00B50C21" w:rsidRPr="00CC2EFB">
              <w:t xml:space="preserve">total nitrogen </w:t>
            </w:r>
            <w:r w:rsidR="00B50C21">
              <w:t>(</w:t>
            </w:r>
            <w:r>
              <w:t>TN</w:t>
            </w:r>
            <w:r w:rsidR="00B50C21">
              <w:t>)</w:t>
            </w:r>
            <w:r>
              <w:t xml:space="preserve"> target, nitrate toxicity bottom-line and lake TN </w:t>
            </w:r>
            <w:r w:rsidRPr="6E2BDE09">
              <w:t>bottom-line described in the existing 2017 NPS-FM (baseline scenario)</w:t>
            </w:r>
            <w:r w:rsidRPr="6E2BDE09">
              <w:rPr>
                <w:rFonts w:ascii="Arial" w:hAnsi="Arial"/>
                <w:szCs w:val="20"/>
              </w:rPr>
              <w:t xml:space="preserve">. </w:t>
            </w:r>
            <w:r w:rsidRPr="6E2BDE09">
              <w:t>The reduction is expressed as a percentage of the estimated current load.</w:t>
            </w:r>
            <w:bookmarkEnd w:id="176"/>
          </w:p>
          <w:p w14:paraId="10C125B7" w14:textId="77777777" w:rsidR="007F1A16" w:rsidRDefault="007F1A16" w:rsidP="007F1A16">
            <w:pPr>
              <w:keepNext/>
              <w:spacing w:before="0" w:after="160" w:line="259" w:lineRule="auto"/>
              <w:jc w:val="center"/>
            </w:pPr>
            <w:r w:rsidRPr="007F1A16">
              <w:rPr>
                <w:rFonts w:eastAsia="Calibri" w:cs="Times New Roman"/>
                <w:noProof/>
              </w:rPr>
              <w:drawing>
                <wp:inline distT="0" distB="0" distL="0" distR="0" wp14:anchorId="48AD7880" wp14:editId="41F4A895">
                  <wp:extent cx="3978000" cy="4680000"/>
                  <wp:effectExtent l="0" t="0" r="3810" b="6350"/>
                  <wp:docPr id="22" name="Picture 22" descr="\\mfeprodfps01\ogilvieb$\downloads\NP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eprodfps01\ogilvieb$\downloads\NPS201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97800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5CD09826" w14:textId="77777777" w:rsidR="007F1A16" w:rsidRPr="007F1A16" w:rsidRDefault="007F1A16" w:rsidP="00C3146C">
            <w:pPr>
              <w:pStyle w:val="Figureheading"/>
            </w:pPr>
          </w:p>
        </w:tc>
      </w:tr>
      <w:tr w:rsidR="007F1A16" w:rsidRPr="007F1A16" w14:paraId="65094EFF" w14:textId="77777777" w:rsidTr="007879F2">
        <w:tc>
          <w:tcPr>
            <w:tcW w:w="2586" w:type="pct"/>
            <w:gridSpan w:val="2"/>
            <w:tcBorders>
              <w:top w:val="nil"/>
              <w:left w:val="nil"/>
              <w:bottom w:val="nil"/>
              <w:right w:val="nil"/>
            </w:tcBorders>
          </w:tcPr>
          <w:p w14:paraId="7ACDF3BD" w14:textId="5885471B" w:rsidR="007F1A16" w:rsidRDefault="00C8204B" w:rsidP="00314FF1">
            <w:pPr>
              <w:pStyle w:val="Figureheading"/>
              <w:spacing w:before="0"/>
              <w:ind w:left="851" w:hanging="851"/>
            </w:pPr>
            <w:bookmarkStart w:id="177" w:name="_Toc40951011"/>
            <w:r>
              <w:lastRenderedPageBreak/>
              <w:t xml:space="preserve">Figure </w:t>
            </w:r>
            <w:r>
              <w:fldChar w:fldCharType="begin"/>
            </w:r>
            <w:r>
              <w:instrText>SEQ Figure \* ARABIC</w:instrText>
            </w:r>
            <w:r>
              <w:fldChar w:fldCharType="separate"/>
            </w:r>
            <w:r w:rsidR="003D2D41">
              <w:rPr>
                <w:noProof/>
              </w:rPr>
              <w:t>2</w:t>
            </w:r>
            <w:r>
              <w:fldChar w:fldCharType="end"/>
            </w:r>
            <w:r>
              <w:t>:</w:t>
            </w:r>
            <w:r>
              <w:tab/>
              <w:t>Additional nitrogen load reductions (above the baseline) required to achieve a new bottom-line for DIN of 1 mg/L (DIN1 scenario only)</w:t>
            </w:r>
            <w:r w:rsidRPr="6E2BDE09">
              <w:rPr>
                <w:rFonts w:ascii="Arial" w:eastAsia="Calibri" w:hAnsi="Arial"/>
                <w:szCs w:val="20"/>
              </w:rPr>
              <w:t xml:space="preserve">. </w:t>
            </w:r>
            <w:r w:rsidRPr="6E2BDE09">
              <w:rPr>
                <w:rFonts w:eastAsia="Calibri"/>
              </w:rPr>
              <w:t>The reduction is expressed as a percentage of the estimated current load.</w:t>
            </w:r>
            <w:bookmarkEnd w:id="177"/>
          </w:p>
          <w:p w14:paraId="4A0C8BDA" w14:textId="77777777" w:rsidR="007F1A16" w:rsidRPr="007F1A16" w:rsidRDefault="00C8204B" w:rsidP="00314FF1">
            <w:pPr>
              <w:keepNext/>
              <w:spacing w:before="0" w:after="160" w:line="259" w:lineRule="auto"/>
              <w:jc w:val="center"/>
              <w:rPr>
                <w:rFonts w:ascii="Arial" w:eastAsia="Calibri" w:hAnsi="Arial"/>
                <w:noProof/>
                <w:szCs w:val="20"/>
              </w:rPr>
            </w:pPr>
            <w:r w:rsidRPr="007F1A16">
              <w:rPr>
                <w:rFonts w:eastAsia="Calibri" w:cs="Times New Roman"/>
                <w:noProof/>
              </w:rPr>
              <w:drawing>
                <wp:inline distT="0" distB="0" distL="0" distR="0" wp14:anchorId="61F42D0D" wp14:editId="6F712C27">
                  <wp:extent cx="4028400" cy="4680000"/>
                  <wp:effectExtent l="0" t="0" r="0" b="6350"/>
                  <wp:docPr id="23" name="Picture 23" descr="\\mfeprodfps01\ogilvieb$\downloads\diff_DINT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eprodfps01\ogilvieb$\downloads\diff_DINTo201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028400" cy="46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pct"/>
            <w:tcBorders>
              <w:top w:val="nil"/>
              <w:left w:val="nil"/>
              <w:bottom w:val="nil"/>
              <w:right w:val="nil"/>
            </w:tcBorders>
          </w:tcPr>
          <w:p w14:paraId="5E5DFD24" w14:textId="6A1F1E1A" w:rsidR="00314FF1" w:rsidRDefault="00314FF1" w:rsidP="00314FF1">
            <w:pPr>
              <w:pStyle w:val="Figureheading"/>
              <w:spacing w:before="0"/>
              <w:ind w:left="851" w:hanging="851"/>
            </w:pPr>
            <w:bookmarkStart w:id="178" w:name="_Toc40951012"/>
            <w:r>
              <w:t xml:space="preserve">Figure </w:t>
            </w:r>
            <w:r>
              <w:fldChar w:fldCharType="begin"/>
            </w:r>
            <w:r>
              <w:instrText>SEQ Figure \* ARABIC</w:instrText>
            </w:r>
            <w:r>
              <w:fldChar w:fldCharType="separate"/>
            </w:r>
            <w:r w:rsidR="003D2D41">
              <w:rPr>
                <w:noProof/>
              </w:rPr>
              <w:t>3</w:t>
            </w:r>
            <w:r>
              <w:fldChar w:fldCharType="end"/>
            </w:r>
            <w:r>
              <w:t>:</w:t>
            </w:r>
            <w:r>
              <w:tab/>
              <w:t xml:space="preserve">Total nitrogen load reductions required to achieve the baseline and a new </w:t>
            </w:r>
            <w:r w:rsidRPr="007879F2">
              <w:t>bottom</w:t>
            </w:r>
            <w:r>
              <w:t>-line for DIN of 1 mg/L (baseline + DIN1 scenarios)</w:t>
            </w:r>
            <w:r w:rsidRPr="6E2BDE09">
              <w:rPr>
                <w:rFonts w:ascii="Arial" w:eastAsia="Calibri" w:hAnsi="Arial"/>
                <w:szCs w:val="20"/>
              </w:rPr>
              <w:t xml:space="preserve">. </w:t>
            </w:r>
            <w:r w:rsidRPr="6E2BDE09">
              <w:rPr>
                <w:rFonts w:eastAsia="Calibri"/>
              </w:rPr>
              <w:t>The reduction is expressed as a percentage of the estimated current load.</w:t>
            </w:r>
            <w:bookmarkEnd w:id="178"/>
          </w:p>
          <w:p w14:paraId="56C52AD7" w14:textId="77777777" w:rsidR="00D815C4" w:rsidRPr="00D815C4" w:rsidRDefault="00314FF1" w:rsidP="00314FF1">
            <w:pPr>
              <w:keepNext/>
              <w:spacing w:before="0" w:after="160" w:line="259" w:lineRule="auto"/>
              <w:jc w:val="center"/>
            </w:pPr>
            <w:r w:rsidRPr="007F1A16">
              <w:rPr>
                <w:rFonts w:eastAsia="Calibri" w:cs="Times New Roman"/>
                <w:noProof/>
              </w:rPr>
              <w:drawing>
                <wp:inline distT="0" distB="0" distL="0" distR="0" wp14:anchorId="63B7CB9A" wp14:editId="1D0AC178">
                  <wp:extent cx="4057200" cy="4680000"/>
                  <wp:effectExtent l="0" t="0" r="635" b="6350"/>
                  <wp:docPr id="24" name="Picture 24" descr="\\mfeprodfps01\ogilvieb$\downloads\D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eprodfps01\ogilvieb$\downloads\DIN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4057200" cy="46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A16" w:rsidRPr="007F1A16" w14:paraId="16C8E3F6" w14:textId="77777777" w:rsidTr="007879F2">
        <w:tc>
          <w:tcPr>
            <w:tcW w:w="2586" w:type="pct"/>
            <w:gridSpan w:val="2"/>
            <w:tcBorders>
              <w:top w:val="nil"/>
              <w:left w:val="nil"/>
              <w:bottom w:val="nil"/>
              <w:right w:val="nil"/>
            </w:tcBorders>
          </w:tcPr>
          <w:p w14:paraId="3128851F" w14:textId="7C05A507" w:rsidR="007F1A16" w:rsidRDefault="00314FF1" w:rsidP="00314FF1">
            <w:pPr>
              <w:pStyle w:val="Figureheading"/>
              <w:spacing w:before="0"/>
              <w:ind w:left="851" w:hanging="851"/>
            </w:pPr>
            <w:bookmarkStart w:id="179" w:name="_Toc40951013"/>
            <w:r>
              <w:lastRenderedPageBreak/>
              <w:t xml:space="preserve">Figure </w:t>
            </w:r>
            <w:r>
              <w:fldChar w:fldCharType="begin"/>
            </w:r>
            <w:r>
              <w:instrText>SEQ Figure \* ARABIC</w:instrText>
            </w:r>
            <w:r>
              <w:fldChar w:fldCharType="separate"/>
            </w:r>
            <w:r w:rsidR="003D2D41">
              <w:rPr>
                <w:noProof/>
              </w:rPr>
              <w:t>4</w:t>
            </w:r>
            <w:r>
              <w:fldChar w:fldCharType="end"/>
            </w:r>
            <w:r>
              <w:t xml:space="preserve">: </w:t>
            </w:r>
            <w:r>
              <w:tab/>
              <w:t>Additional nitrogen load reductions (above the baseline) required to achieve an amended nitrate toxicity bottom-line of 2.4 mg/L (NTox24 scenario only)</w:t>
            </w:r>
            <w:r w:rsidRPr="6E2BDE09">
              <w:rPr>
                <w:rFonts w:ascii="Arial" w:eastAsia="Calibri" w:hAnsi="Arial"/>
                <w:szCs w:val="20"/>
              </w:rPr>
              <w:t xml:space="preserve">. </w:t>
            </w:r>
            <w:r w:rsidRPr="6E2BDE09">
              <w:rPr>
                <w:rFonts w:eastAsia="Calibri"/>
              </w:rPr>
              <w:t>The reduction is expressed as a percentage of the estimated current load.</w:t>
            </w:r>
            <w:bookmarkEnd w:id="179"/>
          </w:p>
          <w:p w14:paraId="7A87D318" w14:textId="77777777" w:rsidR="00314FF1" w:rsidRPr="00314FF1" w:rsidRDefault="00314FF1" w:rsidP="00314FF1">
            <w:pPr>
              <w:pStyle w:val="Figureheading"/>
              <w:ind w:left="742" w:hanging="742"/>
            </w:pPr>
            <w:r w:rsidRPr="007F1A16">
              <w:rPr>
                <w:rFonts w:eastAsia="Calibri" w:cs="Times New Roman"/>
                <w:noProof/>
              </w:rPr>
              <w:drawing>
                <wp:inline distT="0" distB="0" distL="0" distR="0" wp14:anchorId="40ACC8FF" wp14:editId="3FA7C583">
                  <wp:extent cx="4046400" cy="4680000"/>
                  <wp:effectExtent l="0" t="0" r="0" b="6350"/>
                  <wp:docPr id="33" name="Picture 33" descr="\\mfeprodfps01\ogilvieb$\downloads\diff_T24T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eprodfps01\ogilvieb$\downloads\diff_T24To201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046400" cy="46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pct"/>
            <w:tcBorders>
              <w:top w:val="nil"/>
              <w:left w:val="nil"/>
              <w:bottom w:val="nil"/>
              <w:right w:val="nil"/>
            </w:tcBorders>
          </w:tcPr>
          <w:p w14:paraId="47BA41F2" w14:textId="611DB217" w:rsidR="007F1A16" w:rsidRDefault="00314FF1" w:rsidP="00314FF1">
            <w:pPr>
              <w:pStyle w:val="Figureheading"/>
              <w:spacing w:before="0"/>
              <w:ind w:left="851" w:hanging="851"/>
            </w:pPr>
            <w:bookmarkStart w:id="180" w:name="_Toc40951014"/>
            <w:r>
              <w:t xml:space="preserve">Figure </w:t>
            </w:r>
            <w:r>
              <w:fldChar w:fldCharType="begin"/>
            </w:r>
            <w:r>
              <w:instrText>SEQ Figure \* ARABIC</w:instrText>
            </w:r>
            <w:r>
              <w:fldChar w:fldCharType="separate"/>
            </w:r>
            <w:r w:rsidR="003D2D41">
              <w:rPr>
                <w:noProof/>
              </w:rPr>
              <w:t>5</w:t>
            </w:r>
            <w:r>
              <w:fldChar w:fldCharType="end"/>
            </w:r>
            <w:r>
              <w:t xml:space="preserve">: </w:t>
            </w:r>
            <w:r>
              <w:tab/>
              <w:t>Total nitrogen load reductions required to achieve the baseline and an amended nitrate toxicity bottom-line of 2.4 mg/L (baseline + NTox24 scenarios)</w:t>
            </w:r>
            <w:r w:rsidRPr="6E2BDE09">
              <w:rPr>
                <w:rFonts w:ascii="Arial" w:eastAsia="Calibri" w:hAnsi="Arial"/>
                <w:szCs w:val="20"/>
              </w:rPr>
              <w:t xml:space="preserve">. </w:t>
            </w:r>
            <w:r w:rsidRPr="6E2BDE09">
              <w:rPr>
                <w:rFonts w:eastAsia="Calibri"/>
              </w:rPr>
              <w:t xml:space="preserve">The </w:t>
            </w:r>
            <w:r w:rsidRPr="009236E7">
              <w:t>reduction</w:t>
            </w:r>
            <w:r w:rsidRPr="6E2BDE09">
              <w:rPr>
                <w:rFonts w:eastAsia="Calibri"/>
              </w:rPr>
              <w:t xml:space="preserve"> as a percentage of the estimated current load.</w:t>
            </w:r>
            <w:bookmarkEnd w:id="180"/>
          </w:p>
          <w:p w14:paraId="4F80AF10" w14:textId="77777777" w:rsidR="007F1A16" w:rsidRPr="007F1A16" w:rsidRDefault="00314FF1" w:rsidP="009236E7">
            <w:pPr>
              <w:pStyle w:val="Figureheading"/>
              <w:ind w:left="771" w:hanging="771"/>
              <w:rPr>
                <w:rFonts w:ascii="Arial" w:eastAsia="Calibri" w:hAnsi="Arial"/>
                <w:szCs w:val="20"/>
              </w:rPr>
            </w:pPr>
            <w:r w:rsidRPr="007F1A16">
              <w:rPr>
                <w:rFonts w:eastAsia="Calibri" w:cs="Times New Roman"/>
                <w:noProof/>
              </w:rPr>
              <w:drawing>
                <wp:inline distT="0" distB="0" distL="0" distR="0" wp14:anchorId="22511B7E" wp14:editId="1C986FA4">
                  <wp:extent cx="4057200" cy="4680000"/>
                  <wp:effectExtent l="0" t="0" r="635" b="6350"/>
                  <wp:docPr id="34" name="Picture 34" descr="\\mfeprodfps01\ogilvieb$\downloads\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feprodfps01\ogilvieb$\downloads\T2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057200" cy="46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A16" w:rsidRPr="007F1A16" w14:paraId="1A2D2FB4" w14:textId="77777777" w:rsidTr="007879F2">
        <w:tc>
          <w:tcPr>
            <w:tcW w:w="5000" w:type="pct"/>
            <w:gridSpan w:val="3"/>
            <w:tcBorders>
              <w:top w:val="nil"/>
              <w:left w:val="nil"/>
              <w:bottom w:val="nil"/>
              <w:right w:val="nil"/>
            </w:tcBorders>
          </w:tcPr>
          <w:p w14:paraId="33DE2477" w14:textId="41C5F223" w:rsidR="007F1A16" w:rsidRPr="007F1A16" w:rsidRDefault="00314FF1" w:rsidP="00314FF1">
            <w:pPr>
              <w:pStyle w:val="Figureheading"/>
              <w:spacing w:before="0"/>
              <w:rPr>
                <w:noProof/>
              </w:rPr>
            </w:pPr>
            <w:bookmarkStart w:id="181" w:name="_Toc40951015"/>
            <w:r>
              <w:lastRenderedPageBreak/>
              <w:t xml:space="preserve">Figure </w:t>
            </w:r>
            <w:r>
              <w:fldChar w:fldCharType="begin"/>
            </w:r>
            <w:r>
              <w:instrText>SEQ Figure \* ARABIC</w:instrText>
            </w:r>
            <w:r>
              <w:fldChar w:fldCharType="separate"/>
            </w:r>
            <w:r w:rsidR="003D2D41">
              <w:rPr>
                <w:noProof/>
              </w:rPr>
              <w:t>6</w:t>
            </w:r>
            <w:r>
              <w:fldChar w:fldCharType="end"/>
            </w:r>
            <w:r>
              <w:t xml:space="preserve">: </w:t>
            </w:r>
            <w:r>
              <w:tab/>
              <w:t xml:space="preserve">Phosphorus load reductions needed to achieve periphyton DRP target and lake </w:t>
            </w:r>
            <w:r w:rsidR="00D46A96" w:rsidRPr="00CC2EFB">
              <w:t xml:space="preserve">total phosphorus </w:t>
            </w:r>
            <w:r w:rsidR="00D46A96">
              <w:t>(</w:t>
            </w:r>
            <w:r>
              <w:t>TP</w:t>
            </w:r>
            <w:r w:rsidR="00D46A96">
              <w:t>)</w:t>
            </w:r>
            <w:r>
              <w:t xml:space="preserve"> bottom-line defined in the 2017 NPS-FM (baseline scenario)</w:t>
            </w:r>
            <w:r w:rsidRPr="6E2BDE09">
              <w:rPr>
                <w:rFonts w:ascii="Arial" w:eastAsia="Calibri" w:hAnsi="Arial"/>
                <w:szCs w:val="20"/>
              </w:rPr>
              <w:t xml:space="preserve">. </w:t>
            </w:r>
            <w:r w:rsidRPr="6E2BDE09">
              <w:rPr>
                <w:rFonts w:eastAsia="Calibri"/>
              </w:rPr>
              <w:t>The</w:t>
            </w:r>
            <w:r>
              <w:rPr>
                <w:rFonts w:eastAsia="Calibri"/>
              </w:rPr>
              <w:t> </w:t>
            </w:r>
            <w:r w:rsidRPr="6E2BDE09">
              <w:rPr>
                <w:rFonts w:eastAsia="Calibri"/>
              </w:rPr>
              <w:t>reduction is expressed as a percentage of the estimated current load.</w:t>
            </w:r>
            <w:bookmarkEnd w:id="181"/>
          </w:p>
          <w:p w14:paraId="6C29C9BC" w14:textId="77777777" w:rsidR="007F1A16" w:rsidRPr="007F1A16" w:rsidRDefault="007F1A16" w:rsidP="00314FF1">
            <w:pPr>
              <w:keepNext/>
              <w:spacing w:before="0" w:after="160" w:line="259" w:lineRule="auto"/>
              <w:jc w:val="center"/>
              <w:rPr>
                <w:rFonts w:ascii="Arial" w:eastAsia="Calibri" w:hAnsi="Arial"/>
                <w:szCs w:val="20"/>
              </w:rPr>
            </w:pPr>
            <w:r w:rsidRPr="007F1A16">
              <w:rPr>
                <w:rFonts w:eastAsia="Calibri" w:cs="Times New Roman"/>
                <w:noProof/>
              </w:rPr>
              <w:drawing>
                <wp:inline distT="0" distB="0" distL="0" distR="0" wp14:anchorId="1EFFA944" wp14:editId="510D6281">
                  <wp:extent cx="4064400" cy="4680000"/>
                  <wp:effectExtent l="0" t="0" r="0" b="6350"/>
                  <wp:docPr id="12" name="Picture 12" descr="\\mfeprodfps01\ogilvieb$\Desktop\NP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eprodfps01\ogilvieb$\Desktop\NPS201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064400" cy="46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A16" w:rsidRPr="007F1A16" w14:paraId="2B975A1F" w14:textId="77777777" w:rsidTr="007879F2">
        <w:tc>
          <w:tcPr>
            <w:tcW w:w="2436" w:type="pct"/>
            <w:tcBorders>
              <w:top w:val="nil"/>
              <w:left w:val="nil"/>
              <w:bottom w:val="nil"/>
              <w:right w:val="nil"/>
            </w:tcBorders>
          </w:tcPr>
          <w:p w14:paraId="528BD05A" w14:textId="0F6DE284" w:rsidR="007F1A16" w:rsidRDefault="00314FF1" w:rsidP="00314FF1">
            <w:pPr>
              <w:pStyle w:val="Figureheading"/>
              <w:spacing w:before="0"/>
              <w:ind w:left="851" w:hanging="851"/>
            </w:pPr>
            <w:bookmarkStart w:id="182" w:name="_Toc40951016"/>
            <w:r>
              <w:lastRenderedPageBreak/>
              <w:t xml:space="preserve">Figure </w:t>
            </w:r>
            <w:r>
              <w:fldChar w:fldCharType="begin"/>
            </w:r>
            <w:r>
              <w:instrText>SEQ Figure \* ARABIC</w:instrText>
            </w:r>
            <w:r>
              <w:fldChar w:fldCharType="separate"/>
            </w:r>
            <w:r w:rsidR="003D2D41">
              <w:rPr>
                <w:noProof/>
              </w:rPr>
              <w:t>7</w:t>
            </w:r>
            <w:r>
              <w:fldChar w:fldCharType="end"/>
            </w:r>
            <w:r>
              <w:t>:</w:t>
            </w:r>
            <w:r>
              <w:tab/>
              <w:t xml:space="preserve">Additional </w:t>
            </w:r>
            <w:r w:rsidRPr="009236E7">
              <w:t>phosphorus</w:t>
            </w:r>
            <w:r>
              <w:t xml:space="preserve"> load reductions (above the baseline) required to achieve a new bottom-line for DRP of 0.018 mg/L (DRP18 scenario only)</w:t>
            </w:r>
            <w:r w:rsidRPr="6E2BDE09">
              <w:rPr>
                <w:rFonts w:ascii="Arial" w:eastAsia="Calibri" w:hAnsi="Arial"/>
                <w:szCs w:val="20"/>
              </w:rPr>
              <w:t xml:space="preserve">. </w:t>
            </w:r>
            <w:r w:rsidRPr="6E2BDE09">
              <w:rPr>
                <w:rFonts w:eastAsia="Calibri"/>
              </w:rPr>
              <w:t>The reduction is expressed as a percentage of the estimated current load</w:t>
            </w:r>
            <w:r w:rsidRPr="00C3146C">
              <w:t>.</w:t>
            </w:r>
            <w:bookmarkEnd w:id="182"/>
          </w:p>
          <w:p w14:paraId="58C4DCDE" w14:textId="77777777" w:rsidR="007F1A16" w:rsidRPr="007F1A16" w:rsidRDefault="00314FF1" w:rsidP="00314FF1">
            <w:pPr>
              <w:keepNext/>
              <w:spacing w:before="0" w:after="160" w:line="259" w:lineRule="auto"/>
              <w:jc w:val="center"/>
              <w:rPr>
                <w:rFonts w:ascii="Arial" w:eastAsia="Calibri" w:hAnsi="Arial"/>
                <w:szCs w:val="20"/>
              </w:rPr>
            </w:pPr>
            <w:r w:rsidRPr="007F1A16">
              <w:rPr>
                <w:rFonts w:eastAsia="Calibri" w:cs="Times New Roman"/>
                <w:noProof/>
              </w:rPr>
              <w:drawing>
                <wp:inline distT="0" distB="0" distL="0" distR="0" wp14:anchorId="0988CFAD" wp14:editId="6093C709">
                  <wp:extent cx="4093200" cy="4680000"/>
                  <wp:effectExtent l="0" t="0" r="3175" b="6350"/>
                  <wp:docPr id="13" name="Picture 13" descr="\\mfeprodfps01\ogilvieb$\Desktop\diff_DRPT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eprodfps01\ogilvieb$\Desktop\diff_DRPTo201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093200" cy="46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4" w:type="pct"/>
            <w:gridSpan w:val="2"/>
            <w:tcBorders>
              <w:top w:val="nil"/>
              <w:left w:val="nil"/>
              <w:bottom w:val="nil"/>
              <w:right w:val="nil"/>
            </w:tcBorders>
          </w:tcPr>
          <w:p w14:paraId="135A1821" w14:textId="39045EE1" w:rsidR="007F1A16" w:rsidRDefault="00314FF1" w:rsidP="00314FF1">
            <w:pPr>
              <w:pStyle w:val="Figureheading"/>
              <w:spacing w:before="0"/>
              <w:ind w:left="851" w:hanging="851"/>
            </w:pPr>
            <w:bookmarkStart w:id="183" w:name="_Toc40951017"/>
            <w:r w:rsidRPr="009236E7">
              <w:t>Figure</w:t>
            </w:r>
            <w:r>
              <w:t xml:space="preserve"> </w:t>
            </w:r>
            <w:r>
              <w:fldChar w:fldCharType="begin"/>
            </w:r>
            <w:r>
              <w:instrText>SEQ Figure \* ARABIC</w:instrText>
            </w:r>
            <w:r>
              <w:fldChar w:fldCharType="separate"/>
            </w:r>
            <w:r w:rsidR="003D2D41">
              <w:rPr>
                <w:noProof/>
              </w:rPr>
              <w:t>8</w:t>
            </w:r>
            <w:r>
              <w:fldChar w:fldCharType="end"/>
            </w:r>
            <w:r>
              <w:t xml:space="preserve">: </w:t>
            </w:r>
            <w:r>
              <w:tab/>
              <w:t>Total phosphorus load reductions required to achieve the baseline and</w:t>
            </w:r>
            <w:r w:rsidR="002B2C5A">
              <w:t> </w:t>
            </w:r>
            <w:r>
              <w:t>a new bottom-line for DRP of 0.018 mg/L (baseline + DRP18 scenarios)</w:t>
            </w:r>
            <w:r w:rsidRPr="6E2BDE09">
              <w:rPr>
                <w:rFonts w:ascii="Arial" w:eastAsia="Calibri" w:hAnsi="Arial"/>
                <w:szCs w:val="20"/>
              </w:rPr>
              <w:t xml:space="preserve">. </w:t>
            </w:r>
            <w:r w:rsidRPr="6E2BDE09">
              <w:rPr>
                <w:rFonts w:eastAsia="Calibri"/>
              </w:rPr>
              <w:t>The reduction is expressed as a percentage of the estimated current load.</w:t>
            </w:r>
            <w:bookmarkEnd w:id="183"/>
          </w:p>
          <w:p w14:paraId="025C578C" w14:textId="77777777" w:rsidR="007F1A16" w:rsidRPr="007F1A16" w:rsidRDefault="00314FF1" w:rsidP="009236E7">
            <w:pPr>
              <w:pStyle w:val="Figureheading"/>
              <w:ind w:left="881" w:hanging="881"/>
              <w:rPr>
                <w:rFonts w:ascii="Arial" w:eastAsia="Calibri" w:hAnsi="Arial"/>
                <w:szCs w:val="20"/>
              </w:rPr>
            </w:pPr>
            <w:r w:rsidRPr="007F1A16">
              <w:rPr>
                <w:rFonts w:eastAsia="Calibri" w:cs="Times New Roman"/>
                <w:noProof/>
              </w:rPr>
              <w:drawing>
                <wp:inline distT="0" distB="0" distL="0" distR="0" wp14:anchorId="20477E09" wp14:editId="71BAE9F8">
                  <wp:extent cx="4093200" cy="4680000"/>
                  <wp:effectExtent l="0" t="0" r="3175" b="6350"/>
                  <wp:docPr id="15" name="Picture 15" descr="\\mfeprodfps01\ogilvieb$\Desktop\EFWD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eprodfps01\ogilvieb$\Desktop\EFWDRP.jpg"/>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093200" cy="46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691CF2" w14:textId="77777777" w:rsidR="007F1A16" w:rsidRDefault="007F1A16" w:rsidP="003C170C">
      <w:pPr>
        <w:pStyle w:val="Bullet"/>
        <w:rPr>
          <w:rFonts w:eastAsia="Calibri"/>
          <w:lang w:val="en-US" w:eastAsia="en-US"/>
        </w:rPr>
        <w:sectPr w:rsidR="007F1A16" w:rsidSect="00F32684">
          <w:pgSz w:w="16840" w:h="11907" w:orient="landscape" w:code="9"/>
          <w:pgMar w:top="1134" w:right="1418" w:bottom="1134" w:left="1418" w:header="567" w:footer="567" w:gutter="567"/>
          <w:cols w:space="720"/>
          <w:docGrid w:linePitch="299"/>
        </w:sectPr>
      </w:pPr>
    </w:p>
    <w:p w14:paraId="23885DE9" w14:textId="77777777" w:rsidR="00107C57" w:rsidRPr="00A621E7" w:rsidRDefault="004239A2" w:rsidP="00F60AA0">
      <w:pPr>
        <w:pStyle w:val="Heading2"/>
        <w:spacing w:before="0" w:after="120"/>
      </w:pPr>
      <w:bookmarkStart w:id="184" w:name="_Toc40949873"/>
      <w:r w:rsidRPr="00A621E7">
        <w:lastRenderedPageBreak/>
        <w:t>C</w:t>
      </w:r>
      <w:r w:rsidR="00107C57" w:rsidRPr="00A621E7">
        <w:t xml:space="preserve">omparison to </w:t>
      </w:r>
      <w:r w:rsidR="009C416A" w:rsidRPr="00A621E7">
        <w:t>previous work</w:t>
      </w:r>
      <w:bookmarkStart w:id="185" w:name="_Toc39145250"/>
      <w:bookmarkEnd w:id="184"/>
    </w:p>
    <w:p w14:paraId="41877FFF" w14:textId="12745F11" w:rsidR="007F6D5C" w:rsidRPr="00A621E7" w:rsidRDefault="00107C57" w:rsidP="00F60AA0">
      <w:pPr>
        <w:pStyle w:val="BodyText"/>
      </w:pPr>
      <w:r w:rsidRPr="00A621E7">
        <w:t xml:space="preserve">MfE </w:t>
      </w:r>
      <w:r w:rsidR="00B32403" w:rsidRPr="00A621E7">
        <w:t xml:space="preserve">(2019) </w:t>
      </w:r>
      <w:r w:rsidRPr="00A621E7">
        <w:t>conducted a</w:t>
      </w:r>
      <w:r w:rsidR="009C416A" w:rsidRPr="00A621E7">
        <w:t>n initial</w:t>
      </w:r>
      <w:r w:rsidRPr="00A621E7">
        <w:t xml:space="preserve"> study to assess </w:t>
      </w:r>
      <w:r w:rsidR="00102696" w:rsidRPr="00A621E7">
        <w:t>the nutrient reduction required to meet the periphyton</w:t>
      </w:r>
      <w:r w:rsidR="00F120A9" w:rsidRPr="00A621E7">
        <w:t xml:space="preserve"> bottom-line in the </w:t>
      </w:r>
      <w:r w:rsidR="00F120A9" w:rsidRPr="00483079">
        <w:t>2017 NPS</w:t>
      </w:r>
      <w:r w:rsidR="00483079">
        <w:t>-FM</w:t>
      </w:r>
      <w:r w:rsidR="00F120A9" w:rsidRPr="00A621E7">
        <w:t>, compared to the proposed DIN and DRP bottom-lines</w:t>
      </w:r>
      <w:r w:rsidRPr="00A621E7">
        <w:t xml:space="preserve">. </w:t>
      </w:r>
      <w:r w:rsidR="009842EC" w:rsidRPr="00A621E7">
        <w:t>A noticeable</w:t>
      </w:r>
      <w:r w:rsidR="00B32403" w:rsidRPr="00A621E7">
        <w:t xml:space="preserve"> difference </w:t>
      </w:r>
      <w:r w:rsidR="00867737" w:rsidRPr="00A621E7">
        <w:t>was</w:t>
      </w:r>
      <w:r w:rsidR="009842EC" w:rsidRPr="00A621E7">
        <w:t xml:space="preserve"> found </w:t>
      </w:r>
      <w:r w:rsidR="00B32403" w:rsidRPr="00A621E7">
        <w:t>in</w:t>
      </w:r>
      <w:r w:rsidR="009842EC" w:rsidRPr="00A621E7">
        <w:t xml:space="preserve"> the </w:t>
      </w:r>
      <w:r w:rsidR="007F3F76" w:rsidRPr="00A621E7">
        <w:t xml:space="preserve">nutrient loads, namely the </w:t>
      </w:r>
      <w:r w:rsidR="00B32403" w:rsidRPr="00A621E7">
        <w:t>current nutrient load</w:t>
      </w:r>
      <w:r w:rsidR="000220D1">
        <w:t> </w:t>
      </w:r>
      <w:r w:rsidR="009842EC" w:rsidRPr="00A621E7">
        <w:t xml:space="preserve">and </w:t>
      </w:r>
      <w:r w:rsidR="00A475BB" w:rsidRPr="00A621E7">
        <w:t>subsequent</w:t>
      </w:r>
      <w:r w:rsidR="009842EC" w:rsidRPr="00A621E7">
        <w:t xml:space="preserve"> load reduction required to meet the target concentrations</w:t>
      </w:r>
      <w:r w:rsidR="00B32403" w:rsidRPr="00A621E7">
        <w:t xml:space="preserve"> </w:t>
      </w:r>
      <w:r w:rsidR="009842EC" w:rsidRPr="00A621E7">
        <w:t>(</w:t>
      </w:r>
      <w:r w:rsidR="00C2635A" w:rsidRPr="00A621E7">
        <w:fldChar w:fldCharType="begin"/>
      </w:r>
      <w:r w:rsidR="00C2635A" w:rsidRPr="00A621E7">
        <w:instrText xml:space="preserve"> REF _Ref40436898 \h </w:instrText>
      </w:r>
      <w:r w:rsidR="00A621E7">
        <w:instrText xml:space="preserve"> \* MERGEFORMAT </w:instrText>
      </w:r>
      <w:r w:rsidR="00C2635A" w:rsidRPr="00A621E7">
        <w:fldChar w:fldCharType="separate"/>
      </w:r>
      <w:r w:rsidR="003D2D41">
        <w:t>Table 3</w:t>
      </w:r>
      <w:r w:rsidR="00C2635A" w:rsidRPr="00A621E7">
        <w:fldChar w:fldCharType="end"/>
      </w:r>
      <w:r w:rsidR="009842EC" w:rsidRPr="00A621E7">
        <w:t>)</w:t>
      </w:r>
      <w:r w:rsidR="00B32403" w:rsidRPr="00A621E7">
        <w:t xml:space="preserve">. </w:t>
      </w:r>
      <w:r w:rsidR="009842EC" w:rsidRPr="00A621E7">
        <w:t xml:space="preserve">The differences </w:t>
      </w:r>
      <w:r w:rsidR="0091713F" w:rsidRPr="00A621E7">
        <w:t>most likely originated</w:t>
      </w:r>
      <w:r w:rsidR="009842EC" w:rsidRPr="00A621E7">
        <w:t xml:space="preserve"> from the different approaches taken by the two studies, including </w:t>
      </w:r>
      <w:r w:rsidR="00FD4FFE" w:rsidRPr="00A621E7">
        <w:t xml:space="preserve">the </w:t>
      </w:r>
      <w:r w:rsidR="009842EC" w:rsidRPr="00A621E7">
        <w:t>fundamental</w:t>
      </w:r>
      <w:r w:rsidR="00B32403" w:rsidRPr="00A621E7">
        <w:t xml:space="preserve"> model mechanisms, input data and</w:t>
      </w:r>
      <w:r w:rsidR="009842EC" w:rsidRPr="00A621E7">
        <w:t xml:space="preserve"> other</w:t>
      </w:r>
      <w:r w:rsidR="00B32403" w:rsidRPr="00A621E7">
        <w:t xml:space="preserve"> assumptions</w:t>
      </w:r>
      <w:r w:rsidR="009842EC" w:rsidRPr="00A621E7">
        <w:t xml:space="preserve">. </w:t>
      </w:r>
    </w:p>
    <w:p w14:paraId="06463700" w14:textId="601ED132" w:rsidR="009C416A" w:rsidRPr="00A621E7" w:rsidRDefault="009842EC" w:rsidP="00F60AA0">
      <w:pPr>
        <w:pStyle w:val="BodyText"/>
      </w:pPr>
      <w:r w:rsidRPr="00A621E7">
        <w:t xml:space="preserve">Differences were also </w:t>
      </w:r>
      <w:r w:rsidR="007F6D5C" w:rsidRPr="00A621E7">
        <w:t xml:space="preserve">found in </w:t>
      </w:r>
      <w:r w:rsidR="00B60035" w:rsidRPr="00A621E7">
        <w:t xml:space="preserve">the </w:t>
      </w:r>
      <w:r w:rsidR="007F6D5C" w:rsidRPr="00A621E7">
        <w:t xml:space="preserve">total reduction required to comply with 2017 NPS-FM and additional reduction required to comply with </w:t>
      </w:r>
      <w:r w:rsidR="009C416A" w:rsidRPr="00A621E7">
        <w:t xml:space="preserve">the </w:t>
      </w:r>
      <w:r w:rsidR="007F6D5C" w:rsidRPr="00A621E7">
        <w:t>DIN1 scenario.</w:t>
      </w:r>
      <w:r w:rsidR="006E7AE8" w:rsidRPr="00A621E7">
        <w:t xml:space="preserve"> The differences in these studies originated from the different assumptions taken to assess the list of rivers bound by the periphyton bottom-lines.</w:t>
      </w:r>
      <w:r w:rsidR="007F6D5C" w:rsidRPr="00A621E7">
        <w:t xml:space="preserve"> MfE (2019) assessed </w:t>
      </w:r>
      <w:r w:rsidR="009C416A" w:rsidRPr="00A621E7">
        <w:t xml:space="preserve">that </w:t>
      </w:r>
      <w:r w:rsidR="007F6D5C" w:rsidRPr="00A621E7">
        <w:t>the reduction in 2017 NPS-FM is relatively higher (11</w:t>
      </w:r>
      <w:r w:rsidR="008E40DC">
        <w:t xml:space="preserve"> per cent</w:t>
      </w:r>
      <w:r w:rsidR="007F6D5C" w:rsidRPr="00A621E7">
        <w:t xml:space="preserve"> vs 7</w:t>
      </w:r>
      <w:r w:rsidR="008E40DC">
        <w:t xml:space="preserve"> per cent</w:t>
      </w:r>
      <w:r w:rsidR="007F6D5C" w:rsidRPr="00A621E7">
        <w:t>), while MfE (2020</w:t>
      </w:r>
      <w:r w:rsidR="00C2635A" w:rsidRPr="00A621E7">
        <w:t>; this study</w:t>
      </w:r>
      <w:r w:rsidR="007F6D5C" w:rsidRPr="00A621E7">
        <w:t>) found that the DIN1 scenario require</w:t>
      </w:r>
      <w:r w:rsidR="009C416A" w:rsidRPr="00A621E7">
        <w:t>s</w:t>
      </w:r>
      <w:r w:rsidR="007F6D5C" w:rsidRPr="00A621E7">
        <w:t xml:space="preserve"> more reduction (1</w:t>
      </w:r>
      <w:r w:rsidR="008E40DC">
        <w:t xml:space="preserve"> per cent</w:t>
      </w:r>
      <w:r w:rsidR="007F6D5C" w:rsidRPr="00A621E7">
        <w:t xml:space="preserve"> vs 3</w:t>
      </w:r>
      <w:r w:rsidR="008E40DC">
        <w:t xml:space="preserve"> per cent</w:t>
      </w:r>
      <w:r w:rsidR="007F6D5C" w:rsidRPr="00A621E7">
        <w:t>). The largest differences of additional load reduction targets were found in Waikato and Canterbury regions, with</w:t>
      </w:r>
      <w:r w:rsidR="00A46EB0" w:rsidRPr="00A621E7">
        <w:t xml:space="preserve"> </w:t>
      </w:r>
      <w:r w:rsidR="007F6D5C" w:rsidRPr="00A621E7">
        <w:t>7</w:t>
      </w:r>
      <w:r w:rsidR="008E40DC">
        <w:t xml:space="preserve"> per cent</w:t>
      </w:r>
      <w:r w:rsidR="007F6D5C" w:rsidRPr="00A621E7">
        <w:t xml:space="preserve"> and 5</w:t>
      </w:r>
      <w:r w:rsidR="008E40DC">
        <w:t xml:space="preserve"> per cent</w:t>
      </w:r>
      <w:r w:rsidR="007F6D5C" w:rsidRPr="00A621E7">
        <w:t xml:space="preserve"> greater additional reduction predicted by MfE </w:t>
      </w:r>
      <w:r w:rsidR="00BD0931" w:rsidRPr="00A621E7">
        <w:t>(</w:t>
      </w:r>
      <w:r w:rsidR="007F6D5C" w:rsidRPr="00A621E7">
        <w:t>2020</w:t>
      </w:r>
      <w:r w:rsidR="00BD0931" w:rsidRPr="00A621E7">
        <w:t>)</w:t>
      </w:r>
      <w:r w:rsidR="007F6D5C" w:rsidRPr="00A621E7">
        <w:t xml:space="preserve">. This is because these two regions </w:t>
      </w:r>
      <w:r w:rsidR="009C416A" w:rsidRPr="00A621E7">
        <w:t>contain many</w:t>
      </w:r>
      <w:r w:rsidR="007F6D5C" w:rsidRPr="00A621E7">
        <w:t xml:space="preserve"> soft-bottomed rivers that wouldn’t usually have periphyton.</w:t>
      </w:r>
      <w:r w:rsidR="007171FC" w:rsidRPr="00A621E7">
        <w:t xml:space="preserve"> </w:t>
      </w:r>
    </w:p>
    <w:p w14:paraId="4EB8BAEA" w14:textId="77777777" w:rsidR="00107C57" w:rsidRPr="00A621E7" w:rsidRDefault="007171FC" w:rsidP="00F60AA0">
      <w:pPr>
        <w:pStyle w:val="BodyText"/>
      </w:pPr>
      <w:r w:rsidRPr="00A621E7">
        <w:t>MfE (2019) assess</w:t>
      </w:r>
      <w:r w:rsidR="00A46EB0" w:rsidRPr="00A621E7">
        <w:t>ed</w:t>
      </w:r>
      <w:r w:rsidRPr="00A621E7">
        <w:t xml:space="preserve"> </w:t>
      </w:r>
      <w:r w:rsidR="00A46EB0" w:rsidRPr="00A621E7">
        <w:t xml:space="preserve">the finer spatial scale nutrient targets in river systems to understand </w:t>
      </w:r>
      <w:r w:rsidRPr="00A621E7">
        <w:t xml:space="preserve">the extent </w:t>
      </w:r>
      <w:r w:rsidR="00A46EB0" w:rsidRPr="00A621E7">
        <w:t xml:space="preserve">that reducing nutrients concentrations controlled </w:t>
      </w:r>
      <w:r w:rsidRPr="00A621E7">
        <w:t>periphyton growth</w:t>
      </w:r>
      <w:r w:rsidR="00561598" w:rsidRPr="00A621E7">
        <w:t>.</w:t>
      </w:r>
      <w:r w:rsidR="005B67C8" w:rsidRPr="00A621E7">
        <w:t xml:space="preserve"> That</w:t>
      </w:r>
      <w:r w:rsidR="00A46EB0" w:rsidRPr="00A621E7">
        <w:t xml:space="preserve"> study</w:t>
      </w:r>
      <w:r w:rsidR="00561598" w:rsidRPr="00A621E7">
        <w:t xml:space="preserve"> </w:t>
      </w:r>
      <w:r w:rsidRPr="00A621E7">
        <w:t>assumed if a river included any hard</w:t>
      </w:r>
      <w:r w:rsidR="006E7AE8" w:rsidRPr="00A621E7">
        <w:t>-</w:t>
      </w:r>
      <w:r w:rsidRPr="00A621E7">
        <w:t>bottom river segments, it ha</w:t>
      </w:r>
      <w:r w:rsidR="00A46EB0" w:rsidRPr="00A621E7">
        <w:t>d</w:t>
      </w:r>
      <w:r w:rsidRPr="00A621E7">
        <w:t xml:space="preserve"> to comply with the periphyton bottom-lines</w:t>
      </w:r>
      <w:r w:rsidR="006E7AE8" w:rsidRPr="00A621E7">
        <w:t xml:space="preserve"> (th</w:t>
      </w:r>
      <w:r w:rsidR="005B67C8" w:rsidRPr="00A621E7">
        <w:t>at</w:t>
      </w:r>
      <w:r w:rsidR="006E7AE8" w:rsidRPr="00A621E7">
        <w:t xml:space="preserve"> assumption is discussed in detail in MfE (2019))</w:t>
      </w:r>
      <w:r w:rsidRPr="00A621E7">
        <w:t xml:space="preserve">. Whereas MfE (2020) </w:t>
      </w:r>
      <w:r w:rsidR="00A46EB0" w:rsidRPr="00A621E7">
        <w:t xml:space="preserve">assumes </w:t>
      </w:r>
      <w:r w:rsidRPr="00A621E7">
        <w:t xml:space="preserve">that periphyton bottom-line compliance </w:t>
      </w:r>
      <w:r w:rsidR="00BD0931" w:rsidRPr="00A621E7">
        <w:t xml:space="preserve">is </w:t>
      </w:r>
      <w:r w:rsidRPr="00A621E7">
        <w:t xml:space="preserve">assessed only at the evaluation sites, disregarding </w:t>
      </w:r>
      <w:r w:rsidR="006E7AE8" w:rsidRPr="00A621E7">
        <w:t xml:space="preserve">small areas of </w:t>
      </w:r>
      <w:r w:rsidRPr="00A621E7">
        <w:t xml:space="preserve">hard bottom </w:t>
      </w:r>
      <w:r w:rsidR="009670C6" w:rsidRPr="00A621E7">
        <w:t>sediment</w:t>
      </w:r>
      <w:r w:rsidR="00BD0931" w:rsidRPr="00A621E7">
        <w:t xml:space="preserve"> </w:t>
      </w:r>
      <w:r w:rsidRPr="00A621E7">
        <w:t>in the river system.</w:t>
      </w:r>
      <w:r w:rsidR="006E7AE8" w:rsidRPr="00A621E7">
        <w:t xml:space="preserve"> </w:t>
      </w:r>
      <w:r w:rsidR="00A46EB0" w:rsidRPr="00A621E7">
        <w:t>The approach applied in MfE (2020)</w:t>
      </w:r>
      <w:r w:rsidR="00BD0931" w:rsidRPr="00A621E7">
        <w:t xml:space="preserve"> is based on how councils monitor and manage their catchments. </w:t>
      </w:r>
    </w:p>
    <w:p w14:paraId="1FE77A87" w14:textId="4FC8A327" w:rsidR="00107C57" w:rsidRDefault="00C2635A" w:rsidP="00C3146C">
      <w:pPr>
        <w:pStyle w:val="Tableheading"/>
        <w:rPr>
          <w:lang w:val="en-US" w:eastAsia="en-GB"/>
        </w:rPr>
      </w:pPr>
      <w:bookmarkStart w:id="186" w:name="_Ref40436898"/>
      <w:bookmarkStart w:id="187" w:name="_Toc40950232"/>
      <w:r>
        <w:t xml:space="preserve">Table </w:t>
      </w:r>
      <w:r>
        <w:fldChar w:fldCharType="begin"/>
      </w:r>
      <w:r>
        <w:instrText>SEQ Table \* ARABIC</w:instrText>
      </w:r>
      <w:r>
        <w:fldChar w:fldCharType="separate"/>
      </w:r>
      <w:r w:rsidR="003D2D41">
        <w:rPr>
          <w:noProof/>
        </w:rPr>
        <w:t>3</w:t>
      </w:r>
      <w:r>
        <w:fldChar w:fldCharType="end"/>
      </w:r>
      <w:bookmarkEnd w:id="186"/>
      <w:r w:rsidR="00DE2951">
        <w:t>:</w:t>
      </w:r>
      <w:r>
        <w:t xml:space="preserve"> </w:t>
      </w:r>
      <w:r w:rsidR="00DE2951">
        <w:tab/>
      </w:r>
      <w:r>
        <w:t>Nitrogen load and target reduction summary for MfE (2019) and this study.</w:t>
      </w:r>
      <w:bookmarkEnd w:id="187"/>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156"/>
        <w:gridCol w:w="1160"/>
        <w:gridCol w:w="1294"/>
        <w:gridCol w:w="1803"/>
        <w:gridCol w:w="1291"/>
        <w:gridCol w:w="1801"/>
      </w:tblGrid>
      <w:tr w:rsidR="00F60AA0" w:rsidRPr="00F120A9" w14:paraId="7E0E7196" w14:textId="77777777" w:rsidTr="002D6B2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vMerge w:val="restart"/>
            <w:noWrap/>
            <w:vAlign w:val="bottom"/>
            <w:hideMark/>
          </w:tcPr>
          <w:p w14:paraId="0E544684" w14:textId="77777777" w:rsidR="00F60AA0" w:rsidRPr="00D815C4" w:rsidRDefault="00F60AA0" w:rsidP="00D815C4">
            <w:pPr>
              <w:pStyle w:val="TableText"/>
              <w:rPr>
                <w:lang w:eastAsia="ja-JP"/>
              </w:rPr>
            </w:pPr>
          </w:p>
        </w:tc>
        <w:tc>
          <w:tcPr>
            <w:tcW w:w="682" w:type="pct"/>
            <w:noWrap/>
            <w:vAlign w:val="bottom"/>
            <w:hideMark/>
          </w:tcPr>
          <w:p w14:paraId="5221F5A4" w14:textId="77777777" w:rsidR="00F60AA0" w:rsidRPr="00D815C4" w:rsidRDefault="00F60AA0" w:rsidP="00832965">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lang w:eastAsia="ja-JP"/>
              </w:rPr>
            </w:pPr>
            <w:r w:rsidRPr="00D815C4">
              <w:rPr>
                <w:rFonts w:cs="Calibri"/>
                <w:lang w:eastAsia="ja-JP"/>
              </w:rPr>
              <w:t>Current load</w:t>
            </w:r>
          </w:p>
        </w:tc>
        <w:tc>
          <w:tcPr>
            <w:tcW w:w="761" w:type="pct"/>
            <w:noWrap/>
            <w:vAlign w:val="bottom"/>
            <w:hideMark/>
          </w:tcPr>
          <w:p w14:paraId="7BD97D8D" w14:textId="77777777" w:rsidR="00F60AA0" w:rsidRPr="00D815C4" w:rsidRDefault="00F60AA0" w:rsidP="00832965">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lang w:eastAsia="ja-JP"/>
              </w:rPr>
            </w:pPr>
            <w:r w:rsidRPr="00D815C4">
              <w:rPr>
                <w:rFonts w:cs="Calibri"/>
                <w:lang w:eastAsia="ja-JP"/>
              </w:rPr>
              <w:t>2017 NPS-FM</w:t>
            </w:r>
          </w:p>
        </w:tc>
        <w:tc>
          <w:tcPr>
            <w:tcW w:w="1060" w:type="pct"/>
            <w:noWrap/>
            <w:vAlign w:val="bottom"/>
            <w:hideMark/>
          </w:tcPr>
          <w:p w14:paraId="61B2766B" w14:textId="77777777" w:rsidR="00F60AA0" w:rsidRPr="00D815C4" w:rsidRDefault="00F60AA0" w:rsidP="00832965">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lang w:eastAsia="ja-JP"/>
              </w:rPr>
            </w:pPr>
            <w:r w:rsidRPr="00D815C4">
              <w:rPr>
                <w:rFonts w:cs="Calibri"/>
                <w:lang w:eastAsia="ja-JP"/>
              </w:rPr>
              <w:t>Additional reduction by DIN1</w:t>
            </w:r>
          </w:p>
        </w:tc>
        <w:tc>
          <w:tcPr>
            <w:tcW w:w="759" w:type="pct"/>
            <w:noWrap/>
            <w:vAlign w:val="bottom"/>
            <w:hideMark/>
          </w:tcPr>
          <w:p w14:paraId="1675CBCD" w14:textId="77777777" w:rsidR="00F60AA0" w:rsidRPr="00D815C4" w:rsidRDefault="00F60AA0" w:rsidP="00832965">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lang w:eastAsia="ja-JP"/>
              </w:rPr>
            </w:pPr>
            <w:r w:rsidRPr="00D815C4">
              <w:rPr>
                <w:rFonts w:cs="Calibri"/>
                <w:lang w:eastAsia="ja-JP"/>
              </w:rPr>
              <w:t>2017 NPS-FM</w:t>
            </w:r>
          </w:p>
        </w:tc>
        <w:tc>
          <w:tcPr>
            <w:tcW w:w="1059" w:type="pct"/>
            <w:noWrap/>
            <w:vAlign w:val="bottom"/>
            <w:hideMark/>
          </w:tcPr>
          <w:p w14:paraId="401844A6" w14:textId="77777777" w:rsidR="00F60AA0" w:rsidRPr="00D815C4" w:rsidRDefault="00F60AA0" w:rsidP="00832965">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lang w:eastAsia="ja-JP"/>
              </w:rPr>
            </w:pPr>
            <w:r w:rsidRPr="00D815C4">
              <w:rPr>
                <w:rFonts w:cs="Calibri"/>
                <w:lang w:eastAsia="ja-JP"/>
              </w:rPr>
              <w:t>Additional reduction by DIN1</w:t>
            </w:r>
          </w:p>
        </w:tc>
      </w:tr>
      <w:tr w:rsidR="00F60AA0" w:rsidRPr="00102696" w14:paraId="216DB3FB" w14:textId="77777777" w:rsidTr="002D6B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vMerge/>
            <w:tcBorders>
              <w:top w:val="none" w:sz="0" w:space="0" w:color="auto"/>
              <w:left w:val="none" w:sz="0" w:space="0" w:color="auto"/>
              <w:bottom w:val="none" w:sz="0" w:space="0" w:color="auto"/>
            </w:tcBorders>
            <w:shd w:val="clear" w:color="auto" w:fill="1C556C" w:themeFill="accent1"/>
            <w:noWrap/>
            <w:hideMark/>
          </w:tcPr>
          <w:p w14:paraId="0B288D2B" w14:textId="77777777" w:rsidR="00F60AA0" w:rsidRPr="00D815C4" w:rsidRDefault="00F60AA0" w:rsidP="00D815C4">
            <w:pPr>
              <w:pStyle w:val="TableText"/>
              <w:rPr>
                <w:color w:val="FFFFFF" w:themeColor="background1"/>
                <w:lang w:eastAsia="ja-JP"/>
              </w:rPr>
            </w:pPr>
          </w:p>
        </w:tc>
        <w:tc>
          <w:tcPr>
            <w:tcW w:w="682" w:type="pct"/>
            <w:tcBorders>
              <w:top w:val="none" w:sz="0" w:space="0" w:color="auto"/>
              <w:bottom w:val="none" w:sz="0" w:space="0" w:color="auto"/>
            </w:tcBorders>
            <w:shd w:val="clear" w:color="auto" w:fill="1C556C" w:themeFill="accent1"/>
            <w:noWrap/>
            <w:vAlign w:val="center"/>
            <w:hideMark/>
          </w:tcPr>
          <w:p w14:paraId="2DBC5FE6" w14:textId="77777777" w:rsidR="00F60AA0" w:rsidRPr="00D815C4" w:rsidRDefault="00F60AA0" w:rsidP="00832965">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b/>
                <w:color w:val="FFFFFF" w:themeColor="background1"/>
                <w:lang w:eastAsia="ja-JP"/>
              </w:rPr>
            </w:pPr>
            <w:r w:rsidRPr="00D815C4">
              <w:rPr>
                <w:rFonts w:cs="Calibri"/>
                <w:b/>
                <w:color w:val="FFFFFF" w:themeColor="background1"/>
                <w:lang w:eastAsia="ja-JP"/>
              </w:rPr>
              <w:t>t/yr</w:t>
            </w:r>
          </w:p>
        </w:tc>
        <w:tc>
          <w:tcPr>
            <w:tcW w:w="761" w:type="pct"/>
            <w:tcBorders>
              <w:top w:val="none" w:sz="0" w:space="0" w:color="auto"/>
              <w:bottom w:val="none" w:sz="0" w:space="0" w:color="auto"/>
            </w:tcBorders>
            <w:shd w:val="clear" w:color="auto" w:fill="1C556C" w:themeFill="accent1"/>
            <w:noWrap/>
            <w:vAlign w:val="center"/>
            <w:hideMark/>
          </w:tcPr>
          <w:p w14:paraId="2EB7B3A7" w14:textId="77777777" w:rsidR="00F60AA0" w:rsidRPr="00D815C4" w:rsidRDefault="00F60AA0" w:rsidP="00832965">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b/>
                <w:color w:val="FFFFFF" w:themeColor="background1"/>
                <w:lang w:eastAsia="ja-JP"/>
              </w:rPr>
            </w:pPr>
            <w:r w:rsidRPr="00D815C4">
              <w:rPr>
                <w:rFonts w:cs="Calibri"/>
                <w:b/>
                <w:color w:val="FFFFFF" w:themeColor="background1"/>
                <w:lang w:eastAsia="ja-JP"/>
              </w:rPr>
              <w:t>t/yr</w:t>
            </w:r>
          </w:p>
        </w:tc>
        <w:tc>
          <w:tcPr>
            <w:tcW w:w="1060" w:type="pct"/>
            <w:tcBorders>
              <w:top w:val="none" w:sz="0" w:space="0" w:color="auto"/>
              <w:bottom w:val="none" w:sz="0" w:space="0" w:color="auto"/>
            </w:tcBorders>
            <w:shd w:val="clear" w:color="auto" w:fill="1C556C" w:themeFill="accent1"/>
            <w:noWrap/>
            <w:vAlign w:val="center"/>
            <w:hideMark/>
          </w:tcPr>
          <w:p w14:paraId="5873D0E1" w14:textId="77777777" w:rsidR="00F60AA0" w:rsidRPr="00D815C4" w:rsidRDefault="00F60AA0" w:rsidP="00832965">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b/>
                <w:color w:val="FFFFFF" w:themeColor="background1"/>
                <w:lang w:eastAsia="ja-JP"/>
              </w:rPr>
            </w:pPr>
            <w:r w:rsidRPr="00D815C4">
              <w:rPr>
                <w:rFonts w:cs="Calibri"/>
                <w:b/>
                <w:color w:val="FFFFFF" w:themeColor="background1"/>
                <w:lang w:eastAsia="ja-JP"/>
              </w:rPr>
              <w:t>t/yr</w:t>
            </w:r>
          </w:p>
        </w:tc>
        <w:tc>
          <w:tcPr>
            <w:tcW w:w="759" w:type="pct"/>
            <w:tcBorders>
              <w:top w:val="none" w:sz="0" w:space="0" w:color="auto"/>
              <w:bottom w:val="none" w:sz="0" w:space="0" w:color="auto"/>
            </w:tcBorders>
            <w:shd w:val="clear" w:color="auto" w:fill="1C556C" w:themeFill="accent1"/>
            <w:noWrap/>
            <w:vAlign w:val="center"/>
            <w:hideMark/>
          </w:tcPr>
          <w:p w14:paraId="6E211EF4" w14:textId="77777777" w:rsidR="00F60AA0" w:rsidRPr="00D815C4" w:rsidRDefault="00F60AA0" w:rsidP="00832965">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b/>
                <w:color w:val="FFFFFF" w:themeColor="background1"/>
                <w:lang w:eastAsia="ja-JP"/>
              </w:rPr>
            </w:pPr>
            <w:r w:rsidRPr="00D815C4">
              <w:rPr>
                <w:rFonts w:cs="Calibri"/>
                <w:b/>
                <w:color w:val="FFFFFF" w:themeColor="background1"/>
                <w:lang w:eastAsia="ja-JP"/>
              </w:rPr>
              <w:t>%</w:t>
            </w:r>
          </w:p>
        </w:tc>
        <w:tc>
          <w:tcPr>
            <w:tcW w:w="1059" w:type="pct"/>
            <w:tcBorders>
              <w:top w:val="none" w:sz="0" w:space="0" w:color="auto"/>
              <w:bottom w:val="none" w:sz="0" w:space="0" w:color="auto"/>
              <w:right w:val="none" w:sz="0" w:space="0" w:color="auto"/>
            </w:tcBorders>
            <w:shd w:val="clear" w:color="auto" w:fill="1C556C" w:themeFill="accent1"/>
            <w:noWrap/>
            <w:vAlign w:val="center"/>
            <w:hideMark/>
          </w:tcPr>
          <w:p w14:paraId="07AD60F8" w14:textId="77777777" w:rsidR="00F60AA0" w:rsidRPr="00D815C4" w:rsidRDefault="00F60AA0" w:rsidP="00832965">
            <w:pPr>
              <w:pStyle w:val="TableText"/>
              <w:spacing w:before="0"/>
              <w:jc w:val="center"/>
              <w:cnfStyle w:val="000000100000" w:firstRow="0" w:lastRow="0" w:firstColumn="0" w:lastColumn="0" w:oddVBand="0" w:evenVBand="0" w:oddHBand="1" w:evenHBand="0" w:firstRowFirstColumn="0" w:firstRowLastColumn="0" w:lastRowFirstColumn="0" w:lastRowLastColumn="0"/>
              <w:rPr>
                <w:rFonts w:cs="Calibri"/>
                <w:b/>
                <w:color w:val="FFFFFF" w:themeColor="background1"/>
                <w:lang w:eastAsia="ja-JP"/>
              </w:rPr>
            </w:pPr>
            <w:r w:rsidRPr="00D815C4">
              <w:rPr>
                <w:rFonts w:cs="Calibri"/>
                <w:b/>
                <w:color w:val="FFFFFF" w:themeColor="background1"/>
                <w:lang w:eastAsia="ja-JP"/>
              </w:rPr>
              <w:t>%</w:t>
            </w:r>
          </w:p>
        </w:tc>
      </w:tr>
      <w:tr w:rsidR="00102696" w:rsidRPr="00102696" w14:paraId="18A011F8" w14:textId="77777777" w:rsidTr="002D6B25">
        <w:trPr>
          <w:trHeight w:val="20"/>
        </w:trPr>
        <w:tc>
          <w:tcPr>
            <w:cnfStyle w:val="001000000000" w:firstRow="0" w:lastRow="0" w:firstColumn="1" w:lastColumn="0" w:oddVBand="0" w:evenVBand="0" w:oddHBand="0" w:evenHBand="0" w:firstRowFirstColumn="0" w:firstRowLastColumn="0" w:lastRowFirstColumn="0" w:lastRowLastColumn="0"/>
            <w:tcW w:w="679" w:type="pct"/>
            <w:noWrap/>
            <w:hideMark/>
          </w:tcPr>
          <w:p w14:paraId="089E6C45" w14:textId="77777777" w:rsidR="00102696" w:rsidRPr="00F120A9" w:rsidRDefault="00102696" w:rsidP="00D815C4">
            <w:pPr>
              <w:pStyle w:val="TableText"/>
              <w:rPr>
                <w:rFonts w:cs="Calibri"/>
                <w:color w:val="000000"/>
                <w:lang w:eastAsia="ja-JP"/>
              </w:rPr>
            </w:pPr>
            <w:r w:rsidRPr="00F120A9">
              <w:rPr>
                <w:rFonts w:cs="Calibri"/>
                <w:color w:val="000000"/>
                <w:lang w:eastAsia="ja-JP"/>
              </w:rPr>
              <w:t>MfE (2019)</w:t>
            </w:r>
          </w:p>
        </w:tc>
        <w:tc>
          <w:tcPr>
            <w:tcW w:w="682" w:type="pct"/>
            <w:noWrap/>
            <w:vAlign w:val="center"/>
            <w:hideMark/>
          </w:tcPr>
          <w:p w14:paraId="40AC3C81" w14:textId="77777777" w:rsidR="00102696" w:rsidRPr="00F120A9" w:rsidRDefault="00102696" w:rsidP="00832965">
            <w:pPr>
              <w:pStyle w:val="TableText"/>
              <w:jc w:val="center"/>
              <w:cnfStyle w:val="000000000000" w:firstRow="0" w:lastRow="0" w:firstColumn="0" w:lastColumn="0" w:oddVBand="0" w:evenVBand="0" w:oddHBand="0" w:evenHBand="0" w:firstRowFirstColumn="0" w:firstRowLastColumn="0" w:lastRowFirstColumn="0" w:lastRowLastColumn="0"/>
              <w:rPr>
                <w:rFonts w:cs="Calibri"/>
                <w:color w:val="000000"/>
                <w:lang w:eastAsia="ja-JP"/>
              </w:rPr>
            </w:pPr>
            <w:r w:rsidRPr="00F120A9">
              <w:rPr>
                <w:rFonts w:cs="Calibri"/>
                <w:color w:val="000000"/>
                <w:lang w:eastAsia="ja-JP"/>
              </w:rPr>
              <w:t>185,700</w:t>
            </w:r>
          </w:p>
        </w:tc>
        <w:tc>
          <w:tcPr>
            <w:tcW w:w="761" w:type="pct"/>
            <w:noWrap/>
            <w:vAlign w:val="center"/>
            <w:hideMark/>
          </w:tcPr>
          <w:p w14:paraId="2A99E580" w14:textId="77777777" w:rsidR="00102696" w:rsidRPr="00F120A9" w:rsidRDefault="00102696" w:rsidP="00832965">
            <w:pPr>
              <w:pStyle w:val="TableText"/>
              <w:jc w:val="center"/>
              <w:cnfStyle w:val="000000000000" w:firstRow="0" w:lastRow="0" w:firstColumn="0" w:lastColumn="0" w:oddVBand="0" w:evenVBand="0" w:oddHBand="0" w:evenHBand="0" w:firstRowFirstColumn="0" w:firstRowLastColumn="0" w:lastRowFirstColumn="0" w:lastRowLastColumn="0"/>
              <w:rPr>
                <w:rFonts w:cs="Calibri"/>
                <w:color w:val="000000"/>
                <w:lang w:eastAsia="ja-JP"/>
              </w:rPr>
            </w:pPr>
            <w:r w:rsidRPr="00F120A9">
              <w:rPr>
                <w:rFonts w:cs="Calibri"/>
                <w:color w:val="000000"/>
                <w:lang w:eastAsia="ja-JP"/>
              </w:rPr>
              <w:t>20,110</w:t>
            </w:r>
          </w:p>
        </w:tc>
        <w:tc>
          <w:tcPr>
            <w:tcW w:w="1060" w:type="pct"/>
            <w:noWrap/>
            <w:vAlign w:val="center"/>
            <w:hideMark/>
          </w:tcPr>
          <w:p w14:paraId="6D0621A9" w14:textId="77777777" w:rsidR="00102696" w:rsidRPr="00F120A9" w:rsidRDefault="00102696" w:rsidP="00832965">
            <w:pPr>
              <w:pStyle w:val="TableText"/>
              <w:jc w:val="center"/>
              <w:cnfStyle w:val="000000000000" w:firstRow="0" w:lastRow="0" w:firstColumn="0" w:lastColumn="0" w:oddVBand="0" w:evenVBand="0" w:oddHBand="0" w:evenHBand="0" w:firstRowFirstColumn="0" w:firstRowLastColumn="0" w:lastRowFirstColumn="0" w:lastRowLastColumn="0"/>
              <w:rPr>
                <w:rFonts w:cs="Calibri"/>
                <w:color w:val="000000"/>
                <w:lang w:eastAsia="ja-JP"/>
              </w:rPr>
            </w:pPr>
            <w:r w:rsidRPr="00F120A9">
              <w:rPr>
                <w:rFonts w:cs="Calibri"/>
                <w:color w:val="000000"/>
                <w:lang w:eastAsia="ja-JP"/>
              </w:rPr>
              <w:t>1,800</w:t>
            </w:r>
          </w:p>
        </w:tc>
        <w:tc>
          <w:tcPr>
            <w:tcW w:w="759" w:type="pct"/>
            <w:noWrap/>
            <w:vAlign w:val="center"/>
            <w:hideMark/>
          </w:tcPr>
          <w:p w14:paraId="1F463926" w14:textId="77777777" w:rsidR="00102696" w:rsidRPr="00F120A9" w:rsidRDefault="00102696" w:rsidP="00832965">
            <w:pPr>
              <w:pStyle w:val="TableText"/>
              <w:jc w:val="center"/>
              <w:cnfStyle w:val="000000000000" w:firstRow="0" w:lastRow="0" w:firstColumn="0" w:lastColumn="0" w:oddVBand="0" w:evenVBand="0" w:oddHBand="0" w:evenHBand="0" w:firstRowFirstColumn="0" w:firstRowLastColumn="0" w:lastRowFirstColumn="0" w:lastRowLastColumn="0"/>
              <w:rPr>
                <w:rFonts w:cs="Calibri"/>
                <w:color w:val="000000"/>
                <w:lang w:eastAsia="ja-JP"/>
              </w:rPr>
            </w:pPr>
            <w:r w:rsidRPr="00F120A9">
              <w:rPr>
                <w:rFonts w:cs="Calibri"/>
                <w:color w:val="000000"/>
                <w:lang w:eastAsia="ja-JP"/>
              </w:rPr>
              <w:t>11%</w:t>
            </w:r>
          </w:p>
        </w:tc>
        <w:tc>
          <w:tcPr>
            <w:tcW w:w="1059" w:type="pct"/>
            <w:noWrap/>
            <w:vAlign w:val="center"/>
            <w:hideMark/>
          </w:tcPr>
          <w:p w14:paraId="640B17E1" w14:textId="77777777" w:rsidR="00102696" w:rsidRPr="00F120A9" w:rsidRDefault="00102696" w:rsidP="00832965">
            <w:pPr>
              <w:pStyle w:val="TableText"/>
              <w:jc w:val="center"/>
              <w:cnfStyle w:val="000000000000" w:firstRow="0" w:lastRow="0" w:firstColumn="0" w:lastColumn="0" w:oddVBand="0" w:evenVBand="0" w:oddHBand="0" w:evenHBand="0" w:firstRowFirstColumn="0" w:firstRowLastColumn="0" w:lastRowFirstColumn="0" w:lastRowLastColumn="0"/>
              <w:rPr>
                <w:rFonts w:cs="Calibri"/>
                <w:color w:val="000000"/>
                <w:lang w:eastAsia="ja-JP"/>
              </w:rPr>
            </w:pPr>
            <w:r w:rsidRPr="00F120A9">
              <w:rPr>
                <w:rFonts w:cs="Calibri"/>
                <w:color w:val="000000"/>
                <w:lang w:eastAsia="ja-JP"/>
              </w:rPr>
              <w:t>1%</w:t>
            </w:r>
          </w:p>
        </w:tc>
      </w:tr>
      <w:tr w:rsidR="00102696" w:rsidRPr="00102696" w14:paraId="069E522E" w14:textId="77777777" w:rsidTr="002D6B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Borders>
              <w:top w:val="none" w:sz="0" w:space="0" w:color="auto"/>
              <w:left w:val="none" w:sz="0" w:space="0" w:color="auto"/>
              <w:bottom w:val="none" w:sz="0" w:space="0" w:color="auto"/>
            </w:tcBorders>
            <w:noWrap/>
            <w:hideMark/>
          </w:tcPr>
          <w:p w14:paraId="4FDE1AE7" w14:textId="77777777" w:rsidR="00102696" w:rsidRPr="00F120A9" w:rsidRDefault="00C2635A" w:rsidP="00D815C4">
            <w:pPr>
              <w:pStyle w:val="TableText"/>
              <w:rPr>
                <w:rFonts w:cs="Calibri"/>
                <w:color w:val="000000"/>
                <w:lang w:eastAsia="ja-JP"/>
              </w:rPr>
            </w:pPr>
            <w:r>
              <w:rPr>
                <w:rFonts w:cs="Calibri"/>
                <w:color w:val="000000"/>
                <w:lang w:eastAsia="ja-JP"/>
              </w:rPr>
              <w:t>This study</w:t>
            </w:r>
          </w:p>
        </w:tc>
        <w:tc>
          <w:tcPr>
            <w:tcW w:w="682" w:type="pct"/>
            <w:tcBorders>
              <w:top w:val="none" w:sz="0" w:space="0" w:color="auto"/>
              <w:bottom w:val="none" w:sz="0" w:space="0" w:color="auto"/>
            </w:tcBorders>
            <w:noWrap/>
            <w:vAlign w:val="center"/>
            <w:hideMark/>
          </w:tcPr>
          <w:p w14:paraId="16BAF885" w14:textId="77777777" w:rsidR="00102696" w:rsidRPr="00F120A9" w:rsidRDefault="00102696" w:rsidP="00832965">
            <w:pPr>
              <w:pStyle w:val="TableText"/>
              <w:jc w:val="center"/>
              <w:cnfStyle w:val="000000100000" w:firstRow="0" w:lastRow="0" w:firstColumn="0" w:lastColumn="0" w:oddVBand="0" w:evenVBand="0" w:oddHBand="1" w:evenHBand="0" w:firstRowFirstColumn="0" w:firstRowLastColumn="0" w:lastRowFirstColumn="0" w:lastRowLastColumn="0"/>
              <w:rPr>
                <w:rFonts w:cs="Calibri"/>
                <w:color w:val="000000"/>
                <w:lang w:eastAsia="ja-JP"/>
              </w:rPr>
            </w:pPr>
            <w:r w:rsidRPr="00F120A9">
              <w:rPr>
                <w:rFonts w:cs="Calibri"/>
                <w:color w:val="000000"/>
                <w:lang w:eastAsia="ja-JP"/>
              </w:rPr>
              <w:t>235,698</w:t>
            </w:r>
          </w:p>
        </w:tc>
        <w:tc>
          <w:tcPr>
            <w:tcW w:w="761" w:type="pct"/>
            <w:tcBorders>
              <w:top w:val="none" w:sz="0" w:space="0" w:color="auto"/>
              <w:bottom w:val="none" w:sz="0" w:space="0" w:color="auto"/>
            </w:tcBorders>
            <w:noWrap/>
            <w:vAlign w:val="center"/>
            <w:hideMark/>
          </w:tcPr>
          <w:p w14:paraId="1DDCCFAC" w14:textId="77777777" w:rsidR="00102696" w:rsidRPr="00F120A9" w:rsidRDefault="00102696" w:rsidP="00832965">
            <w:pPr>
              <w:pStyle w:val="TableText"/>
              <w:jc w:val="center"/>
              <w:cnfStyle w:val="000000100000" w:firstRow="0" w:lastRow="0" w:firstColumn="0" w:lastColumn="0" w:oddVBand="0" w:evenVBand="0" w:oddHBand="1" w:evenHBand="0" w:firstRowFirstColumn="0" w:firstRowLastColumn="0" w:lastRowFirstColumn="0" w:lastRowLastColumn="0"/>
              <w:rPr>
                <w:rFonts w:cs="Calibri"/>
                <w:color w:val="000000"/>
                <w:lang w:eastAsia="ja-JP"/>
              </w:rPr>
            </w:pPr>
            <w:r w:rsidRPr="00F120A9">
              <w:rPr>
                <w:rFonts w:cs="Calibri"/>
                <w:color w:val="000000"/>
                <w:lang w:eastAsia="ja-JP"/>
              </w:rPr>
              <w:t>16,951</w:t>
            </w:r>
          </w:p>
        </w:tc>
        <w:tc>
          <w:tcPr>
            <w:tcW w:w="1060" w:type="pct"/>
            <w:tcBorders>
              <w:top w:val="none" w:sz="0" w:space="0" w:color="auto"/>
              <w:bottom w:val="none" w:sz="0" w:space="0" w:color="auto"/>
            </w:tcBorders>
            <w:noWrap/>
            <w:vAlign w:val="center"/>
            <w:hideMark/>
          </w:tcPr>
          <w:p w14:paraId="3B17CCA8" w14:textId="77777777" w:rsidR="00102696" w:rsidRPr="00F120A9" w:rsidRDefault="00102696" w:rsidP="00832965">
            <w:pPr>
              <w:pStyle w:val="TableText"/>
              <w:jc w:val="center"/>
              <w:cnfStyle w:val="000000100000" w:firstRow="0" w:lastRow="0" w:firstColumn="0" w:lastColumn="0" w:oddVBand="0" w:evenVBand="0" w:oddHBand="1" w:evenHBand="0" w:firstRowFirstColumn="0" w:firstRowLastColumn="0" w:lastRowFirstColumn="0" w:lastRowLastColumn="0"/>
              <w:rPr>
                <w:rFonts w:cs="Calibri"/>
                <w:color w:val="000000"/>
                <w:lang w:eastAsia="ja-JP"/>
              </w:rPr>
            </w:pPr>
            <w:r w:rsidRPr="00F120A9">
              <w:rPr>
                <w:rFonts w:cs="Calibri"/>
                <w:color w:val="000000"/>
                <w:lang w:eastAsia="ja-JP"/>
              </w:rPr>
              <w:t>7,180</w:t>
            </w:r>
          </w:p>
        </w:tc>
        <w:tc>
          <w:tcPr>
            <w:tcW w:w="759" w:type="pct"/>
            <w:tcBorders>
              <w:top w:val="none" w:sz="0" w:space="0" w:color="auto"/>
              <w:bottom w:val="none" w:sz="0" w:space="0" w:color="auto"/>
            </w:tcBorders>
            <w:noWrap/>
            <w:vAlign w:val="center"/>
            <w:hideMark/>
          </w:tcPr>
          <w:p w14:paraId="1B131456" w14:textId="77777777" w:rsidR="00102696" w:rsidRPr="00F120A9" w:rsidRDefault="00102696" w:rsidP="00832965">
            <w:pPr>
              <w:pStyle w:val="TableText"/>
              <w:jc w:val="center"/>
              <w:cnfStyle w:val="000000100000" w:firstRow="0" w:lastRow="0" w:firstColumn="0" w:lastColumn="0" w:oddVBand="0" w:evenVBand="0" w:oddHBand="1" w:evenHBand="0" w:firstRowFirstColumn="0" w:firstRowLastColumn="0" w:lastRowFirstColumn="0" w:lastRowLastColumn="0"/>
              <w:rPr>
                <w:rFonts w:cs="Calibri"/>
                <w:color w:val="000000"/>
                <w:lang w:eastAsia="ja-JP"/>
              </w:rPr>
            </w:pPr>
            <w:r w:rsidRPr="00F120A9">
              <w:rPr>
                <w:rFonts w:cs="Calibri"/>
                <w:color w:val="000000"/>
                <w:lang w:eastAsia="ja-JP"/>
              </w:rPr>
              <w:t>7%</w:t>
            </w:r>
          </w:p>
        </w:tc>
        <w:tc>
          <w:tcPr>
            <w:tcW w:w="1059" w:type="pct"/>
            <w:tcBorders>
              <w:top w:val="none" w:sz="0" w:space="0" w:color="auto"/>
              <w:bottom w:val="none" w:sz="0" w:space="0" w:color="auto"/>
              <w:right w:val="none" w:sz="0" w:space="0" w:color="auto"/>
            </w:tcBorders>
            <w:noWrap/>
            <w:vAlign w:val="center"/>
            <w:hideMark/>
          </w:tcPr>
          <w:p w14:paraId="45FFEFC6" w14:textId="77777777" w:rsidR="00102696" w:rsidRPr="00F120A9" w:rsidRDefault="00102696" w:rsidP="00832965">
            <w:pPr>
              <w:pStyle w:val="TableText"/>
              <w:jc w:val="center"/>
              <w:cnfStyle w:val="000000100000" w:firstRow="0" w:lastRow="0" w:firstColumn="0" w:lastColumn="0" w:oddVBand="0" w:evenVBand="0" w:oddHBand="1" w:evenHBand="0" w:firstRowFirstColumn="0" w:firstRowLastColumn="0" w:lastRowFirstColumn="0" w:lastRowLastColumn="0"/>
              <w:rPr>
                <w:rFonts w:cs="Calibri"/>
                <w:color w:val="000000"/>
                <w:lang w:eastAsia="ja-JP"/>
              </w:rPr>
            </w:pPr>
            <w:r w:rsidRPr="00F120A9">
              <w:rPr>
                <w:rFonts w:cs="Calibri"/>
                <w:color w:val="000000"/>
                <w:lang w:eastAsia="ja-JP"/>
              </w:rPr>
              <w:t>3%</w:t>
            </w:r>
          </w:p>
        </w:tc>
      </w:tr>
    </w:tbl>
    <w:p w14:paraId="02C35A9F" w14:textId="77777777" w:rsidR="00F72CAD" w:rsidRPr="00F72CAD" w:rsidRDefault="004009B5" w:rsidP="007217F5">
      <w:pPr>
        <w:pStyle w:val="Heading2"/>
        <w:spacing w:before="480"/>
        <w:rPr>
          <w:lang w:eastAsia="en-US"/>
        </w:rPr>
      </w:pPr>
      <w:bookmarkStart w:id="188" w:name="_Toc40949874"/>
      <w:r>
        <w:rPr>
          <w:lang w:val="en-US" w:eastAsia="en-GB"/>
        </w:rPr>
        <w:t>Sensitivity testing of s</w:t>
      </w:r>
      <w:r w:rsidR="00F72CAD" w:rsidRPr="00F72CAD">
        <w:rPr>
          <w:lang w:val="en-US" w:eastAsia="en-GB"/>
        </w:rPr>
        <w:t>patial exceedances for periphyton</w:t>
      </w:r>
      <w:bookmarkEnd w:id="185"/>
      <w:bookmarkEnd w:id="188"/>
    </w:p>
    <w:p w14:paraId="1B784A2C" w14:textId="77777777" w:rsidR="0062560D" w:rsidRPr="00A621E7" w:rsidRDefault="00F72CAD" w:rsidP="00A621E7">
      <w:pPr>
        <w:pStyle w:val="BodyText"/>
      </w:pPr>
      <w:r w:rsidRPr="00A621E7">
        <w:t>This section describes the outcomes of sensiti</w:t>
      </w:r>
      <w:r w:rsidR="006842B2" w:rsidRPr="00A621E7">
        <w:t>vity testing of the periphyton spatial exceedance</w:t>
      </w:r>
      <w:r w:rsidR="0062560D" w:rsidRPr="00A621E7">
        <w:t>.</w:t>
      </w:r>
      <w:r w:rsidRPr="00A621E7">
        <w:t xml:space="preserve"> </w:t>
      </w:r>
    </w:p>
    <w:p w14:paraId="70C24D9B" w14:textId="77777777" w:rsidR="00F72CAD" w:rsidRPr="00A621E7" w:rsidRDefault="00F72CAD" w:rsidP="00A621E7">
      <w:pPr>
        <w:pStyle w:val="BodyText"/>
      </w:pPr>
      <w:r w:rsidRPr="00A621E7">
        <w:t xml:space="preserve">The spatial exceedance assumption affects the size of the nutrient load reduction required to meet the periphyton </w:t>
      </w:r>
      <w:r w:rsidR="0067679D" w:rsidRPr="00A621E7">
        <w:t>bottom-line</w:t>
      </w:r>
      <w:r w:rsidRPr="00A621E7">
        <w:t xml:space="preserve"> in the existing</w:t>
      </w:r>
      <w:r w:rsidR="0062560D" w:rsidRPr="00A621E7">
        <w:t xml:space="preserve"> 2017</w:t>
      </w:r>
      <w:r w:rsidRPr="00A621E7">
        <w:t xml:space="preserve"> NPS</w:t>
      </w:r>
      <w:r w:rsidR="0062560D" w:rsidRPr="00A621E7">
        <w:t>-FM</w:t>
      </w:r>
      <w:r w:rsidRPr="00A621E7">
        <w:t>.</w:t>
      </w:r>
      <w:r w:rsidR="0062560D" w:rsidRPr="00A621E7">
        <w:t xml:space="preserve"> </w:t>
      </w:r>
      <w:r w:rsidRPr="00A621E7">
        <w:t xml:space="preserve">The spatial exceedance criteria essentially describe the probability of a randomly chosen river reach in the River Environment Classification (REC) failing to meet the </w:t>
      </w:r>
      <w:r w:rsidR="0067679D" w:rsidRPr="00A621E7">
        <w:t>bottom-line</w:t>
      </w:r>
      <w:r w:rsidRPr="00A621E7">
        <w:t xml:space="preserve">. In this way, the spatial exceedance criterion reflects the level of precaution regional councils might take. It represents the risk that a reach in the REC (with more than 500,000 reaches nationally) fails the </w:t>
      </w:r>
      <w:r w:rsidR="0067679D" w:rsidRPr="00A621E7">
        <w:t>bottom-line</w:t>
      </w:r>
      <w:r w:rsidRPr="00A621E7">
        <w:t xml:space="preserve"> even where periphyton monitoring sites (around 200 nationally) pass the </w:t>
      </w:r>
      <w:r w:rsidR="0067679D" w:rsidRPr="00A621E7">
        <w:t>bottom-line</w:t>
      </w:r>
      <w:r w:rsidRPr="00A621E7">
        <w:t>.</w:t>
      </w:r>
    </w:p>
    <w:p w14:paraId="6928190F" w14:textId="1B4B1C51" w:rsidR="00F72CAD" w:rsidRPr="00A621E7" w:rsidRDefault="00F72CAD" w:rsidP="007217F5">
      <w:pPr>
        <w:pStyle w:val="BodyText"/>
      </w:pPr>
      <w:r w:rsidRPr="00A621E7">
        <w:t>NIWA tested three periphyton spatial exceedance criteria: 10</w:t>
      </w:r>
      <w:r w:rsidR="008E40DC">
        <w:t xml:space="preserve"> per cent</w:t>
      </w:r>
      <w:r w:rsidRPr="00A621E7">
        <w:t>, 20</w:t>
      </w:r>
      <w:r w:rsidR="008E40DC">
        <w:t xml:space="preserve"> per cent</w:t>
      </w:r>
      <w:r w:rsidRPr="00A621E7">
        <w:t xml:space="preserve"> and 30</w:t>
      </w:r>
      <w:r w:rsidR="008E40DC">
        <w:t xml:space="preserve"> per cent</w:t>
      </w:r>
      <w:r w:rsidR="00530C34" w:rsidRPr="00A621E7">
        <w:t xml:space="preserve"> for each scenario described above. </w:t>
      </w:r>
      <w:r w:rsidRPr="00A621E7">
        <w:t>The load reductions are reported in</w:t>
      </w:r>
      <w:r w:rsidR="000B02AB" w:rsidRPr="00A621E7">
        <w:t xml:space="preserve"> </w:t>
      </w:r>
      <w:r w:rsidR="009C00F7" w:rsidRPr="00A621E7">
        <w:t>3</w:t>
      </w:r>
      <w:r w:rsidRPr="00A621E7">
        <w:t>.</w:t>
      </w:r>
    </w:p>
    <w:p w14:paraId="42564810" w14:textId="36AF1259" w:rsidR="00F72CAD" w:rsidRPr="007217F5" w:rsidRDefault="005F0102" w:rsidP="007217F5">
      <w:pPr>
        <w:pStyle w:val="BodyText"/>
      </w:pPr>
      <w:r w:rsidRPr="00A621E7">
        <w:lastRenderedPageBreak/>
        <w:t>The difference</w:t>
      </w:r>
      <w:r w:rsidR="00F72CAD" w:rsidRPr="00A621E7">
        <w:t xml:space="preserve"> between the 10</w:t>
      </w:r>
      <w:r w:rsidR="008E40DC">
        <w:t xml:space="preserve"> per cent</w:t>
      </w:r>
      <w:r w:rsidR="00F72CAD" w:rsidRPr="00A621E7">
        <w:t xml:space="preserve"> and 20</w:t>
      </w:r>
      <w:r w:rsidR="008E40DC">
        <w:t xml:space="preserve"> per cent</w:t>
      </w:r>
      <w:r w:rsidR="00F72CAD" w:rsidRPr="00A621E7">
        <w:t xml:space="preserve"> spatial exceedance criteria has only a small impact on the additional nutrient load reduction needed to meet the proposed new </w:t>
      </w:r>
      <w:r w:rsidR="0067679D" w:rsidRPr="00A621E7">
        <w:t>bottom-line</w:t>
      </w:r>
      <w:r w:rsidR="00F72CAD" w:rsidRPr="00A621E7">
        <w:t xml:space="preserve">s (numbers bolded in </w:t>
      </w:r>
      <w:r w:rsidR="00D37E53" w:rsidRPr="00A621E7">
        <w:fldChar w:fldCharType="begin"/>
      </w:r>
      <w:r w:rsidR="00D37E53" w:rsidRPr="00A621E7">
        <w:instrText xml:space="preserve"> REF _Ref38874272 \h </w:instrText>
      </w:r>
      <w:r w:rsidR="004239A2" w:rsidRPr="00A621E7">
        <w:instrText xml:space="preserve"> \* MERGEFORMAT </w:instrText>
      </w:r>
      <w:r w:rsidR="00D37E53" w:rsidRPr="00A621E7">
        <w:fldChar w:fldCharType="separate"/>
      </w:r>
      <w:r w:rsidR="003D2D41">
        <w:t>Table 4</w:t>
      </w:r>
      <w:r w:rsidR="00D37E53" w:rsidRPr="00A621E7">
        <w:fldChar w:fldCharType="end"/>
      </w:r>
      <w:r w:rsidR="00D37E53" w:rsidRPr="00A621E7">
        <w:t xml:space="preserve"> </w:t>
      </w:r>
      <w:r w:rsidR="00F72CAD" w:rsidRPr="00A621E7">
        <w:t xml:space="preserve">below). It does affect the size of the nutrient load reduction required to meet the </w:t>
      </w:r>
      <w:r w:rsidR="00F72CAD" w:rsidRPr="007217F5">
        <w:t xml:space="preserve">periphyton </w:t>
      </w:r>
      <w:r w:rsidR="0067679D" w:rsidRPr="007217F5">
        <w:t>bottom-line</w:t>
      </w:r>
      <w:r w:rsidR="00F72CAD" w:rsidRPr="007217F5">
        <w:t xml:space="preserve"> in the existing </w:t>
      </w:r>
      <w:r w:rsidR="00483079" w:rsidRPr="00483079">
        <w:t xml:space="preserve">2017 </w:t>
      </w:r>
      <w:r w:rsidR="00F72CAD" w:rsidRPr="00483079">
        <w:t>NPS</w:t>
      </w:r>
      <w:r w:rsidR="00483079" w:rsidRPr="00483079">
        <w:t>-FM</w:t>
      </w:r>
      <w:r w:rsidR="00F72CAD" w:rsidRPr="00483079">
        <w:t xml:space="preserve"> (those</w:t>
      </w:r>
      <w:r w:rsidR="00F72CAD" w:rsidRPr="007217F5">
        <w:t xml:space="preserve"> results marked *). </w:t>
      </w:r>
    </w:p>
    <w:p w14:paraId="03177212" w14:textId="31A0DBC3" w:rsidR="00F72CAD" w:rsidRPr="00A621E7" w:rsidRDefault="00F72CAD" w:rsidP="007217F5">
      <w:pPr>
        <w:pStyle w:val="BodyText"/>
      </w:pPr>
      <w:r w:rsidRPr="007217F5">
        <w:t>A 30</w:t>
      </w:r>
      <w:r w:rsidR="008E40DC">
        <w:t xml:space="preserve"> per cent</w:t>
      </w:r>
      <w:r w:rsidRPr="007217F5">
        <w:t xml:space="preserve"> spatial exceedance criterion makes a larger difference to the additional nitrogen load reductions required (assuming</w:t>
      </w:r>
      <w:r w:rsidRPr="00A621E7">
        <w:t xml:space="preserve"> that other requirements, such as impacts on lakes and sensitive receiving environments do</w:t>
      </w:r>
      <w:r w:rsidR="00A621E7" w:rsidRPr="00A621E7">
        <w:t xml:space="preserve"> </w:t>
      </w:r>
      <w:r w:rsidRPr="00A621E7">
        <w:t>n</w:t>
      </w:r>
      <w:r w:rsidR="00A621E7" w:rsidRPr="00A621E7">
        <w:t>o</w:t>
      </w:r>
      <w:r w:rsidRPr="00A621E7">
        <w:t xml:space="preserve">t become more binding in this case). Under this </w:t>
      </w:r>
      <w:r w:rsidR="00064BC5" w:rsidRPr="00A621E7">
        <w:t xml:space="preserve">choice of </w:t>
      </w:r>
      <w:r w:rsidRPr="00A621E7">
        <w:t xml:space="preserve">spatial exceedance </w:t>
      </w:r>
      <w:r w:rsidR="00064BC5" w:rsidRPr="00A621E7">
        <w:t>criteria</w:t>
      </w:r>
      <w:r w:rsidRPr="00A621E7">
        <w:t xml:space="preserve">, nutrient concentrations consistent with meeting </w:t>
      </w:r>
      <w:r w:rsidRPr="00483079">
        <w:t xml:space="preserve">the </w:t>
      </w:r>
      <w:r w:rsidR="00530C34" w:rsidRPr="00483079">
        <w:t>2017 NPS</w:t>
      </w:r>
      <w:r w:rsidR="00483079" w:rsidRPr="00483079">
        <w:t>-</w:t>
      </w:r>
      <w:r w:rsidR="00483079">
        <w:t>FM</w:t>
      </w:r>
      <w:r w:rsidR="00530C34" w:rsidRPr="00A621E7">
        <w:t xml:space="preserve"> </w:t>
      </w:r>
      <w:r w:rsidRPr="00A621E7">
        <w:t xml:space="preserve">periphyton </w:t>
      </w:r>
      <w:r w:rsidR="00530C34" w:rsidRPr="00A621E7">
        <w:t>bottom-line</w:t>
      </w:r>
      <w:r w:rsidRPr="00A621E7">
        <w:t xml:space="preserve"> are higher than the proposed DIN and DRP </w:t>
      </w:r>
      <w:r w:rsidR="0067679D" w:rsidRPr="00A621E7">
        <w:t>bottom-line</w:t>
      </w:r>
      <w:r w:rsidRPr="00A621E7">
        <w:t>s in many REC classes</w:t>
      </w:r>
      <w:r w:rsidR="009670C6" w:rsidRPr="00A621E7">
        <w:t>, ie, the DIN and DRP bottom-lines are more stringent</w:t>
      </w:r>
      <w:r w:rsidRPr="00A621E7">
        <w:t xml:space="preserve">. </w:t>
      </w:r>
    </w:p>
    <w:p w14:paraId="357FD15D" w14:textId="15C9552E" w:rsidR="000B02AB" w:rsidRDefault="000B02AB" w:rsidP="00C3146C">
      <w:pPr>
        <w:pStyle w:val="Tableheading"/>
      </w:pPr>
      <w:bookmarkStart w:id="189" w:name="_Ref38874272"/>
      <w:bookmarkStart w:id="190" w:name="_Toc40950233"/>
      <w:r>
        <w:t xml:space="preserve">Table </w:t>
      </w:r>
      <w:r>
        <w:fldChar w:fldCharType="begin"/>
      </w:r>
      <w:r>
        <w:instrText>SEQ Table \* ARABIC</w:instrText>
      </w:r>
      <w:r>
        <w:fldChar w:fldCharType="separate"/>
      </w:r>
      <w:r w:rsidR="003D2D41">
        <w:rPr>
          <w:noProof/>
        </w:rPr>
        <w:t>4</w:t>
      </w:r>
      <w:r>
        <w:fldChar w:fldCharType="end"/>
      </w:r>
      <w:bookmarkEnd w:id="189"/>
      <w:r>
        <w:t xml:space="preserve">: </w:t>
      </w:r>
      <w:r w:rsidR="007217F5">
        <w:tab/>
      </w:r>
      <w:r w:rsidRPr="000B02AB">
        <w:t>Sensitivity to choice of spatial exceedance criterion (the policy scenario is for new</w:t>
      </w:r>
      <w:r w:rsidR="008D78FF">
        <w:t> </w:t>
      </w:r>
      <w:r w:rsidRPr="000B02AB">
        <w:t xml:space="preserve">national </w:t>
      </w:r>
      <w:r w:rsidR="0067679D">
        <w:t>bottom-line</w:t>
      </w:r>
      <w:r w:rsidRPr="000B02AB">
        <w:t>s set for DIN at 1 mg/L and DRP at 0.018 mg/L)</w:t>
      </w:r>
      <w:bookmarkEnd w:id="190"/>
      <w:r w:rsidR="000278BC">
        <w:t>.</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00"/>
        <w:gridCol w:w="4554"/>
        <w:gridCol w:w="1276"/>
        <w:gridCol w:w="1275"/>
      </w:tblGrid>
      <w:tr w:rsidR="000B02AB" w:rsidRPr="000B02AB" w14:paraId="33DF5B46" w14:textId="77777777" w:rsidTr="006E08B4">
        <w:trPr>
          <w:tblHeader/>
        </w:trPr>
        <w:tc>
          <w:tcPr>
            <w:tcW w:w="1400" w:type="dxa"/>
            <w:shd w:val="clear" w:color="auto" w:fill="1C556C"/>
            <w:vAlign w:val="bottom"/>
          </w:tcPr>
          <w:p w14:paraId="038FB8CE" w14:textId="77777777" w:rsidR="000B02AB" w:rsidRPr="000B02AB" w:rsidRDefault="000B02AB" w:rsidP="000B02AB">
            <w:pPr>
              <w:pStyle w:val="TableTextbold"/>
              <w:rPr>
                <w:color w:val="FFFFFF" w:themeColor="background1"/>
              </w:rPr>
            </w:pPr>
            <w:r w:rsidRPr="000B02AB">
              <w:rPr>
                <w:color w:val="FFFFFF" w:themeColor="background1"/>
              </w:rPr>
              <w:t>Periphyton spatial exceedance</w:t>
            </w:r>
          </w:p>
        </w:tc>
        <w:tc>
          <w:tcPr>
            <w:tcW w:w="4554" w:type="dxa"/>
            <w:shd w:val="clear" w:color="auto" w:fill="1C556C"/>
            <w:vAlign w:val="bottom"/>
          </w:tcPr>
          <w:p w14:paraId="3BB15D0D" w14:textId="77777777" w:rsidR="000B02AB" w:rsidRPr="000B02AB" w:rsidRDefault="000B02AB" w:rsidP="000B02AB">
            <w:pPr>
              <w:pStyle w:val="TableTextbold"/>
              <w:rPr>
                <w:color w:val="FFFFFF" w:themeColor="background1"/>
              </w:rPr>
            </w:pPr>
            <w:r w:rsidRPr="000B02AB">
              <w:rPr>
                <w:color w:val="FFFFFF" w:themeColor="background1"/>
              </w:rPr>
              <w:t>Description</w:t>
            </w:r>
          </w:p>
        </w:tc>
        <w:tc>
          <w:tcPr>
            <w:tcW w:w="1276" w:type="dxa"/>
            <w:shd w:val="clear" w:color="auto" w:fill="1C556C"/>
            <w:vAlign w:val="bottom"/>
          </w:tcPr>
          <w:p w14:paraId="1E4B87A1" w14:textId="77777777" w:rsidR="000B02AB" w:rsidRPr="000B02AB" w:rsidRDefault="000B02AB" w:rsidP="007217F5">
            <w:pPr>
              <w:pStyle w:val="TableTextbold"/>
              <w:jc w:val="center"/>
              <w:rPr>
                <w:color w:val="FFFFFF" w:themeColor="background1"/>
              </w:rPr>
            </w:pPr>
            <w:r w:rsidRPr="000B02AB">
              <w:rPr>
                <w:color w:val="FFFFFF" w:themeColor="background1"/>
              </w:rPr>
              <w:t>N (tonnes per annum)</w:t>
            </w:r>
          </w:p>
        </w:tc>
        <w:tc>
          <w:tcPr>
            <w:tcW w:w="1275" w:type="dxa"/>
            <w:shd w:val="clear" w:color="auto" w:fill="1C556C"/>
            <w:vAlign w:val="bottom"/>
          </w:tcPr>
          <w:p w14:paraId="529EDF0A" w14:textId="77777777" w:rsidR="000B02AB" w:rsidRPr="000B02AB" w:rsidRDefault="000B02AB" w:rsidP="007217F5">
            <w:pPr>
              <w:pStyle w:val="TableTextbold"/>
              <w:jc w:val="center"/>
              <w:rPr>
                <w:color w:val="FFFFFF" w:themeColor="background1"/>
              </w:rPr>
            </w:pPr>
            <w:r w:rsidRPr="000B02AB">
              <w:rPr>
                <w:color w:val="FFFFFF" w:themeColor="background1"/>
              </w:rPr>
              <w:t>P (tonnes per annum)</w:t>
            </w:r>
          </w:p>
        </w:tc>
      </w:tr>
      <w:tr w:rsidR="000B02AB" w:rsidRPr="006B77BB" w14:paraId="77E73E85" w14:textId="77777777" w:rsidTr="006E08B4">
        <w:tc>
          <w:tcPr>
            <w:tcW w:w="1400" w:type="dxa"/>
            <w:shd w:val="clear" w:color="auto" w:fill="auto"/>
          </w:tcPr>
          <w:p w14:paraId="1ABD61B3" w14:textId="77777777" w:rsidR="000B02AB" w:rsidRPr="006B77BB" w:rsidRDefault="000B02AB" w:rsidP="000B02AB">
            <w:pPr>
              <w:pStyle w:val="TableText"/>
            </w:pPr>
            <w:r w:rsidRPr="00F72CAD">
              <w:rPr>
                <w:rFonts w:eastAsia="Calibri"/>
                <w:i/>
                <w:lang w:eastAsia="en-US"/>
              </w:rPr>
              <w:t>N/A</w:t>
            </w:r>
          </w:p>
        </w:tc>
        <w:tc>
          <w:tcPr>
            <w:tcW w:w="4554" w:type="dxa"/>
            <w:shd w:val="clear" w:color="auto" w:fill="auto"/>
          </w:tcPr>
          <w:p w14:paraId="6E59DEA0" w14:textId="77777777" w:rsidR="000B02AB" w:rsidRPr="006B77BB" w:rsidRDefault="000B02AB" w:rsidP="000B02AB">
            <w:pPr>
              <w:pStyle w:val="TableText"/>
            </w:pPr>
            <w:r w:rsidRPr="00F72CAD">
              <w:rPr>
                <w:rFonts w:eastAsia="Calibri"/>
                <w:i/>
                <w:lang w:eastAsia="en-US"/>
              </w:rPr>
              <w:t>Current nutrient discharge rate</w:t>
            </w:r>
          </w:p>
        </w:tc>
        <w:tc>
          <w:tcPr>
            <w:tcW w:w="1276" w:type="dxa"/>
          </w:tcPr>
          <w:p w14:paraId="08BE8EB9" w14:textId="77777777" w:rsidR="000B02AB" w:rsidRPr="006B77BB" w:rsidRDefault="000B02AB" w:rsidP="007217F5">
            <w:pPr>
              <w:pStyle w:val="TableText"/>
              <w:jc w:val="center"/>
            </w:pPr>
            <w:r w:rsidRPr="00F72CAD">
              <w:rPr>
                <w:rFonts w:eastAsia="Calibri"/>
                <w:i/>
                <w:lang w:eastAsia="en-US"/>
              </w:rPr>
              <w:t>235,</w:t>
            </w:r>
            <w:r w:rsidR="008E2D6C">
              <w:rPr>
                <w:rFonts w:eastAsia="Calibri"/>
                <w:i/>
                <w:lang w:eastAsia="en-US"/>
              </w:rPr>
              <w:t>698</w:t>
            </w:r>
          </w:p>
        </w:tc>
        <w:tc>
          <w:tcPr>
            <w:tcW w:w="1275" w:type="dxa"/>
          </w:tcPr>
          <w:p w14:paraId="11760695" w14:textId="77777777" w:rsidR="000B02AB" w:rsidRPr="006B77BB" w:rsidRDefault="000B02AB" w:rsidP="007217F5">
            <w:pPr>
              <w:pStyle w:val="TableText"/>
              <w:jc w:val="center"/>
            </w:pPr>
            <w:r w:rsidRPr="00F72CAD">
              <w:rPr>
                <w:rFonts w:eastAsia="Calibri"/>
                <w:i/>
                <w:lang w:eastAsia="en-US"/>
              </w:rPr>
              <w:t>54,</w:t>
            </w:r>
            <w:r w:rsidR="00FB64E5" w:rsidRPr="00F72CAD">
              <w:rPr>
                <w:rFonts w:eastAsia="Calibri"/>
                <w:i/>
                <w:lang w:eastAsia="en-US"/>
              </w:rPr>
              <w:t>96</w:t>
            </w:r>
            <w:r w:rsidR="00FB64E5">
              <w:rPr>
                <w:rFonts w:eastAsia="Calibri"/>
                <w:i/>
                <w:lang w:eastAsia="en-US"/>
              </w:rPr>
              <w:t>4</w:t>
            </w:r>
          </w:p>
        </w:tc>
      </w:tr>
      <w:tr w:rsidR="000B02AB" w:rsidRPr="006B77BB" w14:paraId="0D3F1D56" w14:textId="77777777" w:rsidTr="006E08B4">
        <w:tc>
          <w:tcPr>
            <w:tcW w:w="1400" w:type="dxa"/>
            <w:shd w:val="clear" w:color="auto" w:fill="auto"/>
            <w:vAlign w:val="center"/>
          </w:tcPr>
          <w:p w14:paraId="7D565D96" w14:textId="427EC76B" w:rsidR="000B02AB" w:rsidRPr="006B77BB" w:rsidRDefault="000B02AB" w:rsidP="000B02AB">
            <w:pPr>
              <w:pStyle w:val="TableText"/>
            </w:pPr>
            <w:r w:rsidRPr="00F72CAD">
              <w:rPr>
                <w:rFonts w:eastAsia="Calibri"/>
                <w:lang w:eastAsia="en-US"/>
              </w:rPr>
              <w:t>10</w:t>
            </w:r>
            <w:r w:rsidR="008E40DC">
              <w:rPr>
                <w:rFonts w:eastAsia="Calibri"/>
                <w:lang w:eastAsia="en-US"/>
              </w:rPr>
              <w:t xml:space="preserve"> per cent</w:t>
            </w:r>
          </w:p>
        </w:tc>
        <w:tc>
          <w:tcPr>
            <w:tcW w:w="4554" w:type="dxa"/>
            <w:shd w:val="clear" w:color="auto" w:fill="auto"/>
          </w:tcPr>
          <w:p w14:paraId="75514BA2" w14:textId="77777777" w:rsidR="000B02AB" w:rsidRPr="006B77BB" w:rsidRDefault="000B02AB" w:rsidP="000B02AB">
            <w:pPr>
              <w:pStyle w:val="TableText"/>
            </w:pPr>
            <w:r w:rsidRPr="00F72CAD">
              <w:rPr>
                <w:rFonts w:eastAsia="Calibri"/>
                <w:lang w:eastAsia="en-US"/>
              </w:rPr>
              <w:t xml:space="preserve">Reduction under existing </w:t>
            </w:r>
            <w:r w:rsidR="0039020F">
              <w:rPr>
                <w:rFonts w:eastAsia="Calibri"/>
                <w:lang w:eastAsia="en-US"/>
              </w:rPr>
              <w:t xml:space="preserve">2017 </w:t>
            </w:r>
            <w:r w:rsidRPr="00F72CAD">
              <w:rPr>
                <w:rFonts w:eastAsia="Calibri"/>
                <w:lang w:eastAsia="en-US"/>
              </w:rPr>
              <w:t>NPS</w:t>
            </w:r>
            <w:r w:rsidR="0039020F">
              <w:rPr>
                <w:rFonts w:eastAsia="Calibri"/>
                <w:lang w:eastAsia="en-US"/>
              </w:rPr>
              <w:t>-FM</w:t>
            </w:r>
          </w:p>
        </w:tc>
        <w:tc>
          <w:tcPr>
            <w:tcW w:w="1276" w:type="dxa"/>
          </w:tcPr>
          <w:p w14:paraId="4ACF87B4" w14:textId="77777777" w:rsidR="000B02AB" w:rsidRPr="006B77BB" w:rsidRDefault="000B02AB" w:rsidP="007217F5">
            <w:pPr>
              <w:pStyle w:val="TableText"/>
              <w:jc w:val="center"/>
            </w:pPr>
            <w:r w:rsidRPr="00F72CAD">
              <w:rPr>
                <w:rFonts w:eastAsia="Calibri"/>
                <w:lang w:eastAsia="en-US"/>
              </w:rPr>
              <w:t>*44,</w:t>
            </w:r>
            <w:r w:rsidR="008E2D6C" w:rsidRPr="00F72CAD">
              <w:rPr>
                <w:rFonts w:eastAsia="Calibri"/>
                <w:lang w:eastAsia="en-US"/>
              </w:rPr>
              <w:t>10</w:t>
            </w:r>
            <w:r w:rsidR="008E2D6C">
              <w:rPr>
                <w:rFonts w:eastAsia="Calibri"/>
                <w:lang w:eastAsia="en-US"/>
              </w:rPr>
              <w:t>6</w:t>
            </w:r>
          </w:p>
        </w:tc>
        <w:tc>
          <w:tcPr>
            <w:tcW w:w="1275" w:type="dxa"/>
          </w:tcPr>
          <w:p w14:paraId="1695D5FE" w14:textId="77777777" w:rsidR="000B02AB" w:rsidRPr="006B77BB" w:rsidRDefault="000B02AB" w:rsidP="007217F5">
            <w:pPr>
              <w:pStyle w:val="TableText"/>
              <w:jc w:val="center"/>
            </w:pPr>
            <w:r w:rsidRPr="00F72CAD">
              <w:rPr>
                <w:rFonts w:eastAsia="Calibri"/>
                <w:lang w:eastAsia="en-US"/>
              </w:rPr>
              <w:t>*5,</w:t>
            </w:r>
            <w:r w:rsidR="008E2D6C" w:rsidRPr="00F72CAD">
              <w:rPr>
                <w:rFonts w:eastAsia="Calibri"/>
                <w:lang w:eastAsia="en-US"/>
              </w:rPr>
              <w:t>7</w:t>
            </w:r>
            <w:r w:rsidR="008E2D6C">
              <w:rPr>
                <w:rFonts w:eastAsia="Calibri"/>
                <w:lang w:eastAsia="en-US"/>
              </w:rPr>
              <w:t>79</w:t>
            </w:r>
          </w:p>
        </w:tc>
      </w:tr>
      <w:tr w:rsidR="000B02AB" w:rsidRPr="006B77BB" w14:paraId="3AC21B05" w14:textId="77777777" w:rsidTr="006E08B4">
        <w:tc>
          <w:tcPr>
            <w:tcW w:w="1400" w:type="dxa"/>
            <w:vAlign w:val="center"/>
          </w:tcPr>
          <w:p w14:paraId="4955183A" w14:textId="77777777" w:rsidR="000B02AB" w:rsidRPr="006B77BB" w:rsidRDefault="000B02AB" w:rsidP="000B02AB">
            <w:pPr>
              <w:pStyle w:val="TableText"/>
            </w:pPr>
          </w:p>
        </w:tc>
        <w:tc>
          <w:tcPr>
            <w:tcW w:w="4554" w:type="dxa"/>
          </w:tcPr>
          <w:p w14:paraId="608F3472" w14:textId="77777777" w:rsidR="000B02AB" w:rsidRPr="006B77BB" w:rsidRDefault="000B02AB" w:rsidP="000B02AB">
            <w:pPr>
              <w:pStyle w:val="TableText"/>
            </w:pPr>
            <w:r w:rsidRPr="00F72CAD">
              <w:rPr>
                <w:rFonts w:eastAsia="Calibri"/>
                <w:lang w:eastAsia="en-US"/>
              </w:rPr>
              <w:t xml:space="preserve">Reduction under </w:t>
            </w:r>
            <w:r w:rsidR="0039020F">
              <w:rPr>
                <w:rFonts w:eastAsia="Calibri"/>
                <w:lang w:eastAsia="en-US"/>
              </w:rPr>
              <w:t xml:space="preserve">2017 </w:t>
            </w:r>
            <w:r w:rsidR="0039020F" w:rsidRPr="00F72CAD">
              <w:rPr>
                <w:rFonts w:eastAsia="Calibri"/>
                <w:lang w:eastAsia="en-US"/>
              </w:rPr>
              <w:t>NPS</w:t>
            </w:r>
            <w:r w:rsidR="0039020F">
              <w:rPr>
                <w:rFonts w:eastAsia="Calibri"/>
                <w:lang w:eastAsia="en-US"/>
              </w:rPr>
              <w:t>-FM</w:t>
            </w:r>
            <w:r w:rsidRPr="00F72CAD">
              <w:rPr>
                <w:rFonts w:eastAsia="Calibri"/>
                <w:lang w:eastAsia="en-US"/>
              </w:rPr>
              <w:t xml:space="preserve"> with new </w:t>
            </w:r>
            <w:r w:rsidR="0067679D">
              <w:rPr>
                <w:rFonts w:eastAsia="Calibri"/>
                <w:lang w:eastAsia="en-US"/>
              </w:rPr>
              <w:t>bottom-line</w:t>
            </w:r>
            <w:r w:rsidRPr="00F72CAD">
              <w:rPr>
                <w:rFonts w:eastAsia="Calibri"/>
                <w:lang w:eastAsia="en-US"/>
              </w:rPr>
              <w:t>s</w:t>
            </w:r>
            <w:r w:rsidR="001B7B6C">
              <w:rPr>
                <w:rFonts w:eastAsia="Calibri"/>
                <w:lang w:eastAsia="en-US"/>
              </w:rPr>
              <w:t xml:space="preserve"> (DIN 1 mg/L</w:t>
            </w:r>
            <w:r w:rsidR="0039020F" w:rsidRPr="00770EAB">
              <w:rPr>
                <w:rFonts w:eastAsia="Calibri"/>
                <w:lang w:eastAsia="en-US"/>
              </w:rPr>
              <w:t>; DRP 0.018 mg/L</w:t>
            </w:r>
            <w:r w:rsidR="001B7B6C">
              <w:rPr>
                <w:rFonts w:eastAsia="Calibri"/>
                <w:lang w:eastAsia="en-US"/>
              </w:rPr>
              <w:t>)</w:t>
            </w:r>
          </w:p>
        </w:tc>
        <w:tc>
          <w:tcPr>
            <w:tcW w:w="1276" w:type="dxa"/>
          </w:tcPr>
          <w:p w14:paraId="70DBEF46" w14:textId="77777777" w:rsidR="000B02AB" w:rsidRPr="006B77BB" w:rsidRDefault="000B02AB" w:rsidP="007217F5">
            <w:pPr>
              <w:pStyle w:val="TableText"/>
              <w:jc w:val="center"/>
            </w:pPr>
            <w:r w:rsidRPr="00F72CAD">
              <w:rPr>
                <w:rFonts w:eastAsia="Calibri"/>
                <w:lang w:eastAsia="en-US"/>
              </w:rPr>
              <w:t>*50,</w:t>
            </w:r>
            <w:r w:rsidR="008E2D6C">
              <w:rPr>
                <w:rFonts w:eastAsia="Calibri"/>
                <w:lang w:eastAsia="en-US"/>
              </w:rPr>
              <w:t>488</w:t>
            </w:r>
          </w:p>
        </w:tc>
        <w:tc>
          <w:tcPr>
            <w:tcW w:w="1275" w:type="dxa"/>
          </w:tcPr>
          <w:p w14:paraId="407745EB" w14:textId="77777777" w:rsidR="000B02AB" w:rsidRPr="006B77BB" w:rsidRDefault="000B02AB" w:rsidP="007217F5">
            <w:pPr>
              <w:pStyle w:val="TableText"/>
              <w:jc w:val="center"/>
            </w:pPr>
            <w:r w:rsidRPr="00F72CAD">
              <w:rPr>
                <w:rFonts w:eastAsia="Calibri"/>
                <w:lang w:eastAsia="en-US"/>
              </w:rPr>
              <w:t>*6,</w:t>
            </w:r>
            <w:r w:rsidR="008E2D6C" w:rsidRPr="00F72CAD">
              <w:rPr>
                <w:rFonts w:eastAsia="Calibri"/>
                <w:lang w:eastAsia="en-US"/>
              </w:rPr>
              <w:t>2</w:t>
            </w:r>
            <w:r w:rsidR="008E2D6C">
              <w:rPr>
                <w:rFonts w:eastAsia="Calibri"/>
                <w:lang w:eastAsia="en-US"/>
              </w:rPr>
              <w:t>28</w:t>
            </w:r>
          </w:p>
        </w:tc>
      </w:tr>
      <w:tr w:rsidR="000B02AB" w:rsidRPr="006B77BB" w14:paraId="249031FB" w14:textId="77777777" w:rsidTr="006E08B4">
        <w:tc>
          <w:tcPr>
            <w:tcW w:w="1400" w:type="dxa"/>
            <w:vAlign w:val="center"/>
          </w:tcPr>
          <w:p w14:paraId="43934FB4" w14:textId="77777777" w:rsidR="000B02AB" w:rsidRPr="006B77BB" w:rsidRDefault="000B02AB" w:rsidP="000B02AB">
            <w:pPr>
              <w:pStyle w:val="TableText"/>
            </w:pPr>
          </w:p>
        </w:tc>
        <w:tc>
          <w:tcPr>
            <w:tcW w:w="4554" w:type="dxa"/>
          </w:tcPr>
          <w:p w14:paraId="056591C6" w14:textId="77777777" w:rsidR="000B02AB" w:rsidRPr="00F72CAD" w:rsidRDefault="0039020F" w:rsidP="00357C93">
            <w:pPr>
              <w:pStyle w:val="TableText"/>
              <w:rPr>
                <w:rFonts w:eastAsia="Calibri"/>
                <w:lang w:eastAsia="en-US"/>
              </w:rPr>
            </w:pPr>
            <w:r>
              <w:rPr>
                <w:rFonts w:eastAsia="Calibri"/>
                <w:b/>
                <w:lang w:eastAsia="en-US"/>
              </w:rPr>
              <w:t xml:space="preserve">Additional reduction required </w:t>
            </w:r>
            <w:r w:rsidR="00FD38D0">
              <w:rPr>
                <w:rFonts w:eastAsia="Calibri"/>
                <w:b/>
                <w:lang w:eastAsia="en-US"/>
              </w:rPr>
              <w:t>by</w:t>
            </w:r>
            <w:r>
              <w:rPr>
                <w:rFonts w:eastAsia="Calibri"/>
                <w:b/>
                <w:lang w:eastAsia="en-US"/>
              </w:rPr>
              <w:t xml:space="preserve"> the proposed bottom-lines</w:t>
            </w:r>
            <w:r w:rsidR="001B7B6C">
              <w:rPr>
                <w:rFonts w:eastAsia="Calibri"/>
                <w:b/>
                <w:lang w:eastAsia="en-US"/>
              </w:rPr>
              <w:t xml:space="preserve"> (DIN 1 mg/L</w:t>
            </w:r>
            <w:r>
              <w:rPr>
                <w:rFonts w:eastAsia="Calibri"/>
                <w:b/>
                <w:lang w:eastAsia="en-US"/>
              </w:rPr>
              <w:t>; DRP 0.018 mg/L</w:t>
            </w:r>
            <w:r w:rsidR="001B7B6C">
              <w:rPr>
                <w:rFonts w:eastAsia="Calibri"/>
                <w:b/>
                <w:lang w:eastAsia="en-US"/>
              </w:rPr>
              <w:t>)</w:t>
            </w:r>
          </w:p>
        </w:tc>
        <w:tc>
          <w:tcPr>
            <w:tcW w:w="1276" w:type="dxa"/>
          </w:tcPr>
          <w:p w14:paraId="24960331" w14:textId="77777777" w:rsidR="000B02AB" w:rsidRPr="00F72CAD" w:rsidRDefault="000B02AB" w:rsidP="007217F5">
            <w:pPr>
              <w:pStyle w:val="TableText"/>
              <w:jc w:val="center"/>
              <w:rPr>
                <w:rFonts w:eastAsia="Calibri"/>
                <w:lang w:eastAsia="en-US"/>
              </w:rPr>
            </w:pPr>
            <w:r w:rsidRPr="00F72CAD">
              <w:rPr>
                <w:rFonts w:eastAsia="Calibri"/>
                <w:b/>
                <w:lang w:eastAsia="en-US"/>
              </w:rPr>
              <w:t>6,</w:t>
            </w:r>
            <w:r w:rsidR="008E2D6C">
              <w:rPr>
                <w:rFonts w:eastAsia="Calibri"/>
                <w:b/>
                <w:lang w:eastAsia="en-US"/>
              </w:rPr>
              <w:t>382</w:t>
            </w:r>
          </w:p>
        </w:tc>
        <w:tc>
          <w:tcPr>
            <w:tcW w:w="1275" w:type="dxa"/>
          </w:tcPr>
          <w:p w14:paraId="2A05335D" w14:textId="77777777" w:rsidR="000B02AB" w:rsidRPr="00F72CAD" w:rsidRDefault="008E2D6C" w:rsidP="007217F5">
            <w:pPr>
              <w:pStyle w:val="TableText"/>
              <w:jc w:val="center"/>
              <w:rPr>
                <w:rFonts w:eastAsia="Calibri"/>
                <w:lang w:eastAsia="en-US"/>
              </w:rPr>
            </w:pPr>
            <w:r>
              <w:rPr>
                <w:rFonts w:eastAsia="Calibri"/>
                <w:b/>
                <w:lang w:eastAsia="en-US"/>
              </w:rPr>
              <w:t>448</w:t>
            </w:r>
          </w:p>
        </w:tc>
      </w:tr>
      <w:tr w:rsidR="001B7B6C" w:rsidRPr="006B77BB" w14:paraId="738B348B" w14:textId="77777777" w:rsidTr="006E08B4">
        <w:tc>
          <w:tcPr>
            <w:tcW w:w="1400" w:type="dxa"/>
            <w:shd w:val="clear" w:color="auto" w:fill="auto"/>
            <w:vAlign w:val="center"/>
          </w:tcPr>
          <w:p w14:paraId="4ADA30B1" w14:textId="77777777" w:rsidR="001B7B6C" w:rsidRPr="006B77BB" w:rsidRDefault="001B7B6C" w:rsidP="001B7B6C">
            <w:pPr>
              <w:pStyle w:val="TableText"/>
            </w:pPr>
          </w:p>
        </w:tc>
        <w:tc>
          <w:tcPr>
            <w:tcW w:w="4554" w:type="dxa"/>
            <w:shd w:val="clear" w:color="auto" w:fill="auto"/>
          </w:tcPr>
          <w:p w14:paraId="2F8ACD38" w14:textId="77777777" w:rsidR="001B7B6C" w:rsidRPr="007217F5" w:rsidRDefault="001B7B6C" w:rsidP="007217F5">
            <w:pPr>
              <w:pStyle w:val="TableText"/>
            </w:pPr>
            <w:r w:rsidRPr="007217F5">
              <w:t xml:space="preserve">Reduction under </w:t>
            </w:r>
            <w:r w:rsidR="0039020F" w:rsidRPr="007217F5">
              <w:t>2017 NPS-FM</w:t>
            </w:r>
            <w:r w:rsidRPr="007217F5">
              <w:t xml:space="preserve"> with new </w:t>
            </w:r>
            <w:r w:rsidR="0067679D" w:rsidRPr="007217F5">
              <w:t>bottom-line</w:t>
            </w:r>
            <w:r w:rsidRPr="007217F5">
              <w:t>s (DIN 2.4 mg/L)</w:t>
            </w:r>
          </w:p>
        </w:tc>
        <w:tc>
          <w:tcPr>
            <w:tcW w:w="1276" w:type="dxa"/>
            <w:shd w:val="clear" w:color="auto" w:fill="auto"/>
          </w:tcPr>
          <w:p w14:paraId="7AEFABCA" w14:textId="77777777" w:rsidR="001B7B6C" w:rsidRPr="00F72CAD" w:rsidRDefault="001B7B6C" w:rsidP="007217F5">
            <w:pPr>
              <w:pStyle w:val="TableText"/>
              <w:jc w:val="center"/>
              <w:rPr>
                <w:rFonts w:eastAsia="Calibri"/>
                <w:b/>
                <w:lang w:eastAsia="en-US"/>
              </w:rPr>
            </w:pPr>
            <w:r>
              <w:rPr>
                <w:rFonts w:eastAsia="Calibri"/>
                <w:b/>
                <w:lang w:eastAsia="en-US"/>
              </w:rPr>
              <w:t>*</w:t>
            </w:r>
            <w:r w:rsidRPr="001B7B6C">
              <w:rPr>
                <w:rFonts w:eastAsia="Calibri"/>
                <w:b/>
                <w:lang w:eastAsia="en-US"/>
              </w:rPr>
              <w:t>45,272</w:t>
            </w:r>
          </w:p>
        </w:tc>
        <w:tc>
          <w:tcPr>
            <w:tcW w:w="1275" w:type="dxa"/>
            <w:shd w:val="clear" w:color="auto" w:fill="auto"/>
          </w:tcPr>
          <w:p w14:paraId="579E6B67" w14:textId="77777777" w:rsidR="001B7B6C" w:rsidRPr="00F72CAD" w:rsidRDefault="001B7B6C" w:rsidP="007217F5">
            <w:pPr>
              <w:pStyle w:val="TableText"/>
              <w:jc w:val="center"/>
              <w:rPr>
                <w:rFonts w:eastAsia="Calibri"/>
                <w:b/>
                <w:lang w:eastAsia="en-US"/>
              </w:rPr>
            </w:pPr>
          </w:p>
        </w:tc>
      </w:tr>
      <w:tr w:rsidR="001B7B6C" w:rsidRPr="006B77BB" w14:paraId="0DB82F2C" w14:textId="77777777" w:rsidTr="006E08B4">
        <w:tc>
          <w:tcPr>
            <w:tcW w:w="1400" w:type="dxa"/>
            <w:shd w:val="clear" w:color="auto" w:fill="auto"/>
            <w:vAlign w:val="center"/>
          </w:tcPr>
          <w:p w14:paraId="3E6BA870" w14:textId="77777777" w:rsidR="001B7B6C" w:rsidRPr="006B77BB" w:rsidRDefault="001B7B6C" w:rsidP="001B7B6C">
            <w:pPr>
              <w:pStyle w:val="TableText"/>
            </w:pPr>
          </w:p>
        </w:tc>
        <w:tc>
          <w:tcPr>
            <w:tcW w:w="4554" w:type="dxa"/>
            <w:shd w:val="clear" w:color="auto" w:fill="auto"/>
          </w:tcPr>
          <w:p w14:paraId="4329B8EA" w14:textId="77777777" w:rsidR="001B7B6C" w:rsidRPr="00F72CAD" w:rsidRDefault="0039020F" w:rsidP="001B7B6C">
            <w:pPr>
              <w:pStyle w:val="TableText"/>
              <w:rPr>
                <w:rFonts w:eastAsia="Calibri"/>
                <w:b/>
                <w:lang w:eastAsia="en-US"/>
              </w:rPr>
            </w:pPr>
            <w:r>
              <w:rPr>
                <w:rFonts w:eastAsia="Calibri"/>
                <w:b/>
                <w:lang w:eastAsia="en-US"/>
              </w:rPr>
              <w:t xml:space="preserve">Additional reduction required </w:t>
            </w:r>
            <w:r w:rsidR="00FD38D0">
              <w:rPr>
                <w:rFonts w:eastAsia="Calibri"/>
                <w:b/>
                <w:lang w:eastAsia="en-US"/>
              </w:rPr>
              <w:t xml:space="preserve">by </w:t>
            </w:r>
            <w:r>
              <w:rPr>
                <w:rFonts w:eastAsia="Calibri"/>
                <w:b/>
                <w:lang w:eastAsia="en-US"/>
              </w:rPr>
              <w:t xml:space="preserve">the proposed bottom-lines </w:t>
            </w:r>
            <w:r w:rsidR="001B7B6C">
              <w:rPr>
                <w:rFonts w:eastAsia="Calibri"/>
                <w:b/>
                <w:lang w:eastAsia="en-US"/>
              </w:rPr>
              <w:t>(DIN 2.4 mg/L)</w:t>
            </w:r>
          </w:p>
        </w:tc>
        <w:tc>
          <w:tcPr>
            <w:tcW w:w="1276" w:type="dxa"/>
            <w:shd w:val="clear" w:color="auto" w:fill="auto"/>
          </w:tcPr>
          <w:p w14:paraId="32A7B5E3" w14:textId="77777777" w:rsidR="001B7B6C" w:rsidRPr="00F72CAD" w:rsidRDefault="001B7B6C" w:rsidP="007217F5">
            <w:pPr>
              <w:pStyle w:val="TableText"/>
              <w:jc w:val="center"/>
              <w:rPr>
                <w:rFonts w:eastAsia="Calibri"/>
                <w:b/>
                <w:lang w:eastAsia="en-US"/>
              </w:rPr>
            </w:pPr>
            <w:r w:rsidRPr="001B7B6C">
              <w:rPr>
                <w:rFonts w:eastAsia="Calibri"/>
                <w:b/>
                <w:lang w:eastAsia="en-US"/>
              </w:rPr>
              <w:t>1,166</w:t>
            </w:r>
          </w:p>
        </w:tc>
        <w:tc>
          <w:tcPr>
            <w:tcW w:w="1275" w:type="dxa"/>
            <w:shd w:val="clear" w:color="auto" w:fill="auto"/>
          </w:tcPr>
          <w:p w14:paraId="66F986E0" w14:textId="77777777" w:rsidR="001B7B6C" w:rsidRPr="00F72CAD" w:rsidRDefault="001B7B6C" w:rsidP="007217F5">
            <w:pPr>
              <w:pStyle w:val="TableText"/>
              <w:jc w:val="center"/>
              <w:rPr>
                <w:rFonts w:eastAsia="Calibri"/>
                <w:b/>
                <w:lang w:eastAsia="en-US"/>
              </w:rPr>
            </w:pPr>
          </w:p>
        </w:tc>
      </w:tr>
      <w:tr w:rsidR="001B7B6C" w:rsidRPr="006B77BB" w14:paraId="1749184B" w14:textId="77777777" w:rsidTr="006E08B4">
        <w:tc>
          <w:tcPr>
            <w:tcW w:w="1400" w:type="dxa"/>
            <w:vAlign w:val="center"/>
          </w:tcPr>
          <w:p w14:paraId="6DF65EC2" w14:textId="5730FFE2" w:rsidR="001B7B6C" w:rsidRPr="006B77BB" w:rsidRDefault="001B7B6C" w:rsidP="001B7B6C">
            <w:pPr>
              <w:pStyle w:val="TableText"/>
            </w:pPr>
            <w:r w:rsidRPr="00F72CAD">
              <w:rPr>
                <w:rFonts w:eastAsia="Calibri"/>
                <w:lang w:eastAsia="en-US"/>
              </w:rPr>
              <w:t>20</w:t>
            </w:r>
            <w:r w:rsidR="008E40DC">
              <w:rPr>
                <w:rFonts w:eastAsia="Calibri"/>
                <w:lang w:eastAsia="en-US"/>
              </w:rPr>
              <w:t xml:space="preserve"> per cent</w:t>
            </w:r>
          </w:p>
        </w:tc>
        <w:tc>
          <w:tcPr>
            <w:tcW w:w="4554" w:type="dxa"/>
          </w:tcPr>
          <w:p w14:paraId="1F9E2606" w14:textId="77777777" w:rsidR="001B7B6C" w:rsidRPr="00F72CAD" w:rsidRDefault="001B7B6C" w:rsidP="001B7B6C">
            <w:pPr>
              <w:pStyle w:val="TableText"/>
              <w:rPr>
                <w:rFonts w:eastAsia="Calibri"/>
                <w:b/>
                <w:lang w:eastAsia="en-US"/>
              </w:rPr>
            </w:pPr>
            <w:r w:rsidRPr="00F72CAD">
              <w:rPr>
                <w:rFonts w:eastAsia="Calibri"/>
                <w:lang w:eastAsia="en-US"/>
              </w:rPr>
              <w:t xml:space="preserve">Reduction under existing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p>
        </w:tc>
        <w:tc>
          <w:tcPr>
            <w:tcW w:w="1276" w:type="dxa"/>
          </w:tcPr>
          <w:p w14:paraId="11257D3D" w14:textId="77777777" w:rsidR="001B7B6C" w:rsidRPr="00F72CAD" w:rsidRDefault="001B7B6C" w:rsidP="007217F5">
            <w:pPr>
              <w:pStyle w:val="TableText"/>
              <w:jc w:val="center"/>
              <w:rPr>
                <w:rFonts w:eastAsia="Calibri"/>
                <w:b/>
                <w:lang w:eastAsia="en-US"/>
              </w:rPr>
            </w:pPr>
            <w:r w:rsidRPr="00F72CAD">
              <w:rPr>
                <w:rFonts w:eastAsia="Calibri"/>
                <w:lang w:eastAsia="en-US"/>
              </w:rPr>
              <w:t>*</w:t>
            </w:r>
            <w:r w:rsidR="008E2D6C">
              <w:rPr>
                <w:rFonts w:eastAsia="Calibri"/>
                <w:lang w:eastAsia="en-US"/>
              </w:rPr>
              <w:t>16,951</w:t>
            </w:r>
          </w:p>
        </w:tc>
        <w:tc>
          <w:tcPr>
            <w:tcW w:w="1275" w:type="dxa"/>
          </w:tcPr>
          <w:p w14:paraId="66424475" w14:textId="77777777" w:rsidR="001B7B6C" w:rsidRPr="00F72CAD" w:rsidRDefault="001B7B6C" w:rsidP="007217F5">
            <w:pPr>
              <w:pStyle w:val="TableText"/>
              <w:jc w:val="center"/>
              <w:rPr>
                <w:rFonts w:eastAsia="Calibri"/>
                <w:b/>
                <w:lang w:eastAsia="en-US"/>
              </w:rPr>
            </w:pPr>
            <w:r w:rsidRPr="00F72CAD">
              <w:rPr>
                <w:rFonts w:eastAsia="Calibri"/>
                <w:lang w:eastAsia="en-US"/>
              </w:rPr>
              <w:t>*48</w:t>
            </w:r>
            <w:r w:rsidR="008E2D6C">
              <w:rPr>
                <w:rFonts w:eastAsia="Calibri"/>
                <w:lang w:eastAsia="en-US"/>
              </w:rPr>
              <w:t>8</w:t>
            </w:r>
          </w:p>
        </w:tc>
      </w:tr>
      <w:tr w:rsidR="001B7B6C" w:rsidRPr="006B77BB" w14:paraId="7AA1100A" w14:textId="77777777" w:rsidTr="006E08B4">
        <w:tc>
          <w:tcPr>
            <w:tcW w:w="1400" w:type="dxa"/>
            <w:vAlign w:val="center"/>
          </w:tcPr>
          <w:p w14:paraId="6A35BC47" w14:textId="77777777" w:rsidR="001B7B6C" w:rsidRPr="00F72CAD" w:rsidRDefault="001B7B6C" w:rsidP="001B7B6C">
            <w:pPr>
              <w:pStyle w:val="TableText"/>
              <w:rPr>
                <w:rFonts w:eastAsia="Calibri"/>
                <w:lang w:eastAsia="en-US"/>
              </w:rPr>
            </w:pPr>
          </w:p>
        </w:tc>
        <w:tc>
          <w:tcPr>
            <w:tcW w:w="4554" w:type="dxa"/>
          </w:tcPr>
          <w:p w14:paraId="2A84D120" w14:textId="77777777" w:rsidR="001B7B6C" w:rsidRPr="00F72CAD" w:rsidRDefault="001B7B6C" w:rsidP="001B7B6C">
            <w:pPr>
              <w:pStyle w:val="TableText"/>
              <w:rPr>
                <w:rFonts w:eastAsia="Calibri"/>
                <w:lang w:eastAsia="en-US"/>
              </w:rPr>
            </w:pPr>
            <w:r w:rsidRPr="00F72CAD">
              <w:rPr>
                <w:rFonts w:eastAsia="Calibri"/>
                <w:lang w:eastAsia="en-US"/>
              </w:rPr>
              <w:t xml:space="preserve">Reduction under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r w:rsidR="00FD38D0" w:rsidRPr="00F72CAD">
              <w:rPr>
                <w:rFonts w:eastAsia="Calibri"/>
                <w:lang w:eastAsia="en-US"/>
              </w:rPr>
              <w:t xml:space="preserve"> </w:t>
            </w:r>
            <w:r w:rsidRPr="00F72CAD">
              <w:rPr>
                <w:rFonts w:eastAsia="Calibri"/>
                <w:lang w:eastAsia="en-US"/>
              </w:rPr>
              <w:t xml:space="preserve">with new </w:t>
            </w:r>
            <w:r w:rsidR="0067679D">
              <w:rPr>
                <w:rFonts w:eastAsia="Calibri"/>
                <w:lang w:eastAsia="en-US"/>
              </w:rPr>
              <w:t>bottom-line</w:t>
            </w:r>
            <w:r w:rsidRPr="00F72CAD">
              <w:rPr>
                <w:rFonts w:eastAsia="Calibri"/>
                <w:lang w:eastAsia="en-US"/>
              </w:rPr>
              <w:t>s</w:t>
            </w:r>
            <w:r w:rsidR="008E2D6C">
              <w:rPr>
                <w:rFonts w:eastAsia="Calibri"/>
                <w:lang w:eastAsia="en-US"/>
              </w:rPr>
              <w:t xml:space="preserve"> (DIN 1 mg/L</w:t>
            </w:r>
            <w:r w:rsidR="0039020F" w:rsidRPr="00770EAB">
              <w:rPr>
                <w:rFonts w:eastAsia="Calibri"/>
                <w:lang w:eastAsia="en-US"/>
              </w:rPr>
              <w:t>; DRP 0.018 mg/L</w:t>
            </w:r>
            <w:r w:rsidR="008E2D6C">
              <w:rPr>
                <w:rFonts w:eastAsia="Calibri"/>
                <w:lang w:eastAsia="en-US"/>
              </w:rPr>
              <w:t>)</w:t>
            </w:r>
          </w:p>
        </w:tc>
        <w:tc>
          <w:tcPr>
            <w:tcW w:w="1276" w:type="dxa"/>
          </w:tcPr>
          <w:p w14:paraId="44579097" w14:textId="77777777" w:rsidR="001B7B6C" w:rsidRPr="00F72CAD" w:rsidRDefault="001B7B6C" w:rsidP="007217F5">
            <w:pPr>
              <w:pStyle w:val="TableText"/>
              <w:jc w:val="center"/>
              <w:rPr>
                <w:rFonts w:eastAsia="Calibri"/>
                <w:lang w:eastAsia="en-US"/>
              </w:rPr>
            </w:pPr>
            <w:r w:rsidRPr="00F72CAD">
              <w:rPr>
                <w:rFonts w:eastAsia="Calibri"/>
                <w:lang w:eastAsia="en-US"/>
              </w:rPr>
              <w:t>*</w:t>
            </w:r>
            <w:r w:rsidR="008E2D6C">
              <w:rPr>
                <w:rFonts w:eastAsia="Calibri"/>
                <w:lang w:eastAsia="en-US"/>
              </w:rPr>
              <w:t>24,131</w:t>
            </w:r>
          </w:p>
        </w:tc>
        <w:tc>
          <w:tcPr>
            <w:tcW w:w="1275" w:type="dxa"/>
          </w:tcPr>
          <w:p w14:paraId="6E52D422" w14:textId="77777777" w:rsidR="001B7B6C" w:rsidRPr="00F72CAD" w:rsidRDefault="001B7B6C" w:rsidP="007217F5">
            <w:pPr>
              <w:pStyle w:val="TableText"/>
              <w:jc w:val="center"/>
              <w:rPr>
                <w:rFonts w:eastAsia="Calibri"/>
                <w:lang w:eastAsia="en-US"/>
              </w:rPr>
            </w:pPr>
            <w:r w:rsidRPr="00F72CAD">
              <w:rPr>
                <w:rFonts w:eastAsia="Calibri"/>
                <w:lang w:eastAsia="en-US"/>
              </w:rPr>
              <w:t>*1,41</w:t>
            </w:r>
            <w:r w:rsidR="008E2D6C">
              <w:rPr>
                <w:rFonts w:eastAsia="Calibri"/>
                <w:lang w:eastAsia="en-US"/>
              </w:rPr>
              <w:t>4</w:t>
            </w:r>
          </w:p>
        </w:tc>
      </w:tr>
      <w:tr w:rsidR="001B7B6C" w:rsidRPr="006B77BB" w14:paraId="7496574A" w14:textId="77777777" w:rsidTr="006E08B4">
        <w:tc>
          <w:tcPr>
            <w:tcW w:w="1400" w:type="dxa"/>
            <w:vAlign w:val="center"/>
          </w:tcPr>
          <w:p w14:paraId="0FF13ADC" w14:textId="77777777" w:rsidR="001B7B6C" w:rsidRPr="00F72CAD" w:rsidRDefault="001B7B6C" w:rsidP="001B7B6C">
            <w:pPr>
              <w:pStyle w:val="TableText"/>
              <w:rPr>
                <w:rFonts w:eastAsia="Calibri"/>
                <w:lang w:eastAsia="en-US"/>
              </w:rPr>
            </w:pPr>
          </w:p>
        </w:tc>
        <w:tc>
          <w:tcPr>
            <w:tcW w:w="4554" w:type="dxa"/>
          </w:tcPr>
          <w:p w14:paraId="346BBAB4" w14:textId="77777777" w:rsidR="001B7B6C" w:rsidRPr="00F72CAD" w:rsidRDefault="0039020F" w:rsidP="001B7B6C">
            <w:pPr>
              <w:pStyle w:val="TableText"/>
              <w:rPr>
                <w:rFonts w:eastAsia="Calibri"/>
                <w:lang w:eastAsia="en-US"/>
              </w:rPr>
            </w:pPr>
            <w:r>
              <w:rPr>
                <w:rFonts w:eastAsia="Calibri"/>
                <w:b/>
                <w:lang w:eastAsia="en-US"/>
              </w:rPr>
              <w:t xml:space="preserve">Additional reduction required </w:t>
            </w:r>
            <w:r w:rsidR="00FD38D0">
              <w:rPr>
                <w:rFonts w:eastAsia="Calibri"/>
                <w:b/>
                <w:lang w:eastAsia="en-US"/>
              </w:rPr>
              <w:t xml:space="preserve">by </w:t>
            </w:r>
            <w:r>
              <w:rPr>
                <w:rFonts w:eastAsia="Calibri"/>
                <w:b/>
                <w:lang w:eastAsia="en-US"/>
              </w:rPr>
              <w:t xml:space="preserve">the proposed bottom-lines </w:t>
            </w:r>
            <w:r w:rsidR="008E2D6C" w:rsidRPr="0039020F">
              <w:rPr>
                <w:rFonts w:eastAsia="Calibri"/>
                <w:b/>
                <w:lang w:eastAsia="en-US"/>
              </w:rPr>
              <w:t>(DIN 1 mg/L</w:t>
            </w:r>
            <w:r>
              <w:rPr>
                <w:rFonts w:eastAsia="Calibri"/>
                <w:b/>
                <w:lang w:eastAsia="en-US"/>
              </w:rPr>
              <w:t>; DRP 0.018 mg/L</w:t>
            </w:r>
            <w:r w:rsidR="008E2D6C" w:rsidRPr="0039020F">
              <w:rPr>
                <w:rFonts w:eastAsia="Calibri"/>
                <w:b/>
                <w:lang w:eastAsia="en-US"/>
              </w:rPr>
              <w:t>)</w:t>
            </w:r>
          </w:p>
        </w:tc>
        <w:tc>
          <w:tcPr>
            <w:tcW w:w="1276" w:type="dxa"/>
          </w:tcPr>
          <w:p w14:paraId="23E64862" w14:textId="77777777" w:rsidR="001B7B6C" w:rsidRPr="00F72CAD" w:rsidRDefault="001B7B6C" w:rsidP="007217F5">
            <w:pPr>
              <w:pStyle w:val="TableText"/>
              <w:jc w:val="center"/>
              <w:rPr>
                <w:rFonts w:eastAsia="Calibri"/>
                <w:lang w:eastAsia="en-US"/>
              </w:rPr>
            </w:pPr>
            <w:r w:rsidRPr="00F72CAD">
              <w:rPr>
                <w:rFonts w:eastAsia="Calibri"/>
                <w:b/>
                <w:lang w:eastAsia="en-US"/>
              </w:rPr>
              <w:t>7,</w:t>
            </w:r>
            <w:r w:rsidR="008E2D6C" w:rsidRPr="00F72CAD">
              <w:rPr>
                <w:rFonts w:eastAsia="Calibri"/>
                <w:b/>
                <w:lang w:eastAsia="en-US"/>
              </w:rPr>
              <w:t>1</w:t>
            </w:r>
            <w:r w:rsidR="008E2D6C">
              <w:rPr>
                <w:rFonts w:eastAsia="Calibri"/>
                <w:b/>
                <w:lang w:eastAsia="en-US"/>
              </w:rPr>
              <w:t>80</w:t>
            </w:r>
          </w:p>
        </w:tc>
        <w:tc>
          <w:tcPr>
            <w:tcW w:w="1275" w:type="dxa"/>
          </w:tcPr>
          <w:p w14:paraId="5473ABE5" w14:textId="77777777" w:rsidR="001B7B6C" w:rsidRPr="00F72CAD" w:rsidRDefault="001B7B6C" w:rsidP="007217F5">
            <w:pPr>
              <w:pStyle w:val="TableText"/>
              <w:jc w:val="center"/>
              <w:rPr>
                <w:rFonts w:eastAsia="Calibri"/>
                <w:lang w:eastAsia="en-US"/>
              </w:rPr>
            </w:pPr>
            <w:r w:rsidRPr="00F72CAD">
              <w:rPr>
                <w:rFonts w:eastAsia="Calibri"/>
                <w:b/>
                <w:lang w:eastAsia="en-US"/>
              </w:rPr>
              <w:t>9</w:t>
            </w:r>
            <w:r w:rsidR="008E2D6C">
              <w:rPr>
                <w:rFonts w:eastAsia="Calibri"/>
                <w:b/>
                <w:lang w:eastAsia="en-US"/>
              </w:rPr>
              <w:t>26</w:t>
            </w:r>
          </w:p>
        </w:tc>
      </w:tr>
      <w:tr w:rsidR="001B7B6C" w:rsidRPr="006B77BB" w14:paraId="1652B0CC" w14:textId="77777777" w:rsidTr="006E08B4">
        <w:tc>
          <w:tcPr>
            <w:tcW w:w="1400" w:type="dxa"/>
            <w:vAlign w:val="center"/>
          </w:tcPr>
          <w:p w14:paraId="469FAFB0" w14:textId="77777777" w:rsidR="001B7B6C" w:rsidRPr="00F72CAD" w:rsidRDefault="001B7B6C" w:rsidP="001B7B6C">
            <w:pPr>
              <w:pStyle w:val="TableText"/>
              <w:rPr>
                <w:rFonts w:eastAsia="Calibri"/>
                <w:lang w:eastAsia="en-US"/>
              </w:rPr>
            </w:pPr>
          </w:p>
        </w:tc>
        <w:tc>
          <w:tcPr>
            <w:tcW w:w="4554" w:type="dxa"/>
          </w:tcPr>
          <w:p w14:paraId="7723CBE0" w14:textId="77777777" w:rsidR="001B7B6C" w:rsidRPr="00F72CAD" w:rsidRDefault="001B7B6C" w:rsidP="001B7B6C">
            <w:pPr>
              <w:pStyle w:val="TableText"/>
              <w:rPr>
                <w:rFonts w:eastAsia="Calibri"/>
                <w:b/>
                <w:lang w:eastAsia="en-US"/>
              </w:rPr>
            </w:pPr>
            <w:r w:rsidRPr="00F72CAD">
              <w:rPr>
                <w:rFonts w:eastAsia="Calibri"/>
                <w:lang w:eastAsia="en-US"/>
              </w:rPr>
              <w:t xml:space="preserve">Reduction under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r w:rsidR="00FD38D0" w:rsidRPr="00F72CAD">
              <w:rPr>
                <w:rFonts w:eastAsia="Calibri"/>
                <w:lang w:eastAsia="en-US"/>
              </w:rPr>
              <w:t xml:space="preserve"> </w:t>
            </w:r>
            <w:r w:rsidRPr="00F72CAD">
              <w:rPr>
                <w:rFonts w:eastAsia="Calibri"/>
                <w:lang w:eastAsia="en-US"/>
              </w:rPr>
              <w:t xml:space="preserve">with new </w:t>
            </w:r>
            <w:r w:rsidR="0067679D">
              <w:rPr>
                <w:rFonts w:eastAsia="Calibri"/>
                <w:lang w:eastAsia="en-US"/>
              </w:rPr>
              <w:t>bottom-line</w:t>
            </w:r>
            <w:r w:rsidRPr="00F72CAD">
              <w:rPr>
                <w:rFonts w:eastAsia="Calibri"/>
                <w:lang w:eastAsia="en-US"/>
              </w:rPr>
              <w:t>s</w:t>
            </w:r>
            <w:r>
              <w:rPr>
                <w:rFonts w:eastAsia="Calibri"/>
                <w:lang w:eastAsia="en-US"/>
              </w:rPr>
              <w:t xml:space="preserve"> (DIN 2.4 mg/L)</w:t>
            </w:r>
          </w:p>
        </w:tc>
        <w:tc>
          <w:tcPr>
            <w:tcW w:w="1276" w:type="dxa"/>
          </w:tcPr>
          <w:p w14:paraId="33514185" w14:textId="77777777" w:rsidR="001B7B6C" w:rsidRPr="00F72CAD" w:rsidRDefault="001B7B6C" w:rsidP="007217F5">
            <w:pPr>
              <w:pStyle w:val="TableText"/>
              <w:jc w:val="center"/>
              <w:rPr>
                <w:rFonts w:eastAsia="Calibri"/>
                <w:b/>
                <w:lang w:eastAsia="en-US"/>
              </w:rPr>
            </w:pPr>
            <w:r>
              <w:rPr>
                <w:rFonts w:eastAsia="Calibri"/>
                <w:b/>
                <w:lang w:eastAsia="en-US"/>
              </w:rPr>
              <w:t>*</w:t>
            </w:r>
            <w:r w:rsidRPr="001B7B6C">
              <w:rPr>
                <w:rFonts w:eastAsia="Calibri"/>
                <w:b/>
                <w:lang w:eastAsia="en-US"/>
              </w:rPr>
              <w:t>18,138</w:t>
            </w:r>
          </w:p>
        </w:tc>
        <w:tc>
          <w:tcPr>
            <w:tcW w:w="1275" w:type="dxa"/>
          </w:tcPr>
          <w:p w14:paraId="4F4B4995" w14:textId="77777777" w:rsidR="001B7B6C" w:rsidRPr="00F72CAD" w:rsidRDefault="001B7B6C" w:rsidP="007217F5">
            <w:pPr>
              <w:pStyle w:val="TableText"/>
              <w:jc w:val="center"/>
              <w:rPr>
                <w:rFonts w:eastAsia="Calibri"/>
                <w:b/>
                <w:lang w:eastAsia="en-US"/>
              </w:rPr>
            </w:pPr>
          </w:p>
        </w:tc>
      </w:tr>
      <w:tr w:rsidR="001B7B6C" w:rsidRPr="006B77BB" w14:paraId="2C543050" w14:textId="77777777" w:rsidTr="006E08B4">
        <w:tc>
          <w:tcPr>
            <w:tcW w:w="1400" w:type="dxa"/>
            <w:vAlign w:val="center"/>
          </w:tcPr>
          <w:p w14:paraId="7D554983" w14:textId="77777777" w:rsidR="001B7B6C" w:rsidRPr="00F72CAD" w:rsidRDefault="001B7B6C" w:rsidP="001B7B6C">
            <w:pPr>
              <w:pStyle w:val="TableText"/>
              <w:rPr>
                <w:rFonts w:eastAsia="Calibri"/>
                <w:lang w:eastAsia="en-US"/>
              </w:rPr>
            </w:pPr>
          </w:p>
        </w:tc>
        <w:tc>
          <w:tcPr>
            <w:tcW w:w="4554" w:type="dxa"/>
          </w:tcPr>
          <w:p w14:paraId="4BF22AC3" w14:textId="77777777" w:rsidR="001B7B6C" w:rsidRPr="00F72CAD" w:rsidRDefault="0039020F" w:rsidP="001B7B6C">
            <w:pPr>
              <w:pStyle w:val="TableText"/>
              <w:rPr>
                <w:rFonts w:eastAsia="Calibri"/>
                <w:b/>
                <w:lang w:eastAsia="en-US"/>
              </w:rPr>
            </w:pPr>
            <w:r>
              <w:rPr>
                <w:rFonts w:eastAsia="Calibri"/>
                <w:b/>
                <w:lang w:eastAsia="en-US"/>
              </w:rPr>
              <w:t xml:space="preserve">Additional reduction required </w:t>
            </w:r>
            <w:r w:rsidR="00FD38D0">
              <w:rPr>
                <w:rFonts w:eastAsia="Calibri"/>
                <w:b/>
                <w:lang w:eastAsia="en-US"/>
              </w:rPr>
              <w:t xml:space="preserve">by </w:t>
            </w:r>
            <w:r>
              <w:rPr>
                <w:rFonts w:eastAsia="Calibri"/>
                <w:b/>
                <w:lang w:eastAsia="en-US"/>
              </w:rPr>
              <w:t xml:space="preserve">the proposed bottom-lines </w:t>
            </w:r>
            <w:r w:rsidR="001B7B6C">
              <w:rPr>
                <w:rFonts w:eastAsia="Calibri"/>
                <w:b/>
                <w:lang w:eastAsia="en-US"/>
              </w:rPr>
              <w:t>(DIN 2.4 mg/L)</w:t>
            </w:r>
          </w:p>
        </w:tc>
        <w:tc>
          <w:tcPr>
            <w:tcW w:w="1276" w:type="dxa"/>
          </w:tcPr>
          <w:p w14:paraId="245F6491" w14:textId="77777777" w:rsidR="001B7B6C" w:rsidRPr="00F72CAD" w:rsidRDefault="001B7B6C" w:rsidP="007217F5">
            <w:pPr>
              <w:pStyle w:val="TableText"/>
              <w:jc w:val="center"/>
              <w:rPr>
                <w:rFonts w:eastAsia="Calibri"/>
                <w:b/>
                <w:lang w:eastAsia="en-US"/>
              </w:rPr>
            </w:pPr>
            <w:r w:rsidRPr="001B7B6C">
              <w:rPr>
                <w:rFonts w:eastAsia="Calibri"/>
                <w:b/>
                <w:lang w:eastAsia="en-US"/>
              </w:rPr>
              <w:t>1,187</w:t>
            </w:r>
          </w:p>
        </w:tc>
        <w:tc>
          <w:tcPr>
            <w:tcW w:w="1275" w:type="dxa"/>
          </w:tcPr>
          <w:p w14:paraId="7AA1CD76" w14:textId="77777777" w:rsidR="001B7B6C" w:rsidRPr="00F72CAD" w:rsidRDefault="001B7B6C" w:rsidP="007217F5">
            <w:pPr>
              <w:pStyle w:val="TableText"/>
              <w:jc w:val="center"/>
              <w:rPr>
                <w:rFonts w:eastAsia="Calibri"/>
                <w:b/>
                <w:lang w:eastAsia="en-US"/>
              </w:rPr>
            </w:pPr>
          </w:p>
        </w:tc>
      </w:tr>
      <w:tr w:rsidR="001B7B6C" w:rsidRPr="006B77BB" w14:paraId="257FDCC0" w14:textId="77777777" w:rsidTr="006E08B4">
        <w:tc>
          <w:tcPr>
            <w:tcW w:w="1400" w:type="dxa"/>
            <w:vAlign w:val="center"/>
          </w:tcPr>
          <w:p w14:paraId="34CE3E10" w14:textId="3DA6176C" w:rsidR="001B7B6C" w:rsidRPr="00F72CAD" w:rsidRDefault="001B7B6C" w:rsidP="001B7B6C">
            <w:pPr>
              <w:pStyle w:val="TableText"/>
              <w:rPr>
                <w:rFonts w:eastAsia="Calibri"/>
                <w:lang w:eastAsia="en-US"/>
              </w:rPr>
            </w:pPr>
            <w:r w:rsidRPr="00F72CAD">
              <w:rPr>
                <w:rFonts w:eastAsia="Calibri"/>
                <w:lang w:eastAsia="en-US"/>
              </w:rPr>
              <w:t>30</w:t>
            </w:r>
            <w:r w:rsidR="008E40DC">
              <w:rPr>
                <w:rFonts w:eastAsia="Calibri"/>
                <w:lang w:eastAsia="en-US"/>
              </w:rPr>
              <w:t xml:space="preserve"> per cent</w:t>
            </w:r>
          </w:p>
        </w:tc>
        <w:tc>
          <w:tcPr>
            <w:tcW w:w="4554" w:type="dxa"/>
          </w:tcPr>
          <w:p w14:paraId="672FACD9" w14:textId="77777777" w:rsidR="001B7B6C" w:rsidRPr="00F72CAD" w:rsidRDefault="001B7B6C" w:rsidP="001B7B6C">
            <w:pPr>
              <w:pStyle w:val="TableText"/>
              <w:rPr>
                <w:rFonts w:eastAsia="Calibri"/>
                <w:b/>
                <w:lang w:eastAsia="en-US"/>
              </w:rPr>
            </w:pPr>
            <w:r w:rsidRPr="00F72CAD">
              <w:rPr>
                <w:rFonts w:eastAsia="Calibri"/>
                <w:lang w:eastAsia="en-US"/>
              </w:rPr>
              <w:t xml:space="preserve">Reduction under existing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p>
        </w:tc>
        <w:tc>
          <w:tcPr>
            <w:tcW w:w="1276" w:type="dxa"/>
          </w:tcPr>
          <w:p w14:paraId="2B06F426" w14:textId="77777777" w:rsidR="001B7B6C" w:rsidRPr="00F72CAD" w:rsidRDefault="001B7B6C" w:rsidP="007217F5">
            <w:pPr>
              <w:pStyle w:val="TableText"/>
              <w:jc w:val="center"/>
              <w:rPr>
                <w:rFonts w:eastAsia="Calibri"/>
                <w:b/>
                <w:lang w:eastAsia="en-US"/>
              </w:rPr>
            </w:pPr>
            <w:r w:rsidRPr="00F72CAD">
              <w:rPr>
                <w:rFonts w:eastAsia="Calibri"/>
                <w:lang w:eastAsia="en-US"/>
              </w:rPr>
              <w:t>*</w:t>
            </w:r>
            <w:r w:rsidRPr="001B7B6C">
              <w:rPr>
                <w:rFonts w:eastAsia="Calibri"/>
                <w:lang w:eastAsia="en-US"/>
              </w:rPr>
              <w:t xml:space="preserve"> 8,171</w:t>
            </w:r>
          </w:p>
        </w:tc>
        <w:tc>
          <w:tcPr>
            <w:tcW w:w="1275" w:type="dxa"/>
          </w:tcPr>
          <w:p w14:paraId="44D11E2F" w14:textId="77777777" w:rsidR="001B7B6C" w:rsidRPr="00F72CAD" w:rsidRDefault="001B7B6C" w:rsidP="007217F5">
            <w:pPr>
              <w:pStyle w:val="TableText"/>
              <w:jc w:val="center"/>
              <w:rPr>
                <w:rFonts w:eastAsia="Calibri"/>
                <w:b/>
                <w:lang w:eastAsia="en-US"/>
              </w:rPr>
            </w:pPr>
            <w:r w:rsidRPr="00F72CAD">
              <w:rPr>
                <w:rFonts w:eastAsia="Calibri"/>
                <w:lang w:eastAsia="en-US"/>
              </w:rPr>
              <w:t>*101</w:t>
            </w:r>
          </w:p>
        </w:tc>
      </w:tr>
      <w:tr w:rsidR="001B7B6C" w:rsidRPr="006B77BB" w14:paraId="11CCDB60" w14:textId="77777777" w:rsidTr="006E08B4">
        <w:tc>
          <w:tcPr>
            <w:tcW w:w="1400" w:type="dxa"/>
          </w:tcPr>
          <w:p w14:paraId="354465E7" w14:textId="77777777" w:rsidR="001B7B6C" w:rsidRPr="00F72CAD" w:rsidRDefault="001B7B6C" w:rsidP="001B7B6C">
            <w:pPr>
              <w:pStyle w:val="TableText"/>
              <w:rPr>
                <w:rFonts w:eastAsia="Calibri"/>
                <w:lang w:eastAsia="en-US"/>
              </w:rPr>
            </w:pPr>
          </w:p>
        </w:tc>
        <w:tc>
          <w:tcPr>
            <w:tcW w:w="4554" w:type="dxa"/>
          </w:tcPr>
          <w:p w14:paraId="1C061295" w14:textId="77777777" w:rsidR="001B7B6C" w:rsidRPr="00F72CAD" w:rsidRDefault="001B7B6C" w:rsidP="001B7B6C">
            <w:pPr>
              <w:pStyle w:val="TableText"/>
              <w:rPr>
                <w:rFonts w:eastAsia="Calibri"/>
                <w:lang w:eastAsia="en-US"/>
              </w:rPr>
            </w:pPr>
            <w:r w:rsidRPr="00F72CAD">
              <w:rPr>
                <w:rFonts w:eastAsia="Calibri"/>
                <w:lang w:eastAsia="en-US"/>
              </w:rPr>
              <w:t xml:space="preserve">Reduction under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r w:rsidR="00FD38D0" w:rsidRPr="00F72CAD">
              <w:rPr>
                <w:rFonts w:eastAsia="Calibri"/>
                <w:lang w:eastAsia="en-US"/>
              </w:rPr>
              <w:t xml:space="preserve"> </w:t>
            </w:r>
            <w:r w:rsidRPr="00F72CAD">
              <w:rPr>
                <w:rFonts w:eastAsia="Calibri"/>
                <w:lang w:eastAsia="en-US"/>
              </w:rPr>
              <w:t xml:space="preserve">with new </w:t>
            </w:r>
            <w:r w:rsidR="0067679D">
              <w:rPr>
                <w:rFonts w:eastAsia="Calibri"/>
                <w:lang w:eastAsia="en-US"/>
              </w:rPr>
              <w:t>bottom-line</w:t>
            </w:r>
            <w:r w:rsidRPr="00F72CAD">
              <w:rPr>
                <w:rFonts w:eastAsia="Calibri"/>
                <w:lang w:eastAsia="en-US"/>
              </w:rPr>
              <w:t>s</w:t>
            </w:r>
            <w:r w:rsidR="008E2D6C">
              <w:rPr>
                <w:rFonts w:eastAsia="Calibri"/>
                <w:lang w:eastAsia="en-US"/>
              </w:rPr>
              <w:t xml:space="preserve"> (DIN 1 mg/L</w:t>
            </w:r>
            <w:r w:rsidR="0039020F" w:rsidRPr="0039020F">
              <w:rPr>
                <w:rFonts w:eastAsia="Calibri"/>
                <w:lang w:eastAsia="en-US"/>
              </w:rPr>
              <w:t>; DRP 0.018 mg/L</w:t>
            </w:r>
            <w:r w:rsidR="008E2D6C">
              <w:rPr>
                <w:rFonts w:eastAsia="Calibri"/>
                <w:lang w:eastAsia="en-US"/>
              </w:rPr>
              <w:t>)</w:t>
            </w:r>
          </w:p>
        </w:tc>
        <w:tc>
          <w:tcPr>
            <w:tcW w:w="1276" w:type="dxa"/>
          </w:tcPr>
          <w:p w14:paraId="3003926E" w14:textId="77777777" w:rsidR="001B7B6C" w:rsidRPr="00F72CAD" w:rsidRDefault="001B7B6C" w:rsidP="007217F5">
            <w:pPr>
              <w:pStyle w:val="TableText"/>
              <w:jc w:val="center"/>
              <w:rPr>
                <w:rFonts w:eastAsia="Calibri"/>
                <w:lang w:eastAsia="en-US"/>
              </w:rPr>
            </w:pPr>
            <w:r w:rsidRPr="00F72CAD">
              <w:rPr>
                <w:rFonts w:eastAsia="Calibri"/>
                <w:lang w:eastAsia="en-US"/>
              </w:rPr>
              <w:t>*</w:t>
            </w:r>
            <w:r w:rsidR="008E2D6C">
              <w:rPr>
                <w:rFonts w:eastAsia="Calibri"/>
                <w:lang w:eastAsia="en-US"/>
              </w:rPr>
              <w:t>18,961</w:t>
            </w:r>
          </w:p>
        </w:tc>
        <w:tc>
          <w:tcPr>
            <w:tcW w:w="1275" w:type="dxa"/>
          </w:tcPr>
          <w:p w14:paraId="14155790" w14:textId="77777777" w:rsidR="001B7B6C" w:rsidRPr="00F72CAD" w:rsidRDefault="001B7B6C" w:rsidP="007217F5">
            <w:pPr>
              <w:pStyle w:val="TableText"/>
              <w:jc w:val="center"/>
              <w:rPr>
                <w:rFonts w:eastAsia="Calibri"/>
                <w:lang w:eastAsia="en-US"/>
              </w:rPr>
            </w:pPr>
            <w:r w:rsidRPr="00F72CAD">
              <w:rPr>
                <w:rFonts w:eastAsia="Calibri"/>
                <w:lang w:eastAsia="en-US"/>
              </w:rPr>
              <w:t>*1,254</w:t>
            </w:r>
          </w:p>
        </w:tc>
      </w:tr>
      <w:tr w:rsidR="001B7B6C" w:rsidRPr="006B77BB" w14:paraId="1AE3360F" w14:textId="77777777" w:rsidTr="006E08B4">
        <w:tc>
          <w:tcPr>
            <w:tcW w:w="1400" w:type="dxa"/>
          </w:tcPr>
          <w:p w14:paraId="7B089DDB" w14:textId="77777777" w:rsidR="001B7B6C" w:rsidRPr="00F72CAD" w:rsidRDefault="001B7B6C" w:rsidP="001B7B6C">
            <w:pPr>
              <w:pStyle w:val="TableText"/>
              <w:rPr>
                <w:rFonts w:eastAsia="Calibri"/>
                <w:lang w:eastAsia="en-US"/>
              </w:rPr>
            </w:pPr>
          </w:p>
        </w:tc>
        <w:tc>
          <w:tcPr>
            <w:tcW w:w="4554" w:type="dxa"/>
          </w:tcPr>
          <w:p w14:paraId="149CCC4D" w14:textId="77777777" w:rsidR="001B7B6C" w:rsidRPr="00F72CAD" w:rsidRDefault="0039020F" w:rsidP="001B7B6C">
            <w:pPr>
              <w:pStyle w:val="TableText"/>
              <w:rPr>
                <w:rFonts w:eastAsia="Calibri"/>
                <w:lang w:eastAsia="en-US"/>
              </w:rPr>
            </w:pPr>
            <w:r>
              <w:rPr>
                <w:rFonts w:eastAsia="Calibri"/>
                <w:b/>
                <w:lang w:eastAsia="en-US"/>
              </w:rPr>
              <w:t xml:space="preserve">Additional reduction required </w:t>
            </w:r>
            <w:r w:rsidR="00FD38D0">
              <w:rPr>
                <w:rFonts w:eastAsia="Calibri"/>
                <w:b/>
                <w:lang w:eastAsia="en-US"/>
              </w:rPr>
              <w:t xml:space="preserve">by </w:t>
            </w:r>
            <w:r>
              <w:rPr>
                <w:rFonts w:eastAsia="Calibri"/>
                <w:b/>
                <w:lang w:eastAsia="en-US"/>
              </w:rPr>
              <w:t xml:space="preserve">the proposed bottom-lines </w:t>
            </w:r>
            <w:r w:rsidR="008E2D6C" w:rsidRPr="0039020F">
              <w:rPr>
                <w:rFonts w:eastAsia="Calibri"/>
                <w:b/>
                <w:lang w:eastAsia="en-US"/>
              </w:rPr>
              <w:t>(DIN 1 mg/L</w:t>
            </w:r>
            <w:r>
              <w:rPr>
                <w:rFonts w:eastAsia="Calibri"/>
                <w:b/>
                <w:lang w:eastAsia="en-US"/>
              </w:rPr>
              <w:t>; DRP 0.018 mg/L</w:t>
            </w:r>
            <w:r w:rsidR="008E2D6C" w:rsidRPr="0039020F">
              <w:rPr>
                <w:rFonts w:eastAsia="Calibri"/>
                <w:b/>
                <w:lang w:eastAsia="en-US"/>
              </w:rPr>
              <w:t>)</w:t>
            </w:r>
          </w:p>
        </w:tc>
        <w:tc>
          <w:tcPr>
            <w:tcW w:w="1276" w:type="dxa"/>
          </w:tcPr>
          <w:p w14:paraId="5E56759F" w14:textId="77777777" w:rsidR="001B7B6C" w:rsidRPr="00F72CAD" w:rsidRDefault="008E2D6C" w:rsidP="007217F5">
            <w:pPr>
              <w:pStyle w:val="TableText"/>
              <w:jc w:val="center"/>
              <w:rPr>
                <w:rFonts w:eastAsia="Calibri"/>
                <w:lang w:eastAsia="en-US"/>
              </w:rPr>
            </w:pPr>
            <w:r>
              <w:rPr>
                <w:rFonts w:eastAsia="Calibri"/>
                <w:b/>
                <w:lang w:eastAsia="en-US"/>
              </w:rPr>
              <w:t>10,790</w:t>
            </w:r>
          </w:p>
        </w:tc>
        <w:tc>
          <w:tcPr>
            <w:tcW w:w="1275" w:type="dxa"/>
          </w:tcPr>
          <w:p w14:paraId="35EB31D3" w14:textId="77777777" w:rsidR="001B7B6C" w:rsidRPr="00F72CAD" w:rsidRDefault="001B7B6C" w:rsidP="007217F5">
            <w:pPr>
              <w:pStyle w:val="TableText"/>
              <w:jc w:val="center"/>
              <w:rPr>
                <w:rFonts w:eastAsia="Calibri"/>
                <w:lang w:eastAsia="en-US"/>
              </w:rPr>
            </w:pPr>
            <w:r w:rsidRPr="00F72CAD">
              <w:rPr>
                <w:rFonts w:eastAsia="Calibri"/>
                <w:b/>
                <w:lang w:eastAsia="en-US"/>
              </w:rPr>
              <w:t>1,153</w:t>
            </w:r>
          </w:p>
        </w:tc>
      </w:tr>
      <w:tr w:rsidR="001B7B6C" w:rsidRPr="006B77BB" w14:paraId="2025FC01" w14:textId="77777777" w:rsidTr="006E08B4">
        <w:tc>
          <w:tcPr>
            <w:tcW w:w="1400" w:type="dxa"/>
          </w:tcPr>
          <w:p w14:paraId="199D9F17" w14:textId="77777777" w:rsidR="001B7B6C" w:rsidRPr="00F72CAD" w:rsidRDefault="001B7B6C" w:rsidP="001B7B6C">
            <w:pPr>
              <w:pStyle w:val="TableText"/>
              <w:rPr>
                <w:rFonts w:eastAsia="Calibri"/>
                <w:lang w:eastAsia="en-US"/>
              </w:rPr>
            </w:pPr>
          </w:p>
        </w:tc>
        <w:tc>
          <w:tcPr>
            <w:tcW w:w="4554" w:type="dxa"/>
          </w:tcPr>
          <w:p w14:paraId="4EECED54" w14:textId="77777777" w:rsidR="001B7B6C" w:rsidRPr="00F72CAD" w:rsidRDefault="001B7B6C" w:rsidP="001B7B6C">
            <w:pPr>
              <w:pStyle w:val="TableText"/>
              <w:rPr>
                <w:rFonts w:eastAsia="Calibri"/>
                <w:b/>
                <w:lang w:eastAsia="en-US"/>
              </w:rPr>
            </w:pPr>
            <w:r w:rsidRPr="00F72CAD">
              <w:rPr>
                <w:rFonts w:eastAsia="Calibri"/>
                <w:lang w:eastAsia="en-US"/>
              </w:rPr>
              <w:t xml:space="preserve">Reduction under </w:t>
            </w:r>
            <w:r w:rsidR="00FD38D0">
              <w:rPr>
                <w:rFonts w:eastAsia="Calibri"/>
                <w:lang w:eastAsia="en-US"/>
              </w:rPr>
              <w:t xml:space="preserve">2017 </w:t>
            </w:r>
            <w:r w:rsidR="00FD38D0" w:rsidRPr="00F72CAD">
              <w:rPr>
                <w:rFonts w:eastAsia="Calibri"/>
                <w:lang w:eastAsia="en-US"/>
              </w:rPr>
              <w:t>NPS</w:t>
            </w:r>
            <w:r w:rsidR="00FD38D0">
              <w:rPr>
                <w:rFonts w:eastAsia="Calibri"/>
                <w:lang w:eastAsia="en-US"/>
              </w:rPr>
              <w:t>-FM</w:t>
            </w:r>
            <w:r w:rsidR="00FD38D0" w:rsidRPr="00F72CAD">
              <w:rPr>
                <w:rFonts w:eastAsia="Calibri"/>
                <w:lang w:eastAsia="en-US"/>
              </w:rPr>
              <w:t xml:space="preserve"> </w:t>
            </w:r>
            <w:r w:rsidRPr="00F72CAD">
              <w:rPr>
                <w:rFonts w:eastAsia="Calibri"/>
                <w:lang w:eastAsia="en-US"/>
              </w:rPr>
              <w:t xml:space="preserve">with new </w:t>
            </w:r>
            <w:r w:rsidR="0067679D">
              <w:rPr>
                <w:rFonts w:eastAsia="Calibri"/>
                <w:lang w:eastAsia="en-US"/>
              </w:rPr>
              <w:t>bottom-line</w:t>
            </w:r>
            <w:r w:rsidRPr="00F72CAD">
              <w:rPr>
                <w:rFonts w:eastAsia="Calibri"/>
                <w:lang w:eastAsia="en-US"/>
              </w:rPr>
              <w:t>s</w:t>
            </w:r>
            <w:r>
              <w:rPr>
                <w:rFonts w:eastAsia="Calibri"/>
                <w:lang w:eastAsia="en-US"/>
              </w:rPr>
              <w:t xml:space="preserve"> (DIN 2.4 mg/L)</w:t>
            </w:r>
          </w:p>
        </w:tc>
        <w:tc>
          <w:tcPr>
            <w:tcW w:w="1276" w:type="dxa"/>
          </w:tcPr>
          <w:p w14:paraId="72597D4A" w14:textId="77777777" w:rsidR="001B7B6C" w:rsidRPr="00F72CAD" w:rsidRDefault="001B7B6C" w:rsidP="007217F5">
            <w:pPr>
              <w:pStyle w:val="TableText"/>
              <w:jc w:val="center"/>
              <w:rPr>
                <w:rFonts w:eastAsia="Calibri"/>
                <w:b/>
                <w:lang w:eastAsia="en-US"/>
              </w:rPr>
            </w:pPr>
            <w:r>
              <w:rPr>
                <w:rFonts w:eastAsia="Calibri"/>
                <w:b/>
                <w:lang w:eastAsia="en-US"/>
              </w:rPr>
              <w:t>*</w:t>
            </w:r>
            <w:r w:rsidRPr="001B7B6C">
              <w:rPr>
                <w:rFonts w:eastAsia="Calibri"/>
                <w:b/>
                <w:lang w:eastAsia="en-US"/>
              </w:rPr>
              <w:t>9,500</w:t>
            </w:r>
          </w:p>
        </w:tc>
        <w:tc>
          <w:tcPr>
            <w:tcW w:w="1275" w:type="dxa"/>
          </w:tcPr>
          <w:p w14:paraId="6E286E8D" w14:textId="77777777" w:rsidR="001B7B6C" w:rsidRPr="00F72CAD" w:rsidRDefault="001B7B6C" w:rsidP="007217F5">
            <w:pPr>
              <w:pStyle w:val="TableText"/>
              <w:jc w:val="center"/>
              <w:rPr>
                <w:rFonts w:eastAsia="Calibri"/>
                <w:b/>
                <w:lang w:eastAsia="en-US"/>
              </w:rPr>
            </w:pPr>
          </w:p>
        </w:tc>
      </w:tr>
      <w:tr w:rsidR="001B7B6C" w:rsidRPr="006B77BB" w14:paraId="3756E087" w14:textId="77777777" w:rsidTr="006E08B4">
        <w:tc>
          <w:tcPr>
            <w:tcW w:w="1400" w:type="dxa"/>
          </w:tcPr>
          <w:p w14:paraId="6C4171AD" w14:textId="77777777" w:rsidR="001B7B6C" w:rsidRPr="00F72CAD" w:rsidRDefault="001B7B6C" w:rsidP="001B7B6C">
            <w:pPr>
              <w:pStyle w:val="TableText"/>
              <w:rPr>
                <w:rFonts w:eastAsia="Calibri"/>
                <w:lang w:eastAsia="en-US"/>
              </w:rPr>
            </w:pPr>
          </w:p>
        </w:tc>
        <w:tc>
          <w:tcPr>
            <w:tcW w:w="4554" w:type="dxa"/>
          </w:tcPr>
          <w:p w14:paraId="25B2E659" w14:textId="77777777" w:rsidR="001B7B6C" w:rsidRPr="00F72CAD" w:rsidRDefault="0039020F" w:rsidP="001B7B6C">
            <w:pPr>
              <w:pStyle w:val="TableText"/>
              <w:rPr>
                <w:rFonts w:eastAsia="Calibri"/>
                <w:b/>
                <w:lang w:eastAsia="en-US"/>
              </w:rPr>
            </w:pPr>
            <w:r>
              <w:rPr>
                <w:rFonts w:eastAsia="Calibri"/>
                <w:b/>
                <w:lang w:eastAsia="en-US"/>
              </w:rPr>
              <w:t xml:space="preserve">Additional reduction required </w:t>
            </w:r>
            <w:r w:rsidR="00FD38D0">
              <w:rPr>
                <w:rFonts w:eastAsia="Calibri"/>
                <w:b/>
                <w:lang w:eastAsia="en-US"/>
              </w:rPr>
              <w:t xml:space="preserve">by </w:t>
            </w:r>
            <w:r>
              <w:rPr>
                <w:rFonts w:eastAsia="Calibri"/>
                <w:b/>
                <w:lang w:eastAsia="en-US"/>
              </w:rPr>
              <w:t xml:space="preserve">the proposed bottom-lines </w:t>
            </w:r>
            <w:r w:rsidR="001B7B6C">
              <w:rPr>
                <w:rFonts w:eastAsia="Calibri"/>
                <w:b/>
                <w:lang w:eastAsia="en-US"/>
              </w:rPr>
              <w:t>(DIN 2.4 mg/L)</w:t>
            </w:r>
          </w:p>
        </w:tc>
        <w:tc>
          <w:tcPr>
            <w:tcW w:w="1276" w:type="dxa"/>
          </w:tcPr>
          <w:p w14:paraId="5B3B9868" w14:textId="77777777" w:rsidR="001B7B6C" w:rsidRPr="00F72CAD" w:rsidRDefault="001B7B6C" w:rsidP="007217F5">
            <w:pPr>
              <w:pStyle w:val="TableText"/>
              <w:jc w:val="center"/>
              <w:rPr>
                <w:rFonts w:eastAsia="Calibri"/>
                <w:b/>
                <w:lang w:eastAsia="en-US"/>
              </w:rPr>
            </w:pPr>
            <w:r w:rsidRPr="001B7B6C">
              <w:rPr>
                <w:rFonts w:eastAsia="Calibri"/>
                <w:b/>
                <w:lang w:eastAsia="en-US"/>
              </w:rPr>
              <w:t>1,328</w:t>
            </w:r>
          </w:p>
        </w:tc>
        <w:tc>
          <w:tcPr>
            <w:tcW w:w="1275" w:type="dxa"/>
          </w:tcPr>
          <w:p w14:paraId="1852B0D7" w14:textId="77777777" w:rsidR="001B7B6C" w:rsidRPr="00F72CAD" w:rsidRDefault="001B7B6C" w:rsidP="007217F5">
            <w:pPr>
              <w:pStyle w:val="TableText"/>
              <w:jc w:val="center"/>
              <w:rPr>
                <w:rFonts w:eastAsia="Calibri"/>
                <w:b/>
                <w:lang w:eastAsia="en-US"/>
              </w:rPr>
            </w:pPr>
          </w:p>
        </w:tc>
      </w:tr>
    </w:tbl>
    <w:p w14:paraId="1AF06C45" w14:textId="77777777" w:rsidR="000B02AB" w:rsidRPr="00F72CAD" w:rsidRDefault="000B02AB" w:rsidP="00D2490F">
      <w:pPr>
        <w:pStyle w:val="BodyText"/>
        <w:rPr>
          <w:lang w:eastAsia="en-US"/>
        </w:rPr>
      </w:pPr>
    </w:p>
    <w:p w14:paraId="17E79AE5" w14:textId="77777777" w:rsidR="00875AFA" w:rsidRPr="006B77BB" w:rsidRDefault="00875AFA" w:rsidP="00875AFA">
      <w:pPr>
        <w:pStyle w:val="Heading1"/>
        <w:tabs>
          <w:tab w:val="clear" w:pos="851"/>
        </w:tabs>
      </w:pPr>
      <w:bookmarkStart w:id="191" w:name="_Toc39145251"/>
      <w:bookmarkStart w:id="192" w:name="_Toc40949875"/>
      <w:r w:rsidRPr="006B77BB">
        <w:lastRenderedPageBreak/>
        <w:t>References</w:t>
      </w:r>
      <w:bookmarkEnd w:id="191"/>
      <w:bookmarkEnd w:id="192"/>
    </w:p>
    <w:p w14:paraId="2B2E0CB3" w14:textId="77777777" w:rsidR="00875AFA" w:rsidRDefault="00875AFA" w:rsidP="007217F5">
      <w:pPr>
        <w:pStyle w:val="References"/>
      </w:pPr>
      <w:r>
        <w:t>Elliott, A.H., Semadeni-Davies, A.F., Shankar, U., Zeldis, J.R., Wheeler, D.M., Plew, D.R., Rys, G.J., Harris, S.R. 2016a</w:t>
      </w:r>
      <w:r w:rsidR="00D877B1">
        <w:t>.</w:t>
      </w:r>
      <w:r>
        <w:t xml:space="preserve"> A national-scale GIS-based system for modelling impacts of land use on water quality. </w:t>
      </w:r>
      <w:r w:rsidRPr="00D2490F">
        <w:rPr>
          <w:i/>
          <w:iCs/>
        </w:rPr>
        <w:t>Environmental Modelling &amp; Software</w:t>
      </w:r>
      <w:r>
        <w:t xml:space="preserve"> 86: 131</w:t>
      </w:r>
      <w:r w:rsidR="00D2490F">
        <w:t>–</w:t>
      </w:r>
      <w:r>
        <w:t>144. http://dx.doi.org/10.1016/j.envsoft.2016.09.011</w:t>
      </w:r>
    </w:p>
    <w:p w14:paraId="20A9E9C6" w14:textId="77777777" w:rsidR="00875AFA" w:rsidRDefault="00875AFA" w:rsidP="00875AFA">
      <w:pPr>
        <w:pStyle w:val="References"/>
      </w:pPr>
      <w:r>
        <w:t>Elliott, S., Wadhwa, S., Whitehead, A., Snelder, T., Muirhead, R., Monaghan, R. 2016b</w:t>
      </w:r>
      <w:r w:rsidR="00D877B1">
        <w:t>.</w:t>
      </w:r>
      <w:r>
        <w:t xml:space="preserve"> </w:t>
      </w:r>
      <w:r w:rsidRPr="0074679E">
        <w:rPr>
          <w:i/>
          <w:iCs/>
        </w:rPr>
        <w:t>Modelling national land-use capacity</w:t>
      </w:r>
      <w:r w:rsidR="0074679E">
        <w:rPr>
          <w:i/>
          <w:iCs/>
        </w:rPr>
        <w:t>:</w:t>
      </w:r>
      <w:r w:rsidRPr="0074679E">
        <w:rPr>
          <w:i/>
          <w:iCs/>
        </w:rPr>
        <w:t xml:space="preserve"> Exploring </w:t>
      </w:r>
      <w:r w:rsidR="0067679D" w:rsidRPr="0074679E">
        <w:rPr>
          <w:i/>
          <w:iCs/>
        </w:rPr>
        <w:t>bottom-line</w:t>
      </w:r>
      <w:r w:rsidRPr="0074679E">
        <w:rPr>
          <w:i/>
          <w:iCs/>
        </w:rPr>
        <w:t>s and headroom under the NPS-FM 2014</w:t>
      </w:r>
      <w:r>
        <w:t>. Update Report. October 2016. NIWA Client Report No: 2016103HN, National Institute of Water and Atmospheric Research.</w:t>
      </w:r>
    </w:p>
    <w:p w14:paraId="317A13FE" w14:textId="77777777" w:rsidR="00D877B1" w:rsidRDefault="00D877B1" w:rsidP="00D877B1">
      <w:pPr>
        <w:pStyle w:val="References"/>
      </w:pPr>
      <w:r>
        <w:t>Elliott, A.H., Snelder, T.H., Muirhead, R.W., Monaghan, R.M., Whitehead, A.L., Bermeo-Alvear, S.A., Howarth, C.J. 2020. A heuristic method for determining changes of source loads to comply with water quality limits in catchm</w:t>
      </w:r>
      <w:r w:rsidR="001423D3">
        <w:t xml:space="preserve">ents. </w:t>
      </w:r>
      <w:r w:rsidR="001423D3" w:rsidRPr="0074679E">
        <w:rPr>
          <w:i/>
          <w:iCs/>
        </w:rPr>
        <w:t>Environmental Management</w:t>
      </w:r>
      <w:r w:rsidR="001423D3">
        <w:t xml:space="preserve"> </w:t>
      </w:r>
      <w:r w:rsidR="001423D3" w:rsidRPr="001423D3">
        <w:t>65</w:t>
      </w:r>
      <w:r w:rsidR="0074679E">
        <w:t>:</w:t>
      </w:r>
      <w:r w:rsidR="001423D3" w:rsidRPr="001423D3">
        <w:t xml:space="preserve"> 272–285</w:t>
      </w:r>
      <w:r w:rsidR="00836B43">
        <w:t>.</w:t>
      </w:r>
    </w:p>
    <w:p w14:paraId="335DC08E" w14:textId="77777777" w:rsidR="00875AFA" w:rsidRDefault="00875AFA" w:rsidP="00875AFA">
      <w:pPr>
        <w:pStyle w:val="References"/>
      </w:pPr>
      <w:r>
        <w:t>Fraser, C., Snelder, T. 2019</w:t>
      </w:r>
      <w:r w:rsidR="00D877B1">
        <w:t>.</w:t>
      </w:r>
      <w:r>
        <w:t xml:space="preserve"> </w:t>
      </w:r>
      <w:r w:rsidRPr="00836B43">
        <w:rPr>
          <w:i/>
          <w:iCs/>
        </w:rPr>
        <w:t>Spatial modelling of lake water quality state Incorporating monitoring data for the period 2013 to 2017</w:t>
      </w:r>
      <w:r>
        <w:t>. LWP Client Report 2018-16, Land Water People.</w:t>
      </w:r>
    </w:p>
    <w:p w14:paraId="2EB0D3CA" w14:textId="77777777" w:rsidR="00DA353E" w:rsidRDefault="00DA353E" w:rsidP="00DA353E">
      <w:pPr>
        <w:pStyle w:val="References"/>
      </w:pPr>
      <w:r>
        <w:t>Larned, S., Whitehead, A., Fraser, C., Snelder, T., Yang, J. 2018a</w:t>
      </w:r>
      <w:r w:rsidR="00D877B1">
        <w:t>.</w:t>
      </w:r>
      <w:r>
        <w:t xml:space="preserve"> </w:t>
      </w:r>
      <w:r w:rsidRPr="00836B43">
        <w:rPr>
          <w:i/>
          <w:iCs/>
        </w:rPr>
        <w:t>Water quality state and trends in New Zealand</w:t>
      </w:r>
      <w:r w:rsidR="00836B43">
        <w:rPr>
          <w:i/>
          <w:iCs/>
        </w:rPr>
        <w:t xml:space="preserve"> </w:t>
      </w:r>
      <w:r w:rsidRPr="00836B43">
        <w:rPr>
          <w:i/>
          <w:iCs/>
        </w:rPr>
        <w:t xml:space="preserve">rivers: </w:t>
      </w:r>
      <w:r w:rsidR="00836B43">
        <w:rPr>
          <w:i/>
          <w:iCs/>
        </w:rPr>
        <w:t>A</w:t>
      </w:r>
      <w:r w:rsidRPr="00836B43">
        <w:rPr>
          <w:i/>
          <w:iCs/>
        </w:rPr>
        <w:t>nalyses of national data ending in 2017</w:t>
      </w:r>
      <w:r>
        <w:t>. Ministry for the Environment.</w:t>
      </w:r>
    </w:p>
    <w:p w14:paraId="50B9BBCE" w14:textId="77777777" w:rsidR="00875AFA" w:rsidRDefault="00875AFA" w:rsidP="00875AFA">
      <w:pPr>
        <w:pStyle w:val="References"/>
      </w:pPr>
      <w:r>
        <w:t>Larned, S., Snelder, T., Whitehead, A., Fraser, C. 2018</w:t>
      </w:r>
      <w:r w:rsidR="00DA353E">
        <w:t>b</w:t>
      </w:r>
      <w:r w:rsidR="00D877B1">
        <w:t>.</w:t>
      </w:r>
      <w:r>
        <w:t xml:space="preserve"> </w:t>
      </w:r>
      <w:r w:rsidRPr="00836B43">
        <w:rPr>
          <w:i/>
          <w:iCs/>
        </w:rPr>
        <w:t xml:space="preserve">Water quality state and trends in New Zealand lakes: </w:t>
      </w:r>
      <w:r w:rsidR="00836B43">
        <w:rPr>
          <w:i/>
          <w:iCs/>
        </w:rPr>
        <w:t>A</w:t>
      </w:r>
      <w:r w:rsidRPr="00836B43">
        <w:rPr>
          <w:i/>
          <w:iCs/>
        </w:rPr>
        <w:t>nalyses of national data ending in 2017</w:t>
      </w:r>
      <w:r>
        <w:t>. Ministry for the Environment.</w:t>
      </w:r>
    </w:p>
    <w:p w14:paraId="0066BC5C" w14:textId="77777777" w:rsidR="00875AFA" w:rsidRDefault="00875AFA" w:rsidP="00875AFA">
      <w:pPr>
        <w:pStyle w:val="References"/>
      </w:pPr>
      <w:r>
        <w:t>Ministry for the Environment</w:t>
      </w:r>
      <w:r w:rsidR="00D877B1">
        <w:t xml:space="preserve">. </w:t>
      </w:r>
      <w:r>
        <w:t>2019</w:t>
      </w:r>
      <w:r w:rsidR="00D877B1">
        <w:t>.</w:t>
      </w:r>
      <w:r>
        <w:t xml:space="preserve"> </w:t>
      </w:r>
      <w:r w:rsidRPr="00836B43">
        <w:rPr>
          <w:i/>
          <w:iCs/>
        </w:rPr>
        <w:t xml:space="preserve">Essential Freshwater: Impact of existing periphyton and proposed dissolved inorganic nitrogen </w:t>
      </w:r>
      <w:r w:rsidR="0067679D" w:rsidRPr="00836B43">
        <w:rPr>
          <w:i/>
          <w:iCs/>
        </w:rPr>
        <w:t>bottom-line</w:t>
      </w:r>
      <w:r w:rsidRPr="00836B43">
        <w:rPr>
          <w:i/>
          <w:iCs/>
        </w:rPr>
        <w:t>s</w:t>
      </w:r>
      <w:r>
        <w:t>. Ministry for the Environment.</w:t>
      </w:r>
    </w:p>
    <w:p w14:paraId="0054C5D4" w14:textId="77777777" w:rsidR="00D877B1" w:rsidRDefault="00D877B1" w:rsidP="00875AFA">
      <w:pPr>
        <w:pStyle w:val="References"/>
      </w:pPr>
      <w:r>
        <w:t xml:space="preserve">Ministry for the Environment. 2020. </w:t>
      </w:r>
      <w:r w:rsidR="00B17CE0" w:rsidRPr="000E4C98">
        <w:rPr>
          <w:i/>
          <w:iCs/>
        </w:rPr>
        <w:t xml:space="preserve">Action for healthy waterways: </w:t>
      </w:r>
      <w:r w:rsidRPr="000E4C98">
        <w:rPr>
          <w:i/>
          <w:iCs/>
        </w:rPr>
        <w:t>Regulatory Impact Analysis: Part II Detailed Analysis</w:t>
      </w:r>
      <w:r>
        <w:t>. Ministry for the Environment.</w:t>
      </w:r>
    </w:p>
    <w:p w14:paraId="4F361688" w14:textId="77777777" w:rsidR="00875AFA" w:rsidRDefault="00875AFA" w:rsidP="000E4C98">
      <w:pPr>
        <w:pStyle w:val="References"/>
      </w:pPr>
      <w:r>
        <w:t>Semadeni-Davies, A., Jones-Todd, C., Srinivasan, M., Muirhead, R., Elliott, A., Shankar, U., Tanner, C. 2020</w:t>
      </w:r>
      <w:r w:rsidR="00D877B1">
        <w:t>.</w:t>
      </w:r>
      <w:r>
        <w:t xml:space="preserve"> CLUES </w:t>
      </w:r>
      <w:r w:rsidRPr="000E4C98">
        <w:t>model</w:t>
      </w:r>
      <w:r>
        <w:t xml:space="preserve"> calibration and its implications for estimating contaminant attenuation. </w:t>
      </w:r>
      <w:r w:rsidRPr="000E4C98">
        <w:rPr>
          <w:i/>
          <w:iCs/>
        </w:rPr>
        <w:t>Agricultural Water Management</w:t>
      </w:r>
      <w:r>
        <w:t xml:space="preserve"> 228: 105853. </w:t>
      </w:r>
    </w:p>
    <w:p w14:paraId="690B3050" w14:textId="77777777" w:rsidR="00875AFA" w:rsidRDefault="00875AFA" w:rsidP="00875AFA">
      <w:pPr>
        <w:pStyle w:val="References"/>
      </w:pPr>
      <w:r>
        <w:t>Semadeni-Davies, A.F., Jones-Todd, C.M., Srinivasan, M.S., Muirhead, R.W., Elliott, A.H., Shankar, U., Tanner, C.C. 2019</w:t>
      </w:r>
      <w:r w:rsidR="00D877B1">
        <w:t>.</w:t>
      </w:r>
      <w:r>
        <w:t xml:space="preserve"> CLUES model calibration: residual analysis to investigate potential sources of model error. </w:t>
      </w:r>
      <w:r w:rsidRPr="000E4C98">
        <w:rPr>
          <w:i/>
          <w:iCs/>
        </w:rPr>
        <w:t>New Zealand Journal of Agricultural Research</w:t>
      </w:r>
      <w:r>
        <w:t xml:space="preserve"> 10.1080/00288233.2019.1697708</w:t>
      </w:r>
      <w:r w:rsidR="000E4C98">
        <w:t>.</w:t>
      </w:r>
    </w:p>
    <w:p w14:paraId="6D496E3D" w14:textId="77777777" w:rsidR="0078509A" w:rsidRDefault="00875AFA" w:rsidP="00875AFA">
      <w:pPr>
        <w:pStyle w:val="References"/>
      </w:pPr>
      <w:r>
        <w:t>Snelder, T.H., Moore, C., Kilroy, C. 2019</w:t>
      </w:r>
      <w:r w:rsidR="00D877B1">
        <w:t>.</w:t>
      </w:r>
      <w:r>
        <w:t xml:space="preserve"> Nutrient Concentration Targets to Achieve Periphyton Biomass Objectives Incorporating Uncertainties. </w:t>
      </w:r>
      <w:r w:rsidRPr="00214AA1">
        <w:rPr>
          <w:i/>
          <w:iCs/>
        </w:rPr>
        <w:t>Journal of the American Water Resources Association</w:t>
      </w:r>
      <w:r>
        <w:t>. 10.1111/1752-1688.12794</w:t>
      </w:r>
      <w:r w:rsidR="00214AA1">
        <w:t>.</w:t>
      </w:r>
    </w:p>
    <w:p w14:paraId="3516F9B2" w14:textId="77777777" w:rsidR="00BC21BD" w:rsidRDefault="00BC21BD" w:rsidP="00875AFA">
      <w:pPr>
        <w:pStyle w:val="References"/>
      </w:pPr>
    </w:p>
    <w:p w14:paraId="4D75EBEB" w14:textId="77777777" w:rsidR="006D73D5" w:rsidRPr="006D73D5" w:rsidRDefault="006D73D5" w:rsidP="006D73D5">
      <w:pPr>
        <w:pStyle w:val="BodyText"/>
      </w:pPr>
      <w:bookmarkStart w:id="193" w:name="_Toc39145252"/>
      <w:r w:rsidRPr="006D73D5">
        <w:br w:type="page"/>
      </w:r>
    </w:p>
    <w:p w14:paraId="3FE8706F" w14:textId="77777777" w:rsidR="00875AFA" w:rsidRDefault="00C23155" w:rsidP="0078509A">
      <w:pPr>
        <w:pStyle w:val="Heading1"/>
      </w:pPr>
      <w:bookmarkStart w:id="194" w:name="_Toc40949876"/>
      <w:r w:rsidRPr="0078509A">
        <w:rPr>
          <w:rFonts w:ascii="Cambria" w:eastAsia="Times New Roman" w:hAnsi="Cambria" w:cs="Times New Roman"/>
          <w:noProof/>
          <w:color w:val="808080"/>
          <w:spacing w:val="5"/>
          <w:sz w:val="56"/>
          <w:szCs w:val="52"/>
        </w:rPr>
        <w:lastRenderedPageBreak/>
        <w:drawing>
          <wp:anchor distT="0" distB="0" distL="114300" distR="114300" simplePos="0" relativeHeight="251658240" behindDoc="0" locked="0" layoutInCell="1" allowOverlap="1" wp14:anchorId="2AAED2F8" wp14:editId="0FE041F3">
            <wp:simplePos x="0" y="0"/>
            <wp:positionH relativeFrom="margin">
              <wp:align>right</wp:align>
            </wp:positionH>
            <wp:positionV relativeFrom="paragraph">
              <wp:posOffset>744509</wp:posOffset>
            </wp:positionV>
            <wp:extent cx="2209165" cy="971550"/>
            <wp:effectExtent l="0" t="0" r="63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165" cy="971550"/>
                    </a:xfrm>
                    <a:prstGeom prst="rect">
                      <a:avLst/>
                    </a:prstGeom>
                    <a:noFill/>
                  </pic:spPr>
                </pic:pic>
              </a:graphicData>
            </a:graphic>
            <wp14:sizeRelH relativeFrom="page">
              <wp14:pctWidth>0</wp14:pctWidth>
            </wp14:sizeRelH>
            <wp14:sizeRelV relativeFrom="page">
              <wp14:pctHeight>0</wp14:pctHeight>
            </wp14:sizeRelV>
          </wp:anchor>
        </w:drawing>
      </w:r>
      <w:r w:rsidR="0078509A">
        <w:t>Appendix 1: Spatial exceedance criteria for periphyton</w:t>
      </w:r>
      <w:bookmarkEnd w:id="193"/>
      <w:bookmarkEnd w:id="194"/>
    </w:p>
    <w:p w14:paraId="532E38E6" w14:textId="77777777" w:rsidR="0078509A" w:rsidRPr="0078509A" w:rsidRDefault="0078509A" w:rsidP="0078509A">
      <w:pPr>
        <w:pStyle w:val="BodyText"/>
      </w:pPr>
    </w:p>
    <w:p w14:paraId="2F49C2F2" w14:textId="77777777" w:rsidR="0078509A" w:rsidRPr="0078509A" w:rsidRDefault="0078509A" w:rsidP="0078509A">
      <w:pPr>
        <w:pBdr>
          <w:bottom w:val="single" w:sz="8" w:space="1" w:color="808080"/>
        </w:pBdr>
        <w:spacing w:before="0" w:after="200" w:line="240" w:lineRule="auto"/>
        <w:contextualSpacing/>
        <w:jc w:val="left"/>
        <w:rPr>
          <w:rFonts w:ascii="Cambria" w:eastAsia="Times New Roman" w:hAnsi="Cambria" w:cs="Times New Roman"/>
          <w:color w:val="808080"/>
          <w:spacing w:val="5"/>
          <w:sz w:val="56"/>
          <w:szCs w:val="52"/>
          <w:lang w:val="en-US" w:eastAsia="en-US"/>
        </w:rPr>
      </w:pPr>
      <w:r w:rsidRPr="0078509A">
        <w:rPr>
          <w:rFonts w:ascii="Cambria" w:eastAsia="Times New Roman" w:hAnsi="Cambria" w:cs="Times New Roman"/>
          <w:color w:val="808080"/>
          <w:spacing w:val="5"/>
          <w:sz w:val="56"/>
          <w:szCs w:val="52"/>
          <w:lang w:val="en-US" w:eastAsia="en-US"/>
        </w:rPr>
        <w:t>Memorandum</w:t>
      </w:r>
    </w:p>
    <w:p w14:paraId="3BC88D44" w14:textId="77777777" w:rsidR="0078509A" w:rsidRPr="0078509A" w:rsidRDefault="0078509A" w:rsidP="0078509A">
      <w:pPr>
        <w:spacing w:before="200" w:after="0" w:line="276" w:lineRule="auto"/>
        <w:jc w:val="left"/>
        <w:outlineLvl w:val="1"/>
        <w:rPr>
          <w:rFonts w:ascii="Cambria" w:eastAsia="Times New Roman" w:hAnsi="Cambria" w:cs="Times New Roman"/>
          <w:b/>
          <w:bCs/>
          <w:sz w:val="26"/>
          <w:szCs w:val="26"/>
          <w:lang w:val="en-US" w:eastAsia="en-US"/>
        </w:rPr>
      </w:pPr>
      <w:bookmarkStart w:id="195" w:name="_Toc39145113"/>
      <w:bookmarkStart w:id="196" w:name="_Toc39145253"/>
      <w:bookmarkStart w:id="197" w:name="_Toc39145322"/>
      <w:r w:rsidRPr="0078509A">
        <w:rPr>
          <w:rFonts w:ascii="Cambria" w:eastAsia="Times New Roman" w:hAnsi="Cambria" w:cs="Times New Roman"/>
          <w:b/>
          <w:bCs/>
          <w:sz w:val="26"/>
          <w:szCs w:val="26"/>
          <w:lang w:val="en-US" w:eastAsia="en-US"/>
        </w:rPr>
        <w:t>To: Ministry for the Environment</w:t>
      </w:r>
      <w:bookmarkEnd w:id="195"/>
      <w:bookmarkEnd w:id="196"/>
      <w:bookmarkEnd w:id="197"/>
    </w:p>
    <w:p w14:paraId="17E02AE5" w14:textId="77777777" w:rsidR="0078509A" w:rsidRPr="0078509A" w:rsidRDefault="0078509A" w:rsidP="0078509A">
      <w:pPr>
        <w:spacing w:before="200" w:after="0" w:line="276" w:lineRule="auto"/>
        <w:jc w:val="left"/>
        <w:outlineLvl w:val="1"/>
        <w:rPr>
          <w:rFonts w:ascii="Cambria" w:eastAsia="Times New Roman" w:hAnsi="Cambria" w:cs="Times New Roman"/>
          <w:b/>
          <w:bCs/>
          <w:sz w:val="26"/>
          <w:szCs w:val="26"/>
          <w:lang w:val="en-US" w:eastAsia="en-US"/>
        </w:rPr>
      </w:pPr>
      <w:bookmarkStart w:id="198" w:name="_Toc39145114"/>
      <w:bookmarkStart w:id="199" w:name="_Toc39145254"/>
      <w:bookmarkStart w:id="200" w:name="_Toc39145323"/>
      <w:r w:rsidRPr="0078509A">
        <w:rPr>
          <w:rFonts w:ascii="Cambria" w:eastAsia="Times New Roman" w:hAnsi="Cambria" w:cs="Times New Roman"/>
          <w:b/>
          <w:bCs/>
          <w:sz w:val="26"/>
          <w:szCs w:val="26"/>
          <w:lang w:val="en-US" w:eastAsia="en-US"/>
        </w:rPr>
        <w:t>From: Ton Snelder, LWP Ltd</w:t>
      </w:r>
      <w:bookmarkEnd w:id="198"/>
      <w:bookmarkEnd w:id="199"/>
      <w:bookmarkEnd w:id="200"/>
    </w:p>
    <w:p w14:paraId="0DDA47B8" w14:textId="77777777" w:rsidR="0078509A" w:rsidRPr="0078509A" w:rsidRDefault="0078509A" w:rsidP="0078509A">
      <w:pPr>
        <w:spacing w:before="200" w:after="0" w:line="276" w:lineRule="auto"/>
        <w:jc w:val="left"/>
        <w:outlineLvl w:val="1"/>
        <w:rPr>
          <w:rFonts w:ascii="Cambria" w:eastAsia="Times New Roman" w:hAnsi="Cambria" w:cs="Times New Roman"/>
          <w:b/>
          <w:bCs/>
          <w:sz w:val="26"/>
          <w:szCs w:val="26"/>
          <w:lang w:val="en-US" w:eastAsia="en-US"/>
        </w:rPr>
      </w:pPr>
      <w:bookmarkStart w:id="201" w:name="_Toc39145115"/>
      <w:bookmarkStart w:id="202" w:name="_Toc39145255"/>
      <w:bookmarkStart w:id="203" w:name="_Toc39145324"/>
      <w:r w:rsidRPr="0078509A">
        <w:rPr>
          <w:rFonts w:ascii="Cambria" w:eastAsia="Times New Roman" w:hAnsi="Cambria" w:cs="Times New Roman"/>
          <w:b/>
          <w:bCs/>
          <w:sz w:val="26"/>
          <w:szCs w:val="26"/>
          <w:lang w:val="en-US" w:eastAsia="en-US"/>
        </w:rPr>
        <w:t>Date: 2</w:t>
      </w:r>
      <w:r w:rsidRPr="0078509A">
        <w:rPr>
          <w:rFonts w:ascii="Cambria" w:eastAsia="Times New Roman" w:hAnsi="Cambria" w:cs="Times New Roman"/>
          <w:b/>
          <w:bCs/>
          <w:sz w:val="26"/>
          <w:szCs w:val="26"/>
          <w:vertAlign w:val="superscript"/>
          <w:lang w:val="en-US" w:eastAsia="en-US"/>
        </w:rPr>
        <w:t>nd</w:t>
      </w:r>
      <w:r w:rsidRPr="0078509A">
        <w:rPr>
          <w:rFonts w:ascii="Cambria" w:eastAsia="Times New Roman" w:hAnsi="Cambria" w:cs="Times New Roman"/>
          <w:b/>
          <w:bCs/>
          <w:sz w:val="26"/>
          <w:szCs w:val="26"/>
          <w:lang w:val="en-US" w:eastAsia="en-US"/>
        </w:rPr>
        <w:t xml:space="preserve"> March 2020</w:t>
      </w:r>
      <w:bookmarkEnd w:id="201"/>
      <w:bookmarkEnd w:id="202"/>
      <w:bookmarkEnd w:id="203"/>
    </w:p>
    <w:p w14:paraId="09FE1DFC" w14:textId="46B8D5E5" w:rsidR="0078509A" w:rsidRPr="0078509A" w:rsidRDefault="0078509A" w:rsidP="006D73D5">
      <w:pPr>
        <w:spacing w:before="200" w:after="0" w:line="276" w:lineRule="auto"/>
        <w:jc w:val="left"/>
        <w:outlineLvl w:val="1"/>
      </w:pPr>
      <w:bookmarkStart w:id="204" w:name="_Toc39145116"/>
      <w:bookmarkStart w:id="205" w:name="_Toc39145256"/>
      <w:bookmarkStart w:id="206" w:name="_Toc39145325"/>
      <w:r w:rsidRPr="0078509A">
        <w:rPr>
          <w:rFonts w:ascii="Cambria" w:eastAsia="Times New Roman" w:hAnsi="Cambria" w:cs="Times New Roman"/>
          <w:b/>
          <w:bCs/>
          <w:sz w:val="26"/>
          <w:szCs w:val="26"/>
          <w:lang w:val="en-US" w:eastAsia="en-US"/>
        </w:rPr>
        <w:t>Subject: Definition of nutrient concentration targets for periphyton objectives including 30</w:t>
      </w:r>
      <w:r w:rsidR="008E40DC">
        <w:rPr>
          <w:rFonts w:ascii="Cambria" w:eastAsia="Times New Roman" w:hAnsi="Cambria" w:cs="Times New Roman"/>
          <w:b/>
          <w:bCs/>
          <w:sz w:val="26"/>
          <w:szCs w:val="26"/>
          <w:lang w:val="en-US" w:eastAsia="en-US"/>
        </w:rPr>
        <w:t xml:space="preserve"> per cent</w:t>
      </w:r>
      <w:r w:rsidRPr="0078509A">
        <w:rPr>
          <w:rFonts w:ascii="Cambria" w:eastAsia="Times New Roman" w:hAnsi="Cambria" w:cs="Times New Roman"/>
          <w:b/>
          <w:bCs/>
          <w:sz w:val="26"/>
          <w:szCs w:val="26"/>
          <w:lang w:val="en-US" w:eastAsia="en-US"/>
        </w:rPr>
        <w:t xml:space="preserve"> spatial exceedance criteria</w:t>
      </w:r>
      <w:bookmarkEnd w:id="204"/>
      <w:bookmarkEnd w:id="205"/>
      <w:bookmarkEnd w:id="206"/>
    </w:p>
    <w:p w14:paraId="74D1129A" w14:textId="77777777" w:rsidR="0078509A" w:rsidRPr="0078509A" w:rsidRDefault="0078509A" w:rsidP="006D73D5">
      <w:pPr>
        <w:spacing w:before="480" w:after="0" w:line="276" w:lineRule="auto"/>
        <w:jc w:val="left"/>
        <w:outlineLvl w:val="0"/>
        <w:rPr>
          <w:rFonts w:ascii="Cambria" w:eastAsia="Times New Roman" w:hAnsi="Cambria" w:cs="Times New Roman"/>
          <w:b/>
          <w:bCs/>
          <w:sz w:val="28"/>
          <w:szCs w:val="28"/>
          <w:lang w:val="en-US" w:eastAsia="en-US"/>
        </w:rPr>
      </w:pPr>
      <w:bookmarkStart w:id="207" w:name="_Toc39145117"/>
      <w:bookmarkStart w:id="208" w:name="_Toc39145257"/>
      <w:bookmarkStart w:id="209" w:name="_Toc39145326"/>
      <w:r w:rsidRPr="0078509A">
        <w:rPr>
          <w:rFonts w:ascii="Cambria" w:eastAsia="Times New Roman" w:hAnsi="Cambria" w:cs="Times New Roman"/>
          <w:b/>
          <w:bCs/>
          <w:sz w:val="28"/>
          <w:szCs w:val="28"/>
          <w:lang w:val="en-US" w:eastAsia="en-US"/>
        </w:rPr>
        <w:t>Introduction</w:t>
      </w:r>
      <w:bookmarkEnd w:id="207"/>
      <w:bookmarkEnd w:id="208"/>
      <w:bookmarkEnd w:id="209"/>
    </w:p>
    <w:p w14:paraId="13C397C8" w14:textId="2B756896" w:rsidR="0078509A" w:rsidRPr="0078509A" w:rsidRDefault="0078509A" w:rsidP="00A73C57">
      <w:pPr>
        <w:pStyle w:val="BodyText"/>
        <w:rPr>
          <w:lang w:val="en-US" w:eastAsia="en-US"/>
        </w:rPr>
      </w:pPr>
      <w:r w:rsidRPr="0078509A">
        <w:rPr>
          <w:lang w:val="en-US" w:eastAsia="en-US"/>
        </w:rPr>
        <w:fldChar w:fldCharType="begin"/>
      </w:r>
      <w:r w:rsidRPr="0078509A">
        <w:rPr>
          <w:lang w:val="en-US" w:eastAsia="en-US"/>
        </w:rPr>
        <w:instrText xml:space="preserve"> ADDIN ZOTERO_ITEM CSL_CITATION {"citationID":"6Stpdss0","properties":{"formattedCitation":"(Snelder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published nutrient concentration targets to achieve river periphyton biomass objectives defined by three thresholds 50 mg chlorophyll m</w:t>
      </w:r>
      <w:r w:rsidRPr="0078509A">
        <w:rPr>
          <w:vertAlign w:val="superscript"/>
          <w:lang w:val="en-US" w:eastAsia="en-US"/>
        </w:rPr>
        <w:t>-2</w:t>
      </w:r>
      <w:r w:rsidRPr="0078509A">
        <w:rPr>
          <w:lang w:val="en-US" w:eastAsia="en-US"/>
        </w:rPr>
        <w:t>, 120 mg chlorophyll m</w:t>
      </w:r>
      <w:r w:rsidRPr="0078509A">
        <w:rPr>
          <w:vertAlign w:val="superscript"/>
          <w:lang w:val="en-US" w:eastAsia="en-US"/>
        </w:rPr>
        <w:t xml:space="preserve">-2 </w:t>
      </w:r>
      <w:r w:rsidRPr="0078509A">
        <w:rPr>
          <w:lang w:val="en-US" w:eastAsia="en-US"/>
        </w:rPr>
        <w:t>and 200 mg chlorophyll m</w:t>
      </w:r>
      <w:r w:rsidRPr="0078509A">
        <w:rPr>
          <w:vertAlign w:val="superscript"/>
          <w:lang w:val="en-US" w:eastAsia="en-US"/>
        </w:rPr>
        <w:t>-2</w:t>
      </w:r>
      <w:r w:rsidRPr="0078509A">
        <w:rPr>
          <w:lang w:val="en-US" w:eastAsia="en-US"/>
        </w:rPr>
        <w:t xml:space="preserve">. These nutrient concentration targets included the concept of a spatial exceedance criteria. </w:t>
      </w:r>
      <w:r w:rsidRPr="0078509A">
        <w:rPr>
          <w:lang w:val="en-US" w:eastAsia="en-US"/>
        </w:rPr>
        <w:fldChar w:fldCharType="begin"/>
      </w:r>
      <w:r w:rsidRPr="0078509A">
        <w:rPr>
          <w:lang w:val="en-US" w:eastAsia="en-US"/>
        </w:rPr>
        <w:instrText xml:space="preserve"> ADDIN ZOTERO_ITEM CSL_CITATION {"citationID":"j8Tfc2bi","properties":{"formattedCitation":"(Snelder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included concentration targets for total nitrogen (TN) and dissolved reactive phosphorus (DRP) for three spatial exceedance criteria: 10</w:t>
      </w:r>
      <w:r w:rsidR="008E40DC">
        <w:rPr>
          <w:lang w:val="en-US" w:eastAsia="en-US"/>
        </w:rPr>
        <w:t xml:space="preserve"> per cent</w:t>
      </w:r>
      <w:r w:rsidRPr="0078509A">
        <w:rPr>
          <w:lang w:val="en-US" w:eastAsia="en-US"/>
        </w:rPr>
        <w:t>, 20</w:t>
      </w:r>
      <w:r w:rsidR="008E40DC">
        <w:rPr>
          <w:lang w:val="en-US" w:eastAsia="en-US"/>
        </w:rPr>
        <w:t xml:space="preserve"> per cent</w:t>
      </w:r>
      <w:r w:rsidRPr="0078509A">
        <w:rPr>
          <w:lang w:val="en-US" w:eastAsia="en-US"/>
        </w:rPr>
        <w:t xml:space="preserve"> and 50</w:t>
      </w:r>
      <w:r w:rsidR="008E40DC">
        <w:rPr>
          <w:lang w:val="en-US" w:eastAsia="en-US"/>
        </w:rPr>
        <w:t xml:space="preserve"> per cent</w:t>
      </w:r>
      <w:r w:rsidRPr="0078509A">
        <w:rPr>
          <w:lang w:val="en-US" w:eastAsia="en-US"/>
        </w:rPr>
        <w:t>. The Ministry for the Environment approached LWP Ltd and requested that the TN and DRP concentration targets for a 30</w:t>
      </w:r>
      <w:r w:rsidR="008E40DC">
        <w:rPr>
          <w:lang w:val="en-US" w:eastAsia="en-US"/>
        </w:rPr>
        <w:t xml:space="preserve"> per cent</w:t>
      </w:r>
      <w:r w:rsidRPr="0078509A">
        <w:rPr>
          <w:lang w:val="en-US" w:eastAsia="en-US"/>
        </w:rPr>
        <w:t xml:space="preserve"> spatial exceedance criteria be added to the targets of </w:t>
      </w:r>
      <w:r w:rsidRPr="0078509A">
        <w:rPr>
          <w:lang w:val="en-US" w:eastAsia="en-US"/>
        </w:rPr>
        <w:fldChar w:fldCharType="begin"/>
      </w:r>
      <w:r w:rsidRPr="0078509A">
        <w:rPr>
          <w:lang w:val="en-US" w:eastAsia="en-US"/>
        </w:rPr>
        <w:instrText xml:space="preserve"> ADDIN ZOTERO_ITEM CSL_CITATION {"citationID":"NAXvSnMW","properties":{"formattedCitation":"(Snelder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This memo details the definition of the additional spatial exceedance criteria.</w:t>
      </w:r>
    </w:p>
    <w:p w14:paraId="51A2949E" w14:textId="6D5D6176" w:rsidR="0078509A" w:rsidRPr="0078509A" w:rsidRDefault="0078509A" w:rsidP="00A73C57">
      <w:pPr>
        <w:pStyle w:val="BodyText"/>
        <w:rPr>
          <w:lang w:val="en-US" w:eastAsia="en-US"/>
        </w:rPr>
      </w:pPr>
      <w:r w:rsidRPr="0078509A">
        <w:rPr>
          <w:lang w:val="en-US" w:eastAsia="en-US"/>
        </w:rPr>
        <w:t>The following memo is in four parts. First, there is an explanation of the meaning of the spatial</w:t>
      </w:r>
      <w:r w:rsidR="0062463C">
        <w:rPr>
          <w:lang w:val="en-US" w:eastAsia="en-US"/>
        </w:rPr>
        <w:t> </w:t>
      </w:r>
      <w:r w:rsidRPr="0078509A">
        <w:rPr>
          <w:lang w:val="en-US" w:eastAsia="en-US"/>
        </w:rPr>
        <w:t>exceedance criteria. Second, the TN and DRP concentration targets for a 30</w:t>
      </w:r>
      <w:r w:rsidR="008E40DC">
        <w:rPr>
          <w:lang w:val="en-US" w:eastAsia="en-US"/>
        </w:rPr>
        <w:t xml:space="preserve"> per cent</w:t>
      </w:r>
      <w:r w:rsidRPr="0078509A">
        <w:rPr>
          <w:lang w:val="en-US" w:eastAsia="en-US"/>
        </w:rPr>
        <w:t xml:space="preserve"> spatial exceedance criterion are presented. Third, a test nutrient concentration targets for the 30</w:t>
      </w:r>
      <w:r w:rsidR="008E40DC">
        <w:rPr>
          <w:lang w:val="en-US" w:eastAsia="en-US"/>
        </w:rPr>
        <w:t xml:space="preserve"> per cent</w:t>
      </w:r>
      <w:r w:rsidRPr="0078509A">
        <w:rPr>
          <w:lang w:val="en-US" w:eastAsia="en-US"/>
        </w:rPr>
        <w:t xml:space="preserve"> spatial exceedance criterion using an independent dataset are presented. Fourth, the re</w:t>
      </w:r>
      <w:r w:rsidR="0062463C">
        <w:rPr>
          <w:lang w:val="en-US" w:eastAsia="en-US"/>
        </w:rPr>
        <w:noBreakHyphen/>
      </w:r>
      <w:r w:rsidRPr="0078509A">
        <w:rPr>
          <w:lang w:val="en-US" w:eastAsia="en-US"/>
        </w:rPr>
        <w:t>calibrated versions of the 30</w:t>
      </w:r>
      <w:r w:rsidR="008E40DC">
        <w:rPr>
          <w:lang w:val="en-US" w:eastAsia="en-US"/>
        </w:rPr>
        <w:t xml:space="preserve"> per cent</w:t>
      </w:r>
      <w:r w:rsidRPr="0078509A">
        <w:rPr>
          <w:lang w:val="en-US" w:eastAsia="en-US"/>
        </w:rPr>
        <w:t xml:space="preserve"> spatial exceedance concentration targets are presented. </w:t>
      </w:r>
    </w:p>
    <w:p w14:paraId="652C5DBE" w14:textId="77777777" w:rsidR="0078509A" w:rsidRPr="0078509A" w:rsidRDefault="0078509A" w:rsidP="0078509A">
      <w:pPr>
        <w:spacing w:before="480" w:after="0" w:line="276" w:lineRule="auto"/>
        <w:contextualSpacing/>
        <w:jc w:val="left"/>
        <w:outlineLvl w:val="0"/>
        <w:rPr>
          <w:rFonts w:ascii="Cambria" w:eastAsia="Times New Roman" w:hAnsi="Cambria" w:cs="Times New Roman"/>
          <w:b/>
          <w:bCs/>
          <w:sz w:val="28"/>
          <w:szCs w:val="28"/>
          <w:lang w:val="en-US" w:eastAsia="en-US"/>
        </w:rPr>
      </w:pPr>
      <w:bookmarkStart w:id="210" w:name="_Toc39145118"/>
      <w:bookmarkStart w:id="211" w:name="_Toc39145258"/>
      <w:bookmarkStart w:id="212" w:name="_Toc39145327"/>
      <w:r w:rsidRPr="0078509A">
        <w:rPr>
          <w:rFonts w:ascii="Cambria" w:eastAsia="Times New Roman" w:hAnsi="Cambria" w:cs="Times New Roman"/>
          <w:b/>
          <w:bCs/>
          <w:sz w:val="28"/>
          <w:szCs w:val="28"/>
          <w:lang w:val="en-US" w:eastAsia="en-US"/>
        </w:rPr>
        <w:t>The meaning of the spatial exceedance criteria</w:t>
      </w:r>
      <w:bookmarkEnd w:id="210"/>
      <w:bookmarkEnd w:id="211"/>
      <w:bookmarkEnd w:id="212"/>
    </w:p>
    <w:p w14:paraId="721534E3" w14:textId="77777777" w:rsidR="0078509A" w:rsidRPr="0078509A" w:rsidRDefault="0078509A" w:rsidP="00A73C57">
      <w:pPr>
        <w:pStyle w:val="BodyText"/>
        <w:rPr>
          <w:lang w:val="en-US" w:eastAsia="en-US"/>
        </w:rPr>
      </w:pPr>
      <w:r w:rsidRPr="0078509A">
        <w:rPr>
          <w:lang w:val="en-US" w:eastAsia="en-US"/>
        </w:rPr>
        <w:t>Most targets for water quality are based on a relationship between a stressor and a response. In the case of periphyton, the stressor is nitrogen or phosphorus (N and P) and the response is biomass. Concentration targets for N and P are generally defined by deciding on a response threshold that is acceptable – for example a periphyton biomass of 200mg m</w:t>
      </w:r>
      <w:r w:rsidRPr="0078509A">
        <w:rPr>
          <w:vertAlign w:val="superscript"/>
          <w:lang w:val="en-US" w:eastAsia="en-US"/>
        </w:rPr>
        <w:t>-2</w:t>
      </w:r>
      <w:r w:rsidRPr="0078509A">
        <w:rPr>
          <w:lang w:val="en-US" w:eastAsia="en-US"/>
        </w:rPr>
        <w:t xml:space="preserve"> of chlorophyll a</w:t>
      </w:r>
      <w:r>
        <w:rPr>
          <w:lang w:val="en-US" w:eastAsia="en-US"/>
        </w:rPr>
        <w:t>.</w:t>
      </w:r>
    </w:p>
    <w:p w14:paraId="329AD3C3" w14:textId="77777777" w:rsidR="0078509A" w:rsidRPr="0078509A" w:rsidRDefault="0078509A" w:rsidP="00A73C57">
      <w:pPr>
        <w:pStyle w:val="BodyText"/>
        <w:rPr>
          <w:lang w:val="en-US" w:eastAsia="en-US"/>
        </w:rPr>
      </w:pPr>
      <w:r w:rsidRPr="0078509A">
        <w:rPr>
          <w:lang w:val="en-US" w:eastAsia="en-US"/>
        </w:rPr>
        <w:t xml:space="preserve">The acceptable level of response is a subjective (socio-political) decision. The level of the stressor that will allow this threshold (or objective) to be achieved is the “target” and is derived from a relationship biomass – response. The derivation of the concentration target </w:t>
      </w:r>
      <w:r w:rsidRPr="0078509A">
        <w:rPr>
          <w:lang w:val="en-US" w:eastAsia="en-US"/>
        </w:rPr>
        <w:lastRenderedPageBreak/>
        <w:t>is</w:t>
      </w:r>
      <w:r w:rsidR="0062463C">
        <w:rPr>
          <w:lang w:val="en-US" w:eastAsia="en-US"/>
        </w:rPr>
        <w:t> </w:t>
      </w:r>
      <w:r w:rsidRPr="0078509A">
        <w:rPr>
          <w:lang w:val="en-US" w:eastAsia="en-US"/>
        </w:rPr>
        <w:t xml:space="preserve">essentially a scientific/technical process – but it is not entirely objective, and it has uncertainties. </w:t>
      </w:r>
    </w:p>
    <w:p w14:paraId="78BABDDF" w14:textId="5C54B6DE" w:rsidR="0078509A" w:rsidRPr="0078509A" w:rsidRDefault="0078509A" w:rsidP="00A73C57">
      <w:pPr>
        <w:pStyle w:val="BodyText"/>
        <w:rPr>
          <w:lang w:val="en-US" w:eastAsia="en-US"/>
        </w:rPr>
      </w:pPr>
      <w:r w:rsidRPr="0078509A">
        <w:rPr>
          <w:lang w:val="en-US" w:eastAsia="en-US"/>
        </w:rPr>
        <w:t xml:space="preserve">A </w:t>
      </w:r>
      <w:bookmarkStart w:id="213" w:name="_Hlk33689719"/>
      <w:r w:rsidRPr="0078509A">
        <w:rPr>
          <w:lang w:val="en-US" w:eastAsia="en-US"/>
        </w:rPr>
        <w:t xml:space="preserve">stressor-response relationship is generally derived by observing sites </w:t>
      </w:r>
      <w:bookmarkEnd w:id="213"/>
      <w:r w:rsidRPr="0078509A">
        <w:rPr>
          <w:lang w:val="en-US" w:eastAsia="en-US"/>
        </w:rPr>
        <w:t xml:space="preserve">(or lab test cases) with differing levels of stressor and response. The relationship is usually defined by fitting a line to the observations (a regression). There is always uncertainty involved due to sampling error and uncontrolled sources of variation, so the regression model approximates the relationship. A purely made up stressor-response relationship and associated regression model is shown in </w:t>
      </w:r>
      <w:r w:rsidRPr="0078509A">
        <w:rPr>
          <w:lang w:val="en-US" w:eastAsia="en-US"/>
        </w:rPr>
        <w:fldChar w:fldCharType="begin"/>
      </w:r>
      <w:r w:rsidRPr="0078509A">
        <w:rPr>
          <w:lang w:val="en-US" w:eastAsia="en-US"/>
        </w:rPr>
        <w:instrText xml:space="preserve"> REF _Ref33689785 \h </w:instrText>
      </w:r>
      <w:r w:rsidR="006842B2">
        <w:rPr>
          <w:lang w:val="en-US" w:eastAsia="en-US"/>
        </w:rPr>
        <w:instrText xml:space="preserve"> \* MERGEFORMAT </w:instrText>
      </w:r>
      <w:r w:rsidRPr="0078509A">
        <w:rPr>
          <w:lang w:val="en-US" w:eastAsia="en-US"/>
        </w:rPr>
      </w:r>
      <w:r w:rsidRPr="0078509A">
        <w:rPr>
          <w:lang w:val="en-US" w:eastAsia="en-US"/>
        </w:rPr>
        <w:fldChar w:fldCharType="separate"/>
      </w:r>
      <w:r w:rsidR="003D2D41" w:rsidRPr="003D2D41">
        <w:rPr>
          <w:lang w:val="en-US" w:eastAsia="en-US"/>
        </w:rPr>
        <w:t xml:space="preserve">Figure </w:t>
      </w:r>
      <w:r w:rsidRPr="0078509A">
        <w:rPr>
          <w:lang w:val="en-US" w:eastAsia="en-US"/>
        </w:rPr>
        <w:fldChar w:fldCharType="end"/>
      </w:r>
      <w:r w:rsidR="00483079">
        <w:rPr>
          <w:lang w:val="en-US" w:eastAsia="en-US"/>
        </w:rPr>
        <w:t>1</w:t>
      </w:r>
      <w:r w:rsidRPr="0078509A">
        <w:rPr>
          <w:lang w:val="en-US" w:eastAsia="en-US"/>
        </w:rPr>
        <w:t>. The grey ribbon in this plot represents the uncertainty of the regression model of the stressor-response relationship.</w:t>
      </w:r>
    </w:p>
    <w:p w14:paraId="2F1312A4" w14:textId="77777777" w:rsidR="0078509A" w:rsidRPr="0078509A" w:rsidRDefault="0078509A" w:rsidP="006842B2">
      <w:pPr>
        <w:jc w:val="center"/>
        <w:rPr>
          <w:lang w:val="en-US" w:eastAsia="en-US"/>
        </w:rPr>
      </w:pPr>
      <w:r w:rsidRPr="0078509A">
        <w:rPr>
          <w:noProof/>
        </w:rPr>
        <w:drawing>
          <wp:inline distT="0" distB="0" distL="0" distR="0" wp14:anchorId="294EB031" wp14:editId="4ACA0205">
            <wp:extent cx="4482465" cy="448246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2465" cy="4482465"/>
                    </a:xfrm>
                    <a:prstGeom prst="rect">
                      <a:avLst/>
                    </a:prstGeom>
                    <a:noFill/>
                    <a:ln>
                      <a:noFill/>
                    </a:ln>
                  </pic:spPr>
                </pic:pic>
              </a:graphicData>
            </a:graphic>
          </wp:inline>
        </w:drawing>
      </w:r>
    </w:p>
    <w:p w14:paraId="09BEF686" w14:textId="77777777" w:rsidR="0078509A" w:rsidRPr="0078509A" w:rsidRDefault="0078509A" w:rsidP="0078509A">
      <w:pPr>
        <w:spacing w:before="0" w:after="200" w:line="240" w:lineRule="auto"/>
        <w:jc w:val="left"/>
        <w:rPr>
          <w:rFonts w:eastAsia="Times New Roman" w:cs="Times New Roman"/>
          <w:b/>
          <w:bCs/>
          <w:smallCaps/>
          <w:color w:val="1F497D"/>
          <w:spacing w:val="6"/>
          <w:szCs w:val="18"/>
          <w:lang w:val="en-US" w:eastAsia="en-US" w:bidi="hi-IN"/>
        </w:rPr>
      </w:pPr>
      <w:bookmarkStart w:id="214" w:name="_Ref33689785"/>
      <w:r w:rsidRPr="0078509A">
        <w:rPr>
          <w:rFonts w:eastAsia="Times New Roman" w:cs="Times New Roman"/>
          <w:b/>
          <w:bCs/>
          <w:smallCaps/>
          <w:color w:val="1F497D"/>
          <w:spacing w:val="6"/>
          <w:szCs w:val="18"/>
          <w:lang w:val="en-US" w:eastAsia="en-US" w:bidi="hi-IN"/>
        </w:rPr>
        <w:t xml:space="preserve">Figure </w:t>
      </w:r>
      <w:bookmarkEnd w:id="214"/>
      <w:r w:rsidR="00BC21BD">
        <w:rPr>
          <w:rFonts w:eastAsia="Times New Roman" w:cs="Times New Roman"/>
          <w:b/>
          <w:bCs/>
          <w:smallCaps/>
          <w:color w:val="1F497D"/>
          <w:spacing w:val="6"/>
          <w:szCs w:val="18"/>
          <w:lang w:val="en-US" w:eastAsia="en-US" w:bidi="hi-IN"/>
        </w:rPr>
        <w:t>1</w:t>
      </w:r>
      <w:r w:rsidRPr="0078509A">
        <w:rPr>
          <w:rFonts w:eastAsia="Times New Roman" w:cs="Times New Roman"/>
          <w:b/>
          <w:bCs/>
          <w:smallCaps/>
          <w:color w:val="1F497D"/>
          <w:spacing w:val="6"/>
          <w:szCs w:val="18"/>
          <w:lang w:val="en-US" w:eastAsia="en-US" w:bidi="hi-IN"/>
        </w:rPr>
        <w:t xml:space="preserve">. Made up example of </w:t>
      </w:r>
      <w:bookmarkStart w:id="215" w:name="_Hlk33689834"/>
      <w:r w:rsidRPr="0078509A">
        <w:rPr>
          <w:rFonts w:eastAsia="Times New Roman" w:cs="Times New Roman"/>
          <w:b/>
          <w:bCs/>
          <w:smallCaps/>
          <w:color w:val="1F497D"/>
          <w:spacing w:val="6"/>
          <w:szCs w:val="18"/>
          <w:lang w:val="en-US" w:eastAsia="en-US" w:bidi="hi-IN"/>
        </w:rPr>
        <w:t xml:space="preserve">stressor-response relationship </w:t>
      </w:r>
      <w:bookmarkEnd w:id="215"/>
      <w:r w:rsidRPr="0078509A">
        <w:rPr>
          <w:rFonts w:eastAsia="Times New Roman" w:cs="Times New Roman"/>
          <w:b/>
          <w:bCs/>
          <w:smallCaps/>
          <w:color w:val="1F497D"/>
          <w:spacing w:val="6"/>
          <w:szCs w:val="18"/>
          <w:lang w:val="en-US" w:eastAsia="en-US" w:bidi="hi-IN"/>
        </w:rPr>
        <w:t xml:space="preserve">and associated regression model. The blue line is a regression fitted to the observations (black points). The red dashed lines indicates the stressor target value to achieve a nominated response threshold. </w:t>
      </w:r>
    </w:p>
    <w:p w14:paraId="7E041717" w14:textId="68F14E43" w:rsidR="0078509A" w:rsidRPr="0078509A" w:rsidRDefault="0078509A" w:rsidP="00A73C57">
      <w:pPr>
        <w:pStyle w:val="BodyText"/>
        <w:rPr>
          <w:lang w:val="en-US" w:eastAsia="en-US" w:bidi="hi-IN"/>
        </w:rPr>
      </w:pPr>
      <w:r w:rsidRPr="0078509A">
        <w:rPr>
          <w:lang w:val="en-US" w:eastAsia="en-US" w:bidi="hi-IN"/>
        </w:rPr>
        <w:t xml:space="preserve">The uncertainty associated with the stressor-response relationship means that when reading off the target to fit a nominated response threshold there will be uncertainty. For example, in </w:t>
      </w:r>
      <w:r w:rsidR="009C17BC">
        <w:rPr>
          <w:lang w:val="en-US" w:eastAsia="en-US"/>
        </w:rPr>
        <w:t xml:space="preserve">Figure 2 </w:t>
      </w:r>
      <w:r w:rsidRPr="0078509A">
        <w:rPr>
          <w:lang w:val="en-US" w:eastAsia="en-US" w:bidi="hi-IN"/>
        </w:rPr>
        <w:t>the (purely nominal) response threshold is 600 and the stressor target is estimated to be 25. However, because the stressor-response relationship is based on a line of best fit, the stressor target indicates the mean response to that level of the stressor. Therefore, our expectation should be that if many locations have a stressor level of 25, only 50</w:t>
      </w:r>
      <w:r w:rsidR="008E40DC">
        <w:rPr>
          <w:lang w:val="en-US" w:eastAsia="en-US" w:bidi="hi-IN"/>
        </w:rPr>
        <w:t xml:space="preserve"> per cent</w:t>
      </w:r>
      <w:r w:rsidRPr="0078509A">
        <w:rPr>
          <w:lang w:val="en-US" w:eastAsia="en-US" w:bidi="hi-IN"/>
        </w:rPr>
        <w:t xml:space="preserve"> </w:t>
      </w:r>
      <w:r>
        <w:rPr>
          <w:lang w:val="en-US" w:eastAsia="en-US" w:bidi="hi-IN"/>
        </w:rPr>
        <w:t>will have a response below 600</w:t>
      </w:r>
      <w:r w:rsidRPr="0078509A">
        <w:rPr>
          <w:lang w:val="en-US" w:eastAsia="en-US" w:bidi="hi-IN"/>
        </w:rPr>
        <w:t>. In addition, at a stressor level of 28, 50</w:t>
      </w:r>
      <w:r w:rsidR="008E40DC">
        <w:rPr>
          <w:lang w:val="en-US" w:eastAsia="en-US" w:bidi="hi-IN"/>
        </w:rPr>
        <w:t xml:space="preserve"> per cent</w:t>
      </w:r>
      <w:r w:rsidRPr="0078509A">
        <w:rPr>
          <w:lang w:val="en-US" w:eastAsia="en-US" w:bidi="hi-IN"/>
        </w:rPr>
        <w:t xml:space="preserve"> of locations can be expected to exceed the response threshold.</w:t>
      </w:r>
      <w:r w:rsidR="008E40DC">
        <w:rPr>
          <w:lang w:val="en-US" w:eastAsia="en-US" w:bidi="hi-IN"/>
        </w:rPr>
        <w:t xml:space="preserve"> </w:t>
      </w:r>
    </w:p>
    <w:p w14:paraId="7DF6D832" w14:textId="77777777" w:rsidR="0078509A" w:rsidRPr="0078509A" w:rsidRDefault="0078509A" w:rsidP="0078509A">
      <w:pPr>
        <w:spacing w:before="0" w:after="200" w:line="276" w:lineRule="auto"/>
        <w:jc w:val="center"/>
        <w:rPr>
          <w:rFonts w:eastAsia="Times New Roman" w:cs="Times New Roman"/>
          <w:lang w:val="en-US" w:eastAsia="en-US" w:bidi="hi-IN"/>
        </w:rPr>
      </w:pPr>
      <w:r w:rsidRPr="0078509A">
        <w:rPr>
          <w:rFonts w:eastAsia="Times New Roman" w:cs="Times New Roman"/>
          <w:noProof/>
          <w:lang w:val="en-US" w:eastAsia="en-US"/>
        </w:rPr>
        <w:lastRenderedPageBreak/>
        <w:t xml:space="preserve"> </w:t>
      </w:r>
      <w:r w:rsidRPr="0078509A">
        <w:rPr>
          <w:rFonts w:eastAsia="Times New Roman" w:cs="Times New Roman"/>
          <w:noProof/>
        </w:rPr>
        <w:drawing>
          <wp:inline distT="0" distB="0" distL="0" distR="0" wp14:anchorId="42BC58D3" wp14:editId="4EA87CC7">
            <wp:extent cx="4655185" cy="465518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5185" cy="4655185"/>
                    </a:xfrm>
                    <a:prstGeom prst="rect">
                      <a:avLst/>
                    </a:prstGeom>
                    <a:noFill/>
                    <a:ln>
                      <a:noFill/>
                    </a:ln>
                  </pic:spPr>
                </pic:pic>
              </a:graphicData>
            </a:graphic>
          </wp:inline>
        </w:drawing>
      </w:r>
    </w:p>
    <w:p w14:paraId="01D0E656" w14:textId="08923B70" w:rsidR="0078509A" w:rsidRPr="0078509A" w:rsidRDefault="0078509A" w:rsidP="0078509A">
      <w:pPr>
        <w:spacing w:before="0" w:after="200" w:line="240" w:lineRule="auto"/>
        <w:jc w:val="left"/>
        <w:rPr>
          <w:rFonts w:eastAsia="Times New Roman" w:cs="Times New Roman"/>
          <w:b/>
          <w:bCs/>
          <w:smallCaps/>
          <w:color w:val="1F497D"/>
          <w:spacing w:val="6"/>
          <w:szCs w:val="18"/>
          <w:lang w:val="en-US" w:eastAsia="en-US" w:bidi="hi-IN"/>
        </w:rPr>
      </w:pPr>
      <w:bookmarkStart w:id="216" w:name="_Ref33716735"/>
      <w:r w:rsidRPr="0078509A">
        <w:rPr>
          <w:rFonts w:eastAsia="Times New Roman" w:cs="Times New Roman"/>
          <w:b/>
          <w:bCs/>
          <w:smallCaps/>
          <w:color w:val="1F497D"/>
          <w:spacing w:val="6"/>
          <w:szCs w:val="18"/>
          <w:lang w:val="en-US" w:eastAsia="en-US" w:bidi="hi-IN"/>
        </w:rPr>
        <w:t xml:space="preserve">Figure </w:t>
      </w:r>
      <w:bookmarkEnd w:id="216"/>
      <w:r w:rsidR="00BC21BD">
        <w:rPr>
          <w:rFonts w:eastAsia="Times New Roman" w:cs="Times New Roman"/>
          <w:b/>
          <w:bCs/>
          <w:smallCaps/>
          <w:color w:val="1F497D"/>
          <w:spacing w:val="6"/>
          <w:szCs w:val="18"/>
          <w:lang w:val="en-US" w:eastAsia="en-US" w:bidi="hi-IN"/>
        </w:rPr>
        <w:t>2</w:t>
      </w:r>
      <w:r w:rsidRPr="0078509A">
        <w:rPr>
          <w:rFonts w:eastAsia="Times New Roman" w:cs="Times New Roman"/>
          <w:b/>
          <w:bCs/>
          <w:smallCaps/>
          <w:color w:val="1F497D"/>
          <w:spacing w:val="6"/>
          <w:szCs w:val="18"/>
          <w:lang w:val="en-US" w:eastAsia="en-US" w:bidi="hi-IN"/>
        </w:rPr>
        <w:t>. Estimate of the level of the stressor associated with a response threshold of 600 (in this case a stressor value of 25). The green lines indicate the 95</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 xml:space="preserve"> confidence interval for the mean value of the response associated with a stressor of 25.</w:t>
      </w:r>
    </w:p>
    <w:p w14:paraId="46212192" w14:textId="5916AA8A" w:rsidR="0078509A" w:rsidRPr="0078509A" w:rsidRDefault="0078509A" w:rsidP="00A73C57">
      <w:pPr>
        <w:pStyle w:val="BodyText"/>
        <w:rPr>
          <w:lang w:val="en-US" w:eastAsia="en-US" w:bidi="hi-IN"/>
        </w:rPr>
      </w:pPr>
      <w:r w:rsidRPr="0078509A">
        <w:rPr>
          <w:lang w:val="en-US" w:eastAsia="en-US" w:bidi="hi-IN"/>
        </w:rPr>
        <w:t xml:space="preserve">When </w:t>
      </w:r>
      <w:r w:rsidRPr="0078509A">
        <w:rPr>
          <w:lang w:val="en-US" w:eastAsia="en-US"/>
        </w:rPr>
        <w:t xml:space="preserve">concentration targets </w:t>
      </w:r>
      <w:r w:rsidRPr="0078509A">
        <w:rPr>
          <w:lang w:val="en-US" w:eastAsia="en-US" w:bidi="hi-IN"/>
        </w:rPr>
        <w:t>are defined, the details of these uncertainties are often not made clear. A subjective decision is made by the developer of the target that the uncertainty is acceptable because the amount by which the 50</w:t>
      </w:r>
      <w:r w:rsidR="008E40DC">
        <w:rPr>
          <w:lang w:val="en-US" w:eastAsia="en-US" w:bidi="hi-IN"/>
        </w:rPr>
        <w:t xml:space="preserve"> per cent</w:t>
      </w:r>
      <w:r w:rsidRPr="0078509A">
        <w:rPr>
          <w:lang w:val="en-US" w:eastAsia="en-US" w:bidi="hi-IN"/>
        </w:rPr>
        <w:t xml:space="preserve"> of locations that exceed the acceptable response is “small”. However, some stressor – response relationships are less certain than others due to unexplained variation. To illustrate this, another made up example of a more uncertain stressor - response relationship is shown in </w:t>
      </w:r>
      <w:r w:rsidR="009C17BC">
        <w:rPr>
          <w:lang w:val="en-US" w:eastAsia="en-US" w:bidi="hi-IN"/>
        </w:rPr>
        <w:t>Figure 3</w:t>
      </w:r>
      <w:r w:rsidRPr="0078509A">
        <w:rPr>
          <w:lang w:val="en-US" w:eastAsia="en-US" w:bidi="hi-IN"/>
        </w:rPr>
        <w:t>. In this case, the response threshold is the same as before (600) and the estimated target is the same as before (25). Half</w:t>
      </w:r>
      <w:r w:rsidR="006D73D5">
        <w:rPr>
          <w:lang w:val="en-US" w:eastAsia="en-US" w:bidi="hi-IN"/>
        </w:rPr>
        <w:t> </w:t>
      </w:r>
      <w:r w:rsidRPr="0078509A">
        <w:rPr>
          <w:lang w:val="en-US" w:eastAsia="en-US" w:bidi="hi-IN"/>
        </w:rPr>
        <w:t>of the cases with a stressor level equal to 25 will have a response greater than the response threshold (as before) but those responses can be expected to deviate to a greater extent from the threshold of 600 (as shown by the green lines in</w:t>
      </w:r>
      <w:r w:rsidR="009C17BC">
        <w:rPr>
          <w:lang w:val="en-US" w:eastAsia="en-US" w:bidi="hi-IN"/>
        </w:rPr>
        <w:t xml:space="preserve"> Figure 3</w:t>
      </w:r>
      <w:r w:rsidRPr="0078509A">
        <w:rPr>
          <w:lang w:val="en-US" w:eastAsia="en-US" w:bidi="hi-IN"/>
        </w:rPr>
        <w:t>).</w:t>
      </w:r>
    </w:p>
    <w:p w14:paraId="0011BDF4" w14:textId="77777777" w:rsidR="0078509A" w:rsidRPr="0078509A" w:rsidRDefault="0078509A" w:rsidP="0078509A">
      <w:pPr>
        <w:spacing w:before="0" w:after="200" w:line="276" w:lineRule="auto"/>
        <w:jc w:val="left"/>
        <w:rPr>
          <w:rFonts w:eastAsia="Times New Roman" w:cs="Times New Roman"/>
          <w:lang w:val="en-US" w:eastAsia="en-US" w:bidi="hi-IN"/>
        </w:rPr>
      </w:pPr>
    </w:p>
    <w:p w14:paraId="43B0F0F0" w14:textId="77777777" w:rsidR="0078509A" w:rsidRPr="0078509A" w:rsidRDefault="0078509A" w:rsidP="0078509A">
      <w:pPr>
        <w:spacing w:before="0" w:after="200" w:line="276" w:lineRule="auto"/>
        <w:jc w:val="center"/>
        <w:rPr>
          <w:rFonts w:eastAsia="Times New Roman" w:cs="Times New Roman"/>
          <w:lang w:val="en-US" w:eastAsia="en-US" w:bidi="hi-IN"/>
        </w:rPr>
      </w:pPr>
      <w:r w:rsidRPr="0078509A">
        <w:rPr>
          <w:rFonts w:eastAsia="Times New Roman" w:cs="Times New Roman"/>
          <w:noProof/>
          <w:lang w:val="en-US" w:eastAsia="en-US"/>
        </w:rPr>
        <w:lastRenderedPageBreak/>
        <w:t xml:space="preserve"> </w:t>
      </w:r>
      <w:r w:rsidRPr="0078509A">
        <w:rPr>
          <w:rFonts w:eastAsia="Times New Roman" w:cs="Times New Roman"/>
          <w:noProof/>
        </w:rPr>
        <w:drawing>
          <wp:inline distT="0" distB="0" distL="0" distR="0" wp14:anchorId="30C7CE3D" wp14:editId="7C3FBBDE">
            <wp:extent cx="4156075" cy="415607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6075" cy="4156075"/>
                    </a:xfrm>
                    <a:prstGeom prst="rect">
                      <a:avLst/>
                    </a:prstGeom>
                    <a:noFill/>
                    <a:ln>
                      <a:noFill/>
                    </a:ln>
                  </pic:spPr>
                </pic:pic>
              </a:graphicData>
            </a:graphic>
          </wp:inline>
        </w:drawing>
      </w:r>
    </w:p>
    <w:p w14:paraId="628F9686" w14:textId="77777777" w:rsidR="00140722" w:rsidRPr="0078509A" w:rsidRDefault="00140722" w:rsidP="00140722">
      <w:pPr>
        <w:spacing w:before="0" w:after="200" w:line="240" w:lineRule="auto"/>
        <w:jc w:val="left"/>
        <w:rPr>
          <w:rFonts w:eastAsia="Times New Roman" w:cs="Times New Roman"/>
          <w:b/>
          <w:bCs/>
          <w:smallCaps/>
          <w:color w:val="1F497D"/>
          <w:spacing w:val="6"/>
          <w:szCs w:val="18"/>
          <w:lang w:val="en-US" w:eastAsia="en-US" w:bidi="hi-IN"/>
        </w:rPr>
      </w:pPr>
      <w:bookmarkStart w:id="217" w:name="_Ref33698370"/>
      <w:r w:rsidRPr="0078509A">
        <w:rPr>
          <w:rFonts w:eastAsia="Times New Roman" w:cs="Times New Roman"/>
          <w:b/>
          <w:bCs/>
          <w:smallCaps/>
          <w:color w:val="1F497D"/>
          <w:spacing w:val="6"/>
          <w:szCs w:val="18"/>
          <w:lang w:val="en-US" w:eastAsia="en-US" w:bidi="hi-IN"/>
        </w:rPr>
        <w:t xml:space="preserve">Figure </w:t>
      </w:r>
      <w:bookmarkEnd w:id="217"/>
      <w:r>
        <w:rPr>
          <w:rFonts w:eastAsia="Times New Roman" w:cs="Times New Roman"/>
          <w:b/>
          <w:bCs/>
          <w:smallCaps/>
          <w:color w:val="1F497D"/>
          <w:spacing w:val="6"/>
          <w:szCs w:val="18"/>
          <w:lang w:val="en-US" w:eastAsia="en-US" w:bidi="hi-IN"/>
        </w:rPr>
        <w:t>3</w:t>
      </w:r>
      <w:r w:rsidRPr="0078509A">
        <w:rPr>
          <w:rFonts w:eastAsia="Times New Roman" w:cs="Times New Roman"/>
          <w:b/>
          <w:bCs/>
          <w:smallCaps/>
          <w:color w:val="1F497D"/>
          <w:spacing w:val="6"/>
          <w:szCs w:val="18"/>
          <w:lang w:val="en-US" w:eastAsia="en-US" w:bidi="hi-IN"/>
        </w:rPr>
        <w:t>. Estimate of the level of the stressor associated with a response threshold of</w:t>
      </w:r>
      <w:r>
        <w:rPr>
          <w:rFonts w:eastAsia="Times New Roman" w:cs="Times New Roman"/>
          <w:b/>
          <w:bCs/>
          <w:smallCaps/>
          <w:color w:val="1F497D"/>
          <w:spacing w:val="6"/>
          <w:szCs w:val="18"/>
          <w:lang w:val="en-US" w:eastAsia="en-US" w:bidi="hi-IN"/>
        </w:rPr>
        <w:t> </w:t>
      </w:r>
      <w:r w:rsidRPr="0078509A">
        <w:rPr>
          <w:rFonts w:eastAsia="Times New Roman" w:cs="Times New Roman"/>
          <w:b/>
          <w:bCs/>
          <w:smallCaps/>
          <w:color w:val="1F497D"/>
          <w:spacing w:val="6"/>
          <w:szCs w:val="18"/>
          <w:lang w:val="en-US" w:eastAsia="en-US" w:bidi="hi-IN"/>
        </w:rPr>
        <w:t>600 from a stressor-response relationship that is more uncertain than the example shown in Figure 2. The green lines indicate the 95% confidence interval for the mean value of the response associated with a stressor of 25.</w:t>
      </w:r>
    </w:p>
    <w:p w14:paraId="7E131182" w14:textId="77777777" w:rsidR="003B1F5C" w:rsidRPr="0078509A" w:rsidRDefault="003B1F5C" w:rsidP="00BC21BD">
      <w:pPr>
        <w:spacing w:before="0" w:after="200" w:line="240" w:lineRule="auto"/>
        <w:jc w:val="left"/>
        <w:rPr>
          <w:rFonts w:eastAsia="Times New Roman" w:cs="Times New Roman"/>
          <w:b/>
          <w:bCs/>
          <w:smallCaps/>
          <w:color w:val="1F497D"/>
          <w:spacing w:val="6"/>
          <w:szCs w:val="18"/>
          <w:lang w:val="en-US" w:eastAsia="en-US" w:bidi="hi-IN"/>
        </w:rPr>
      </w:pPr>
    </w:p>
    <w:p w14:paraId="1237057E" w14:textId="1949C6F8" w:rsidR="0078509A" w:rsidRPr="0078509A" w:rsidRDefault="0078509A" w:rsidP="00A73C57">
      <w:pPr>
        <w:pStyle w:val="BodyText"/>
        <w:rPr>
          <w:lang w:val="en-US" w:eastAsia="en-US" w:bidi="hi-IN"/>
        </w:rPr>
      </w:pPr>
      <w:r w:rsidRPr="0078509A">
        <w:rPr>
          <w:lang w:val="en-US" w:eastAsia="en-US" w:bidi="hi-IN"/>
        </w:rPr>
        <w:t xml:space="preserve">Stressor response relationships are generally very uncertain for periphyton (and other biological responses) because the responses are complex and important controlling variables are often unknown and unmeasured. When </w:t>
      </w:r>
      <w:r w:rsidRPr="0078509A">
        <w:rPr>
          <w:lang w:val="en-US" w:eastAsia="en-US"/>
        </w:rPr>
        <w:fldChar w:fldCharType="begin"/>
      </w:r>
      <w:r w:rsidRPr="0078509A">
        <w:rPr>
          <w:lang w:val="en-US" w:eastAsia="en-US"/>
        </w:rPr>
        <w:instrText xml:space="preserve"> ADDIN ZOTERO_ITEM CSL_CITATION {"citationID":"uTbsJmCn","properties":{"formattedCitation":"(Snelder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Pr="0078509A">
        <w:rPr>
          <w:lang w:val="en-US" w:eastAsia="en-US" w:bidi="hi-IN"/>
        </w:rPr>
        <w:t xml:space="preserve">derived TN and DRP targets for periphyton, they developed the idea of spatial exceedance criteria as a way of being transparent about, and allowing the user to make choices about, the uncertainty of the </w:t>
      </w:r>
      <w:r w:rsidRPr="0078509A">
        <w:rPr>
          <w:lang w:val="en-US" w:eastAsia="en-US"/>
        </w:rPr>
        <w:t>concentration targets</w:t>
      </w:r>
      <w:r w:rsidRPr="0078509A">
        <w:rPr>
          <w:lang w:val="en-US" w:eastAsia="en-US" w:bidi="hi-IN"/>
        </w:rPr>
        <w:t xml:space="preserve">. </w:t>
      </w:r>
    </w:p>
    <w:p w14:paraId="63DA7023" w14:textId="70E31DCB" w:rsidR="0078509A" w:rsidRPr="0078509A" w:rsidRDefault="0078509A" w:rsidP="00A73C57">
      <w:pPr>
        <w:pStyle w:val="BodyText"/>
        <w:rPr>
          <w:lang w:val="en-US" w:eastAsia="en-US" w:bidi="hi-IN"/>
        </w:rPr>
      </w:pPr>
      <w:r w:rsidRPr="0078509A">
        <w:rPr>
          <w:lang w:val="en-US" w:eastAsia="en-US" w:bidi="hi-IN"/>
        </w:rPr>
        <w:t xml:space="preserve">Although the mechanics were slightly more complicated in the </w:t>
      </w:r>
      <w:r w:rsidRPr="0078509A">
        <w:rPr>
          <w:lang w:val="en-US" w:eastAsia="en-US"/>
        </w:rPr>
        <w:fldChar w:fldCharType="begin"/>
      </w:r>
      <w:r w:rsidRPr="0078509A">
        <w:rPr>
          <w:lang w:val="en-US" w:eastAsia="en-US"/>
        </w:rPr>
        <w:instrText xml:space="preserve"> ADDIN ZOTERO_ITEM CSL_CITATION {"citationID":"1DNlmzYa","properties":{"formattedCitation":"(Snelder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bidi="hi-IN"/>
        </w:rPr>
        <w:t xml:space="preserve"> study, the different spatial exceedance criteria can be thought of as translations of the regression line upwards so that the proportion of sites that exceed the biomass threshold is decreased (</w:t>
      </w:r>
      <w:r w:rsidR="009C17BC">
        <w:rPr>
          <w:lang w:val="en-US" w:eastAsia="en-US" w:bidi="hi-IN"/>
        </w:rPr>
        <w:t>Figure 4</w:t>
      </w:r>
      <w:r w:rsidRPr="0078509A">
        <w:rPr>
          <w:lang w:val="en-US" w:eastAsia="en-US" w:bidi="hi-IN"/>
        </w:rPr>
        <w:t xml:space="preserve">). In the made up example shown in </w:t>
      </w:r>
      <w:r w:rsidR="009C17BC">
        <w:rPr>
          <w:lang w:val="en-US" w:eastAsia="en-US" w:bidi="hi-IN"/>
        </w:rPr>
        <w:t>Figure 4 t</w:t>
      </w:r>
      <w:r w:rsidRPr="0078509A">
        <w:rPr>
          <w:lang w:val="en-US" w:eastAsia="en-US" w:bidi="hi-IN"/>
        </w:rPr>
        <w:t>he solid red line is the translation of the original regression line upwards so that a smaller proportion of the sites are above the line (</w:t>
      </w:r>
      <w:r w:rsidR="008E40DC">
        <w:rPr>
          <w:lang w:val="en-US" w:eastAsia="en-US" w:bidi="hi-IN"/>
        </w:rPr>
        <w:t>eg,</w:t>
      </w:r>
      <w:r w:rsidRPr="0078509A">
        <w:rPr>
          <w:lang w:val="en-US" w:eastAsia="en-US" w:bidi="hi-IN"/>
        </w:rPr>
        <w:t xml:space="preserve"> 10</w:t>
      </w:r>
      <w:r w:rsidR="008E40DC">
        <w:rPr>
          <w:lang w:val="en-US" w:eastAsia="en-US" w:bidi="hi-IN"/>
        </w:rPr>
        <w:t xml:space="preserve"> per cent</w:t>
      </w:r>
      <w:r w:rsidRPr="0078509A">
        <w:rPr>
          <w:lang w:val="en-US" w:eastAsia="en-US" w:bidi="hi-IN"/>
        </w:rPr>
        <w:t xml:space="preserve"> or 20</w:t>
      </w:r>
      <w:r w:rsidR="008E40DC">
        <w:rPr>
          <w:lang w:val="en-US" w:eastAsia="en-US" w:bidi="hi-IN"/>
        </w:rPr>
        <w:t xml:space="preserve"> per cent</w:t>
      </w:r>
      <w:r w:rsidRPr="0078509A">
        <w:rPr>
          <w:lang w:val="en-US" w:eastAsia="en-US" w:bidi="hi-IN"/>
        </w:rPr>
        <w:t xml:space="preserve"> instead of 50</w:t>
      </w:r>
      <w:r w:rsidR="008E40DC">
        <w:rPr>
          <w:lang w:val="en-US" w:eastAsia="en-US" w:bidi="hi-IN"/>
        </w:rPr>
        <w:t xml:space="preserve"> per cent</w:t>
      </w:r>
      <w:r w:rsidRPr="0078509A">
        <w:rPr>
          <w:lang w:val="en-US" w:eastAsia="en-US" w:bidi="hi-IN"/>
        </w:rPr>
        <w:t>). The new criterion corresponding to a response threshold of 600 and a smaller spatial exceedance criterion is read off from the translated line. This stressor target (15) is obviously more conservative than when the spatial exceedance criteria are not applied. Note that using the original regression line to define the target is effectively employing a 50</w:t>
      </w:r>
      <w:r w:rsidR="008E40DC">
        <w:rPr>
          <w:lang w:val="en-US" w:eastAsia="en-US" w:bidi="hi-IN"/>
        </w:rPr>
        <w:t xml:space="preserve"> per cent</w:t>
      </w:r>
      <w:r w:rsidRPr="0078509A">
        <w:rPr>
          <w:lang w:val="en-US" w:eastAsia="en-US" w:bidi="hi-IN"/>
        </w:rPr>
        <w:t xml:space="preserve"> spatial exceedance criterion.</w:t>
      </w:r>
    </w:p>
    <w:p w14:paraId="4E0CE5DA" w14:textId="77777777" w:rsidR="0078509A" w:rsidRPr="0078509A" w:rsidRDefault="0078509A" w:rsidP="0078509A">
      <w:pPr>
        <w:spacing w:before="0" w:after="200" w:line="276" w:lineRule="auto"/>
        <w:jc w:val="center"/>
        <w:rPr>
          <w:rFonts w:eastAsia="Times New Roman" w:cs="Times New Roman"/>
          <w:lang w:val="en-US" w:eastAsia="en-US" w:bidi="hi-IN"/>
        </w:rPr>
      </w:pPr>
      <w:r w:rsidRPr="0078509A">
        <w:rPr>
          <w:rFonts w:eastAsia="Times New Roman" w:cs="Times New Roman"/>
          <w:noProof/>
        </w:rPr>
        <w:lastRenderedPageBreak/>
        <w:drawing>
          <wp:inline distT="0" distB="0" distL="0" distR="0" wp14:anchorId="34173F51" wp14:editId="7AE4D014">
            <wp:extent cx="4463415" cy="446341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3415" cy="4463415"/>
                    </a:xfrm>
                    <a:prstGeom prst="rect">
                      <a:avLst/>
                    </a:prstGeom>
                    <a:noFill/>
                    <a:ln>
                      <a:noFill/>
                    </a:ln>
                  </pic:spPr>
                </pic:pic>
              </a:graphicData>
            </a:graphic>
          </wp:inline>
        </w:drawing>
      </w:r>
    </w:p>
    <w:p w14:paraId="39F6CD51" w14:textId="77777777" w:rsidR="00140722" w:rsidRPr="0078509A" w:rsidRDefault="00140722" w:rsidP="00140722">
      <w:pPr>
        <w:spacing w:before="0" w:after="200" w:line="240" w:lineRule="auto"/>
        <w:jc w:val="left"/>
        <w:rPr>
          <w:rFonts w:eastAsia="Times New Roman" w:cs="Times New Roman"/>
          <w:b/>
          <w:bCs/>
          <w:smallCaps/>
          <w:color w:val="1F497D"/>
          <w:spacing w:val="6"/>
          <w:szCs w:val="18"/>
          <w:lang w:val="en-US" w:eastAsia="en-US" w:bidi="hi-IN"/>
        </w:rPr>
      </w:pPr>
      <w:bookmarkStart w:id="218" w:name="_Ref33698666"/>
      <w:r w:rsidRPr="0078509A">
        <w:rPr>
          <w:rFonts w:eastAsia="Times New Roman" w:cs="Times New Roman"/>
          <w:b/>
          <w:bCs/>
          <w:smallCaps/>
          <w:color w:val="1F497D"/>
          <w:spacing w:val="6"/>
          <w:szCs w:val="18"/>
          <w:lang w:val="en-US" w:eastAsia="en-US" w:bidi="hi-IN"/>
        </w:rPr>
        <w:t xml:space="preserve">Figure </w:t>
      </w:r>
      <w:bookmarkEnd w:id="218"/>
      <w:r>
        <w:rPr>
          <w:rFonts w:eastAsia="Times New Roman" w:cs="Times New Roman"/>
          <w:b/>
          <w:bCs/>
          <w:smallCaps/>
          <w:color w:val="1F497D"/>
          <w:spacing w:val="6"/>
          <w:szCs w:val="18"/>
          <w:lang w:val="en-US" w:eastAsia="en-US" w:bidi="hi-IN"/>
        </w:rPr>
        <w:t>4</w:t>
      </w:r>
      <w:r w:rsidRPr="0078509A">
        <w:rPr>
          <w:rFonts w:eastAsia="Times New Roman" w:cs="Times New Roman"/>
          <w:b/>
          <w:bCs/>
          <w:smallCaps/>
          <w:color w:val="1F497D"/>
          <w:spacing w:val="6"/>
          <w:szCs w:val="18"/>
          <w:lang w:val="en-US" w:eastAsia="en-US" w:bidi="hi-IN"/>
        </w:rPr>
        <w:t xml:space="preserve">. Estimate of the level of the stressor associated with a response threshold of 600 when a spatial exceedance criterion is applied to the stressor-response relationship. </w:t>
      </w:r>
    </w:p>
    <w:p w14:paraId="636C959D" w14:textId="5A6384C0" w:rsidR="0078509A" w:rsidRPr="0078509A" w:rsidRDefault="0078509A" w:rsidP="00A73C57">
      <w:pPr>
        <w:pStyle w:val="BodyText"/>
        <w:rPr>
          <w:lang w:val="en-US" w:eastAsia="en-US" w:bidi="hi-IN"/>
        </w:rPr>
      </w:pPr>
      <w:r w:rsidRPr="0078509A">
        <w:rPr>
          <w:lang w:val="en-US" w:eastAsia="en-US"/>
        </w:rPr>
        <w:fldChar w:fldCharType="begin"/>
      </w:r>
      <w:r w:rsidRPr="0078509A">
        <w:rPr>
          <w:lang w:val="en-US" w:eastAsia="en-US"/>
        </w:rPr>
        <w:instrText xml:space="preserve"> ADDIN ZOTERO_ITEM CSL_CITATION {"citationID":"MTI8oA7m","properties":{"formattedCitation":"(Snelder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proposed</w:t>
      </w:r>
      <w:r w:rsidRPr="0078509A">
        <w:rPr>
          <w:lang w:val="en-US" w:eastAsia="en-US" w:bidi="hi-IN"/>
        </w:rPr>
        <w:t xml:space="preserve"> spatial exceedance criteria as a way of transparently managing the risk of not keeping the response to at or below the threshold when the underlying stressor-response relationship was uncertain. It is noted that even with a spatial exceedance of 10</w:t>
      </w:r>
      <w:r w:rsidR="008E40DC">
        <w:rPr>
          <w:lang w:val="en-US" w:eastAsia="en-US" w:bidi="hi-IN"/>
        </w:rPr>
        <w:t xml:space="preserve"> per cent</w:t>
      </w:r>
      <w:r w:rsidRPr="0078509A">
        <w:rPr>
          <w:lang w:val="en-US" w:eastAsia="en-US" w:bidi="hi-IN"/>
        </w:rPr>
        <w:t xml:space="preserve"> there is some risk (</w:t>
      </w:r>
      <w:r w:rsidR="008E40DC">
        <w:rPr>
          <w:lang w:val="en-US" w:eastAsia="en-US" w:bidi="hi-IN"/>
        </w:rPr>
        <w:t>ie,</w:t>
      </w:r>
      <w:r w:rsidRPr="0078509A">
        <w:rPr>
          <w:lang w:val="en-US" w:eastAsia="en-US" w:bidi="hi-IN"/>
        </w:rPr>
        <w:t xml:space="preserve"> 10</w:t>
      </w:r>
      <w:r w:rsidR="008E40DC">
        <w:rPr>
          <w:lang w:val="en-US" w:eastAsia="en-US" w:bidi="hi-IN"/>
        </w:rPr>
        <w:t xml:space="preserve"> per cent</w:t>
      </w:r>
      <w:r w:rsidRPr="0078509A">
        <w:rPr>
          <w:lang w:val="en-US" w:eastAsia="en-US" w:bidi="hi-IN"/>
        </w:rPr>
        <w:t>) that the response at some sites will exceed the threshold. Reducing this risk further would mean increasing the stringency of the target – which obviously</w:t>
      </w:r>
      <w:r w:rsidR="00FA2A78">
        <w:rPr>
          <w:lang w:val="en-US" w:eastAsia="en-US" w:bidi="hi-IN"/>
        </w:rPr>
        <w:t> </w:t>
      </w:r>
      <w:r w:rsidRPr="0078509A">
        <w:rPr>
          <w:lang w:val="en-US" w:eastAsia="en-US" w:bidi="hi-IN"/>
        </w:rPr>
        <w:t>has costs that ideally would be weighed against the consequences of some localised</w:t>
      </w:r>
      <w:r w:rsidR="00FA2A78">
        <w:rPr>
          <w:lang w:val="en-US" w:eastAsia="en-US" w:bidi="hi-IN"/>
        </w:rPr>
        <w:t> </w:t>
      </w:r>
      <w:r w:rsidRPr="0078509A">
        <w:rPr>
          <w:lang w:val="en-US" w:eastAsia="en-US" w:bidi="hi-IN"/>
        </w:rPr>
        <w:t xml:space="preserve">exceedances. </w:t>
      </w:r>
    </w:p>
    <w:p w14:paraId="57B495A7" w14:textId="4AD1955D" w:rsidR="0078509A" w:rsidRPr="0078509A" w:rsidRDefault="0078509A" w:rsidP="00A73C57">
      <w:pPr>
        <w:pStyle w:val="BodyText"/>
        <w:rPr>
          <w:lang w:val="en-US" w:eastAsia="en-US" w:bidi="hi-IN"/>
        </w:rPr>
      </w:pPr>
      <w:r w:rsidRPr="0078509A">
        <w:rPr>
          <w:lang w:val="en-US" w:eastAsia="en-US" w:bidi="hi-IN"/>
        </w:rPr>
        <w:t>A key point is that acceptance of the risk that a target will not always achieve the acceptable level of response (the threshold) is common to most environmental targets but it is often unstated. For example, the toxicity based attribute states in the NPS-FM are based on similar types of statistical analysis. For toxicity, the attribute state is set to protect a proportion of the test species (</w:t>
      </w:r>
      <w:r w:rsidR="008E40DC">
        <w:rPr>
          <w:lang w:val="en-US" w:eastAsia="en-US" w:bidi="hi-IN"/>
        </w:rPr>
        <w:t>ie,</w:t>
      </w:r>
      <w:r w:rsidRPr="0078509A">
        <w:rPr>
          <w:lang w:val="en-US" w:eastAsia="en-US" w:bidi="hi-IN"/>
        </w:rPr>
        <w:t xml:space="preserve"> the threshold), but there is (unstated) uncertainty in the target and the actual proportion of species being protected may be less than the nominated threshold.</w:t>
      </w:r>
      <w:r w:rsidR="008E40DC">
        <w:rPr>
          <w:lang w:val="en-US" w:eastAsia="en-US" w:bidi="hi-IN"/>
        </w:rPr>
        <w:t xml:space="preserve"> </w:t>
      </w:r>
      <w:r w:rsidRPr="0078509A">
        <w:rPr>
          <w:lang w:val="en-US" w:eastAsia="en-US" w:bidi="hi-IN"/>
        </w:rPr>
        <w:t xml:space="preserve">Another example of risks of non-achievement of attribute states is the TN and TP for lakes. TN and TP are stressors and targets for these are intended to achieve associated in-lake chlorophyll biomass (the response). However, the TN and TP </w:t>
      </w:r>
      <w:r w:rsidRPr="0078509A">
        <w:rPr>
          <w:lang w:val="en-US" w:eastAsia="en-US"/>
        </w:rPr>
        <w:t xml:space="preserve">concentration targets </w:t>
      </w:r>
      <w:r w:rsidRPr="0078509A">
        <w:rPr>
          <w:lang w:val="en-US" w:eastAsia="en-US" w:bidi="hi-IN"/>
        </w:rPr>
        <w:t xml:space="preserve">are uncertain and, for at least some lakes, the in-lake chlorophyll biomass threshold will exceed the designated attribute states when either TN and TP do not exceed the associated target. </w:t>
      </w:r>
    </w:p>
    <w:p w14:paraId="45DE1DE8" w14:textId="494E2C55" w:rsidR="0078509A" w:rsidRPr="0078509A" w:rsidRDefault="0078509A" w:rsidP="00A73C57">
      <w:pPr>
        <w:pStyle w:val="BodyText"/>
        <w:rPr>
          <w:lang w:val="en-US" w:eastAsia="en-US" w:bidi="hi-IN"/>
        </w:rPr>
      </w:pPr>
      <w:r w:rsidRPr="0078509A">
        <w:rPr>
          <w:lang w:val="en-US" w:eastAsia="en-US" w:bidi="hi-IN"/>
        </w:rPr>
        <w:t xml:space="preserve">In conclusion, the </w:t>
      </w:r>
      <w:r w:rsidRPr="0078509A">
        <w:rPr>
          <w:lang w:val="en-US" w:eastAsia="en-US"/>
        </w:rPr>
        <w:fldChar w:fldCharType="begin"/>
      </w:r>
      <w:r w:rsidRPr="0078509A">
        <w:rPr>
          <w:lang w:val="en-US" w:eastAsia="en-US"/>
        </w:rPr>
        <w:instrText xml:space="preserve"> ADDIN ZOTERO_ITEM CSL_CITATION {"citationID":"tEpDzmCf","properties":{"formattedCitation":"(Snelder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Pr="0078509A">
        <w:rPr>
          <w:lang w:val="en-US" w:eastAsia="en-US" w:bidi="hi-IN"/>
        </w:rPr>
        <w:t>nutrient targets are intended to be guidance/starting points for defining nutrient concentrations for managing to the periphyton attribute states.</w:t>
      </w:r>
      <w:r w:rsidR="008E40DC">
        <w:rPr>
          <w:lang w:val="en-US" w:eastAsia="en-US" w:bidi="hi-IN"/>
        </w:rPr>
        <w:t xml:space="preserve"> </w:t>
      </w:r>
      <w:r w:rsidRPr="0078509A">
        <w:rPr>
          <w:lang w:val="en-US" w:eastAsia="en-US" w:bidi="hi-IN"/>
        </w:rPr>
        <w:t xml:space="preserve">They are not inconsistent with other water quality targets because all targets should be </w:t>
      </w:r>
      <w:r w:rsidRPr="0078509A">
        <w:rPr>
          <w:lang w:val="en-US" w:eastAsia="en-US" w:bidi="hi-IN"/>
        </w:rPr>
        <w:lastRenderedPageBreak/>
        <w:t xml:space="preserve">regarded as uncertain. However, the </w:t>
      </w:r>
      <w:r w:rsidRPr="0078509A">
        <w:rPr>
          <w:lang w:val="en-US" w:eastAsia="en-US"/>
        </w:rPr>
        <w:fldChar w:fldCharType="begin"/>
      </w:r>
      <w:r w:rsidRPr="0078509A">
        <w:rPr>
          <w:lang w:val="en-US" w:eastAsia="en-US"/>
        </w:rPr>
        <w:instrText xml:space="preserve"> ADDIN ZOTERO_ITEM CSL_CITATION {"citationID":"Miq7ZP3C","properties":{"formattedCitation":"(Snelder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Pr="0078509A">
        <w:rPr>
          <w:lang w:val="en-US" w:eastAsia="en-US" w:bidi="hi-IN"/>
        </w:rPr>
        <w:t xml:space="preserve">targets were not intended to be used as attributes for setting objectives; they are targets for biological stressors intended for use in setting risk-based limits to resource use, and are uncertain. If an individual site exceeds the </w:t>
      </w:r>
      <w:r w:rsidRPr="0078509A">
        <w:rPr>
          <w:lang w:val="en-US" w:eastAsia="en-US"/>
        </w:rPr>
        <w:fldChar w:fldCharType="begin"/>
      </w:r>
      <w:r w:rsidRPr="0078509A">
        <w:rPr>
          <w:lang w:val="en-US" w:eastAsia="en-US"/>
        </w:rPr>
        <w:instrText xml:space="preserve"> ADDIN ZOTERO_ITEM CSL_CITATION {"citationID":"Iey20VjS","properties":{"formattedCitation":"(Snelder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Pr="0078509A">
        <w:rPr>
          <w:lang w:val="en-US" w:eastAsia="en-US" w:bidi="hi-IN"/>
        </w:rPr>
        <w:t>targets, the correct interpretation is that it has an “unacceptably high risk” of failing to achieve the nominated biological threshold (or objective). Exceeding the target, however, does not mean that the site is exceeding the biological threshold, because the</w:t>
      </w:r>
      <w:r w:rsidR="006C31D0">
        <w:rPr>
          <w:lang w:val="en-US" w:eastAsia="en-US" w:bidi="hi-IN"/>
        </w:rPr>
        <w:t> </w:t>
      </w:r>
      <w:r w:rsidRPr="0078509A">
        <w:rPr>
          <w:lang w:val="en-US" w:eastAsia="en-US" w:bidi="hi-IN"/>
        </w:rPr>
        <w:t xml:space="preserve">nutrient targets are uncertain and only monitoring of periphyton can confirm the actual biomass. However, in the absence of biological information, the manager would interpret failing the target as evidence that there is an issue and may decide to act accordingly. </w:t>
      </w:r>
    </w:p>
    <w:p w14:paraId="33683E0E" w14:textId="77777777" w:rsidR="00140722" w:rsidRPr="0078509A" w:rsidRDefault="00140722" w:rsidP="00140722">
      <w:pPr>
        <w:spacing w:before="480" w:after="0" w:line="276" w:lineRule="auto"/>
        <w:contextualSpacing/>
        <w:jc w:val="left"/>
        <w:outlineLvl w:val="0"/>
        <w:rPr>
          <w:rFonts w:ascii="Cambria" w:eastAsia="Times New Roman" w:hAnsi="Cambria" w:cs="Times New Roman"/>
          <w:b/>
          <w:bCs/>
          <w:sz w:val="28"/>
          <w:szCs w:val="28"/>
          <w:lang w:val="en-US" w:eastAsia="en-US"/>
        </w:rPr>
      </w:pPr>
      <w:bookmarkStart w:id="219" w:name="_Toc39145119"/>
      <w:bookmarkStart w:id="220" w:name="_Toc39145259"/>
      <w:bookmarkStart w:id="221" w:name="_Toc39145328"/>
      <w:r w:rsidRPr="0078509A">
        <w:rPr>
          <w:rFonts w:ascii="Cambria" w:eastAsia="Times New Roman" w:hAnsi="Cambria" w:cs="Times New Roman"/>
          <w:b/>
          <w:bCs/>
          <w:sz w:val="28"/>
          <w:szCs w:val="28"/>
          <w:lang w:val="en-US" w:eastAsia="en-US"/>
        </w:rPr>
        <w:t>TN and DRP concentration targets for a 30% spatial exceedance</w:t>
      </w:r>
      <w:r>
        <w:rPr>
          <w:rFonts w:ascii="Cambria" w:eastAsia="Times New Roman" w:hAnsi="Cambria" w:cs="Times New Roman"/>
          <w:b/>
          <w:bCs/>
          <w:sz w:val="28"/>
          <w:szCs w:val="28"/>
          <w:lang w:val="en-US" w:eastAsia="en-US"/>
        </w:rPr>
        <w:t> </w:t>
      </w:r>
      <w:r w:rsidRPr="0078509A">
        <w:rPr>
          <w:rFonts w:ascii="Cambria" w:eastAsia="Times New Roman" w:hAnsi="Cambria" w:cs="Times New Roman"/>
          <w:b/>
          <w:bCs/>
          <w:sz w:val="28"/>
          <w:szCs w:val="28"/>
          <w:lang w:val="en-US" w:eastAsia="en-US"/>
        </w:rPr>
        <w:t>criteria</w:t>
      </w:r>
      <w:bookmarkEnd w:id="219"/>
      <w:bookmarkEnd w:id="220"/>
      <w:bookmarkEnd w:id="221"/>
    </w:p>
    <w:p w14:paraId="047D7A82" w14:textId="57FB365F" w:rsidR="0078509A" w:rsidRPr="0078509A" w:rsidRDefault="0078509A" w:rsidP="00A73C57">
      <w:pPr>
        <w:pStyle w:val="BodyText"/>
        <w:rPr>
          <w:lang w:val="en-US" w:eastAsia="en-US"/>
        </w:rPr>
      </w:pPr>
      <w:r w:rsidRPr="0078509A">
        <w:rPr>
          <w:lang w:val="en-US" w:eastAsia="en-US" w:bidi="hi-IN"/>
        </w:rPr>
        <w:t xml:space="preserve">The TN and DRP </w:t>
      </w:r>
      <w:r w:rsidRPr="0078509A">
        <w:rPr>
          <w:lang w:val="en-US" w:eastAsia="en-US"/>
        </w:rPr>
        <w:t xml:space="preserve">concentration targets </w:t>
      </w:r>
      <w:r w:rsidRPr="0078509A">
        <w:rPr>
          <w:lang w:val="en-US" w:eastAsia="en-US" w:bidi="hi-IN"/>
        </w:rPr>
        <w:t xml:space="preserve">to achieve a periphyton biomass thresholds of </w:t>
      </w:r>
      <w:r w:rsidRPr="0078509A">
        <w:rPr>
          <w:lang w:val="en-US" w:eastAsia="en-US"/>
        </w:rPr>
        <w:t>50 mg chlorophyll m</w:t>
      </w:r>
      <w:r w:rsidRPr="0078509A">
        <w:rPr>
          <w:vertAlign w:val="superscript"/>
          <w:lang w:val="en-US" w:eastAsia="en-US"/>
        </w:rPr>
        <w:t>-2</w:t>
      </w:r>
      <w:r w:rsidRPr="0078509A">
        <w:rPr>
          <w:lang w:val="en-US" w:eastAsia="en-US"/>
        </w:rPr>
        <w:t>, 120 mg chlorophyll m</w:t>
      </w:r>
      <w:r w:rsidRPr="0078509A">
        <w:rPr>
          <w:vertAlign w:val="superscript"/>
          <w:lang w:val="en-US" w:eastAsia="en-US"/>
        </w:rPr>
        <w:t xml:space="preserve">-2 </w:t>
      </w:r>
      <w:r w:rsidRPr="0078509A">
        <w:rPr>
          <w:lang w:val="en-US" w:eastAsia="en-US"/>
        </w:rPr>
        <w:t>and 200 mg chlorophyll m</w:t>
      </w:r>
      <w:r w:rsidRPr="0078509A">
        <w:rPr>
          <w:vertAlign w:val="superscript"/>
          <w:lang w:val="en-US" w:eastAsia="en-US"/>
        </w:rPr>
        <w:t>-2</w:t>
      </w:r>
      <w:r w:rsidRPr="0078509A">
        <w:rPr>
          <w:lang w:val="en-US" w:eastAsia="en-US" w:bidi="hi-IN"/>
        </w:rPr>
        <w:t xml:space="preserve"> for 21 River Environment Classification (REC) classes and corresponding to a 30</w:t>
      </w:r>
      <w:r w:rsidR="008E40DC">
        <w:rPr>
          <w:lang w:val="en-US" w:eastAsia="en-US" w:bidi="hi-IN"/>
        </w:rPr>
        <w:t xml:space="preserve"> per cent</w:t>
      </w:r>
      <w:r w:rsidRPr="0078509A">
        <w:rPr>
          <w:lang w:val="en-US" w:eastAsia="en-US" w:bidi="hi-IN"/>
        </w:rPr>
        <w:t xml:space="preserve"> spatial exceedance criteria were derived using the methodology described by </w:t>
      </w:r>
      <w:r w:rsidRPr="0078509A">
        <w:rPr>
          <w:lang w:val="en-US" w:eastAsia="en-US"/>
        </w:rPr>
        <w:fldChar w:fldCharType="begin"/>
      </w:r>
      <w:r w:rsidRPr="0078509A">
        <w:rPr>
          <w:lang w:val="en-US" w:eastAsia="en-US"/>
        </w:rPr>
        <w:instrText xml:space="preserve"> ADDIN ZOTERO_ITEM CSL_CITATION {"citationID":"FTgTcZYq","properties":{"formattedCitation":"(Snelder, 2018)","plainCitation":"(Snelder, 2018)","noteIndex":0},"citationItems":[{"id":1889,"uris":["http://zotero.org/users/1036959/items/EDGEGH99"],"uri":["http://zotero.org/users/1036959/items/EDGEGH99"],"itemData":{"id":1889,"type":"report","event-place":"Wellington, New  Zealand","genre":"GNS Science Report","page":"47","publisher":"Geological and Nuclear Sciences","publisher-place":"Wellington, New  Zealand","title":"Nutrient concentration targets to achieve periphyton biomass objectives incorporating uncertainties","author":[{"family":"Snelder","given":"T."}],"issued":{"date-parts":[["2018"]]}}}],"schema":"https://github.com/citation-style-language/schema/raw/master/csl-citation.json"} </w:instrText>
      </w:r>
      <w:r w:rsidRPr="0078509A">
        <w:rPr>
          <w:lang w:val="en-US" w:eastAsia="en-US"/>
        </w:rPr>
        <w:fldChar w:fldCharType="separate"/>
      </w:r>
      <w:r w:rsidRPr="0078509A">
        <w:rPr>
          <w:rFonts w:cs="Calibri"/>
          <w:lang w:val="en-US" w:eastAsia="en-US"/>
        </w:rPr>
        <w:t>Snelder (2018)</w:t>
      </w:r>
      <w:r w:rsidRPr="0078509A">
        <w:rPr>
          <w:lang w:val="en-US" w:eastAsia="en-US"/>
        </w:rPr>
        <w:fldChar w:fldCharType="end"/>
      </w:r>
      <w:r w:rsidRPr="0078509A">
        <w:rPr>
          <w:lang w:val="en-US" w:eastAsia="en-US"/>
        </w:rPr>
        <w:t xml:space="preserve"> and </w:t>
      </w:r>
      <w:r w:rsidRPr="0078509A">
        <w:rPr>
          <w:lang w:val="en-US" w:eastAsia="en-US"/>
        </w:rPr>
        <w:fldChar w:fldCharType="begin"/>
      </w:r>
      <w:r w:rsidRPr="0078509A">
        <w:rPr>
          <w:lang w:val="en-US" w:eastAsia="en-US"/>
        </w:rPr>
        <w:instrText xml:space="preserve"> ADDIN ZOTERO_ITEM CSL_CITATION {"citationID":"Li1EueO8","properties":{"formattedCitation":"(Snelder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The results obtained for the 10</w:t>
      </w:r>
      <w:r w:rsidR="008E40DC">
        <w:rPr>
          <w:lang w:val="en-US" w:eastAsia="en-US"/>
        </w:rPr>
        <w:t xml:space="preserve"> per cent</w:t>
      </w:r>
      <w:r w:rsidRPr="0078509A">
        <w:rPr>
          <w:lang w:val="en-US" w:eastAsia="en-US"/>
        </w:rPr>
        <w:t>, 20</w:t>
      </w:r>
      <w:r w:rsidR="008E40DC">
        <w:rPr>
          <w:lang w:val="en-US" w:eastAsia="en-US"/>
        </w:rPr>
        <w:t xml:space="preserve"> per cent</w:t>
      </w:r>
      <w:r w:rsidRPr="0078509A">
        <w:rPr>
          <w:lang w:val="en-US" w:eastAsia="en-US"/>
        </w:rPr>
        <w:t xml:space="preserve"> and 50</w:t>
      </w:r>
      <w:r w:rsidR="008E40DC">
        <w:rPr>
          <w:lang w:val="en-US" w:eastAsia="en-US"/>
        </w:rPr>
        <w:t xml:space="preserve"> per cent</w:t>
      </w:r>
      <w:r w:rsidRPr="0078509A">
        <w:rPr>
          <w:lang w:val="en-US" w:eastAsia="en-US"/>
        </w:rPr>
        <w:t xml:space="preserve"> spatial exceedance criteria are consistent with those of Snelder, (2018) and Snelder </w:t>
      </w:r>
      <w:r w:rsidR="008E40DC">
        <w:rPr>
          <w:i/>
          <w:iCs/>
          <w:lang w:val="en-US" w:eastAsia="en-US"/>
        </w:rPr>
        <w:t>et al</w:t>
      </w:r>
      <w:r w:rsidRPr="0078509A">
        <w:rPr>
          <w:lang w:val="en-US" w:eastAsia="en-US"/>
        </w:rPr>
        <w:t xml:space="preserve"> (2019). Note that there are small (insignificant) differences between the results presented here are the earlier studies due to stochastic variation produced by the Monte Carlo analysis. As expected, for a given REC class, the nutrient concentration targets for a 30</w:t>
      </w:r>
      <w:r w:rsidR="008E40DC">
        <w:rPr>
          <w:lang w:val="en-US" w:eastAsia="en-US"/>
        </w:rPr>
        <w:t xml:space="preserve"> per cent</w:t>
      </w:r>
      <w:r w:rsidRPr="0078509A">
        <w:rPr>
          <w:lang w:val="en-US" w:eastAsia="en-US"/>
        </w:rPr>
        <w:t xml:space="preserve"> spatial exceedance criterion was always between that</w:t>
      </w:r>
      <w:r w:rsidR="00FA2A78">
        <w:rPr>
          <w:lang w:val="en-US" w:eastAsia="en-US"/>
        </w:rPr>
        <w:t> </w:t>
      </w:r>
      <w:r w:rsidRPr="0078509A">
        <w:rPr>
          <w:lang w:val="en-US" w:eastAsia="en-US"/>
        </w:rPr>
        <w:t>for the 20</w:t>
      </w:r>
      <w:r w:rsidR="008E40DC">
        <w:rPr>
          <w:lang w:val="en-US" w:eastAsia="en-US"/>
        </w:rPr>
        <w:t xml:space="preserve"> per cent</w:t>
      </w:r>
      <w:r w:rsidRPr="0078509A">
        <w:rPr>
          <w:lang w:val="en-US" w:eastAsia="en-US"/>
        </w:rPr>
        <w:t xml:space="preserve"> and 50</w:t>
      </w:r>
      <w:r w:rsidR="008E40DC">
        <w:rPr>
          <w:lang w:val="en-US" w:eastAsia="en-US"/>
        </w:rPr>
        <w:t xml:space="preserve"> per cent</w:t>
      </w:r>
      <w:r w:rsidRPr="0078509A">
        <w:rPr>
          <w:lang w:val="en-US" w:eastAsia="en-US"/>
        </w:rPr>
        <w:t xml:space="preserve"> spatial exceedance criteria. </w:t>
      </w:r>
    </w:p>
    <w:p w14:paraId="5CD18FFC" w14:textId="5044B949" w:rsidR="0078509A" w:rsidRPr="0078509A" w:rsidRDefault="0078509A" w:rsidP="00A73C57">
      <w:pPr>
        <w:pStyle w:val="BodyText"/>
        <w:rPr>
          <w:lang w:val="en-US" w:eastAsia="en-US"/>
        </w:rPr>
      </w:pPr>
      <w:r w:rsidRPr="0078509A">
        <w:rPr>
          <w:lang w:val="en-US" w:eastAsia="en-US"/>
        </w:rPr>
        <w:t xml:space="preserve">The targets to </w:t>
      </w:r>
      <w:r w:rsidRPr="0078509A">
        <w:rPr>
          <w:lang w:val="en-US" w:eastAsia="en-US" w:bidi="hi-IN"/>
        </w:rPr>
        <w:t xml:space="preserve">achieve periphyton biomass threshold of </w:t>
      </w:r>
      <w:r w:rsidRPr="0078509A">
        <w:rPr>
          <w:lang w:val="en-US" w:eastAsia="en-US"/>
        </w:rPr>
        <w:t>50 mg chlorophyll m</w:t>
      </w:r>
      <w:r w:rsidRPr="0078509A">
        <w:rPr>
          <w:vertAlign w:val="superscript"/>
          <w:lang w:val="en-US" w:eastAsia="en-US"/>
        </w:rPr>
        <w:t>-2</w:t>
      </w:r>
      <w:r w:rsidRPr="0078509A">
        <w:rPr>
          <w:lang w:val="en-US" w:eastAsia="en-US"/>
        </w:rPr>
        <w:t>, 120 mg chlorophyll m</w:t>
      </w:r>
      <w:r w:rsidRPr="0078509A">
        <w:rPr>
          <w:vertAlign w:val="superscript"/>
          <w:lang w:val="en-US" w:eastAsia="en-US"/>
        </w:rPr>
        <w:t xml:space="preserve">-2 </w:t>
      </w:r>
      <w:r w:rsidRPr="0078509A">
        <w:rPr>
          <w:lang w:val="en-US" w:eastAsia="en-US"/>
        </w:rPr>
        <w:t>and 200 mg chlorophyll m</w:t>
      </w:r>
      <w:r w:rsidRPr="0078509A">
        <w:rPr>
          <w:vertAlign w:val="superscript"/>
          <w:lang w:val="en-US" w:eastAsia="en-US"/>
        </w:rPr>
        <w:t xml:space="preserve">-2 </w:t>
      </w:r>
      <w:r w:rsidRPr="0078509A">
        <w:rPr>
          <w:lang w:val="en-US" w:eastAsia="en-US" w:bidi="hi-IN"/>
        </w:rPr>
        <w:t>for 10</w:t>
      </w:r>
      <w:r w:rsidR="008E40DC">
        <w:rPr>
          <w:lang w:val="en-US" w:eastAsia="en-US" w:bidi="hi-IN"/>
        </w:rPr>
        <w:t xml:space="preserve"> per cent</w:t>
      </w:r>
      <w:r w:rsidRPr="0078509A">
        <w:rPr>
          <w:lang w:val="en-US" w:eastAsia="en-US" w:bidi="hi-IN"/>
        </w:rPr>
        <w:t>, 20</w:t>
      </w:r>
      <w:r w:rsidR="008E40DC">
        <w:rPr>
          <w:lang w:val="en-US" w:eastAsia="en-US" w:bidi="hi-IN"/>
        </w:rPr>
        <w:t xml:space="preserve"> per cent</w:t>
      </w:r>
      <w:r w:rsidRPr="0078509A">
        <w:rPr>
          <w:lang w:val="en-US" w:eastAsia="en-US" w:bidi="hi-IN"/>
        </w:rPr>
        <w:t xml:space="preserve"> and 30</w:t>
      </w:r>
      <w:r w:rsidR="008E40DC">
        <w:rPr>
          <w:lang w:val="en-US" w:eastAsia="en-US" w:bidi="hi-IN"/>
        </w:rPr>
        <w:t xml:space="preserve"> per cent</w:t>
      </w:r>
      <w:r w:rsidRPr="0078509A">
        <w:rPr>
          <w:lang w:val="en-US" w:eastAsia="en-US" w:bidi="hi-IN"/>
        </w:rPr>
        <w:t xml:space="preserve"> spatial exceedance criteria are provided for TN in </w:t>
      </w:r>
      <w:r w:rsidR="009C17BC">
        <w:rPr>
          <w:lang w:val="en-US" w:eastAsia="en-US" w:bidi="hi-IN"/>
        </w:rPr>
        <w:t>Table 1</w:t>
      </w:r>
      <w:r w:rsidRPr="0078509A">
        <w:rPr>
          <w:lang w:val="en-US" w:eastAsia="en-US" w:bidi="hi-IN"/>
        </w:rPr>
        <w:t xml:space="preserve"> and for DRP in</w:t>
      </w:r>
      <w:r w:rsidR="009C17BC">
        <w:rPr>
          <w:lang w:val="en-US" w:eastAsia="en-US" w:bidi="hi-IN"/>
        </w:rPr>
        <w:t xml:space="preserve"> Table 2</w:t>
      </w:r>
      <w:r w:rsidRPr="0078509A">
        <w:rPr>
          <w:lang w:val="en-US" w:eastAsia="en-US" w:bidi="hi-IN"/>
        </w:rPr>
        <w:t xml:space="preserve">. </w:t>
      </w:r>
    </w:p>
    <w:p w14:paraId="6E8DB0AD" w14:textId="77777777" w:rsidR="0078509A" w:rsidRPr="0078509A" w:rsidRDefault="0078509A" w:rsidP="0078509A">
      <w:pPr>
        <w:spacing w:before="0" w:after="200" w:line="276" w:lineRule="auto"/>
        <w:jc w:val="left"/>
        <w:rPr>
          <w:rFonts w:eastAsia="Times New Roman" w:cs="Times New Roman"/>
          <w:lang w:val="en-US" w:eastAsia="en-US" w:bidi="hi-IN"/>
        </w:rPr>
      </w:pPr>
      <w:r w:rsidRPr="0078509A">
        <w:rPr>
          <w:rFonts w:eastAsia="Times New Roman" w:cs="Times New Roman"/>
          <w:noProof/>
        </w:rPr>
        <w:lastRenderedPageBreak/>
        <w:drawing>
          <wp:inline distT="0" distB="0" distL="0" distR="0" wp14:anchorId="370F7E4F" wp14:editId="686D7E07">
            <wp:extent cx="5347854" cy="5480475"/>
            <wp:effectExtent l="0" t="0" r="5715" b="635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6146" cy="5499220"/>
                    </a:xfrm>
                    <a:prstGeom prst="rect">
                      <a:avLst/>
                    </a:prstGeom>
                    <a:noFill/>
                    <a:ln>
                      <a:noFill/>
                    </a:ln>
                  </pic:spPr>
                </pic:pic>
              </a:graphicData>
            </a:graphic>
          </wp:inline>
        </w:drawing>
      </w:r>
    </w:p>
    <w:p w14:paraId="043DAEED" w14:textId="77777777" w:rsidR="00140722" w:rsidRPr="0078509A" w:rsidRDefault="00140722" w:rsidP="00140722">
      <w:pPr>
        <w:spacing w:before="0" w:after="200" w:line="240" w:lineRule="auto"/>
        <w:jc w:val="left"/>
        <w:rPr>
          <w:rFonts w:eastAsia="Times New Roman" w:cs="Times New Roman"/>
          <w:b/>
          <w:bCs/>
          <w:smallCaps/>
          <w:color w:val="1F497D"/>
          <w:spacing w:val="6"/>
          <w:szCs w:val="18"/>
          <w:lang w:val="en-US" w:eastAsia="en-US" w:bidi="hi-IN"/>
        </w:rPr>
      </w:pPr>
      <w:r w:rsidRPr="0078509A">
        <w:rPr>
          <w:rFonts w:eastAsia="Times New Roman" w:cs="Times New Roman"/>
          <w:b/>
          <w:bCs/>
          <w:smallCaps/>
          <w:color w:val="1F497D"/>
          <w:spacing w:val="6"/>
          <w:szCs w:val="18"/>
          <w:lang w:val="en-US" w:eastAsia="en-US" w:bidi="hi-IN"/>
        </w:rPr>
        <w:t xml:space="preserve">Figure </w:t>
      </w:r>
      <w:r>
        <w:rPr>
          <w:rFonts w:eastAsia="Times New Roman" w:cs="Times New Roman"/>
          <w:b/>
          <w:bCs/>
          <w:smallCaps/>
          <w:color w:val="1F497D"/>
          <w:spacing w:val="6"/>
          <w:szCs w:val="18"/>
          <w:lang w:val="en-US" w:eastAsia="en-US" w:bidi="hi-IN"/>
        </w:rPr>
        <w:t>5</w:t>
      </w:r>
      <w:r w:rsidRPr="0078509A">
        <w:rPr>
          <w:rFonts w:eastAsia="Times New Roman" w:cs="Times New Roman"/>
          <w:b/>
          <w:bCs/>
          <w:smallCaps/>
          <w:color w:val="1F497D"/>
          <w:spacing w:val="6"/>
          <w:szCs w:val="18"/>
          <w:lang w:val="en-US" w:eastAsia="en-US" w:bidi="hi-IN"/>
        </w:rPr>
        <w:t>. The derived TN and DRP targets to achieve the periphyton biomass threshold of 200 mg chlorophyll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 xml:space="preserve"> and their uncertainties (error bars) for domains of 25, 100 and 1000 sites for four spatial exceedance criteria (10%, 20%, 30% and 50%). Note change in Y-axis scales.</w:t>
      </w:r>
    </w:p>
    <w:p w14:paraId="41E9246E" w14:textId="77777777" w:rsidR="00140722" w:rsidRPr="0078509A" w:rsidRDefault="0078509A" w:rsidP="00140722">
      <w:pPr>
        <w:spacing w:before="0" w:line="276" w:lineRule="auto"/>
        <w:jc w:val="left"/>
        <w:rPr>
          <w:rFonts w:eastAsia="Times New Roman" w:cs="Times New Roman"/>
          <w:b/>
          <w:bCs/>
          <w:smallCaps/>
          <w:color w:val="1F497D"/>
          <w:spacing w:val="6"/>
          <w:szCs w:val="18"/>
          <w:lang w:val="en-US" w:eastAsia="en-US" w:bidi="hi-IN"/>
        </w:rPr>
      </w:pPr>
      <w:r w:rsidRPr="0078509A">
        <w:rPr>
          <w:lang w:val="en-US" w:eastAsia="en-US" w:bidi="hi-IN"/>
        </w:rPr>
        <w:br w:type="page"/>
      </w:r>
      <w:bookmarkStart w:id="222" w:name="_Ref33704092"/>
      <w:r w:rsidR="00140722" w:rsidRPr="0078509A">
        <w:rPr>
          <w:rFonts w:eastAsia="Times New Roman" w:cs="Times New Roman"/>
          <w:b/>
          <w:bCs/>
          <w:smallCaps/>
          <w:color w:val="1F497D"/>
          <w:spacing w:val="6"/>
          <w:szCs w:val="18"/>
          <w:lang w:val="en-US" w:eastAsia="en-US" w:bidi="hi-IN"/>
        </w:rPr>
        <w:lastRenderedPageBreak/>
        <w:t xml:space="preserve">Table </w:t>
      </w:r>
      <w:bookmarkEnd w:id="222"/>
      <w:r w:rsidR="00140722">
        <w:rPr>
          <w:rFonts w:eastAsia="Times New Roman" w:cs="Times New Roman"/>
          <w:b/>
          <w:bCs/>
          <w:smallCaps/>
          <w:color w:val="1F497D"/>
          <w:spacing w:val="6"/>
          <w:szCs w:val="18"/>
          <w:lang w:val="en-US" w:eastAsia="en-US" w:bidi="hi-IN"/>
        </w:rPr>
        <w:t>1</w:t>
      </w:r>
      <w:r w:rsidR="00140722" w:rsidRPr="0078509A">
        <w:rPr>
          <w:rFonts w:eastAsia="Times New Roman" w:cs="Times New Roman"/>
          <w:b/>
          <w:bCs/>
          <w:smallCaps/>
          <w:color w:val="1F497D"/>
          <w:spacing w:val="6"/>
          <w:szCs w:val="18"/>
          <w:lang w:val="en-US" w:eastAsia="en-US" w:bidi="hi-IN"/>
        </w:rPr>
        <w:t>. TN concentration targets (mg m</w:t>
      </w:r>
      <w:r w:rsidR="00140722" w:rsidRPr="0078509A">
        <w:rPr>
          <w:rFonts w:eastAsia="Times New Roman" w:cs="Times New Roman"/>
          <w:b/>
          <w:bCs/>
          <w:smallCaps/>
          <w:color w:val="1F497D"/>
          <w:spacing w:val="6"/>
          <w:szCs w:val="18"/>
          <w:vertAlign w:val="superscript"/>
          <w:lang w:val="en-US" w:eastAsia="en-US" w:bidi="hi-IN"/>
        </w:rPr>
        <w:t>-3</w:t>
      </w:r>
      <w:r w:rsidR="00140722" w:rsidRPr="0078509A">
        <w:rPr>
          <w:rFonts w:eastAsia="Times New Roman" w:cs="Times New Roman"/>
          <w:b/>
          <w:bCs/>
          <w:smallCaps/>
          <w:color w:val="1F497D"/>
          <w:spacing w:val="6"/>
          <w:szCs w:val="18"/>
          <w:lang w:val="en-US" w:eastAsia="en-US" w:bidi="hi-IN"/>
        </w:rPr>
        <w:t>) to achieve the thresholds of 50, 120 and 200 mg chlorophyll m</w:t>
      </w:r>
      <w:r w:rsidR="00140722" w:rsidRPr="0078509A">
        <w:rPr>
          <w:rFonts w:eastAsia="Times New Roman" w:cs="Times New Roman"/>
          <w:b/>
          <w:bCs/>
          <w:smallCaps/>
          <w:color w:val="1F497D"/>
          <w:spacing w:val="6"/>
          <w:szCs w:val="18"/>
          <w:vertAlign w:val="superscript"/>
          <w:lang w:val="en-US" w:eastAsia="en-US" w:bidi="hi-IN"/>
        </w:rPr>
        <w:t>-2</w:t>
      </w:r>
      <w:r w:rsidR="00140722" w:rsidRPr="0078509A">
        <w:rPr>
          <w:rFonts w:eastAsia="Times New Roman" w:cs="Times New Roman"/>
          <w:b/>
          <w:bCs/>
          <w:smallCaps/>
          <w:color w:val="1F497D"/>
          <w:spacing w:val="6"/>
          <w:szCs w:val="18"/>
          <w:lang w:val="en-US" w:eastAsia="en-US" w:bidi="hi-IN"/>
        </w:rPr>
        <w:t xml:space="preserve"> for spatial exceedance criteria of 10%, 20% and 30%. </w:t>
      </w:r>
    </w:p>
    <w:tbl>
      <w:tblPr>
        <w:tblStyle w:val="TableGrid1"/>
        <w:tblW w:w="8506" w:type="dxa"/>
        <w:tblInd w:w="0" w:type="dxa"/>
        <w:tblLook w:val="04A0" w:firstRow="1" w:lastRow="0" w:firstColumn="1" w:lastColumn="0" w:noHBand="0" w:noVBand="1"/>
      </w:tblPr>
      <w:tblGrid>
        <w:gridCol w:w="865"/>
        <w:gridCol w:w="849"/>
        <w:gridCol w:w="849"/>
        <w:gridCol w:w="849"/>
        <w:gridCol w:w="849"/>
        <w:gridCol w:w="849"/>
        <w:gridCol w:w="849"/>
        <w:gridCol w:w="849"/>
        <w:gridCol w:w="849"/>
        <w:gridCol w:w="849"/>
      </w:tblGrid>
      <w:tr w:rsidR="00140722" w:rsidRPr="0078509A" w14:paraId="549C4B35" w14:textId="77777777" w:rsidTr="00492A4A">
        <w:tc>
          <w:tcPr>
            <w:tcW w:w="856" w:type="dxa"/>
            <w:vMerge w:val="restart"/>
            <w:tcBorders>
              <w:top w:val="single" w:sz="4" w:space="0" w:color="auto"/>
              <w:left w:val="single" w:sz="4" w:space="0" w:color="auto"/>
              <w:bottom w:val="single" w:sz="4" w:space="0" w:color="auto"/>
              <w:right w:val="single" w:sz="4" w:space="0" w:color="auto"/>
            </w:tcBorders>
            <w:hideMark/>
          </w:tcPr>
          <w:p w14:paraId="2827760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REC class</w:t>
            </w:r>
          </w:p>
        </w:tc>
        <w:tc>
          <w:tcPr>
            <w:tcW w:w="2550" w:type="dxa"/>
            <w:gridSpan w:val="3"/>
            <w:tcBorders>
              <w:top w:val="single" w:sz="4" w:space="0" w:color="auto"/>
              <w:left w:val="single" w:sz="4" w:space="0" w:color="auto"/>
              <w:bottom w:val="single" w:sz="4" w:space="0" w:color="auto"/>
              <w:right w:val="single" w:sz="4" w:space="0" w:color="auto"/>
            </w:tcBorders>
            <w:hideMark/>
          </w:tcPr>
          <w:p w14:paraId="0CE73A11"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10% Spatial exceedance</w:t>
            </w:r>
          </w:p>
        </w:tc>
        <w:tc>
          <w:tcPr>
            <w:tcW w:w="2550" w:type="dxa"/>
            <w:gridSpan w:val="3"/>
            <w:tcBorders>
              <w:top w:val="single" w:sz="4" w:space="0" w:color="auto"/>
              <w:left w:val="single" w:sz="4" w:space="0" w:color="auto"/>
              <w:bottom w:val="single" w:sz="4" w:space="0" w:color="auto"/>
              <w:right w:val="single" w:sz="4" w:space="0" w:color="auto"/>
            </w:tcBorders>
            <w:hideMark/>
          </w:tcPr>
          <w:p w14:paraId="1DAB640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20% Spatial exceedance</w:t>
            </w:r>
          </w:p>
        </w:tc>
        <w:tc>
          <w:tcPr>
            <w:tcW w:w="2550" w:type="dxa"/>
            <w:gridSpan w:val="3"/>
            <w:tcBorders>
              <w:top w:val="single" w:sz="4" w:space="0" w:color="auto"/>
              <w:left w:val="single" w:sz="4" w:space="0" w:color="auto"/>
              <w:bottom w:val="single" w:sz="4" w:space="0" w:color="auto"/>
              <w:right w:val="single" w:sz="4" w:space="0" w:color="auto"/>
            </w:tcBorders>
            <w:hideMark/>
          </w:tcPr>
          <w:p w14:paraId="532885A7"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30% Spatial exceedance</w:t>
            </w:r>
          </w:p>
        </w:tc>
      </w:tr>
      <w:tr w:rsidR="00140722" w:rsidRPr="0078509A" w14:paraId="33E434F7" w14:textId="77777777" w:rsidTr="00492A4A">
        <w:tc>
          <w:tcPr>
            <w:tcW w:w="0" w:type="auto"/>
            <w:vMerge/>
            <w:tcBorders>
              <w:top w:val="single" w:sz="4" w:space="0" w:color="auto"/>
              <w:left w:val="single" w:sz="4" w:space="0" w:color="auto"/>
              <w:bottom w:val="single" w:sz="4" w:space="0" w:color="auto"/>
              <w:right w:val="single" w:sz="4" w:space="0" w:color="auto"/>
            </w:tcBorders>
            <w:vAlign w:val="center"/>
            <w:hideMark/>
          </w:tcPr>
          <w:p w14:paraId="0AFE0D8B" w14:textId="77777777" w:rsidR="00140722" w:rsidRPr="0078509A" w:rsidRDefault="00140722" w:rsidP="00492A4A">
            <w:pPr>
              <w:spacing w:before="0" w:after="0" w:line="240" w:lineRule="auto"/>
              <w:jc w:val="left"/>
              <w:rPr>
                <w:rFonts w:eastAsia="Times New Roman"/>
                <w:b/>
                <w:bCs/>
                <w:lang w:eastAsia="en-US" w:bidi="hi-IN"/>
              </w:rPr>
            </w:pPr>
          </w:p>
        </w:tc>
        <w:tc>
          <w:tcPr>
            <w:tcW w:w="850" w:type="dxa"/>
            <w:tcBorders>
              <w:top w:val="single" w:sz="4" w:space="0" w:color="auto"/>
              <w:left w:val="single" w:sz="4" w:space="0" w:color="auto"/>
              <w:bottom w:val="single" w:sz="4" w:space="0" w:color="auto"/>
              <w:right w:val="single" w:sz="4" w:space="0" w:color="auto"/>
            </w:tcBorders>
            <w:hideMark/>
          </w:tcPr>
          <w:p w14:paraId="4F5A4671"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50" w:type="dxa"/>
            <w:tcBorders>
              <w:top w:val="single" w:sz="4" w:space="0" w:color="auto"/>
              <w:left w:val="single" w:sz="4" w:space="0" w:color="auto"/>
              <w:bottom w:val="single" w:sz="4" w:space="0" w:color="auto"/>
              <w:right w:val="single" w:sz="4" w:space="0" w:color="auto"/>
            </w:tcBorders>
            <w:hideMark/>
          </w:tcPr>
          <w:p w14:paraId="554D38B0"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50" w:type="dxa"/>
            <w:tcBorders>
              <w:top w:val="single" w:sz="4" w:space="0" w:color="auto"/>
              <w:left w:val="single" w:sz="4" w:space="0" w:color="auto"/>
              <w:bottom w:val="single" w:sz="4" w:space="0" w:color="auto"/>
              <w:right w:val="single" w:sz="4" w:space="0" w:color="auto"/>
            </w:tcBorders>
            <w:hideMark/>
          </w:tcPr>
          <w:p w14:paraId="0E84976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c>
          <w:tcPr>
            <w:tcW w:w="850" w:type="dxa"/>
            <w:tcBorders>
              <w:top w:val="single" w:sz="4" w:space="0" w:color="auto"/>
              <w:left w:val="single" w:sz="4" w:space="0" w:color="auto"/>
              <w:bottom w:val="single" w:sz="4" w:space="0" w:color="auto"/>
              <w:right w:val="single" w:sz="4" w:space="0" w:color="auto"/>
            </w:tcBorders>
            <w:hideMark/>
          </w:tcPr>
          <w:p w14:paraId="0FB0E745"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50" w:type="dxa"/>
            <w:tcBorders>
              <w:top w:val="single" w:sz="4" w:space="0" w:color="auto"/>
              <w:left w:val="single" w:sz="4" w:space="0" w:color="auto"/>
              <w:bottom w:val="single" w:sz="4" w:space="0" w:color="auto"/>
              <w:right w:val="single" w:sz="4" w:space="0" w:color="auto"/>
            </w:tcBorders>
            <w:hideMark/>
          </w:tcPr>
          <w:p w14:paraId="10A4F2EC"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50" w:type="dxa"/>
            <w:tcBorders>
              <w:top w:val="single" w:sz="4" w:space="0" w:color="auto"/>
              <w:left w:val="single" w:sz="4" w:space="0" w:color="auto"/>
              <w:bottom w:val="single" w:sz="4" w:space="0" w:color="auto"/>
              <w:right w:val="single" w:sz="4" w:space="0" w:color="auto"/>
            </w:tcBorders>
            <w:hideMark/>
          </w:tcPr>
          <w:p w14:paraId="23080BB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c>
          <w:tcPr>
            <w:tcW w:w="850" w:type="dxa"/>
            <w:tcBorders>
              <w:top w:val="single" w:sz="4" w:space="0" w:color="auto"/>
              <w:left w:val="single" w:sz="4" w:space="0" w:color="auto"/>
              <w:bottom w:val="single" w:sz="4" w:space="0" w:color="auto"/>
              <w:right w:val="single" w:sz="4" w:space="0" w:color="auto"/>
            </w:tcBorders>
            <w:hideMark/>
          </w:tcPr>
          <w:p w14:paraId="06B57BD7"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50" w:type="dxa"/>
            <w:tcBorders>
              <w:top w:val="single" w:sz="4" w:space="0" w:color="auto"/>
              <w:left w:val="single" w:sz="4" w:space="0" w:color="auto"/>
              <w:bottom w:val="single" w:sz="4" w:space="0" w:color="auto"/>
              <w:right w:val="single" w:sz="4" w:space="0" w:color="auto"/>
            </w:tcBorders>
            <w:hideMark/>
          </w:tcPr>
          <w:p w14:paraId="7B5CA837"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50" w:type="dxa"/>
            <w:tcBorders>
              <w:top w:val="single" w:sz="4" w:space="0" w:color="auto"/>
              <w:left w:val="single" w:sz="4" w:space="0" w:color="auto"/>
              <w:bottom w:val="single" w:sz="4" w:space="0" w:color="auto"/>
              <w:right w:val="single" w:sz="4" w:space="0" w:color="auto"/>
            </w:tcBorders>
            <w:hideMark/>
          </w:tcPr>
          <w:p w14:paraId="2CAE404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r>
      <w:tr w:rsidR="00140722" w:rsidRPr="0078509A" w14:paraId="1FE7CA9E"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54D0AD6A"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CXGM</w:t>
            </w:r>
          </w:p>
        </w:tc>
        <w:tc>
          <w:tcPr>
            <w:tcW w:w="850" w:type="dxa"/>
            <w:tcBorders>
              <w:top w:val="single" w:sz="4" w:space="0" w:color="auto"/>
              <w:left w:val="single" w:sz="4" w:space="0" w:color="auto"/>
              <w:bottom w:val="single" w:sz="4" w:space="0" w:color="auto"/>
              <w:right w:val="single" w:sz="4" w:space="0" w:color="auto"/>
            </w:tcBorders>
            <w:hideMark/>
          </w:tcPr>
          <w:p w14:paraId="6499927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w:t>
            </w:r>
          </w:p>
        </w:tc>
        <w:tc>
          <w:tcPr>
            <w:tcW w:w="850" w:type="dxa"/>
            <w:tcBorders>
              <w:top w:val="single" w:sz="4" w:space="0" w:color="auto"/>
              <w:left w:val="single" w:sz="4" w:space="0" w:color="auto"/>
              <w:bottom w:val="single" w:sz="4" w:space="0" w:color="auto"/>
              <w:right w:val="single" w:sz="4" w:space="0" w:color="auto"/>
            </w:tcBorders>
            <w:hideMark/>
          </w:tcPr>
          <w:p w14:paraId="72960DE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95</w:t>
            </w:r>
          </w:p>
        </w:tc>
        <w:tc>
          <w:tcPr>
            <w:tcW w:w="850" w:type="dxa"/>
            <w:tcBorders>
              <w:top w:val="single" w:sz="4" w:space="0" w:color="auto"/>
              <w:left w:val="single" w:sz="4" w:space="0" w:color="auto"/>
              <w:bottom w:val="single" w:sz="4" w:space="0" w:color="auto"/>
              <w:right w:val="single" w:sz="4" w:space="0" w:color="auto"/>
            </w:tcBorders>
            <w:hideMark/>
          </w:tcPr>
          <w:p w14:paraId="01A0CCE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230</w:t>
            </w:r>
          </w:p>
        </w:tc>
        <w:tc>
          <w:tcPr>
            <w:tcW w:w="850" w:type="dxa"/>
            <w:tcBorders>
              <w:top w:val="single" w:sz="4" w:space="0" w:color="auto"/>
              <w:left w:val="single" w:sz="4" w:space="0" w:color="auto"/>
              <w:bottom w:val="single" w:sz="4" w:space="0" w:color="auto"/>
              <w:right w:val="single" w:sz="4" w:space="0" w:color="auto"/>
            </w:tcBorders>
            <w:hideMark/>
          </w:tcPr>
          <w:p w14:paraId="10E1C6B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66</w:t>
            </w:r>
          </w:p>
        </w:tc>
        <w:tc>
          <w:tcPr>
            <w:tcW w:w="850" w:type="dxa"/>
            <w:tcBorders>
              <w:top w:val="single" w:sz="4" w:space="0" w:color="auto"/>
              <w:left w:val="single" w:sz="4" w:space="0" w:color="auto"/>
              <w:bottom w:val="single" w:sz="4" w:space="0" w:color="auto"/>
              <w:right w:val="single" w:sz="4" w:space="0" w:color="auto"/>
            </w:tcBorders>
            <w:hideMark/>
          </w:tcPr>
          <w:p w14:paraId="4090F33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331</w:t>
            </w:r>
          </w:p>
        </w:tc>
        <w:tc>
          <w:tcPr>
            <w:tcW w:w="850" w:type="dxa"/>
            <w:tcBorders>
              <w:top w:val="single" w:sz="4" w:space="0" w:color="auto"/>
              <w:left w:val="single" w:sz="4" w:space="0" w:color="auto"/>
              <w:bottom w:val="single" w:sz="4" w:space="0" w:color="auto"/>
              <w:right w:val="single" w:sz="4" w:space="0" w:color="auto"/>
            </w:tcBorders>
            <w:hideMark/>
          </w:tcPr>
          <w:p w14:paraId="13CF1B5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811</w:t>
            </w:r>
          </w:p>
        </w:tc>
        <w:tc>
          <w:tcPr>
            <w:tcW w:w="850" w:type="dxa"/>
            <w:tcBorders>
              <w:top w:val="single" w:sz="4" w:space="0" w:color="auto"/>
              <w:left w:val="single" w:sz="4" w:space="0" w:color="auto"/>
              <w:bottom w:val="single" w:sz="4" w:space="0" w:color="auto"/>
              <w:right w:val="single" w:sz="4" w:space="0" w:color="auto"/>
            </w:tcBorders>
            <w:hideMark/>
          </w:tcPr>
          <w:p w14:paraId="0B58F47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165</w:t>
            </w:r>
          </w:p>
        </w:tc>
        <w:tc>
          <w:tcPr>
            <w:tcW w:w="850" w:type="dxa"/>
            <w:tcBorders>
              <w:top w:val="single" w:sz="4" w:space="0" w:color="auto"/>
              <w:left w:val="single" w:sz="4" w:space="0" w:color="auto"/>
              <w:bottom w:val="single" w:sz="4" w:space="0" w:color="auto"/>
              <w:right w:val="single" w:sz="4" w:space="0" w:color="auto"/>
            </w:tcBorders>
            <w:hideMark/>
          </w:tcPr>
          <w:p w14:paraId="6EA6FF2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804</w:t>
            </w:r>
          </w:p>
        </w:tc>
        <w:tc>
          <w:tcPr>
            <w:tcW w:w="850" w:type="dxa"/>
            <w:tcBorders>
              <w:top w:val="single" w:sz="4" w:space="0" w:color="auto"/>
              <w:left w:val="single" w:sz="4" w:space="0" w:color="auto"/>
              <w:bottom w:val="single" w:sz="4" w:space="0" w:color="auto"/>
              <w:right w:val="single" w:sz="4" w:space="0" w:color="auto"/>
            </w:tcBorders>
            <w:hideMark/>
          </w:tcPr>
          <w:p w14:paraId="17973C0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1905</w:t>
            </w:r>
          </w:p>
        </w:tc>
      </w:tr>
      <w:tr w:rsidR="00140722" w:rsidRPr="0078509A" w14:paraId="0D8EF334"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1A54C799"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CXM</w:t>
            </w:r>
          </w:p>
        </w:tc>
        <w:tc>
          <w:tcPr>
            <w:tcW w:w="850" w:type="dxa"/>
            <w:tcBorders>
              <w:top w:val="single" w:sz="4" w:space="0" w:color="auto"/>
              <w:left w:val="single" w:sz="4" w:space="0" w:color="auto"/>
              <w:bottom w:val="single" w:sz="4" w:space="0" w:color="auto"/>
              <w:right w:val="single" w:sz="4" w:space="0" w:color="auto"/>
            </w:tcBorders>
            <w:hideMark/>
          </w:tcPr>
          <w:p w14:paraId="4179F4E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27</w:t>
            </w:r>
          </w:p>
        </w:tc>
        <w:tc>
          <w:tcPr>
            <w:tcW w:w="850" w:type="dxa"/>
            <w:tcBorders>
              <w:top w:val="single" w:sz="4" w:space="0" w:color="auto"/>
              <w:left w:val="single" w:sz="4" w:space="0" w:color="auto"/>
              <w:bottom w:val="single" w:sz="4" w:space="0" w:color="auto"/>
              <w:right w:val="single" w:sz="4" w:space="0" w:color="auto"/>
            </w:tcBorders>
            <w:hideMark/>
          </w:tcPr>
          <w:p w14:paraId="7EB4FDD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161</w:t>
            </w:r>
          </w:p>
        </w:tc>
        <w:tc>
          <w:tcPr>
            <w:tcW w:w="850" w:type="dxa"/>
            <w:tcBorders>
              <w:top w:val="single" w:sz="4" w:space="0" w:color="auto"/>
              <w:left w:val="single" w:sz="4" w:space="0" w:color="auto"/>
              <w:bottom w:val="single" w:sz="4" w:space="0" w:color="auto"/>
              <w:right w:val="single" w:sz="4" w:space="0" w:color="auto"/>
            </w:tcBorders>
            <w:hideMark/>
          </w:tcPr>
          <w:p w14:paraId="007BC6C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390</w:t>
            </w:r>
          </w:p>
        </w:tc>
        <w:tc>
          <w:tcPr>
            <w:tcW w:w="850" w:type="dxa"/>
            <w:tcBorders>
              <w:top w:val="single" w:sz="4" w:space="0" w:color="auto"/>
              <w:left w:val="single" w:sz="4" w:space="0" w:color="auto"/>
              <w:bottom w:val="single" w:sz="4" w:space="0" w:color="auto"/>
              <w:right w:val="single" w:sz="4" w:space="0" w:color="auto"/>
            </w:tcBorders>
            <w:hideMark/>
          </w:tcPr>
          <w:p w14:paraId="278487E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116</w:t>
            </w:r>
          </w:p>
        </w:tc>
        <w:tc>
          <w:tcPr>
            <w:tcW w:w="850" w:type="dxa"/>
            <w:tcBorders>
              <w:top w:val="single" w:sz="4" w:space="0" w:color="auto"/>
              <w:left w:val="single" w:sz="4" w:space="0" w:color="auto"/>
              <w:bottom w:val="single" w:sz="4" w:space="0" w:color="auto"/>
              <w:right w:val="single" w:sz="4" w:space="0" w:color="auto"/>
            </w:tcBorders>
            <w:hideMark/>
          </w:tcPr>
          <w:p w14:paraId="225E355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584</w:t>
            </w:r>
          </w:p>
        </w:tc>
        <w:tc>
          <w:tcPr>
            <w:tcW w:w="850" w:type="dxa"/>
            <w:tcBorders>
              <w:top w:val="single" w:sz="4" w:space="0" w:color="auto"/>
              <w:left w:val="single" w:sz="4" w:space="0" w:color="auto"/>
              <w:bottom w:val="single" w:sz="4" w:space="0" w:color="auto"/>
              <w:right w:val="single" w:sz="4" w:space="0" w:color="auto"/>
            </w:tcBorders>
            <w:hideMark/>
          </w:tcPr>
          <w:p w14:paraId="1331CF3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1409</w:t>
            </w:r>
          </w:p>
        </w:tc>
        <w:tc>
          <w:tcPr>
            <w:tcW w:w="850" w:type="dxa"/>
            <w:tcBorders>
              <w:top w:val="single" w:sz="4" w:space="0" w:color="auto"/>
              <w:left w:val="single" w:sz="4" w:space="0" w:color="auto"/>
              <w:bottom w:val="single" w:sz="4" w:space="0" w:color="auto"/>
              <w:right w:val="single" w:sz="4" w:space="0" w:color="auto"/>
            </w:tcBorders>
            <w:hideMark/>
          </w:tcPr>
          <w:p w14:paraId="78E8644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295</w:t>
            </w:r>
          </w:p>
        </w:tc>
        <w:tc>
          <w:tcPr>
            <w:tcW w:w="850" w:type="dxa"/>
            <w:tcBorders>
              <w:top w:val="single" w:sz="4" w:space="0" w:color="auto"/>
              <w:left w:val="single" w:sz="4" w:space="0" w:color="auto"/>
              <w:bottom w:val="single" w:sz="4" w:space="0" w:color="auto"/>
              <w:right w:val="single" w:sz="4" w:space="0" w:color="auto"/>
            </w:tcBorders>
            <w:hideMark/>
          </w:tcPr>
          <w:p w14:paraId="065C362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1424</w:t>
            </w:r>
          </w:p>
        </w:tc>
        <w:tc>
          <w:tcPr>
            <w:tcW w:w="850" w:type="dxa"/>
            <w:tcBorders>
              <w:top w:val="single" w:sz="4" w:space="0" w:color="auto"/>
              <w:left w:val="single" w:sz="4" w:space="0" w:color="auto"/>
              <w:bottom w:val="single" w:sz="4" w:space="0" w:color="auto"/>
              <w:right w:val="single" w:sz="4" w:space="0" w:color="auto"/>
            </w:tcBorders>
            <w:hideMark/>
          </w:tcPr>
          <w:p w14:paraId="1A96282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3349</w:t>
            </w:r>
          </w:p>
        </w:tc>
      </w:tr>
      <w:tr w:rsidR="00140722" w:rsidRPr="0078509A" w14:paraId="2FB0E5A3"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4014CA9D"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CXH</w:t>
            </w:r>
          </w:p>
        </w:tc>
        <w:tc>
          <w:tcPr>
            <w:tcW w:w="850" w:type="dxa"/>
            <w:tcBorders>
              <w:top w:val="single" w:sz="4" w:space="0" w:color="auto"/>
              <w:left w:val="single" w:sz="4" w:space="0" w:color="auto"/>
              <w:bottom w:val="single" w:sz="4" w:space="0" w:color="auto"/>
              <w:right w:val="single" w:sz="4" w:space="0" w:color="auto"/>
            </w:tcBorders>
            <w:hideMark/>
          </w:tcPr>
          <w:p w14:paraId="78ADAFC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29</w:t>
            </w:r>
          </w:p>
        </w:tc>
        <w:tc>
          <w:tcPr>
            <w:tcW w:w="850" w:type="dxa"/>
            <w:tcBorders>
              <w:top w:val="single" w:sz="4" w:space="0" w:color="auto"/>
              <w:left w:val="single" w:sz="4" w:space="0" w:color="auto"/>
              <w:bottom w:val="single" w:sz="4" w:space="0" w:color="auto"/>
              <w:right w:val="single" w:sz="4" w:space="0" w:color="auto"/>
            </w:tcBorders>
            <w:hideMark/>
          </w:tcPr>
          <w:p w14:paraId="3A3CDE0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166</w:t>
            </w:r>
          </w:p>
        </w:tc>
        <w:tc>
          <w:tcPr>
            <w:tcW w:w="850" w:type="dxa"/>
            <w:tcBorders>
              <w:top w:val="single" w:sz="4" w:space="0" w:color="auto"/>
              <w:left w:val="single" w:sz="4" w:space="0" w:color="auto"/>
              <w:bottom w:val="single" w:sz="4" w:space="0" w:color="auto"/>
              <w:right w:val="single" w:sz="4" w:space="0" w:color="auto"/>
            </w:tcBorders>
            <w:hideMark/>
          </w:tcPr>
          <w:p w14:paraId="4C1E74B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401</w:t>
            </w:r>
          </w:p>
        </w:tc>
        <w:tc>
          <w:tcPr>
            <w:tcW w:w="850" w:type="dxa"/>
            <w:tcBorders>
              <w:top w:val="single" w:sz="4" w:space="0" w:color="auto"/>
              <w:left w:val="single" w:sz="4" w:space="0" w:color="auto"/>
              <w:bottom w:val="single" w:sz="4" w:space="0" w:color="auto"/>
              <w:right w:val="single" w:sz="4" w:space="0" w:color="auto"/>
            </w:tcBorders>
            <w:hideMark/>
          </w:tcPr>
          <w:p w14:paraId="4770062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119</w:t>
            </w:r>
          </w:p>
        </w:tc>
        <w:tc>
          <w:tcPr>
            <w:tcW w:w="850" w:type="dxa"/>
            <w:tcBorders>
              <w:top w:val="single" w:sz="4" w:space="0" w:color="auto"/>
              <w:left w:val="single" w:sz="4" w:space="0" w:color="auto"/>
              <w:bottom w:val="single" w:sz="4" w:space="0" w:color="auto"/>
              <w:right w:val="single" w:sz="4" w:space="0" w:color="auto"/>
            </w:tcBorders>
            <w:hideMark/>
          </w:tcPr>
          <w:p w14:paraId="2FA86A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612</w:t>
            </w:r>
          </w:p>
        </w:tc>
        <w:tc>
          <w:tcPr>
            <w:tcW w:w="850" w:type="dxa"/>
            <w:tcBorders>
              <w:top w:val="single" w:sz="4" w:space="0" w:color="auto"/>
              <w:left w:val="single" w:sz="4" w:space="0" w:color="auto"/>
              <w:bottom w:val="single" w:sz="4" w:space="0" w:color="auto"/>
              <w:right w:val="single" w:sz="4" w:space="0" w:color="auto"/>
            </w:tcBorders>
            <w:hideMark/>
          </w:tcPr>
          <w:p w14:paraId="6B05897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1465</w:t>
            </w:r>
          </w:p>
        </w:tc>
        <w:tc>
          <w:tcPr>
            <w:tcW w:w="850" w:type="dxa"/>
            <w:tcBorders>
              <w:top w:val="single" w:sz="4" w:space="0" w:color="auto"/>
              <w:left w:val="single" w:sz="4" w:space="0" w:color="auto"/>
              <w:bottom w:val="single" w:sz="4" w:space="0" w:color="auto"/>
              <w:right w:val="single" w:sz="4" w:space="0" w:color="auto"/>
            </w:tcBorders>
            <w:hideMark/>
          </w:tcPr>
          <w:p w14:paraId="4E76801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302</w:t>
            </w:r>
          </w:p>
        </w:tc>
        <w:tc>
          <w:tcPr>
            <w:tcW w:w="850" w:type="dxa"/>
            <w:tcBorders>
              <w:top w:val="single" w:sz="4" w:space="0" w:color="auto"/>
              <w:left w:val="single" w:sz="4" w:space="0" w:color="auto"/>
              <w:bottom w:val="single" w:sz="4" w:space="0" w:color="auto"/>
              <w:right w:val="single" w:sz="4" w:space="0" w:color="auto"/>
            </w:tcBorders>
            <w:hideMark/>
          </w:tcPr>
          <w:p w14:paraId="331D4D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1478</w:t>
            </w:r>
          </w:p>
        </w:tc>
        <w:tc>
          <w:tcPr>
            <w:tcW w:w="850" w:type="dxa"/>
            <w:tcBorders>
              <w:top w:val="single" w:sz="4" w:space="0" w:color="auto"/>
              <w:left w:val="single" w:sz="4" w:space="0" w:color="auto"/>
              <w:bottom w:val="single" w:sz="4" w:space="0" w:color="auto"/>
              <w:right w:val="single" w:sz="4" w:space="0" w:color="auto"/>
            </w:tcBorders>
            <w:hideMark/>
          </w:tcPr>
          <w:p w14:paraId="062E0CE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3444</w:t>
            </w:r>
          </w:p>
        </w:tc>
      </w:tr>
      <w:tr w:rsidR="00140722" w:rsidRPr="0078509A" w14:paraId="32985A84"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3066662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CXL</w:t>
            </w:r>
          </w:p>
        </w:tc>
        <w:tc>
          <w:tcPr>
            <w:tcW w:w="850" w:type="dxa"/>
            <w:tcBorders>
              <w:top w:val="single" w:sz="4" w:space="0" w:color="auto"/>
              <w:left w:val="single" w:sz="4" w:space="0" w:color="auto"/>
              <w:bottom w:val="single" w:sz="4" w:space="0" w:color="auto"/>
              <w:right w:val="single" w:sz="4" w:space="0" w:color="auto"/>
            </w:tcBorders>
            <w:hideMark/>
          </w:tcPr>
          <w:p w14:paraId="636981A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w:t>
            </w:r>
          </w:p>
        </w:tc>
        <w:tc>
          <w:tcPr>
            <w:tcW w:w="850" w:type="dxa"/>
            <w:tcBorders>
              <w:top w:val="single" w:sz="4" w:space="0" w:color="auto"/>
              <w:left w:val="single" w:sz="4" w:space="0" w:color="auto"/>
              <w:bottom w:val="single" w:sz="4" w:space="0" w:color="auto"/>
              <w:right w:val="single" w:sz="4" w:space="0" w:color="auto"/>
            </w:tcBorders>
            <w:hideMark/>
          </w:tcPr>
          <w:p w14:paraId="61A049F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123</w:t>
            </w:r>
          </w:p>
        </w:tc>
        <w:tc>
          <w:tcPr>
            <w:tcW w:w="850" w:type="dxa"/>
            <w:tcBorders>
              <w:top w:val="single" w:sz="4" w:space="0" w:color="auto"/>
              <w:left w:val="single" w:sz="4" w:space="0" w:color="auto"/>
              <w:bottom w:val="single" w:sz="4" w:space="0" w:color="auto"/>
              <w:right w:val="single" w:sz="4" w:space="0" w:color="auto"/>
            </w:tcBorders>
            <w:hideMark/>
          </w:tcPr>
          <w:p w14:paraId="5D43A36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299</w:t>
            </w:r>
          </w:p>
        </w:tc>
        <w:tc>
          <w:tcPr>
            <w:tcW w:w="850" w:type="dxa"/>
            <w:tcBorders>
              <w:top w:val="single" w:sz="4" w:space="0" w:color="auto"/>
              <w:left w:val="single" w:sz="4" w:space="0" w:color="auto"/>
              <w:bottom w:val="single" w:sz="4" w:space="0" w:color="auto"/>
              <w:right w:val="single" w:sz="4" w:space="0" w:color="auto"/>
            </w:tcBorders>
            <w:hideMark/>
          </w:tcPr>
          <w:p w14:paraId="06E0E2F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87</w:t>
            </w:r>
          </w:p>
        </w:tc>
        <w:tc>
          <w:tcPr>
            <w:tcW w:w="850" w:type="dxa"/>
            <w:tcBorders>
              <w:top w:val="single" w:sz="4" w:space="0" w:color="auto"/>
              <w:left w:val="single" w:sz="4" w:space="0" w:color="auto"/>
              <w:bottom w:val="single" w:sz="4" w:space="0" w:color="auto"/>
              <w:right w:val="single" w:sz="4" w:space="0" w:color="auto"/>
            </w:tcBorders>
            <w:hideMark/>
          </w:tcPr>
          <w:p w14:paraId="7C6EEB5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434</w:t>
            </w:r>
          </w:p>
        </w:tc>
        <w:tc>
          <w:tcPr>
            <w:tcW w:w="850" w:type="dxa"/>
            <w:tcBorders>
              <w:top w:val="single" w:sz="4" w:space="0" w:color="auto"/>
              <w:left w:val="single" w:sz="4" w:space="0" w:color="auto"/>
              <w:bottom w:val="single" w:sz="4" w:space="0" w:color="auto"/>
              <w:right w:val="single" w:sz="4" w:space="0" w:color="auto"/>
            </w:tcBorders>
            <w:hideMark/>
          </w:tcPr>
          <w:p w14:paraId="4646BCB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1063</w:t>
            </w:r>
          </w:p>
        </w:tc>
        <w:tc>
          <w:tcPr>
            <w:tcW w:w="850" w:type="dxa"/>
            <w:tcBorders>
              <w:top w:val="single" w:sz="4" w:space="0" w:color="auto"/>
              <w:left w:val="single" w:sz="4" w:space="0" w:color="auto"/>
              <w:bottom w:val="single" w:sz="4" w:space="0" w:color="auto"/>
              <w:right w:val="single" w:sz="4" w:space="0" w:color="auto"/>
            </w:tcBorders>
            <w:hideMark/>
          </w:tcPr>
          <w:p w14:paraId="22C1E81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210</w:t>
            </w:r>
          </w:p>
        </w:tc>
        <w:tc>
          <w:tcPr>
            <w:tcW w:w="850" w:type="dxa"/>
            <w:tcBorders>
              <w:top w:val="single" w:sz="4" w:space="0" w:color="auto"/>
              <w:left w:val="single" w:sz="4" w:space="0" w:color="auto"/>
              <w:bottom w:val="single" w:sz="4" w:space="0" w:color="auto"/>
              <w:right w:val="single" w:sz="4" w:space="0" w:color="auto"/>
            </w:tcBorders>
            <w:hideMark/>
          </w:tcPr>
          <w:p w14:paraId="03F14B4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1037</w:t>
            </w:r>
          </w:p>
        </w:tc>
        <w:tc>
          <w:tcPr>
            <w:tcW w:w="850" w:type="dxa"/>
            <w:tcBorders>
              <w:top w:val="single" w:sz="4" w:space="0" w:color="auto"/>
              <w:left w:val="single" w:sz="4" w:space="0" w:color="auto"/>
              <w:bottom w:val="single" w:sz="4" w:space="0" w:color="auto"/>
              <w:right w:val="single" w:sz="4" w:space="0" w:color="auto"/>
            </w:tcBorders>
            <w:hideMark/>
          </w:tcPr>
          <w:p w14:paraId="5AE231A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2441</w:t>
            </w:r>
          </w:p>
        </w:tc>
      </w:tr>
      <w:tr w:rsidR="00140722" w:rsidRPr="0078509A" w14:paraId="21431EB7"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19D55B4A"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CXLk</w:t>
            </w:r>
          </w:p>
        </w:tc>
        <w:tc>
          <w:tcPr>
            <w:tcW w:w="850" w:type="dxa"/>
            <w:tcBorders>
              <w:top w:val="single" w:sz="4" w:space="0" w:color="auto"/>
              <w:left w:val="single" w:sz="4" w:space="0" w:color="auto"/>
              <w:bottom w:val="single" w:sz="4" w:space="0" w:color="auto"/>
              <w:right w:val="single" w:sz="4" w:space="0" w:color="auto"/>
            </w:tcBorders>
            <w:hideMark/>
          </w:tcPr>
          <w:p w14:paraId="291BD77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2C26935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39</w:t>
            </w:r>
          </w:p>
        </w:tc>
        <w:tc>
          <w:tcPr>
            <w:tcW w:w="850" w:type="dxa"/>
            <w:tcBorders>
              <w:top w:val="single" w:sz="4" w:space="0" w:color="auto"/>
              <w:left w:val="single" w:sz="4" w:space="0" w:color="auto"/>
              <w:bottom w:val="single" w:sz="4" w:space="0" w:color="auto"/>
              <w:right w:val="single" w:sz="4" w:space="0" w:color="auto"/>
            </w:tcBorders>
            <w:hideMark/>
          </w:tcPr>
          <w:p w14:paraId="5EEECAD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96</w:t>
            </w:r>
          </w:p>
        </w:tc>
        <w:tc>
          <w:tcPr>
            <w:tcW w:w="850" w:type="dxa"/>
            <w:tcBorders>
              <w:top w:val="single" w:sz="4" w:space="0" w:color="auto"/>
              <w:left w:val="single" w:sz="4" w:space="0" w:color="auto"/>
              <w:bottom w:val="single" w:sz="4" w:space="0" w:color="auto"/>
              <w:right w:val="single" w:sz="4" w:space="0" w:color="auto"/>
            </w:tcBorders>
            <w:hideMark/>
          </w:tcPr>
          <w:p w14:paraId="09E8855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27</w:t>
            </w:r>
          </w:p>
        </w:tc>
        <w:tc>
          <w:tcPr>
            <w:tcW w:w="850" w:type="dxa"/>
            <w:tcBorders>
              <w:top w:val="single" w:sz="4" w:space="0" w:color="auto"/>
              <w:left w:val="single" w:sz="4" w:space="0" w:color="auto"/>
              <w:bottom w:val="single" w:sz="4" w:space="0" w:color="auto"/>
              <w:right w:val="single" w:sz="4" w:space="0" w:color="auto"/>
            </w:tcBorders>
            <w:hideMark/>
          </w:tcPr>
          <w:p w14:paraId="384FBE9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132</w:t>
            </w:r>
          </w:p>
        </w:tc>
        <w:tc>
          <w:tcPr>
            <w:tcW w:w="850" w:type="dxa"/>
            <w:tcBorders>
              <w:top w:val="single" w:sz="4" w:space="0" w:color="auto"/>
              <w:left w:val="single" w:sz="4" w:space="0" w:color="auto"/>
              <w:bottom w:val="single" w:sz="4" w:space="0" w:color="auto"/>
              <w:right w:val="single" w:sz="4" w:space="0" w:color="auto"/>
            </w:tcBorders>
            <w:hideMark/>
          </w:tcPr>
          <w:p w14:paraId="664F368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318</w:t>
            </w:r>
          </w:p>
        </w:tc>
        <w:tc>
          <w:tcPr>
            <w:tcW w:w="850" w:type="dxa"/>
            <w:tcBorders>
              <w:top w:val="single" w:sz="4" w:space="0" w:color="auto"/>
              <w:left w:val="single" w:sz="4" w:space="0" w:color="auto"/>
              <w:bottom w:val="single" w:sz="4" w:space="0" w:color="auto"/>
              <w:right w:val="single" w:sz="4" w:space="0" w:color="auto"/>
            </w:tcBorders>
            <w:hideMark/>
          </w:tcPr>
          <w:p w14:paraId="07EB3E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62</w:t>
            </w:r>
          </w:p>
        </w:tc>
        <w:tc>
          <w:tcPr>
            <w:tcW w:w="850" w:type="dxa"/>
            <w:tcBorders>
              <w:top w:val="single" w:sz="4" w:space="0" w:color="auto"/>
              <w:left w:val="single" w:sz="4" w:space="0" w:color="auto"/>
              <w:bottom w:val="single" w:sz="4" w:space="0" w:color="auto"/>
              <w:right w:val="single" w:sz="4" w:space="0" w:color="auto"/>
            </w:tcBorders>
            <w:hideMark/>
          </w:tcPr>
          <w:p w14:paraId="66C482E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301</w:t>
            </w:r>
          </w:p>
        </w:tc>
        <w:tc>
          <w:tcPr>
            <w:tcW w:w="850" w:type="dxa"/>
            <w:tcBorders>
              <w:top w:val="single" w:sz="4" w:space="0" w:color="auto"/>
              <w:left w:val="single" w:sz="4" w:space="0" w:color="auto"/>
              <w:bottom w:val="single" w:sz="4" w:space="0" w:color="auto"/>
              <w:right w:val="single" w:sz="4" w:space="0" w:color="auto"/>
            </w:tcBorders>
            <w:hideMark/>
          </w:tcPr>
          <w:p w14:paraId="1BDDA65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725</w:t>
            </w:r>
          </w:p>
        </w:tc>
      </w:tr>
      <w:tr w:rsidR="00140722" w:rsidRPr="0078509A" w14:paraId="5B95453E"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26FE146B"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CWGM</w:t>
            </w:r>
          </w:p>
        </w:tc>
        <w:tc>
          <w:tcPr>
            <w:tcW w:w="850" w:type="dxa"/>
            <w:tcBorders>
              <w:top w:val="single" w:sz="4" w:space="0" w:color="auto"/>
              <w:left w:val="single" w:sz="4" w:space="0" w:color="auto"/>
              <w:bottom w:val="single" w:sz="4" w:space="0" w:color="auto"/>
              <w:right w:val="single" w:sz="4" w:space="0" w:color="auto"/>
            </w:tcBorders>
            <w:hideMark/>
          </w:tcPr>
          <w:p w14:paraId="7C6220B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14:paraId="5B8DF02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48</w:t>
            </w:r>
          </w:p>
        </w:tc>
        <w:tc>
          <w:tcPr>
            <w:tcW w:w="850" w:type="dxa"/>
            <w:tcBorders>
              <w:top w:val="single" w:sz="4" w:space="0" w:color="auto"/>
              <w:left w:val="single" w:sz="4" w:space="0" w:color="auto"/>
              <w:bottom w:val="single" w:sz="4" w:space="0" w:color="auto"/>
              <w:right w:val="single" w:sz="4" w:space="0" w:color="auto"/>
            </w:tcBorders>
            <w:hideMark/>
          </w:tcPr>
          <w:p w14:paraId="6F4238A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118</w:t>
            </w:r>
          </w:p>
        </w:tc>
        <w:tc>
          <w:tcPr>
            <w:tcW w:w="850" w:type="dxa"/>
            <w:tcBorders>
              <w:top w:val="single" w:sz="4" w:space="0" w:color="auto"/>
              <w:left w:val="single" w:sz="4" w:space="0" w:color="auto"/>
              <w:bottom w:val="single" w:sz="4" w:space="0" w:color="auto"/>
              <w:right w:val="single" w:sz="4" w:space="0" w:color="auto"/>
            </w:tcBorders>
            <w:hideMark/>
          </w:tcPr>
          <w:p w14:paraId="5A84DCA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31</w:t>
            </w:r>
          </w:p>
        </w:tc>
        <w:tc>
          <w:tcPr>
            <w:tcW w:w="850" w:type="dxa"/>
            <w:tcBorders>
              <w:top w:val="single" w:sz="4" w:space="0" w:color="auto"/>
              <w:left w:val="single" w:sz="4" w:space="0" w:color="auto"/>
              <w:bottom w:val="single" w:sz="4" w:space="0" w:color="auto"/>
              <w:right w:val="single" w:sz="4" w:space="0" w:color="auto"/>
            </w:tcBorders>
            <w:hideMark/>
          </w:tcPr>
          <w:p w14:paraId="3612A9B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154</w:t>
            </w:r>
          </w:p>
        </w:tc>
        <w:tc>
          <w:tcPr>
            <w:tcW w:w="850" w:type="dxa"/>
            <w:tcBorders>
              <w:top w:val="single" w:sz="4" w:space="0" w:color="auto"/>
              <w:left w:val="single" w:sz="4" w:space="0" w:color="auto"/>
              <w:bottom w:val="single" w:sz="4" w:space="0" w:color="auto"/>
              <w:right w:val="single" w:sz="4" w:space="0" w:color="auto"/>
            </w:tcBorders>
            <w:hideMark/>
          </w:tcPr>
          <w:p w14:paraId="0504EB2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371</w:t>
            </w:r>
          </w:p>
        </w:tc>
        <w:tc>
          <w:tcPr>
            <w:tcW w:w="850" w:type="dxa"/>
            <w:tcBorders>
              <w:top w:val="single" w:sz="4" w:space="0" w:color="auto"/>
              <w:left w:val="single" w:sz="4" w:space="0" w:color="auto"/>
              <w:bottom w:val="single" w:sz="4" w:space="0" w:color="auto"/>
              <w:right w:val="single" w:sz="4" w:space="0" w:color="auto"/>
            </w:tcBorders>
            <w:hideMark/>
          </w:tcPr>
          <w:p w14:paraId="28BD262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14:paraId="7B6EA0B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344</w:t>
            </w:r>
          </w:p>
        </w:tc>
        <w:tc>
          <w:tcPr>
            <w:tcW w:w="850" w:type="dxa"/>
            <w:tcBorders>
              <w:top w:val="single" w:sz="4" w:space="0" w:color="auto"/>
              <w:left w:val="single" w:sz="4" w:space="0" w:color="auto"/>
              <w:bottom w:val="single" w:sz="4" w:space="0" w:color="auto"/>
              <w:right w:val="single" w:sz="4" w:space="0" w:color="auto"/>
            </w:tcBorders>
            <w:hideMark/>
          </w:tcPr>
          <w:p w14:paraId="5E180C1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822</w:t>
            </w:r>
          </w:p>
        </w:tc>
      </w:tr>
      <w:tr w:rsidR="00140722" w:rsidRPr="0078509A" w14:paraId="2ECF4151"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088E48C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CWM</w:t>
            </w:r>
          </w:p>
        </w:tc>
        <w:tc>
          <w:tcPr>
            <w:tcW w:w="850" w:type="dxa"/>
            <w:tcBorders>
              <w:top w:val="single" w:sz="4" w:space="0" w:color="auto"/>
              <w:left w:val="single" w:sz="4" w:space="0" w:color="auto"/>
              <w:bottom w:val="single" w:sz="4" w:space="0" w:color="auto"/>
              <w:right w:val="single" w:sz="4" w:space="0" w:color="auto"/>
            </w:tcBorders>
            <w:hideMark/>
          </w:tcPr>
          <w:p w14:paraId="558A80F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14:paraId="3D823D9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488112E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124</w:t>
            </w:r>
          </w:p>
        </w:tc>
        <w:tc>
          <w:tcPr>
            <w:tcW w:w="850" w:type="dxa"/>
            <w:tcBorders>
              <w:top w:val="single" w:sz="4" w:space="0" w:color="auto"/>
              <w:left w:val="single" w:sz="4" w:space="0" w:color="auto"/>
              <w:bottom w:val="single" w:sz="4" w:space="0" w:color="auto"/>
              <w:right w:val="single" w:sz="4" w:space="0" w:color="auto"/>
            </w:tcBorders>
            <w:hideMark/>
          </w:tcPr>
          <w:p w14:paraId="1AC02F3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34</w:t>
            </w:r>
          </w:p>
        </w:tc>
        <w:tc>
          <w:tcPr>
            <w:tcW w:w="850" w:type="dxa"/>
            <w:tcBorders>
              <w:top w:val="single" w:sz="4" w:space="0" w:color="auto"/>
              <w:left w:val="single" w:sz="4" w:space="0" w:color="auto"/>
              <w:bottom w:val="single" w:sz="4" w:space="0" w:color="auto"/>
              <w:right w:val="single" w:sz="4" w:space="0" w:color="auto"/>
            </w:tcBorders>
            <w:hideMark/>
          </w:tcPr>
          <w:p w14:paraId="59DF58D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175</w:t>
            </w:r>
          </w:p>
        </w:tc>
        <w:tc>
          <w:tcPr>
            <w:tcW w:w="850" w:type="dxa"/>
            <w:tcBorders>
              <w:top w:val="single" w:sz="4" w:space="0" w:color="auto"/>
              <w:left w:val="single" w:sz="4" w:space="0" w:color="auto"/>
              <w:bottom w:val="single" w:sz="4" w:space="0" w:color="auto"/>
              <w:right w:val="single" w:sz="4" w:space="0" w:color="auto"/>
            </w:tcBorders>
            <w:hideMark/>
          </w:tcPr>
          <w:p w14:paraId="6861365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411</w:t>
            </w:r>
          </w:p>
        </w:tc>
        <w:tc>
          <w:tcPr>
            <w:tcW w:w="850" w:type="dxa"/>
            <w:tcBorders>
              <w:top w:val="single" w:sz="4" w:space="0" w:color="auto"/>
              <w:left w:val="single" w:sz="4" w:space="0" w:color="auto"/>
              <w:bottom w:val="single" w:sz="4" w:space="0" w:color="auto"/>
              <w:right w:val="single" w:sz="4" w:space="0" w:color="auto"/>
            </w:tcBorders>
            <w:hideMark/>
          </w:tcPr>
          <w:p w14:paraId="746E341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82</w:t>
            </w:r>
          </w:p>
        </w:tc>
        <w:tc>
          <w:tcPr>
            <w:tcW w:w="850" w:type="dxa"/>
            <w:tcBorders>
              <w:top w:val="single" w:sz="4" w:space="0" w:color="auto"/>
              <w:left w:val="single" w:sz="4" w:space="0" w:color="auto"/>
              <w:bottom w:val="single" w:sz="4" w:space="0" w:color="auto"/>
              <w:right w:val="single" w:sz="4" w:space="0" w:color="auto"/>
            </w:tcBorders>
            <w:hideMark/>
          </w:tcPr>
          <w:p w14:paraId="42D2498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398</w:t>
            </w:r>
          </w:p>
        </w:tc>
        <w:tc>
          <w:tcPr>
            <w:tcW w:w="850" w:type="dxa"/>
            <w:tcBorders>
              <w:top w:val="single" w:sz="4" w:space="0" w:color="auto"/>
              <w:left w:val="single" w:sz="4" w:space="0" w:color="auto"/>
              <w:bottom w:val="single" w:sz="4" w:space="0" w:color="auto"/>
              <w:right w:val="single" w:sz="4" w:space="0" w:color="auto"/>
            </w:tcBorders>
            <w:hideMark/>
          </w:tcPr>
          <w:p w14:paraId="185C7A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952</w:t>
            </w:r>
          </w:p>
        </w:tc>
      </w:tr>
      <w:tr w:rsidR="00140722" w:rsidRPr="0078509A" w14:paraId="6C5C527C"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600979BF"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CWH</w:t>
            </w:r>
          </w:p>
        </w:tc>
        <w:tc>
          <w:tcPr>
            <w:tcW w:w="850" w:type="dxa"/>
            <w:tcBorders>
              <w:top w:val="single" w:sz="4" w:space="0" w:color="auto"/>
              <w:left w:val="single" w:sz="4" w:space="0" w:color="auto"/>
              <w:bottom w:val="single" w:sz="4" w:space="0" w:color="auto"/>
              <w:right w:val="single" w:sz="4" w:space="0" w:color="auto"/>
            </w:tcBorders>
            <w:hideMark/>
          </w:tcPr>
          <w:p w14:paraId="66906C8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14:paraId="4D9F5BB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53</w:t>
            </w:r>
          </w:p>
        </w:tc>
        <w:tc>
          <w:tcPr>
            <w:tcW w:w="850" w:type="dxa"/>
            <w:tcBorders>
              <w:top w:val="single" w:sz="4" w:space="0" w:color="auto"/>
              <w:left w:val="single" w:sz="4" w:space="0" w:color="auto"/>
              <w:bottom w:val="single" w:sz="4" w:space="0" w:color="auto"/>
              <w:right w:val="single" w:sz="4" w:space="0" w:color="auto"/>
            </w:tcBorders>
            <w:hideMark/>
          </w:tcPr>
          <w:p w14:paraId="758E66E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129</w:t>
            </w:r>
          </w:p>
        </w:tc>
        <w:tc>
          <w:tcPr>
            <w:tcW w:w="850" w:type="dxa"/>
            <w:tcBorders>
              <w:top w:val="single" w:sz="4" w:space="0" w:color="auto"/>
              <w:left w:val="single" w:sz="4" w:space="0" w:color="auto"/>
              <w:bottom w:val="single" w:sz="4" w:space="0" w:color="auto"/>
              <w:right w:val="single" w:sz="4" w:space="0" w:color="auto"/>
            </w:tcBorders>
            <w:hideMark/>
          </w:tcPr>
          <w:p w14:paraId="730F7E1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37</w:t>
            </w:r>
          </w:p>
        </w:tc>
        <w:tc>
          <w:tcPr>
            <w:tcW w:w="850" w:type="dxa"/>
            <w:tcBorders>
              <w:top w:val="single" w:sz="4" w:space="0" w:color="auto"/>
              <w:left w:val="single" w:sz="4" w:space="0" w:color="auto"/>
              <w:bottom w:val="single" w:sz="4" w:space="0" w:color="auto"/>
              <w:right w:val="single" w:sz="4" w:space="0" w:color="auto"/>
            </w:tcBorders>
            <w:hideMark/>
          </w:tcPr>
          <w:p w14:paraId="346448A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187</w:t>
            </w:r>
          </w:p>
        </w:tc>
        <w:tc>
          <w:tcPr>
            <w:tcW w:w="850" w:type="dxa"/>
            <w:tcBorders>
              <w:top w:val="single" w:sz="4" w:space="0" w:color="auto"/>
              <w:left w:val="single" w:sz="4" w:space="0" w:color="auto"/>
              <w:bottom w:val="single" w:sz="4" w:space="0" w:color="auto"/>
              <w:right w:val="single" w:sz="4" w:space="0" w:color="auto"/>
            </w:tcBorders>
            <w:hideMark/>
          </w:tcPr>
          <w:p w14:paraId="064375C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450</w:t>
            </w:r>
          </w:p>
        </w:tc>
        <w:tc>
          <w:tcPr>
            <w:tcW w:w="850" w:type="dxa"/>
            <w:tcBorders>
              <w:top w:val="single" w:sz="4" w:space="0" w:color="auto"/>
              <w:left w:val="single" w:sz="4" w:space="0" w:color="auto"/>
              <w:bottom w:val="single" w:sz="4" w:space="0" w:color="auto"/>
              <w:right w:val="single" w:sz="4" w:space="0" w:color="auto"/>
            </w:tcBorders>
            <w:hideMark/>
          </w:tcPr>
          <w:p w14:paraId="650AF21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14:paraId="6FF74F0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442</w:t>
            </w:r>
          </w:p>
        </w:tc>
        <w:tc>
          <w:tcPr>
            <w:tcW w:w="850" w:type="dxa"/>
            <w:tcBorders>
              <w:top w:val="single" w:sz="4" w:space="0" w:color="auto"/>
              <w:left w:val="single" w:sz="4" w:space="0" w:color="auto"/>
              <w:bottom w:val="single" w:sz="4" w:space="0" w:color="auto"/>
              <w:right w:val="single" w:sz="4" w:space="0" w:color="auto"/>
            </w:tcBorders>
            <w:hideMark/>
          </w:tcPr>
          <w:p w14:paraId="7D9F891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1053</w:t>
            </w:r>
          </w:p>
        </w:tc>
      </w:tr>
      <w:tr w:rsidR="00140722" w:rsidRPr="0078509A" w14:paraId="59CC25F3"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2CD5525D"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CWL</w:t>
            </w:r>
          </w:p>
        </w:tc>
        <w:tc>
          <w:tcPr>
            <w:tcW w:w="850" w:type="dxa"/>
            <w:tcBorders>
              <w:top w:val="single" w:sz="4" w:space="0" w:color="auto"/>
              <w:left w:val="single" w:sz="4" w:space="0" w:color="auto"/>
              <w:bottom w:val="single" w:sz="4" w:space="0" w:color="auto"/>
              <w:right w:val="single" w:sz="4" w:space="0" w:color="auto"/>
            </w:tcBorders>
            <w:hideMark/>
          </w:tcPr>
          <w:p w14:paraId="0EC5823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14:paraId="4A2250C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42</w:t>
            </w:r>
          </w:p>
        </w:tc>
        <w:tc>
          <w:tcPr>
            <w:tcW w:w="850" w:type="dxa"/>
            <w:tcBorders>
              <w:top w:val="single" w:sz="4" w:space="0" w:color="auto"/>
              <w:left w:val="single" w:sz="4" w:space="0" w:color="auto"/>
              <w:bottom w:val="single" w:sz="4" w:space="0" w:color="auto"/>
              <w:right w:val="single" w:sz="4" w:space="0" w:color="auto"/>
            </w:tcBorders>
            <w:hideMark/>
          </w:tcPr>
          <w:p w14:paraId="21829ED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102</w:t>
            </w:r>
          </w:p>
        </w:tc>
        <w:tc>
          <w:tcPr>
            <w:tcW w:w="850" w:type="dxa"/>
            <w:tcBorders>
              <w:top w:val="single" w:sz="4" w:space="0" w:color="auto"/>
              <w:left w:val="single" w:sz="4" w:space="0" w:color="auto"/>
              <w:bottom w:val="single" w:sz="4" w:space="0" w:color="auto"/>
              <w:right w:val="single" w:sz="4" w:space="0" w:color="auto"/>
            </w:tcBorders>
            <w:hideMark/>
          </w:tcPr>
          <w:p w14:paraId="2B156EA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29</w:t>
            </w:r>
          </w:p>
        </w:tc>
        <w:tc>
          <w:tcPr>
            <w:tcW w:w="850" w:type="dxa"/>
            <w:tcBorders>
              <w:top w:val="single" w:sz="4" w:space="0" w:color="auto"/>
              <w:left w:val="single" w:sz="4" w:space="0" w:color="auto"/>
              <w:bottom w:val="single" w:sz="4" w:space="0" w:color="auto"/>
              <w:right w:val="single" w:sz="4" w:space="0" w:color="auto"/>
            </w:tcBorders>
            <w:hideMark/>
          </w:tcPr>
          <w:p w14:paraId="704406B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144</w:t>
            </w:r>
          </w:p>
        </w:tc>
        <w:tc>
          <w:tcPr>
            <w:tcW w:w="850" w:type="dxa"/>
            <w:tcBorders>
              <w:top w:val="single" w:sz="4" w:space="0" w:color="auto"/>
              <w:left w:val="single" w:sz="4" w:space="0" w:color="auto"/>
              <w:bottom w:val="single" w:sz="4" w:space="0" w:color="auto"/>
              <w:right w:val="single" w:sz="4" w:space="0" w:color="auto"/>
            </w:tcBorders>
            <w:hideMark/>
          </w:tcPr>
          <w:p w14:paraId="7CC27DD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349</w:t>
            </w:r>
          </w:p>
        </w:tc>
        <w:tc>
          <w:tcPr>
            <w:tcW w:w="850" w:type="dxa"/>
            <w:tcBorders>
              <w:top w:val="single" w:sz="4" w:space="0" w:color="auto"/>
              <w:left w:val="single" w:sz="4" w:space="0" w:color="auto"/>
              <w:bottom w:val="single" w:sz="4" w:space="0" w:color="auto"/>
              <w:right w:val="single" w:sz="4" w:space="0" w:color="auto"/>
            </w:tcBorders>
            <w:hideMark/>
          </w:tcPr>
          <w:p w14:paraId="4C624F3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w:t>
            </w:r>
          </w:p>
        </w:tc>
        <w:tc>
          <w:tcPr>
            <w:tcW w:w="850" w:type="dxa"/>
            <w:tcBorders>
              <w:top w:val="single" w:sz="4" w:space="0" w:color="auto"/>
              <w:left w:val="single" w:sz="4" w:space="0" w:color="auto"/>
              <w:bottom w:val="single" w:sz="4" w:space="0" w:color="auto"/>
              <w:right w:val="single" w:sz="4" w:space="0" w:color="auto"/>
            </w:tcBorders>
            <w:hideMark/>
          </w:tcPr>
          <w:p w14:paraId="7284B32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338</w:t>
            </w:r>
          </w:p>
        </w:tc>
        <w:tc>
          <w:tcPr>
            <w:tcW w:w="850" w:type="dxa"/>
            <w:tcBorders>
              <w:top w:val="single" w:sz="4" w:space="0" w:color="auto"/>
              <w:left w:val="single" w:sz="4" w:space="0" w:color="auto"/>
              <w:bottom w:val="single" w:sz="4" w:space="0" w:color="auto"/>
              <w:right w:val="single" w:sz="4" w:space="0" w:color="auto"/>
            </w:tcBorders>
            <w:hideMark/>
          </w:tcPr>
          <w:p w14:paraId="67DB0E9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799</w:t>
            </w:r>
          </w:p>
        </w:tc>
      </w:tr>
      <w:tr w:rsidR="00140722" w:rsidRPr="0078509A" w14:paraId="6EB5FCF7"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07D8CCB9"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CWLk</w:t>
            </w:r>
          </w:p>
        </w:tc>
        <w:tc>
          <w:tcPr>
            <w:tcW w:w="850" w:type="dxa"/>
            <w:tcBorders>
              <w:top w:val="single" w:sz="4" w:space="0" w:color="auto"/>
              <w:left w:val="single" w:sz="4" w:space="0" w:color="auto"/>
              <w:bottom w:val="single" w:sz="4" w:space="0" w:color="auto"/>
              <w:right w:val="single" w:sz="4" w:space="0" w:color="auto"/>
            </w:tcBorders>
            <w:hideMark/>
          </w:tcPr>
          <w:p w14:paraId="233288D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64B832F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w:t>
            </w:r>
          </w:p>
        </w:tc>
        <w:tc>
          <w:tcPr>
            <w:tcW w:w="850" w:type="dxa"/>
            <w:tcBorders>
              <w:top w:val="single" w:sz="4" w:space="0" w:color="auto"/>
              <w:left w:val="single" w:sz="4" w:space="0" w:color="auto"/>
              <w:bottom w:val="single" w:sz="4" w:space="0" w:color="auto"/>
              <w:right w:val="single" w:sz="4" w:space="0" w:color="auto"/>
            </w:tcBorders>
            <w:hideMark/>
          </w:tcPr>
          <w:p w14:paraId="0988E51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68</w:t>
            </w:r>
          </w:p>
        </w:tc>
        <w:tc>
          <w:tcPr>
            <w:tcW w:w="850" w:type="dxa"/>
            <w:tcBorders>
              <w:top w:val="single" w:sz="4" w:space="0" w:color="auto"/>
              <w:left w:val="single" w:sz="4" w:space="0" w:color="auto"/>
              <w:bottom w:val="single" w:sz="4" w:space="0" w:color="auto"/>
              <w:right w:val="single" w:sz="4" w:space="0" w:color="auto"/>
            </w:tcBorders>
            <w:hideMark/>
          </w:tcPr>
          <w:p w14:paraId="63C83F6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w:t>
            </w:r>
          </w:p>
        </w:tc>
        <w:tc>
          <w:tcPr>
            <w:tcW w:w="850" w:type="dxa"/>
            <w:tcBorders>
              <w:top w:val="single" w:sz="4" w:space="0" w:color="auto"/>
              <w:left w:val="single" w:sz="4" w:space="0" w:color="auto"/>
              <w:bottom w:val="single" w:sz="4" w:space="0" w:color="auto"/>
              <w:right w:val="single" w:sz="4" w:space="0" w:color="auto"/>
            </w:tcBorders>
            <w:hideMark/>
          </w:tcPr>
          <w:p w14:paraId="1435FD4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14:paraId="764388D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220</w:t>
            </w:r>
          </w:p>
        </w:tc>
        <w:tc>
          <w:tcPr>
            <w:tcW w:w="850" w:type="dxa"/>
            <w:tcBorders>
              <w:top w:val="single" w:sz="4" w:space="0" w:color="auto"/>
              <w:left w:val="single" w:sz="4" w:space="0" w:color="auto"/>
              <w:bottom w:val="single" w:sz="4" w:space="0" w:color="auto"/>
              <w:right w:val="single" w:sz="4" w:space="0" w:color="auto"/>
            </w:tcBorders>
            <w:hideMark/>
          </w:tcPr>
          <w:p w14:paraId="17E511A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43</w:t>
            </w:r>
          </w:p>
        </w:tc>
        <w:tc>
          <w:tcPr>
            <w:tcW w:w="850" w:type="dxa"/>
            <w:tcBorders>
              <w:top w:val="single" w:sz="4" w:space="0" w:color="auto"/>
              <w:left w:val="single" w:sz="4" w:space="0" w:color="auto"/>
              <w:bottom w:val="single" w:sz="4" w:space="0" w:color="auto"/>
              <w:right w:val="single" w:sz="4" w:space="0" w:color="auto"/>
            </w:tcBorders>
            <w:hideMark/>
          </w:tcPr>
          <w:p w14:paraId="49E2BEA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208</w:t>
            </w:r>
          </w:p>
        </w:tc>
        <w:tc>
          <w:tcPr>
            <w:tcW w:w="850" w:type="dxa"/>
            <w:tcBorders>
              <w:top w:val="single" w:sz="4" w:space="0" w:color="auto"/>
              <w:left w:val="single" w:sz="4" w:space="0" w:color="auto"/>
              <w:bottom w:val="single" w:sz="4" w:space="0" w:color="auto"/>
              <w:right w:val="single" w:sz="4" w:space="0" w:color="auto"/>
            </w:tcBorders>
            <w:hideMark/>
          </w:tcPr>
          <w:p w14:paraId="1ABA0DF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501</w:t>
            </w:r>
          </w:p>
        </w:tc>
      </w:tr>
      <w:tr w:rsidR="00140722" w:rsidRPr="0078509A" w14:paraId="5AE0A00D"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56B679D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CDM</w:t>
            </w:r>
          </w:p>
        </w:tc>
        <w:tc>
          <w:tcPr>
            <w:tcW w:w="850" w:type="dxa"/>
            <w:tcBorders>
              <w:top w:val="single" w:sz="4" w:space="0" w:color="auto"/>
              <w:left w:val="single" w:sz="4" w:space="0" w:color="auto"/>
              <w:bottom w:val="single" w:sz="4" w:space="0" w:color="auto"/>
              <w:right w:val="single" w:sz="4" w:space="0" w:color="auto"/>
            </w:tcBorders>
            <w:hideMark/>
          </w:tcPr>
          <w:p w14:paraId="316C9BA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14:paraId="2E9BFCC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31</w:t>
            </w:r>
          </w:p>
        </w:tc>
        <w:tc>
          <w:tcPr>
            <w:tcW w:w="850" w:type="dxa"/>
            <w:tcBorders>
              <w:top w:val="single" w:sz="4" w:space="0" w:color="auto"/>
              <w:left w:val="single" w:sz="4" w:space="0" w:color="auto"/>
              <w:bottom w:val="single" w:sz="4" w:space="0" w:color="auto"/>
              <w:right w:val="single" w:sz="4" w:space="0" w:color="auto"/>
            </w:tcBorders>
            <w:hideMark/>
          </w:tcPr>
          <w:p w14:paraId="313D577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75</w:t>
            </w:r>
          </w:p>
        </w:tc>
        <w:tc>
          <w:tcPr>
            <w:tcW w:w="850" w:type="dxa"/>
            <w:tcBorders>
              <w:top w:val="single" w:sz="4" w:space="0" w:color="auto"/>
              <w:left w:val="single" w:sz="4" w:space="0" w:color="auto"/>
              <w:bottom w:val="single" w:sz="4" w:space="0" w:color="auto"/>
              <w:right w:val="single" w:sz="4" w:space="0" w:color="auto"/>
            </w:tcBorders>
            <w:hideMark/>
          </w:tcPr>
          <w:p w14:paraId="1950CBF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w:t>
            </w:r>
          </w:p>
        </w:tc>
        <w:tc>
          <w:tcPr>
            <w:tcW w:w="850" w:type="dxa"/>
            <w:tcBorders>
              <w:top w:val="single" w:sz="4" w:space="0" w:color="auto"/>
              <w:left w:val="single" w:sz="4" w:space="0" w:color="auto"/>
              <w:bottom w:val="single" w:sz="4" w:space="0" w:color="auto"/>
              <w:right w:val="single" w:sz="4" w:space="0" w:color="auto"/>
            </w:tcBorders>
            <w:hideMark/>
          </w:tcPr>
          <w:p w14:paraId="4BAD9FD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99</w:t>
            </w:r>
          </w:p>
        </w:tc>
        <w:tc>
          <w:tcPr>
            <w:tcW w:w="850" w:type="dxa"/>
            <w:tcBorders>
              <w:top w:val="single" w:sz="4" w:space="0" w:color="auto"/>
              <w:left w:val="single" w:sz="4" w:space="0" w:color="auto"/>
              <w:bottom w:val="single" w:sz="4" w:space="0" w:color="auto"/>
              <w:right w:val="single" w:sz="4" w:space="0" w:color="auto"/>
            </w:tcBorders>
            <w:hideMark/>
          </w:tcPr>
          <w:p w14:paraId="5EDAD90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240</w:t>
            </w:r>
          </w:p>
        </w:tc>
        <w:tc>
          <w:tcPr>
            <w:tcW w:w="850" w:type="dxa"/>
            <w:tcBorders>
              <w:top w:val="single" w:sz="4" w:space="0" w:color="auto"/>
              <w:left w:val="single" w:sz="4" w:space="0" w:color="auto"/>
              <w:bottom w:val="single" w:sz="4" w:space="0" w:color="auto"/>
              <w:right w:val="single" w:sz="4" w:space="0" w:color="auto"/>
            </w:tcBorders>
            <w:hideMark/>
          </w:tcPr>
          <w:p w14:paraId="0CC478B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45</w:t>
            </w:r>
          </w:p>
        </w:tc>
        <w:tc>
          <w:tcPr>
            <w:tcW w:w="850" w:type="dxa"/>
            <w:tcBorders>
              <w:top w:val="single" w:sz="4" w:space="0" w:color="auto"/>
              <w:left w:val="single" w:sz="4" w:space="0" w:color="auto"/>
              <w:bottom w:val="single" w:sz="4" w:space="0" w:color="auto"/>
              <w:right w:val="single" w:sz="4" w:space="0" w:color="auto"/>
            </w:tcBorders>
            <w:hideMark/>
          </w:tcPr>
          <w:p w14:paraId="685723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221</w:t>
            </w:r>
          </w:p>
        </w:tc>
        <w:tc>
          <w:tcPr>
            <w:tcW w:w="850" w:type="dxa"/>
            <w:tcBorders>
              <w:top w:val="single" w:sz="4" w:space="0" w:color="auto"/>
              <w:left w:val="single" w:sz="4" w:space="0" w:color="auto"/>
              <w:bottom w:val="single" w:sz="4" w:space="0" w:color="auto"/>
              <w:right w:val="single" w:sz="4" w:space="0" w:color="auto"/>
            </w:tcBorders>
            <w:hideMark/>
          </w:tcPr>
          <w:p w14:paraId="71F4E42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531</w:t>
            </w:r>
          </w:p>
        </w:tc>
      </w:tr>
      <w:tr w:rsidR="00140722" w:rsidRPr="0078509A" w14:paraId="72F29A8C"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7668F97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CDH</w:t>
            </w:r>
          </w:p>
        </w:tc>
        <w:tc>
          <w:tcPr>
            <w:tcW w:w="850" w:type="dxa"/>
            <w:tcBorders>
              <w:top w:val="single" w:sz="4" w:space="0" w:color="auto"/>
              <w:left w:val="single" w:sz="4" w:space="0" w:color="auto"/>
              <w:bottom w:val="single" w:sz="4" w:space="0" w:color="auto"/>
              <w:right w:val="single" w:sz="4" w:space="0" w:color="auto"/>
            </w:tcBorders>
            <w:hideMark/>
          </w:tcPr>
          <w:p w14:paraId="34368BB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2B9BBF4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27</w:t>
            </w:r>
          </w:p>
        </w:tc>
        <w:tc>
          <w:tcPr>
            <w:tcW w:w="850" w:type="dxa"/>
            <w:tcBorders>
              <w:top w:val="single" w:sz="4" w:space="0" w:color="auto"/>
              <w:left w:val="single" w:sz="4" w:space="0" w:color="auto"/>
              <w:bottom w:val="single" w:sz="4" w:space="0" w:color="auto"/>
              <w:right w:val="single" w:sz="4" w:space="0" w:color="auto"/>
            </w:tcBorders>
            <w:hideMark/>
          </w:tcPr>
          <w:p w14:paraId="1105FD0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66</w:t>
            </w:r>
          </w:p>
        </w:tc>
        <w:tc>
          <w:tcPr>
            <w:tcW w:w="850" w:type="dxa"/>
            <w:tcBorders>
              <w:top w:val="single" w:sz="4" w:space="0" w:color="auto"/>
              <w:left w:val="single" w:sz="4" w:space="0" w:color="auto"/>
              <w:bottom w:val="single" w:sz="4" w:space="0" w:color="auto"/>
              <w:right w:val="single" w:sz="4" w:space="0" w:color="auto"/>
            </w:tcBorders>
            <w:hideMark/>
          </w:tcPr>
          <w:p w14:paraId="2DC8E78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w:t>
            </w:r>
          </w:p>
        </w:tc>
        <w:tc>
          <w:tcPr>
            <w:tcW w:w="850" w:type="dxa"/>
            <w:tcBorders>
              <w:top w:val="single" w:sz="4" w:space="0" w:color="auto"/>
              <w:left w:val="single" w:sz="4" w:space="0" w:color="auto"/>
              <w:bottom w:val="single" w:sz="4" w:space="0" w:color="auto"/>
              <w:right w:val="single" w:sz="4" w:space="0" w:color="auto"/>
            </w:tcBorders>
            <w:hideMark/>
          </w:tcPr>
          <w:p w14:paraId="0F664AA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88</w:t>
            </w:r>
          </w:p>
        </w:tc>
        <w:tc>
          <w:tcPr>
            <w:tcW w:w="850" w:type="dxa"/>
            <w:tcBorders>
              <w:top w:val="single" w:sz="4" w:space="0" w:color="auto"/>
              <w:left w:val="single" w:sz="4" w:space="0" w:color="auto"/>
              <w:bottom w:val="single" w:sz="4" w:space="0" w:color="auto"/>
              <w:right w:val="single" w:sz="4" w:space="0" w:color="auto"/>
            </w:tcBorders>
            <w:hideMark/>
          </w:tcPr>
          <w:p w14:paraId="6249EB9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213</w:t>
            </w:r>
          </w:p>
        </w:tc>
        <w:tc>
          <w:tcPr>
            <w:tcW w:w="850" w:type="dxa"/>
            <w:tcBorders>
              <w:top w:val="single" w:sz="4" w:space="0" w:color="auto"/>
              <w:left w:val="single" w:sz="4" w:space="0" w:color="auto"/>
              <w:bottom w:val="single" w:sz="4" w:space="0" w:color="auto"/>
              <w:right w:val="single" w:sz="4" w:space="0" w:color="auto"/>
            </w:tcBorders>
            <w:hideMark/>
          </w:tcPr>
          <w:p w14:paraId="48E0B9C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14:paraId="7044F08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199</w:t>
            </w:r>
          </w:p>
        </w:tc>
        <w:tc>
          <w:tcPr>
            <w:tcW w:w="850" w:type="dxa"/>
            <w:tcBorders>
              <w:top w:val="single" w:sz="4" w:space="0" w:color="auto"/>
              <w:left w:val="single" w:sz="4" w:space="0" w:color="auto"/>
              <w:bottom w:val="single" w:sz="4" w:space="0" w:color="auto"/>
              <w:right w:val="single" w:sz="4" w:space="0" w:color="auto"/>
            </w:tcBorders>
            <w:hideMark/>
          </w:tcPr>
          <w:p w14:paraId="1FCC129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473</w:t>
            </w:r>
          </w:p>
        </w:tc>
      </w:tr>
      <w:tr w:rsidR="00140722" w:rsidRPr="0078509A" w14:paraId="73971AF8"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601FEFAF"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CDL</w:t>
            </w:r>
          </w:p>
        </w:tc>
        <w:tc>
          <w:tcPr>
            <w:tcW w:w="850" w:type="dxa"/>
            <w:tcBorders>
              <w:top w:val="single" w:sz="4" w:space="0" w:color="auto"/>
              <w:left w:val="single" w:sz="4" w:space="0" w:color="auto"/>
              <w:bottom w:val="single" w:sz="4" w:space="0" w:color="auto"/>
              <w:right w:val="single" w:sz="4" w:space="0" w:color="auto"/>
            </w:tcBorders>
            <w:hideMark/>
          </w:tcPr>
          <w:p w14:paraId="443AEC1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2380B85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w:t>
            </w:r>
          </w:p>
        </w:tc>
        <w:tc>
          <w:tcPr>
            <w:tcW w:w="850" w:type="dxa"/>
            <w:tcBorders>
              <w:top w:val="single" w:sz="4" w:space="0" w:color="auto"/>
              <w:left w:val="single" w:sz="4" w:space="0" w:color="auto"/>
              <w:bottom w:val="single" w:sz="4" w:space="0" w:color="auto"/>
              <w:right w:val="single" w:sz="4" w:space="0" w:color="auto"/>
            </w:tcBorders>
            <w:hideMark/>
          </w:tcPr>
          <w:p w14:paraId="1C2D27C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68</w:t>
            </w:r>
          </w:p>
        </w:tc>
        <w:tc>
          <w:tcPr>
            <w:tcW w:w="850" w:type="dxa"/>
            <w:tcBorders>
              <w:top w:val="single" w:sz="4" w:space="0" w:color="auto"/>
              <w:left w:val="single" w:sz="4" w:space="0" w:color="auto"/>
              <w:bottom w:val="single" w:sz="4" w:space="0" w:color="auto"/>
              <w:right w:val="single" w:sz="4" w:space="0" w:color="auto"/>
            </w:tcBorders>
            <w:hideMark/>
          </w:tcPr>
          <w:p w14:paraId="0B5C5B1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w:t>
            </w:r>
          </w:p>
        </w:tc>
        <w:tc>
          <w:tcPr>
            <w:tcW w:w="850" w:type="dxa"/>
            <w:tcBorders>
              <w:top w:val="single" w:sz="4" w:space="0" w:color="auto"/>
              <w:left w:val="single" w:sz="4" w:space="0" w:color="auto"/>
              <w:bottom w:val="single" w:sz="4" w:space="0" w:color="auto"/>
              <w:right w:val="single" w:sz="4" w:space="0" w:color="auto"/>
            </w:tcBorders>
            <w:hideMark/>
          </w:tcPr>
          <w:p w14:paraId="711F014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92</w:t>
            </w:r>
          </w:p>
        </w:tc>
        <w:tc>
          <w:tcPr>
            <w:tcW w:w="850" w:type="dxa"/>
            <w:tcBorders>
              <w:top w:val="single" w:sz="4" w:space="0" w:color="auto"/>
              <w:left w:val="single" w:sz="4" w:space="0" w:color="auto"/>
              <w:bottom w:val="single" w:sz="4" w:space="0" w:color="auto"/>
              <w:right w:val="single" w:sz="4" w:space="0" w:color="auto"/>
            </w:tcBorders>
            <w:hideMark/>
          </w:tcPr>
          <w:p w14:paraId="4D80FA0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222</w:t>
            </w:r>
          </w:p>
        </w:tc>
        <w:tc>
          <w:tcPr>
            <w:tcW w:w="850" w:type="dxa"/>
            <w:tcBorders>
              <w:top w:val="single" w:sz="4" w:space="0" w:color="auto"/>
              <w:left w:val="single" w:sz="4" w:space="0" w:color="auto"/>
              <w:bottom w:val="single" w:sz="4" w:space="0" w:color="auto"/>
              <w:right w:val="single" w:sz="4" w:space="0" w:color="auto"/>
            </w:tcBorders>
            <w:hideMark/>
          </w:tcPr>
          <w:p w14:paraId="6804B47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43</w:t>
            </w:r>
          </w:p>
        </w:tc>
        <w:tc>
          <w:tcPr>
            <w:tcW w:w="850" w:type="dxa"/>
            <w:tcBorders>
              <w:top w:val="single" w:sz="4" w:space="0" w:color="auto"/>
              <w:left w:val="single" w:sz="4" w:space="0" w:color="auto"/>
              <w:bottom w:val="single" w:sz="4" w:space="0" w:color="auto"/>
              <w:right w:val="single" w:sz="4" w:space="0" w:color="auto"/>
            </w:tcBorders>
            <w:hideMark/>
          </w:tcPr>
          <w:p w14:paraId="178CE00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209</w:t>
            </w:r>
          </w:p>
        </w:tc>
        <w:tc>
          <w:tcPr>
            <w:tcW w:w="850" w:type="dxa"/>
            <w:tcBorders>
              <w:top w:val="single" w:sz="4" w:space="0" w:color="auto"/>
              <w:left w:val="single" w:sz="4" w:space="0" w:color="auto"/>
              <w:bottom w:val="single" w:sz="4" w:space="0" w:color="auto"/>
              <w:right w:val="single" w:sz="4" w:space="0" w:color="auto"/>
            </w:tcBorders>
            <w:hideMark/>
          </w:tcPr>
          <w:p w14:paraId="127A298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497</w:t>
            </w:r>
          </w:p>
        </w:tc>
      </w:tr>
      <w:tr w:rsidR="00140722" w:rsidRPr="0078509A" w14:paraId="3883A49E"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06F2858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CDLk</w:t>
            </w:r>
          </w:p>
        </w:tc>
        <w:tc>
          <w:tcPr>
            <w:tcW w:w="850" w:type="dxa"/>
            <w:tcBorders>
              <w:top w:val="single" w:sz="4" w:space="0" w:color="auto"/>
              <w:left w:val="single" w:sz="4" w:space="0" w:color="auto"/>
              <w:bottom w:val="single" w:sz="4" w:space="0" w:color="auto"/>
              <w:right w:val="single" w:sz="4" w:space="0" w:color="auto"/>
            </w:tcBorders>
            <w:hideMark/>
          </w:tcPr>
          <w:p w14:paraId="20F908A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0CCE81A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24</w:t>
            </w:r>
          </w:p>
        </w:tc>
        <w:tc>
          <w:tcPr>
            <w:tcW w:w="850" w:type="dxa"/>
            <w:tcBorders>
              <w:top w:val="single" w:sz="4" w:space="0" w:color="auto"/>
              <w:left w:val="single" w:sz="4" w:space="0" w:color="auto"/>
              <w:bottom w:val="single" w:sz="4" w:space="0" w:color="auto"/>
              <w:right w:val="single" w:sz="4" w:space="0" w:color="auto"/>
            </w:tcBorders>
            <w:hideMark/>
          </w:tcPr>
          <w:p w14:paraId="6950D55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59</w:t>
            </w:r>
          </w:p>
        </w:tc>
        <w:tc>
          <w:tcPr>
            <w:tcW w:w="850" w:type="dxa"/>
            <w:tcBorders>
              <w:top w:val="single" w:sz="4" w:space="0" w:color="auto"/>
              <w:left w:val="single" w:sz="4" w:space="0" w:color="auto"/>
              <w:bottom w:val="single" w:sz="4" w:space="0" w:color="auto"/>
              <w:right w:val="single" w:sz="4" w:space="0" w:color="auto"/>
            </w:tcBorders>
            <w:hideMark/>
          </w:tcPr>
          <w:p w14:paraId="5D150CC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w:t>
            </w:r>
          </w:p>
        </w:tc>
        <w:tc>
          <w:tcPr>
            <w:tcW w:w="850" w:type="dxa"/>
            <w:tcBorders>
              <w:top w:val="single" w:sz="4" w:space="0" w:color="auto"/>
              <w:left w:val="single" w:sz="4" w:space="0" w:color="auto"/>
              <w:bottom w:val="single" w:sz="4" w:space="0" w:color="auto"/>
              <w:right w:val="single" w:sz="4" w:space="0" w:color="auto"/>
            </w:tcBorders>
            <w:hideMark/>
          </w:tcPr>
          <w:p w14:paraId="0B97DB2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80</w:t>
            </w:r>
          </w:p>
        </w:tc>
        <w:tc>
          <w:tcPr>
            <w:tcW w:w="850" w:type="dxa"/>
            <w:tcBorders>
              <w:top w:val="single" w:sz="4" w:space="0" w:color="auto"/>
              <w:left w:val="single" w:sz="4" w:space="0" w:color="auto"/>
              <w:bottom w:val="single" w:sz="4" w:space="0" w:color="auto"/>
              <w:right w:val="single" w:sz="4" w:space="0" w:color="auto"/>
            </w:tcBorders>
            <w:hideMark/>
          </w:tcPr>
          <w:p w14:paraId="5BC01F9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190</w:t>
            </w:r>
          </w:p>
        </w:tc>
        <w:tc>
          <w:tcPr>
            <w:tcW w:w="850" w:type="dxa"/>
            <w:tcBorders>
              <w:top w:val="single" w:sz="4" w:space="0" w:color="auto"/>
              <w:left w:val="single" w:sz="4" w:space="0" w:color="auto"/>
              <w:bottom w:val="single" w:sz="4" w:space="0" w:color="auto"/>
              <w:right w:val="single" w:sz="4" w:space="0" w:color="auto"/>
            </w:tcBorders>
            <w:hideMark/>
          </w:tcPr>
          <w:p w14:paraId="7489DB2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36</w:t>
            </w:r>
          </w:p>
        </w:tc>
        <w:tc>
          <w:tcPr>
            <w:tcW w:w="850" w:type="dxa"/>
            <w:tcBorders>
              <w:top w:val="single" w:sz="4" w:space="0" w:color="auto"/>
              <w:left w:val="single" w:sz="4" w:space="0" w:color="auto"/>
              <w:bottom w:val="single" w:sz="4" w:space="0" w:color="auto"/>
              <w:right w:val="single" w:sz="4" w:space="0" w:color="auto"/>
            </w:tcBorders>
            <w:hideMark/>
          </w:tcPr>
          <w:p w14:paraId="67A9FA9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176</w:t>
            </w:r>
          </w:p>
        </w:tc>
        <w:tc>
          <w:tcPr>
            <w:tcW w:w="850" w:type="dxa"/>
            <w:tcBorders>
              <w:top w:val="single" w:sz="4" w:space="0" w:color="auto"/>
              <w:left w:val="single" w:sz="4" w:space="0" w:color="auto"/>
              <w:bottom w:val="single" w:sz="4" w:space="0" w:color="auto"/>
              <w:right w:val="single" w:sz="4" w:space="0" w:color="auto"/>
            </w:tcBorders>
            <w:hideMark/>
          </w:tcPr>
          <w:p w14:paraId="7EFFDB0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424</w:t>
            </w:r>
          </w:p>
        </w:tc>
      </w:tr>
      <w:tr w:rsidR="00140722" w:rsidRPr="0078509A" w14:paraId="3CEFC562"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2D4F170B"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WXL</w:t>
            </w:r>
          </w:p>
        </w:tc>
        <w:tc>
          <w:tcPr>
            <w:tcW w:w="850" w:type="dxa"/>
            <w:tcBorders>
              <w:top w:val="single" w:sz="4" w:space="0" w:color="auto"/>
              <w:left w:val="single" w:sz="4" w:space="0" w:color="auto"/>
              <w:bottom w:val="single" w:sz="4" w:space="0" w:color="auto"/>
              <w:right w:val="single" w:sz="4" w:space="0" w:color="auto"/>
            </w:tcBorders>
            <w:hideMark/>
          </w:tcPr>
          <w:p w14:paraId="4E33CC1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14:paraId="3428CEE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47</w:t>
            </w:r>
          </w:p>
        </w:tc>
        <w:tc>
          <w:tcPr>
            <w:tcW w:w="850" w:type="dxa"/>
            <w:tcBorders>
              <w:top w:val="single" w:sz="4" w:space="0" w:color="auto"/>
              <w:left w:val="single" w:sz="4" w:space="0" w:color="auto"/>
              <w:bottom w:val="single" w:sz="4" w:space="0" w:color="auto"/>
              <w:right w:val="single" w:sz="4" w:space="0" w:color="auto"/>
            </w:tcBorders>
            <w:hideMark/>
          </w:tcPr>
          <w:p w14:paraId="1C95E07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113</w:t>
            </w:r>
          </w:p>
        </w:tc>
        <w:tc>
          <w:tcPr>
            <w:tcW w:w="850" w:type="dxa"/>
            <w:tcBorders>
              <w:top w:val="single" w:sz="4" w:space="0" w:color="auto"/>
              <w:left w:val="single" w:sz="4" w:space="0" w:color="auto"/>
              <w:bottom w:val="single" w:sz="4" w:space="0" w:color="auto"/>
              <w:right w:val="single" w:sz="4" w:space="0" w:color="auto"/>
            </w:tcBorders>
            <w:hideMark/>
          </w:tcPr>
          <w:p w14:paraId="3CCFF9D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14:paraId="11B055B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161</w:t>
            </w:r>
          </w:p>
        </w:tc>
        <w:tc>
          <w:tcPr>
            <w:tcW w:w="850" w:type="dxa"/>
            <w:tcBorders>
              <w:top w:val="single" w:sz="4" w:space="0" w:color="auto"/>
              <w:left w:val="single" w:sz="4" w:space="0" w:color="auto"/>
              <w:bottom w:val="single" w:sz="4" w:space="0" w:color="auto"/>
              <w:right w:val="single" w:sz="4" w:space="0" w:color="auto"/>
            </w:tcBorders>
            <w:hideMark/>
          </w:tcPr>
          <w:p w14:paraId="34D5388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384</w:t>
            </w:r>
          </w:p>
        </w:tc>
        <w:tc>
          <w:tcPr>
            <w:tcW w:w="850" w:type="dxa"/>
            <w:tcBorders>
              <w:top w:val="single" w:sz="4" w:space="0" w:color="auto"/>
              <w:left w:val="single" w:sz="4" w:space="0" w:color="auto"/>
              <w:bottom w:val="single" w:sz="4" w:space="0" w:color="auto"/>
              <w:right w:val="single" w:sz="4" w:space="0" w:color="auto"/>
            </w:tcBorders>
            <w:hideMark/>
          </w:tcPr>
          <w:p w14:paraId="72E768B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78</w:t>
            </w:r>
          </w:p>
        </w:tc>
        <w:tc>
          <w:tcPr>
            <w:tcW w:w="850" w:type="dxa"/>
            <w:tcBorders>
              <w:top w:val="single" w:sz="4" w:space="0" w:color="auto"/>
              <w:left w:val="single" w:sz="4" w:space="0" w:color="auto"/>
              <w:bottom w:val="single" w:sz="4" w:space="0" w:color="auto"/>
              <w:right w:val="single" w:sz="4" w:space="0" w:color="auto"/>
            </w:tcBorders>
            <w:hideMark/>
          </w:tcPr>
          <w:p w14:paraId="32A9191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375</w:t>
            </w:r>
          </w:p>
        </w:tc>
        <w:tc>
          <w:tcPr>
            <w:tcW w:w="850" w:type="dxa"/>
            <w:tcBorders>
              <w:top w:val="single" w:sz="4" w:space="0" w:color="auto"/>
              <w:left w:val="single" w:sz="4" w:space="0" w:color="auto"/>
              <w:bottom w:val="single" w:sz="4" w:space="0" w:color="auto"/>
              <w:right w:val="single" w:sz="4" w:space="0" w:color="auto"/>
            </w:tcBorders>
            <w:hideMark/>
          </w:tcPr>
          <w:p w14:paraId="1C351EE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922</w:t>
            </w:r>
          </w:p>
        </w:tc>
      </w:tr>
      <w:tr w:rsidR="00140722" w:rsidRPr="0078509A" w14:paraId="4A0F940B"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55741A4A"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WXH</w:t>
            </w:r>
          </w:p>
        </w:tc>
        <w:tc>
          <w:tcPr>
            <w:tcW w:w="850" w:type="dxa"/>
            <w:tcBorders>
              <w:top w:val="single" w:sz="4" w:space="0" w:color="auto"/>
              <w:left w:val="single" w:sz="4" w:space="0" w:color="auto"/>
              <w:bottom w:val="single" w:sz="4" w:space="0" w:color="auto"/>
              <w:right w:val="single" w:sz="4" w:space="0" w:color="auto"/>
            </w:tcBorders>
            <w:hideMark/>
          </w:tcPr>
          <w:p w14:paraId="622172F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14:paraId="3844E8D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46A4676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124</w:t>
            </w:r>
          </w:p>
        </w:tc>
        <w:tc>
          <w:tcPr>
            <w:tcW w:w="850" w:type="dxa"/>
            <w:tcBorders>
              <w:top w:val="single" w:sz="4" w:space="0" w:color="auto"/>
              <w:left w:val="single" w:sz="4" w:space="0" w:color="auto"/>
              <w:bottom w:val="single" w:sz="4" w:space="0" w:color="auto"/>
              <w:right w:val="single" w:sz="4" w:space="0" w:color="auto"/>
            </w:tcBorders>
            <w:hideMark/>
          </w:tcPr>
          <w:p w14:paraId="2C1FAD3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35</w:t>
            </w:r>
          </w:p>
        </w:tc>
        <w:tc>
          <w:tcPr>
            <w:tcW w:w="850" w:type="dxa"/>
            <w:tcBorders>
              <w:top w:val="single" w:sz="4" w:space="0" w:color="auto"/>
              <w:left w:val="single" w:sz="4" w:space="0" w:color="auto"/>
              <w:bottom w:val="single" w:sz="4" w:space="0" w:color="auto"/>
              <w:right w:val="single" w:sz="4" w:space="0" w:color="auto"/>
            </w:tcBorders>
            <w:hideMark/>
          </w:tcPr>
          <w:p w14:paraId="5644E5C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178</w:t>
            </w:r>
          </w:p>
        </w:tc>
        <w:tc>
          <w:tcPr>
            <w:tcW w:w="850" w:type="dxa"/>
            <w:tcBorders>
              <w:top w:val="single" w:sz="4" w:space="0" w:color="auto"/>
              <w:left w:val="single" w:sz="4" w:space="0" w:color="auto"/>
              <w:bottom w:val="single" w:sz="4" w:space="0" w:color="auto"/>
              <w:right w:val="single" w:sz="4" w:space="0" w:color="auto"/>
            </w:tcBorders>
            <w:hideMark/>
          </w:tcPr>
          <w:p w14:paraId="2C30ECF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429</w:t>
            </w:r>
          </w:p>
        </w:tc>
        <w:tc>
          <w:tcPr>
            <w:tcW w:w="850" w:type="dxa"/>
            <w:tcBorders>
              <w:top w:val="single" w:sz="4" w:space="0" w:color="auto"/>
              <w:left w:val="single" w:sz="4" w:space="0" w:color="auto"/>
              <w:bottom w:val="single" w:sz="4" w:space="0" w:color="auto"/>
              <w:right w:val="single" w:sz="4" w:space="0" w:color="auto"/>
            </w:tcBorders>
            <w:hideMark/>
          </w:tcPr>
          <w:p w14:paraId="6BFFDDD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86</w:t>
            </w:r>
          </w:p>
        </w:tc>
        <w:tc>
          <w:tcPr>
            <w:tcW w:w="850" w:type="dxa"/>
            <w:tcBorders>
              <w:top w:val="single" w:sz="4" w:space="0" w:color="auto"/>
              <w:left w:val="single" w:sz="4" w:space="0" w:color="auto"/>
              <w:bottom w:val="single" w:sz="4" w:space="0" w:color="auto"/>
              <w:right w:val="single" w:sz="4" w:space="0" w:color="auto"/>
            </w:tcBorders>
            <w:hideMark/>
          </w:tcPr>
          <w:p w14:paraId="51EDF1E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418</w:t>
            </w:r>
          </w:p>
        </w:tc>
        <w:tc>
          <w:tcPr>
            <w:tcW w:w="850" w:type="dxa"/>
            <w:tcBorders>
              <w:top w:val="single" w:sz="4" w:space="0" w:color="auto"/>
              <w:left w:val="single" w:sz="4" w:space="0" w:color="auto"/>
              <w:bottom w:val="single" w:sz="4" w:space="0" w:color="auto"/>
              <w:right w:val="single" w:sz="4" w:space="0" w:color="auto"/>
            </w:tcBorders>
            <w:hideMark/>
          </w:tcPr>
          <w:p w14:paraId="3065BCF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999</w:t>
            </w:r>
          </w:p>
        </w:tc>
      </w:tr>
      <w:tr w:rsidR="00140722" w:rsidRPr="0078509A" w14:paraId="6E8C2B4A"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52AF3FF0"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WWH</w:t>
            </w:r>
          </w:p>
        </w:tc>
        <w:tc>
          <w:tcPr>
            <w:tcW w:w="850" w:type="dxa"/>
            <w:tcBorders>
              <w:top w:val="single" w:sz="4" w:space="0" w:color="auto"/>
              <w:left w:val="single" w:sz="4" w:space="0" w:color="auto"/>
              <w:bottom w:val="single" w:sz="4" w:space="0" w:color="auto"/>
              <w:right w:val="single" w:sz="4" w:space="0" w:color="auto"/>
            </w:tcBorders>
            <w:hideMark/>
          </w:tcPr>
          <w:p w14:paraId="2834C12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w:t>
            </w:r>
          </w:p>
        </w:tc>
        <w:tc>
          <w:tcPr>
            <w:tcW w:w="850" w:type="dxa"/>
            <w:tcBorders>
              <w:top w:val="single" w:sz="4" w:space="0" w:color="auto"/>
              <w:left w:val="single" w:sz="4" w:space="0" w:color="auto"/>
              <w:bottom w:val="single" w:sz="4" w:space="0" w:color="auto"/>
              <w:right w:val="single" w:sz="4" w:space="0" w:color="auto"/>
            </w:tcBorders>
            <w:hideMark/>
          </w:tcPr>
          <w:p w14:paraId="0AE24B9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71</w:t>
            </w:r>
          </w:p>
        </w:tc>
        <w:tc>
          <w:tcPr>
            <w:tcW w:w="850" w:type="dxa"/>
            <w:tcBorders>
              <w:top w:val="single" w:sz="4" w:space="0" w:color="auto"/>
              <w:left w:val="single" w:sz="4" w:space="0" w:color="auto"/>
              <w:bottom w:val="single" w:sz="4" w:space="0" w:color="auto"/>
              <w:right w:val="single" w:sz="4" w:space="0" w:color="auto"/>
            </w:tcBorders>
            <w:hideMark/>
          </w:tcPr>
          <w:p w14:paraId="267A743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173</w:t>
            </w:r>
          </w:p>
        </w:tc>
        <w:tc>
          <w:tcPr>
            <w:tcW w:w="850" w:type="dxa"/>
            <w:tcBorders>
              <w:top w:val="single" w:sz="4" w:space="0" w:color="auto"/>
              <w:left w:val="single" w:sz="4" w:space="0" w:color="auto"/>
              <w:bottom w:val="single" w:sz="4" w:space="0" w:color="auto"/>
              <w:right w:val="single" w:sz="4" w:space="0" w:color="auto"/>
            </w:tcBorders>
            <w:hideMark/>
          </w:tcPr>
          <w:p w14:paraId="42CA0B3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51</w:t>
            </w:r>
          </w:p>
        </w:tc>
        <w:tc>
          <w:tcPr>
            <w:tcW w:w="850" w:type="dxa"/>
            <w:tcBorders>
              <w:top w:val="single" w:sz="4" w:space="0" w:color="auto"/>
              <w:left w:val="single" w:sz="4" w:space="0" w:color="auto"/>
              <w:bottom w:val="single" w:sz="4" w:space="0" w:color="auto"/>
              <w:right w:val="single" w:sz="4" w:space="0" w:color="auto"/>
            </w:tcBorders>
            <w:hideMark/>
          </w:tcPr>
          <w:p w14:paraId="5C1D52F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258</w:t>
            </w:r>
          </w:p>
        </w:tc>
        <w:tc>
          <w:tcPr>
            <w:tcW w:w="850" w:type="dxa"/>
            <w:tcBorders>
              <w:top w:val="single" w:sz="4" w:space="0" w:color="auto"/>
              <w:left w:val="single" w:sz="4" w:space="0" w:color="auto"/>
              <w:bottom w:val="single" w:sz="4" w:space="0" w:color="auto"/>
              <w:right w:val="single" w:sz="4" w:space="0" w:color="auto"/>
            </w:tcBorders>
            <w:hideMark/>
          </w:tcPr>
          <w:p w14:paraId="6C05801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630</w:t>
            </w:r>
          </w:p>
        </w:tc>
        <w:tc>
          <w:tcPr>
            <w:tcW w:w="850" w:type="dxa"/>
            <w:tcBorders>
              <w:top w:val="single" w:sz="4" w:space="0" w:color="auto"/>
              <w:left w:val="single" w:sz="4" w:space="0" w:color="auto"/>
              <w:bottom w:val="single" w:sz="4" w:space="0" w:color="auto"/>
              <w:right w:val="single" w:sz="4" w:space="0" w:color="auto"/>
            </w:tcBorders>
            <w:hideMark/>
          </w:tcPr>
          <w:p w14:paraId="2A10A7F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129</w:t>
            </w:r>
          </w:p>
        </w:tc>
        <w:tc>
          <w:tcPr>
            <w:tcW w:w="850" w:type="dxa"/>
            <w:tcBorders>
              <w:top w:val="single" w:sz="4" w:space="0" w:color="auto"/>
              <w:left w:val="single" w:sz="4" w:space="0" w:color="auto"/>
              <w:bottom w:val="single" w:sz="4" w:space="0" w:color="auto"/>
              <w:right w:val="single" w:sz="4" w:space="0" w:color="auto"/>
            </w:tcBorders>
            <w:hideMark/>
          </w:tcPr>
          <w:p w14:paraId="5C08508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624</w:t>
            </w:r>
          </w:p>
        </w:tc>
        <w:tc>
          <w:tcPr>
            <w:tcW w:w="850" w:type="dxa"/>
            <w:tcBorders>
              <w:top w:val="single" w:sz="4" w:space="0" w:color="auto"/>
              <w:left w:val="single" w:sz="4" w:space="0" w:color="auto"/>
              <w:bottom w:val="single" w:sz="4" w:space="0" w:color="auto"/>
              <w:right w:val="single" w:sz="4" w:space="0" w:color="auto"/>
            </w:tcBorders>
            <w:hideMark/>
          </w:tcPr>
          <w:p w14:paraId="4605FB7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1512</w:t>
            </w:r>
          </w:p>
        </w:tc>
      </w:tr>
      <w:tr w:rsidR="00140722" w:rsidRPr="0078509A" w14:paraId="32795B5B"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12659EC9"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WWL</w:t>
            </w:r>
          </w:p>
        </w:tc>
        <w:tc>
          <w:tcPr>
            <w:tcW w:w="850" w:type="dxa"/>
            <w:tcBorders>
              <w:top w:val="single" w:sz="4" w:space="0" w:color="auto"/>
              <w:left w:val="single" w:sz="4" w:space="0" w:color="auto"/>
              <w:bottom w:val="single" w:sz="4" w:space="0" w:color="auto"/>
              <w:right w:val="single" w:sz="4" w:space="0" w:color="auto"/>
            </w:tcBorders>
            <w:hideMark/>
          </w:tcPr>
          <w:p w14:paraId="5F8943E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2FFE1E2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w:t>
            </w:r>
          </w:p>
        </w:tc>
        <w:tc>
          <w:tcPr>
            <w:tcW w:w="850" w:type="dxa"/>
            <w:tcBorders>
              <w:top w:val="single" w:sz="4" w:space="0" w:color="auto"/>
              <w:left w:val="single" w:sz="4" w:space="0" w:color="auto"/>
              <w:bottom w:val="single" w:sz="4" w:space="0" w:color="auto"/>
              <w:right w:val="single" w:sz="4" w:space="0" w:color="auto"/>
            </w:tcBorders>
            <w:hideMark/>
          </w:tcPr>
          <w:p w14:paraId="42D78AF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w:t>
            </w:r>
          </w:p>
        </w:tc>
        <w:tc>
          <w:tcPr>
            <w:tcW w:w="850" w:type="dxa"/>
            <w:tcBorders>
              <w:top w:val="single" w:sz="4" w:space="0" w:color="auto"/>
              <w:left w:val="single" w:sz="4" w:space="0" w:color="auto"/>
              <w:bottom w:val="single" w:sz="4" w:space="0" w:color="auto"/>
              <w:right w:val="single" w:sz="4" w:space="0" w:color="auto"/>
            </w:tcBorders>
            <w:hideMark/>
          </w:tcPr>
          <w:p w14:paraId="61FB2CE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w:t>
            </w:r>
          </w:p>
        </w:tc>
        <w:tc>
          <w:tcPr>
            <w:tcW w:w="850" w:type="dxa"/>
            <w:tcBorders>
              <w:top w:val="single" w:sz="4" w:space="0" w:color="auto"/>
              <w:left w:val="single" w:sz="4" w:space="0" w:color="auto"/>
              <w:bottom w:val="single" w:sz="4" w:space="0" w:color="auto"/>
              <w:right w:val="single" w:sz="4" w:space="0" w:color="auto"/>
            </w:tcBorders>
            <w:hideMark/>
          </w:tcPr>
          <w:p w14:paraId="7BF6677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94</w:t>
            </w:r>
          </w:p>
        </w:tc>
        <w:tc>
          <w:tcPr>
            <w:tcW w:w="850" w:type="dxa"/>
            <w:tcBorders>
              <w:top w:val="single" w:sz="4" w:space="0" w:color="auto"/>
              <w:left w:val="single" w:sz="4" w:space="0" w:color="auto"/>
              <w:bottom w:val="single" w:sz="4" w:space="0" w:color="auto"/>
              <w:right w:val="single" w:sz="4" w:space="0" w:color="auto"/>
            </w:tcBorders>
            <w:hideMark/>
          </w:tcPr>
          <w:p w14:paraId="36EC405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228</w:t>
            </w:r>
          </w:p>
        </w:tc>
        <w:tc>
          <w:tcPr>
            <w:tcW w:w="850" w:type="dxa"/>
            <w:tcBorders>
              <w:top w:val="single" w:sz="4" w:space="0" w:color="auto"/>
              <w:left w:val="single" w:sz="4" w:space="0" w:color="auto"/>
              <w:bottom w:val="single" w:sz="4" w:space="0" w:color="auto"/>
              <w:right w:val="single" w:sz="4" w:space="0" w:color="auto"/>
            </w:tcBorders>
            <w:hideMark/>
          </w:tcPr>
          <w:p w14:paraId="206DD44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45</w:t>
            </w:r>
          </w:p>
        </w:tc>
        <w:tc>
          <w:tcPr>
            <w:tcW w:w="850" w:type="dxa"/>
            <w:tcBorders>
              <w:top w:val="single" w:sz="4" w:space="0" w:color="auto"/>
              <w:left w:val="single" w:sz="4" w:space="0" w:color="auto"/>
              <w:bottom w:val="single" w:sz="4" w:space="0" w:color="auto"/>
              <w:right w:val="single" w:sz="4" w:space="0" w:color="auto"/>
            </w:tcBorders>
            <w:hideMark/>
          </w:tcPr>
          <w:p w14:paraId="30756CE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217</w:t>
            </w:r>
          </w:p>
        </w:tc>
        <w:tc>
          <w:tcPr>
            <w:tcW w:w="850" w:type="dxa"/>
            <w:tcBorders>
              <w:top w:val="single" w:sz="4" w:space="0" w:color="auto"/>
              <w:left w:val="single" w:sz="4" w:space="0" w:color="auto"/>
              <w:bottom w:val="single" w:sz="4" w:space="0" w:color="auto"/>
              <w:right w:val="single" w:sz="4" w:space="0" w:color="auto"/>
            </w:tcBorders>
            <w:hideMark/>
          </w:tcPr>
          <w:p w14:paraId="23DEB95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525</w:t>
            </w:r>
          </w:p>
        </w:tc>
      </w:tr>
      <w:tr w:rsidR="00140722" w:rsidRPr="0078509A" w14:paraId="5AE3AC44"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74B28B98"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WWLk</w:t>
            </w:r>
          </w:p>
        </w:tc>
        <w:tc>
          <w:tcPr>
            <w:tcW w:w="850" w:type="dxa"/>
            <w:tcBorders>
              <w:top w:val="single" w:sz="4" w:space="0" w:color="auto"/>
              <w:left w:val="single" w:sz="4" w:space="0" w:color="auto"/>
              <w:bottom w:val="single" w:sz="4" w:space="0" w:color="auto"/>
              <w:right w:val="single" w:sz="4" w:space="0" w:color="auto"/>
            </w:tcBorders>
            <w:hideMark/>
          </w:tcPr>
          <w:p w14:paraId="00A248B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6CCD8B0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w:t>
            </w:r>
          </w:p>
        </w:tc>
        <w:tc>
          <w:tcPr>
            <w:tcW w:w="850" w:type="dxa"/>
            <w:tcBorders>
              <w:top w:val="single" w:sz="4" w:space="0" w:color="auto"/>
              <w:left w:val="single" w:sz="4" w:space="0" w:color="auto"/>
              <w:bottom w:val="single" w:sz="4" w:space="0" w:color="auto"/>
              <w:right w:val="single" w:sz="4" w:space="0" w:color="auto"/>
            </w:tcBorders>
            <w:hideMark/>
          </w:tcPr>
          <w:p w14:paraId="245C260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w:t>
            </w:r>
          </w:p>
        </w:tc>
        <w:tc>
          <w:tcPr>
            <w:tcW w:w="850" w:type="dxa"/>
            <w:tcBorders>
              <w:top w:val="single" w:sz="4" w:space="0" w:color="auto"/>
              <w:left w:val="single" w:sz="4" w:space="0" w:color="auto"/>
              <w:bottom w:val="single" w:sz="4" w:space="0" w:color="auto"/>
              <w:right w:val="single" w:sz="4" w:space="0" w:color="auto"/>
            </w:tcBorders>
            <w:hideMark/>
          </w:tcPr>
          <w:p w14:paraId="7E2B915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w:t>
            </w:r>
          </w:p>
        </w:tc>
        <w:tc>
          <w:tcPr>
            <w:tcW w:w="850" w:type="dxa"/>
            <w:tcBorders>
              <w:top w:val="single" w:sz="4" w:space="0" w:color="auto"/>
              <w:left w:val="single" w:sz="4" w:space="0" w:color="auto"/>
              <w:bottom w:val="single" w:sz="4" w:space="0" w:color="auto"/>
              <w:right w:val="single" w:sz="4" w:space="0" w:color="auto"/>
            </w:tcBorders>
            <w:hideMark/>
          </w:tcPr>
          <w:p w14:paraId="6872A1C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93</w:t>
            </w:r>
          </w:p>
        </w:tc>
        <w:tc>
          <w:tcPr>
            <w:tcW w:w="850" w:type="dxa"/>
            <w:tcBorders>
              <w:top w:val="single" w:sz="4" w:space="0" w:color="auto"/>
              <w:left w:val="single" w:sz="4" w:space="0" w:color="auto"/>
              <w:bottom w:val="single" w:sz="4" w:space="0" w:color="auto"/>
              <w:right w:val="single" w:sz="4" w:space="0" w:color="auto"/>
            </w:tcBorders>
            <w:hideMark/>
          </w:tcPr>
          <w:p w14:paraId="10B5F32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225</w:t>
            </w:r>
          </w:p>
        </w:tc>
        <w:tc>
          <w:tcPr>
            <w:tcW w:w="850" w:type="dxa"/>
            <w:tcBorders>
              <w:top w:val="single" w:sz="4" w:space="0" w:color="auto"/>
              <w:left w:val="single" w:sz="4" w:space="0" w:color="auto"/>
              <w:bottom w:val="single" w:sz="4" w:space="0" w:color="auto"/>
              <w:right w:val="single" w:sz="4" w:space="0" w:color="auto"/>
            </w:tcBorders>
            <w:hideMark/>
          </w:tcPr>
          <w:p w14:paraId="2F3D725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43</w:t>
            </w:r>
          </w:p>
        </w:tc>
        <w:tc>
          <w:tcPr>
            <w:tcW w:w="850" w:type="dxa"/>
            <w:tcBorders>
              <w:top w:val="single" w:sz="4" w:space="0" w:color="auto"/>
              <w:left w:val="single" w:sz="4" w:space="0" w:color="auto"/>
              <w:bottom w:val="single" w:sz="4" w:space="0" w:color="auto"/>
              <w:right w:val="single" w:sz="4" w:space="0" w:color="auto"/>
            </w:tcBorders>
            <w:hideMark/>
          </w:tcPr>
          <w:p w14:paraId="63591BC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210</w:t>
            </w:r>
          </w:p>
        </w:tc>
        <w:tc>
          <w:tcPr>
            <w:tcW w:w="850" w:type="dxa"/>
            <w:tcBorders>
              <w:top w:val="single" w:sz="4" w:space="0" w:color="auto"/>
              <w:left w:val="single" w:sz="4" w:space="0" w:color="auto"/>
              <w:bottom w:val="single" w:sz="4" w:space="0" w:color="auto"/>
              <w:right w:val="single" w:sz="4" w:space="0" w:color="auto"/>
            </w:tcBorders>
            <w:hideMark/>
          </w:tcPr>
          <w:p w14:paraId="6C8C3BE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504</w:t>
            </w:r>
          </w:p>
        </w:tc>
      </w:tr>
      <w:tr w:rsidR="00140722" w:rsidRPr="0078509A" w14:paraId="1B42C82F"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6B549D51"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WDL</w:t>
            </w:r>
          </w:p>
        </w:tc>
        <w:tc>
          <w:tcPr>
            <w:tcW w:w="850" w:type="dxa"/>
            <w:tcBorders>
              <w:top w:val="single" w:sz="4" w:space="0" w:color="auto"/>
              <w:left w:val="single" w:sz="4" w:space="0" w:color="auto"/>
              <w:bottom w:val="single" w:sz="4" w:space="0" w:color="auto"/>
              <w:right w:val="single" w:sz="4" w:space="0" w:color="auto"/>
            </w:tcBorders>
            <w:hideMark/>
          </w:tcPr>
          <w:p w14:paraId="28242CD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0ED98DE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50" w:type="dxa"/>
            <w:tcBorders>
              <w:top w:val="single" w:sz="4" w:space="0" w:color="auto"/>
              <w:left w:val="single" w:sz="4" w:space="0" w:color="auto"/>
              <w:bottom w:val="single" w:sz="4" w:space="0" w:color="auto"/>
              <w:right w:val="single" w:sz="4" w:space="0" w:color="auto"/>
            </w:tcBorders>
            <w:hideMark/>
          </w:tcPr>
          <w:p w14:paraId="4B2671B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35</w:t>
            </w:r>
          </w:p>
        </w:tc>
        <w:tc>
          <w:tcPr>
            <w:tcW w:w="850" w:type="dxa"/>
            <w:tcBorders>
              <w:top w:val="single" w:sz="4" w:space="0" w:color="auto"/>
              <w:left w:val="single" w:sz="4" w:space="0" w:color="auto"/>
              <w:bottom w:val="single" w:sz="4" w:space="0" w:color="auto"/>
              <w:right w:val="single" w:sz="4" w:space="0" w:color="auto"/>
            </w:tcBorders>
            <w:hideMark/>
          </w:tcPr>
          <w:p w14:paraId="1CE4A72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14:paraId="0AECABA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48</w:t>
            </w:r>
          </w:p>
        </w:tc>
        <w:tc>
          <w:tcPr>
            <w:tcW w:w="850" w:type="dxa"/>
            <w:tcBorders>
              <w:top w:val="single" w:sz="4" w:space="0" w:color="auto"/>
              <w:left w:val="single" w:sz="4" w:space="0" w:color="auto"/>
              <w:bottom w:val="single" w:sz="4" w:space="0" w:color="auto"/>
              <w:right w:val="single" w:sz="4" w:space="0" w:color="auto"/>
            </w:tcBorders>
            <w:hideMark/>
          </w:tcPr>
          <w:p w14:paraId="3481F98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114</w:t>
            </w:r>
          </w:p>
        </w:tc>
        <w:tc>
          <w:tcPr>
            <w:tcW w:w="850" w:type="dxa"/>
            <w:tcBorders>
              <w:top w:val="single" w:sz="4" w:space="0" w:color="auto"/>
              <w:left w:val="single" w:sz="4" w:space="0" w:color="auto"/>
              <w:bottom w:val="single" w:sz="4" w:space="0" w:color="auto"/>
              <w:right w:val="single" w:sz="4" w:space="0" w:color="auto"/>
            </w:tcBorders>
            <w:hideMark/>
          </w:tcPr>
          <w:p w14:paraId="794DFA3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22</w:t>
            </w:r>
          </w:p>
        </w:tc>
        <w:tc>
          <w:tcPr>
            <w:tcW w:w="850" w:type="dxa"/>
            <w:tcBorders>
              <w:top w:val="single" w:sz="4" w:space="0" w:color="auto"/>
              <w:left w:val="single" w:sz="4" w:space="0" w:color="auto"/>
              <w:bottom w:val="single" w:sz="4" w:space="0" w:color="auto"/>
              <w:right w:val="single" w:sz="4" w:space="0" w:color="auto"/>
            </w:tcBorders>
            <w:hideMark/>
          </w:tcPr>
          <w:p w14:paraId="3F860CB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108</w:t>
            </w:r>
          </w:p>
        </w:tc>
        <w:tc>
          <w:tcPr>
            <w:tcW w:w="850" w:type="dxa"/>
            <w:tcBorders>
              <w:top w:val="single" w:sz="4" w:space="0" w:color="auto"/>
              <w:left w:val="single" w:sz="4" w:space="0" w:color="auto"/>
              <w:bottom w:val="single" w:sz="4" w:space="0" w:color="auto"/>
              <w:right w:val="single" w:sz="4" w:space="0" w:color="auto"/>
            </w:tcBorders>
            <w:hideMark/>
          </w:tcPr>
          <w:p w14:paraId="14A1B8F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257</w:t>
            </w:r>
          </w:p>
        </w:tc>
      </w:tr>
      <w:tr w:rsidR="00140722" w:rsidRPr="0078509A" w14:paraId="60CE07A5" w14:textId="77777777" w:rsidTr="00492A4A">
        <w:tc>
          <w:tcPr>
            <w:tcW w:w="856" w:type="dxa"/>
            <w:tcBorders>
              <w:top w:val="single" w:sz="4" w:space="0" w:color="auto"/>
              <w:left w:val="single" w:sz="4" w:space="0" w:color="auto"/>
              <w:bottom w:val="single" w:sz="4" w:space="0" w:color="auto"/>
              <w:right w:val="single" w:sz="4" w:space="0" w:color="auto"/>
            </w:tcBorders>
            <w:hideMark/>
          </w:tcPr>
          <w:p w14:paraId="6C0679BB"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WDLk</w:t>
            </w:r>
          </w:p>
        </w:tc>
        <w:tc>
          <w:tcPr>
            <w:tcW w:w="850" w:type="dxa"/>
            <w:tcBorders>
              <w:top w:val="single" w:sz="4" w:space="0" w:color="auto"/>
              <w:left w:val="single" w:sz="4" w:space="0" w:color="auto"/>
              <w:bottom w:val="single" w:sz="4" w:space="0" w:color="auto"/>
              <w:right w:val="single" w:sz="4" w:space="0" w:color="auto"/>
            </w:tcBorders>
            <w:hideMark/>
          </w:tcPr>
          <w:p w14:paraId="4F78DFC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14:paraId="6B2E0EB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14:paraId="60F8580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78</w:t>
            </w:r>
          </w:p>
        </w:tc>
        <w:tc>
          <w:tcPr>
            <w:tcW w:w="850" w:type="dxa"/>
            <w:tcBorders>
              <w:top w:val="single" w:sz="4" w:space="0" w:color="auto"/>
              <w:left w:val="single" w:sz="4" w:space="0" w:color="auto"/>
              <w:bottom w:val="single" w:sz="4" w:space="0" w:color="auto"/>
              <w:right w:val="single" w:sz="4" w:space="0" w:color="auto"/>
            </w:tcBorders>
            <w:hideMark/>
          </w:tcPr>
          <w:p w14:paraId="3254F53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w:t>
            </w:r>
          </w:p>
        </w:tc>
        <w:tc>
          <w:tcPr>
            <w:tcW w:w="850" w:type="dxa"/>
            <w:tcBorders>
              <w:top w:val="single" w:sz="4" w:space="0" w:color="auto"/>
              <w:left w:val="single" w:sz="4" w:space="0" w:color="auto"/>
              <w:bottom w:val="single" w:sz="4" w:space="0" w:color="auto"/>
              <w:right w:val="single" w:sz="4" w:space="0" w:color="auto"/>
            </w:tcBorders>
            <w:hideMark/>
          </w:tcPr>
          <w:p w14:paraId="004FB9B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108</w:t>
            </w:r>
          </w:p>
        </w:tc>
        <w:tc>
          <w:tcPr>
            <w:tcW w:w="850" w:type="dxa"/>
            <w:tcBorders>
              <w:top w:val="single" w:sz="4" w:space="0" w:color="auto"/>
              <w:left w:val="single" w:sz="4" w:space="0" w:color="auto"/>
              <w:bottom w:val="single" w:sz="4" w:space="0" w:color="auto"/>
              <w:right w:val="single" w:sz="4" w:space="0" w:color="auto"/>
            </w:tcBorders>
            <w:hideMark/>
          </w:tcPr>
          <w:p w14:paraId="0D95461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256</w:t>
            </w:r>
          </w:p>
        </w:tc>
        <w:tc>
          <w:tcPr>
            <w:tcW w:w="850" w:type="dxa"/>
            <w:tcBorders>
              <w:top w:val="single" w:sz="4" w:space="0" w:color="auto"/>
              <w:left w:val="single" w:sz="4" w:space="0" w:color="auto"/>
              <w:bottom w:val="single" w:sz="4" w:space="0" w:color="auto"/>
              <w:right w:val="single" w:sz="4" w:space="0" w:color="auto"/>
            </w:tcBorders>
            <w:hideMark/>
          </w:tcPr>
          <w:p w14:paraId="32AE2C8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5EEE44C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248</w:t>
            </w:r>
          </w:p>
        </w:tc>
        <w:tc>
          <w:tcPr>
            <w:tcW w:w="850" w:type="dxa"/>
            <w:tcBorders>
              <w:top w:val="single" w:sz="4" w:space="0" w:color="auto"/>
              <w:left w:val="single" w:sz="4" w:space="0" w:color="auto"/>
              <w:bottom w:val="single" w:sz="4" w:space="0" w:color="auto"/>
              <w:right w:val="single" w:sz="4" w:space="0" w:color="auto"/>
            </w:tcBorders>
            <w:hideMark/>
          </w:tcPr>
          <w:p w14:paraId="75D0A81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591</w:t>
            </w:r>
          </w:p>
        </w:tc>
      </w:tr>
    </w:tbl>
    <w:p w14:paraId="5B083E40" w14:textId="77777777" w:rsidR="00140722" w:rsidRPr="0078509A" w:rsidRDefault="00140722" w:rsidP="00140722">
      <w:pPr>
        <w:spacing w:before="0" w:after="200" w:line="276" w:lineRule="auto"/>
        <w:jc w:val="left"/>
        <w:rPr>
          <w:rFonts w:eastAsia="Times New Roman" w:cs="Times New Roman"/>
          <w:lang w:val="en-US" w:eastAsia="en-US" w:bidi="hi-IN"/>
        </w:rPr>
      </w:pPr>
    </w:p>
    <w:p w14:paraId="612C7D34" w14:textId="3D7EBB6D" w:rsidR="0078509A" w:rsidRPr="0078509A" w:rsidRDefault="0078509A" w:rsidP="00140722">
      <w:pPr>
        <w:pStyle w:val="Tableheading"/>
        <w:rPr>
          <w:rFonts w:eastAsia="Times New Roman" w:cs="Times New Roman"/>
          <w:lang w:val="en-US" w:eastAsia="en-US" w:bidi="hi-IN"/>
        </w:rPr>
      </w:pPr>
      <w:r w:rsidRPr="0078509A">
        <w:rPr>
          <w:rFonts w:eastAsia="Times New Roman" w:cs="Times New Roman"/>
          <w:lang w:val="en-US" w:eastAsia="en-US" w:bidi="hi-IN"/>
        </w:rPr>
        <w:br w:type="page"/>
      </w:r>
    </w:p>
    <w:p w14:paraId="7ADCB3AA" w14:textId="77777777" w:rsidR="00140722" w:rsidRPr="0078509A" w:rsidRDefault="00140722" w:rsidP="00140722">
      <w:pPr>
        <w:keepNext/>
        <w:spacing w:before="0" w:after="200" w:line="240" w:lineRule="auto"/>
        <w:jc w:val="left"/>
        <w:rPr>
          <w:rFonts w:eastAsia="Times New Roman" w:cs="Times New Roman"/>
          <w:b/>
          <w:bCs/>
          <w:smallCaps/>
          <w:color w:val="1F497D"/>
          <w:spacing w:val="6"/>
          <w:szCs w:val="18"/>
          <w:lang w:val="en-US" w:eastAsia="en-US" w:bidi="hi-IN"/>
        </w:rPr>
      </w:pPr>
      <w:bookmarkStart w:id="223" w:name="_Ref33704102"/>
      <w:r w:rsidRPr="0078509A">
        <w:rPr>
          <w:rFonts w:eastAsia="Times New Roman" w:cs="Times New Roman"/>
          <w:b/>
          <w:bCs/>
          <w:smallCaps/>
          <w:color w:val="1F497D"/>
          <w:spacing w:val="6"/>
          <w:szCs w:val="18"/>
          <w:lang w:val="en-US" w:eastAsia="en-US" w:bidi="hi-IN"/>
        </w:rPr>
        <w:lastRenderedPageBreak/>
        <w:t xml:space="preserve">Table </w:t>
      </w:r>
      <w:bookmarkEnd w:id="223"/>
      <w:r>
        <w:rPr>
          <w:rFonts w:eastAsia="Times New Roman" w:cs="Times New Roman"/>
          <w:b/>
          <w:bCs/>
          <w:smallCaps/>
          <w:color w:val="1F497D"/>
          <w:spacing w:val="6"/>
          <w:szCs w:val="18"/>
          <w:lang w:val="en-US" w:eastAsia="en-US" w:bidi="hi-IN"/>
        </w:rPr>
        <w:t>2</w:t>
      </w:r>
      <w:r w:rsidRPr="0078509A">
        <w:rPr>
          <w:rFonts w:eastAsia="Times New Roman" w:cs="Times New Roman"/>
          <w:b/>
          <w:bCs/>
          <w:smallCaps/>
          <w:color w:val="1F497D"/>
          <w:spacing w:val="6"/>
          <w:szCs w:val="18"/>
          <w:lang w:val="en-US" w:eastAsia="en-US" w:bidi="hi-IN"/>
        </w:rPr>
        <w:t>. DRP concentration targets (mg m</w:t>
      </w:r>
      <w:r w:rsidRPr="0078509A">
        <w:rPr>
          <w:rFonts w:eastAsia="Times New Roman" w:cs="Times New Roman"/>
          <w:b/>
          <w:bCs/>
          <w:smallCaps/>
          <w:color w:val="1F497D"/>
          <w:spacing w:val="6"/>
          <w:szCs w:val="18"/>
          <w:vertAlign w:val="superscript"/>
          <w:lang w:val="en-US" w:eastAsia="en-US" w:bidi="hi-IN"/>
        </w:rPr>
        <w:t>-3</w:t>
      </w:r>
      <w:r w:rsidRPr="0078509A">
        <w:rPr>
          <w:rFonts w:eastAsia="Times New Roman" w:cs="Times New Roman"/>
          <w:b/>
          <w:bCs/>
          <w:smallCaps/>
          <w:color w:val="1F497D"/>
          <w:spacing w:val="6"/>
          <w:szCs w:val="18"/>
          <w:lang w:val="en-US" w:eastAsia="en-US" w:bidi="hi-IN"/>
        </w:rPr>
        <w:t>) to achieve the thresholds of 50, 120 and 200 mg chlorophyll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 xml:space="preserve"> for spatial exceedance criteria of 10%, 20% and 30%.</w:t>
      </w:r>
    </w:p>
    <w:tbl>
      <w:tblPr>
        <w:tblStyle w:val="TableGrid1"/>
        <w:tblW w:w="8506" w:type="dxa"/>
        <w:tblInd w:w="0" w:type="dxa"/>
        <w:tblLook w:val="04A0" w:firstRow="1" w:lastRow="0" w:firstColumn="1" w:lastColumn="0" w:noHBand="0" w:noVBand="1"/>
      </w:tblPr>
      <w:tblGrid>
        <w:gridCol w:w="865"/>
        <w:gridCol w:w="849"/>
        <w:gridCol w:w="849"/>
        <w:gridCol w:w="849"/>
        <w:gridCol w:w="849"/>
        <w:gridCol w:w="849"/>
        <w:gridCol w:w="849"/>
        <w:gridCol w:w="849"/>
        <w:gridCol w:w="849"/>
        <w:gridCol w:w="849"/>
      </w:tblGrid>
      <w:tr w:rsidR="00140722" w:rsidRPr="0078509A" w14:paraId="09B92EF8" w14:textId="77777777" w:rsidTr="00492A4A">
        <w:tc>
          <w:tcPr>
            <w:tcW w:w="865" w:type="dxa"/>
            <w:vMerge w:val="restart"/>
            <w:tcBorders>
              <w:top w:val="single" w:sz="4" w:space="0" w:color="auto"/>
              <w:left w:val="single" w:sz="4" w:space="0" w:color="auto"/>
              <w:bottom w:val="single" w:sz="4" w:space="0" w:color="auto"/>
              <w:right w:val="single" w:sz="4" w:space="0" w:color="auto"/>
            </w:tcBorders>
            <w:hideMark/>
          </w:tcPr>
          <w:p w14:paraId="7FE57CC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REC class</w:t>
            </w:r>
          </w:p>
        </w:tc>
        <w:tc>
          <w:tcPr>
            <w:tcW w:w="2547" w:type="dxa"/>
            <w:gridSpan w:val="3"/>
            <w:tcBorders>
              <w:top w:val="single" w:sz="4" w:space="0" w:color="auto"/>
              <w:left w:val="single" w:sz="4" w:space="0" w:color="auto"/>
              <w:bottom w:val="single" w:sz="4" w:space="0" w:color="auto"/>
              <w:right w:val="single" w:sz="4" w:space="0" w:color="auto"/>
            </w:tcBorders>
            <w:hideMark/>
          </w:tcPr>
          <w:p w14:paraId="21F0365C"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10%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17622218"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20%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2AC2AED0"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bidi="hi-IN"/>
              </w:rPr>
              <w:t>30% Spatial exceedance</w:t>
            </w:r>
          </w:p>
        </w:tc>
      </w:tr>
      <w:tr w:rsidR="00140722" w:rsidRPr="0078509A" w14:paraId="39853AF1" w14:textId="77777777" w:rsidTr="00492A4A">
        <w:tc>
          <w:tcPr>
            <w:tcW w:w="0" w:type="auto"/>
            <w:vMerge/>
            <w:tcBorders>
              <w:top w:val="single" w:sz="4" w:space="0" w:color="auto"/>
              <w:left w:val="single" w:sz="4" w:space="0" w:color="auto"/>
              <w:bottom w:val="single" w:sz="4" w:space="0" w:color="auto"/>
              <w:right w:val="single" w:sz="4" w:space="0" w:color="auto"/>
            </w:tcBorders>
            <w:vAlign w:val="center"/>
            <w:hideMark/>
          </w:tcPr>
          <w:p w14:paraId="204B858F" w14:textId="77777777" w:rsidR="00140722" w:rsidRPr="0078509A" w:rsidRDefault="00140722" w:rsidP="00492A4A">
            <w:pPr>
              <w:spacing w:before="0" w:after="0" w:line="240" w:lineRule="auto"/>
              <w:jc w:val="left"/>
              <w:rPr>
                <w:rFonts w:eastAsia="Times New Roman"/>
                <w:b/>
                <w:bCs/>
                <w:lang w:eastAsia="en-US" w:bidi="hi-IN"/>
              </w:rPr>
            </w:pPr>
          </w:p>
        </w:tc>
        <w:tc>
          <w:tcPr>
            <w:tcW w:w="849" w:type="dxa"/>
            <w:tcBorders>
              <w:top w:val="single" w:sz="4" w:space="0" w:color="auto"/>
              <w:left w:val="single" w:sz="4" w:space="0" w:color="auto"/>
              <w:bottom w:val="single" w:sz="4" w:space="0" w:color="auto"/>
              <w:right w:val="single" w:sz="4" w:space="0" w:color="auto"/>
            </w:tcBorders>
            <w:hideMark/>
          </w:tcPr>
          <w:p w14:paraId="0C4F91E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639CDAF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1388978A"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7A2A34E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403BEBAA"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55CCB4B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293CE5A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204250F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2B28064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T200</w:t>
            </w:r>
          </w:p>
        </w:tc>
      </w:tr>
      <w:tr w:rsidR="00140722" w:rsidRPr="0078509A" w14:paraId="2DBDCA98"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4732FA08"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CXGM</w:t>
            </w:r>
          </w:p>
        </w:tc>
        <w:tc>
          <w:tcPr>
            <w:tcW w:w="849" w:type="dxa"/>
            <w:tcBorders>
              <w:top w:val="single" w:sz="4" w:space="0" w:color="auto"/>
              <w:left w:val="single" w:sz="4" w:space="0" w:color="auto"/>
              <w:bottom w:val="single" w:sz="4" w:space="0" w:color="auto"/>
              <w:right w:val="single" w:sz="4" w:space="0" w:color="auto"/>
            </w:tcBorders>
            <w:hideMark/>
          </w:tcPr>
          <w:p w14:paraId="09AECD8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20EF4C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5.3</w:t>
            </w:r>
          </w:p>
        </w:tc>
        <w:tc>
          <w:tcPr>
            <w:tcW w:w="849" w:type="dxa"/>
            <w:tcBorders>
              <w:top w:val="single" w:sz="4" w:space="0" w:color="auto"/>
              <w:left w:val="single" w:sz="4" w:space="0" w:color="auto"/>
              <w:bottom w:val="single" w:sz="4" w:space="0" w:color="auto"/>
              <w:right w:val="single" w:sz="4" w:space="0" w:color="auto"/>
            </w:tcBorders>
            <w:hideMark/>
          </w:tcPr>
          <w:p w14:paraId="62D250F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33.8</w:t>
            </w:r>
          </w:p>
        </w:tc>
        <w:tc>
          <w:tcPr>
            <w:tcW w:w="849" w:type="dxa"/>
            <w:tcBorders>
              <w:top w:val="single" w:sz="4" w:space="0" w:color="auto"/>
              <w:left w:val="single" w:sz="4" w:space="0" w:color="auto"/>
              <w:bottom w:val="single" w:sz="4" w:space="0" w:color="auto"/>
              <w:right w:val="single" w:sz="4" w:space="0" w:color="auto"/>
            </w:tcBorders>
            <w:hideMark/>
          </w:tcPr>
          <w:p w14:paraId="3979BEB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w:t>
            </w:r>
          </w:p>
        </w:tc>
        <w:tc>
          <w:tcPr>
            <w:tcW w:w="849" w:type="dxa"/>
            <w:tcBorders>
              <w:top w:val="single" w:sz="4" w:space="0" w:color="auto"/>
              <w:left w:val="single" w:sz="4" w:space="0" w:color="auto"/>
              <w:bottom w:val="single" w:sz="4" w:space="0" w:color="auto"/>
              <w:right w:val="single" w:sz="4" w:space="0" w:color="auto"/>
            </w:tcBorders>
            <w:hideMark/>
          </w:tcPr>
          <w:p w14:paraId="0E9582C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56.3</w:t>
            </w:r>
          </w:p>
        </w:tc>
        <w:tc>
          <w:tcPr>
            <w:tcW w:w="849" w:type="dxa"/>
            <w:tcBorders>
              <w:top w:val="single" w:sz="4" w:space="0" w:color="auto"/>
              <w:left w:val="single" w:sz="4" w:space="0" w:color="auto"/>
              <w:bottom w:val="single" w:sz="4" w:space="0" w:color="auto"/>
              <w:right w:val="single" w:sz="4" w:space="0" w:color="auto"/>
            </w:tcBorders>
            <w:hideMark/>
          </w:tcPr>
          <w:p w14:paraId="18C6535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161.4</w:t>
            </w:r>
          </w:p>
        </w:tc>
        <w:tc>
          <w:tcPr>
            <w:tcW w:w="849" w:type="dxa"/>
            <w:tcBorders>
              <w:top w:val="single" w:sz="4" w:space="0" w:color="auto"/>
              <w:left w:val="single" w:sz="4" w:space="0" w:color="auto"/>
              <w:bottom w:val="single" w:sz="4" w:space="0" w:color="auto"/>
              <w:right w:val="single" w:sz="4" w:space="0" w:color="auto"/>
            </w:tcBorders>
            <w:hideMark/>
          </w:tcPr>
          <w:p w14:paraId="0B78556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14.9</w:t>
            </w:r>
          </w:p>
        </w:tc>
        <w:tc>
          <w:tcPr>
            <w:tcW w:w="849" w:type="dxa"/>
            <w:tcBorders>
              <w:top w:val="single" w:sz="4" w:space="0" w:color="auto"/>
              <w:left w:val="single" w:sz="4" w:space="0" w:color="auto"/>
              <w:bottom w:val="single" w:sz="4" w:space="0" w:color="auto"/>
              <w:right w:val="single" w:sz="4" w:space="0" w:color="auto"/>
            </w:tcBorders>
            <w:hideMark/>
          </w:tcPr>
          <w:p w14:paraId="227007C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158.8</w:t>
            </w:r>
          </w:p>
        </w:tc>
        <w:tc>
          <w:tcPr>
            <w:tcW w:w="849" w:type="dxa"/>
            <w:tcBorders>
              <w:top w:val="single" w:sz="4" w:space="0" w:color="auto"/>
              <w:left w:val="single" w:sz="4" w:space="0" w:color="auto"/>
              <w:bottom w:val="single" w:sz="4" w:space="0" w:color="auto"/>
              <w:right w:val="single" w:sz="4" w:space="0" w:color="auto"/>
            </w:tcBorders>
            <w:hideMark/>
          </w:tcPr>
          <w:p w14:paraId="3EE68D0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362</w:t>
            </w:r>
          </w:p>
        </w:tc>
      </w:tr>
      <w:tr w:rsidR="00140722" w:rsidRPr="0078509A" w14:paraId="620C4165"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6511FCC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CXM</w:t>
            </w:r>
          </w:p>
        </w:tc>
        <w:tc>
          <w:tcPr>
            <w:tcW w:w="849" w:type="dxa"/>
            <w:tcBorders>
              <w:top w:val="single" w:sz="4" w:space="0" w:color="auto"/>
              <w:left w:val="single" w:sz="4" w:space="0" w:color="auto"/>
              <w:bottom w:val="single" w:sz="4" w:space="0" w:color="auto"/>
              <w:right w:val="single" w:sz="4" w:space="0" w:color="auto"/>
            </w:tcBorders>
            <w:hideMark/>
          </w:tcPr>
          <w:p w14:paraId="7E1AB2F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615147D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19.3</w:t>
            </w:r>
          </w:p>
        </w:tc>
        <w:tc>
          <w:tcPr>
            <w:tcW w:w="849" w:type="dxa"/>
            <w:tcBorders>
              <w:top w:val="single" w:sz="4" w:space="0" w:color="auto"/>
              <w:left w:val="single" w:sz="4" w:space="0" w:color="auto"/>
              <w:bottom w:val="single" w:sz="4" w:space="0" w:color="auto"/>
              <w:right w:val="single" w:sz="4" w:space="0" w:color="auto"/>
            </w:tcBorders>
            <w:hideMark/>
          </w:tcPr>
          <w:p w14:paraId="063DB1F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75.1</w:t>
            </w:r>
          </w:p>
        </w:tc>
        <w:tc>
          <w:tcPr>
            <w:tcW w:w="849" w:type="dxa"/>
            <w:tcBorders>
              <w:top w:val="single" w:sz="4" w:space="0" w:color="auto"/>
              <w:left w:val="single" w:sz="4" w:space="0" w:color="auto"/>
              <w:bottom w:val="single" w:sz="4" w:space="0" w:color="auto"/>
              <w:right w:val="single" w:sz="4" w:space="0" w:color="auto"/>
            </w:tcBorders>
            <w:hideMark/>
          </w:tcPr>
          <w:p w14:paraId="07E00BD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8.1</w:t>
            </w:r>
          </w:p>
        </w:tc>
        <w:tc>
          <w:tcPr>
            <w:tcW w:w="849" w:type="dxa"/>
            <w:tcBorders>
              <w:top w:val="single" w:sz="4" w:space="0" w:color="auto"/>
              <w:left w:val="single" w:sz="4" w:space="0" w:color="auto"/>
              <w:bottom w:val="single" w:sz="4" w:space="0" w:color="auto"/>
              <w:right w:val="single" w:sz="4" w:space="0" w:color="auto"/>
            </w:tcBorders>
            <w:hideMark/>
          </w:tcPr>
          <w:p w14:paraId="393243A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115</w:t>
            </w:r>
          </w:p>
        </w:tc>
        <w:tc>
          <w:tcPr>
            <w:tcW w:w="849" w:type="dxa"/>
            <w:tcBorders>
              <w:top w:val="single" w:sz="4" w:space="0" w:color="auto"/>
              <w:left w:val="single" w:sz="4" w:space="0" w:color="auto"/>
              <w:bottom w:val="single" w:sz="4" w:space="0" w:color="auto"/>
              <w:right w:val="single" w:sz="4" w:space="0" w:color="auto"/>
            </w:tcBorders>
            <w:hideMark/>
          </w:tcPr>
          <w:p w14:paraId="5859C7F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289.9</w:t>
            </w:r>
          </w:p>
        </w:tc>
        <w:tc>
          <w:tcPr>
            <w:tcW w:w="849" w:type="dxa"/>
            <w:tcBorders>
              <w:top w:val="single" w:sz="4" w:space="0" w:color="auto"/>
              <w:left w:val="single" w:sz="4" w:space="0" w:color="auto"/>
              <w:bottom w:val="single" w:sz="4" w:space="0" w:color="auto"/>
              <w:right w:val="single" w:sz="4" w:space="0" w:color="auto"/>
            </w:tcBorders>
            <w:hideMark/>
          </w:tcPr>
          <w:p w14:paraId="0758287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42</w:t>
            </w:r>
          </w:p>
        </w:tc>
        <w:tc>
          <w:tcPr>
            <w:tcW w:w="849" w:type="dxa"/>
            <w:tcBorders>
              <w:top w:val="single" w:sz="4" w:space="0" w:color="auto"/>
              <w:left w:val="single" w:sz="4" w:space="0" w:color="auto"/>
              <w:bottom w:val="single" w:sz="4" w:space="0" w:color="auto"/>
              <w:right w:val="single" w:sz="4" w:space="0" w:color="auto"/>
            </w:tcBorders>
            <w:hideMark/>
          </w:tcPr>
          <w:p w14:paraId="5C1534B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298.6</w:t>
            </w:r>
          </w:p>
        </w:tc>
        <w:tc>
          <w:tcPr>
            <w:tcW w:w="849" w:type="dxa"/>
            <w:tcBorders>
              <w:top w:val="single" w:sz="4" w:space="0" w:color="auto"/>
              <w:left w:val="single" w:sz="4" w:space="0" w:color="auto"/>
              <w:bottom w:val="single" w:sz="4" w:space="0" w:color="auto"/>
              <w:right w:val="single" w:sz="4" w:space="0" w:color="auto"/>
            </w:tcBorders>
            <w:hideMark/>
          </w:tcPr>
          <w:p w14:paraId="3495633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362</w:t>
            </w:r>
          </w:p>
        </w:tc>
      </w:tr>
      <w:tr w:rsidR="00140722" w:rsidRPr="0078509A" w14:paraId="5275C3F7"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B35A8AB"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CXH</w:t>
            </w:r>
          </w:p>
        </w:tc>
        <w:tc>
          <w:tcPr>
            <w:tcW w:w="849" w:type="dxa"/>
            <w:tcBorders>
              <w:top w:val="single" w:sz="4" w:space="0" w:color="auto"/>
              <w:left w:val="single" w:sz="4" w:space="0" w:color="auto"/>
              <w:bottom w:val="single" w:sz="4" w:space="0" w:color="auto"/>
              <w:right w:val="single" w:sz="4" w:space="0" w:color="auto"/>
            </w:tcBorders>
            <w:hideMark/>
          </w:tcPr>
          <w:p w14:paraId="24946DF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6D4B0E9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16.5</w:t>
            </w:r>
          </w:p>
        </w:tc>
        <w:tc>
          <w:tcPr>
            <w:tcW w:w="849" w:type="dxa"/>
            <w:tcBorders>
              <w:top w:val="single" w:sz="4" w:space="0" w:color="auto"/>
              <w:left w:val="single" w:sz="4" w:space="0" w:color="auto"/>
              <w:bottom w:val="single" w:sz="4" w:space="0" w:color="auto"/>
              <w:right w:val="single" w:sz="4" w:space="0" w:color="auto"/>
            </w:tcBorders>
            <w:hideMark/>
          </w:tcPr>
          <w:p w14:paraId="737AC43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71.9</w:t>
            </w:r>
          </w:p>
        </w:tc>
        <w:tc>
          <w:tcPr>
            <w:tcW w:w="849" w:type="dxa"/>
            <w:tcBorders>
              <w:top w:val="single" w:sz="4" w:space="0" w:color="auto"/>
              <w:left w:val="single" w:sz="4" w:space="0" w:color="auto"/>
              <w:bottom w:val="single" w:sz="4" w:space="0" w:color="auto"/>
              <w:right w:val="single" w:sz="4" w:space="0" w:color="auto"/>
            </w:tcBorders>
            <w:hideMark/>
          </w:tcPr>
          <w:p w14:paraId="47C64F6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w:t>
            </w:r>
          </w:p>
        </w:tc>
        <w:tc>
          <w:tcPr>
            <w:tcW w:w="849" w:type="dxa"/>
            <w:tcBorders>
              <w:top w:val="single" w:sz="4" w:space="0" w:color="auto"/>
              <w:left w:val="single" w:sz="4" w:space="0" w:color="auto"/>
              <w:bottom w:val="single" w:sz="4" w:space="0" w:color="auto"/>
              <w:right w:val="single" w:sz="4" w:space="0" w:color="auto"/>
            </w:tcBorders>
            <w:hideMark/>
          </w:tcPr>
          <w:p w14:paraId="1DE182D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105.7</w:t>
            </w:r>
          </w:p>
        </w:tc>
        <w:tc>
          <w:tcPr>
            <w:tcW w:w="849" w:type="dxa"/>
            <w:tcBorders>
              <w:top w:val="single" w:sz="4" w:space="0" w:color="auto"/>
              <w:left w:val="single" w:sz="4" w:space="0" w:color="auto"/>
              <w:bottom w:val="single" w:sz="4" w:space="0" w:color="auto"/>
              <w:right w:val="single" w:sz="4" w:space="0" w:color="auto"/>
            </w:tcBorders>
            <w:hideMark/>
          </w:tcPr>
          <w:p w14:paraId="6F64D96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274</w:t>
            </w:r>
          </w:p>
        </w:tc>
        <w:tc>
          <w:tcPr>
            <w:tcW w:w="849" w:type="dxa"/>
            <w:tcBorders>
              <w:top w:val="single" w:sz="4" w:space="0" w:color="auto"/>
              <w:left w:val="single" w:sz="4" w:space="0" w:color="auto"/>
              <w:bottom w:val="single" w:sz="4" w:space="0" w:color="auto"/>
              <w:right w:val="single" w:sz="4" w:space="0" w:color="auto"/>
            </w:tcBorders>
            <w:hideMark/>
          </w:tcPr>
          <w:p w14:paraId="0AF43A5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39.5</w:t>
            </w:r>
          </w:p>
        </w:tc>
        <w:tc>
          <w:tcPr>
            <w:tcW w:w="849" w:type="dxa"/>
            <w:tcBorders>
              <w:top w:val="single" w:sz="4" w:space="0" w:color="auto"/>
              <w:left w:val="single" w:sz="4" w:space="0" w:color="auto"/>
              <w:bottom w:val="single" w:sz="4" w:space="0" w:color="auto"/>
              <w:right w:val="single" w:sz="4" w:space="0" w:color="auto"/>
            </w:tcBorders>
            <w:hideMark/>
          </w:tcPr>
          <w:p w14:paraId="566E652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282.4</w:t>
            </w:r>
          </w:p>
        </w:tc>
        <w:tc>
          <w:tcPr>
            <w:tcW w:w="849" w:type="dxa"/>
            <w:tcBorders>
              <w:top w:val="single" w:sz="4" w:space="0" w:color="auto"/>
              <w:left w:val="single" w:sz="4" w:space="0" w:color="auto"/>
              <w:bottom w:val="single" w:sz="4" w:space="0" w:color="auto"/>
              <w:right w:val="single" w:sz="4" w:space="0" w:color="auto"/>
            </w:tcBorders>
            <w:hideMark/>
          </w:tcPr>
          <w:p w14:paraId="642AA12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361.3</w:t>
            </w:r>
          </w:p>
        </w:tc>
      </w:tr>
      <w:tr w:rsidR="00140722" w:rsidRPr="0078509A" w14:paraId="52DE41EA"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AEBB04D"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CXL</w:t>
            </w:r>
          </w:p>
        </w:tc>
        <w:tc>
          <w:tcPr>
            <w:tcW w:w="849" w:type="dxa"/>
            <w:tcBorders>
              <w:top w:val="single" w:sz="4" w:space="0" w:color="auto"/>
              <w:left w:val="single" w:sz="4" w:space="0" w:color="auto"/>
              <w:bottom w:val="single" w:sz="4" w:space="0" w:color="auto"/>
              <w:right w:val="single" w:sz="4" w:space="0" w:color="auto"/>
            </w:tcBorders>
            <w:hideMark/>
          </w:tcPr>
          <w:p w14:paraId="0ED73E1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27589B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7.1</w:t>
            </w:r>
          </w:p>
        </w:tc>
        <w:tc>
          <w:tcPr>
            <w:tcW w:w="849" w:type="dxa"/>
            <w:tcBorders>
              <w:top w:val="single" w:sz="4" w:space="0" w:color="auto"/>
              <w:left w:val="single" w:sz="4" w:space="0" w:color="auto"/>
              <w:bottom w:val="single" w:sz="4" w:space="0" w:color="auto"/>
              <w:right w:val="single" w:sz="4" w:space="0" w:color="auto"/>
            </w:tcBorders>
            <w:hideMark/>
          </w:tcPr>
          <w:p w14:paraId="2231F6E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42.7</w:t>
            </w:r>
          </w:p>
        </w:tc>
        <w:tc>
          <w:tcPr>
            <w:tcW w:w="849" w:type="dxa"/>
            <w:tcBorders>
              <w:top w:val="single" w:sz="4" w:space="0" w:color="auto"/>
              <w:left w:val="single" w:sz="4" w:space="0" w:color="auto"/>
              <w:bottom w:val="single" w:sz="4" w:space="0" w:color="auto"/>
              <w:right w:val="single" w:sz="4" w:space="0" w:color="auto"/>
            </w:tcBorders>
            <w:hideMark/>
          </w:tcPr>
          <w:p w14:paraId="71D983E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2.5</w:t>
            </w:r>
          </w:p>
        </w:tc>
        <w:tc>
          <w:tcPr>
            <w:tcW w:w="849" w:type="dxa"/>
            <w:tcBorders>
              <w:top w:val="single" w:sz="4" w:space="0" w:color="auto"/>
              <w:left w:val="single" w:sz="4" w:space="0" w:color="auto"/>
              <w:bottom w:val="single" w:sz="4" w:space="0" w:color="auto"/>
              <w:right w:val="single" w:sz="4" w:space="0" w:color="auto"/>
            </w:tcBorders>
            <w:hideMark/>
          </w:tcPr>
          <w:p w14:paraId="40A752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68.6</w:t>
            </w:r>
          </w:p>
        </w:tc>
        <w:tc>
          <w:tcPr>
            <w:tcW w:w="849" w:type="dxa"/>
            <w:tcBorders>
              <w:top w:val="single" w:sz="4" w:space="0" w:color="auto"/>
              <w:left w:val="single" w:sz="4" w:space="0" w:color="auto"/>
              <w:bottom w:val="single" w:sz="4" w:space="0" w:color="auto"/>
              <w:right w:val="single" w:sz="4" w:space="0" w:color="auto"/>
            </w:tcBorders>
            <w:hideMark/>
          </w:tcPr>
          <w:p w14:paraId="6E0FEBB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186.4</w:t>
            </w:r>
          </w:p>
        </w:tc>
        <w:tc>
          <w:tcPr>
            <w:tcW w:w="849" w:type="dxa"/>
            <w:tcBorders>
              <w:top w:val="single" w:sz="4" w:space="0" w:color="auto"/>
              <w:left w:val="single" w:sz="4" w:space="0" w:color="auto"/>
              <w:bottom w:val="single" w:sz="4" w:space="0" w:color="auto"/>
              <w:right w:val="single" w:sz="4" w:space="0" w:color="auto"/>
            </w:tcBorders>
            <w:hideMark/>
          </w:tcPr>
          <w:p w14:paraId="73D39AB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18.7</w:t>
            </w:r>
          </w:p>
        </w:tc>
        <w:tc>
          <w:tcPr>
            <w:tcW w:w="849" w:type="dxa"/>
            <w:tcBorders>
              <w:top w:val="single" w:sz="4" w:space="0" w:color="auto"/>
              <w:left w:val="single" w:sz="4" w:space="0" w:color="auto"/>
              <w:bottom w:val="single" w:sz="4" w:space="0" w:color="auto"/>
              <w:right w:val="single" w:sz="4" w:space="0" w:color="auto"/>
            </w:tcBorders>
            <w:hideMark/>
          </w:tcPr>
          <w:p w14:paraId="17E3051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182.4</w:t>
            </w:r>
          </w:p>
        </w:tc>
        <w:tc>
          <w:tcPr>
            <w:tcW w:w="849" w:type="dxa"/>
            <w:tcBorders>
              <w:top w:val="single" w:sz="4" w:space="0" w:color="auto"/>
              <w:left w:val="single" w:sz="4" w:space="0" w:color="auto"/>
              <w:bottom w:val="single" w:sz="4" w:space="0" w:color="auto"/>
              <w:right w:val="single" w:sz="4" w:space="0" w:color="auto"/>
            </w:tcBorders>
            <w:hideMark/>
          </w:tcPr>
          <w:p w14:paraId="7B464BF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377</w:t>
            </w:r>
          </w:p>
        </w:tc>
      </w:tr>
      <w:tr w:rsidR="00140722" w:rsidRPr="0078509A" w14:paraId="0AB06BAB"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3393848D"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CXLk</w:t>
            </w:r>
          </w:p>
        </w:tc>
        <w:tc>
          <w:tcPr>
            <w:tcW w:w="849" w:type="dxa"/>
            <w:tcBorders>
              <w:top w:val="single" w:sz="4" w:space="0" w:color="auto"/>
              <w:left w:val="single" w:sz="4" w:space="0" w:color="auto"/>
              <w:bottom w:val="single" w:sz="4" w:space="0" w:color="auto"/>
              <w:right w:val="single" w:sz="4" w:space="0" w:color="auto"/>
            </w:tcBorders>
            <w:hideMark/>
          </w:tcPr>
          <w:p w14:paraId="3D50E73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63C2381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2CEDA1E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3.4</w:t>
            </w:r>
          </w:p>
        </w:tc>
        <w:tc>
          <w:tcPr>
            <w:tcW w:w="849" w:type="dxa"/>
            <w:tcBorders>
              <w:top w:val="single" w:sz="4" w:space="0" w:color="auto"/>
              <w:left w:val="single" w:sz="4" w:space="0" w:color="auto"/>
              <w:bottom w:val="single" w:sz="4" w:space="0" w:color="auto"/>
              <w:right w:val="single" w:sz="4" w:space="0" w:color="auto"/>
            </w:tcBorders>
            <w:hideMark/>
          </w:tcPr>
          <w:p w14:paraId="336981A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19E950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5.5</w:t>
            </w:r>
          </w:p>
        </w:tc>
        <w:tc>
          <w:tcPr>
            <w:tcW w:w="849" w:type="dxa"/>
            <w:tcBorders>
              <w:top w:val="single" w:sz="4" w:space="0" w:color="auto"/>
              <w:left w:val="single" w:sz="4" w:space="0" w:color="auto"/>
              <w:bottom w:val="single" w:sz="4" w:space="0" w:color="auto"/>
              <w:right w:val="single" w:sz="4" w:space="0" w:color="auto"/>
            </w:tcBorders>
            <w:hideMark/>
          </w:tcPr>
          <w:p w14:paraId="6BC795A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41.4</w:t>
            </w:r>
          </w:p>
        </w:tc>
        <w:tc>
          <w:tcPr>
            <w:tcW w:w="849" w:type="dxa"/>
            <w:tcBorders>
              <w:top w:val="single" w:sz="4" w:space="0" w:color="auto"/>
              <w:left w:val="single" w:sz="4" w:space="0" w:color="auto"/>
              <w:bottom w:val="single" w:sz="4" w:space="0" w:color="auto"/>
              <w:right w:val="single" w:sz="4" w:space="0" w:color="auto"/>
            </w:tcBorders>
            <w:hideMark/>
          </w:tcPr>
          <w:p w14:paraId="62C490A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0.9</w:t>
            </w:r>
          </w:p>
        </w:tc>
        <w:tc>
          <w:tcPr>
            <w:tcW w:w="849" w:type="dxa"/>
            <w:tcBorders>
              <w:top w:val="single" w:sz="4" w:space="0" w:color="auto"/>
              <w:left w:val="single" w:sz="4" w:space="0" w:color="auto"/>
              <w:bottom w:val="single" w:sz="4" w:space="0" w:color="auto"/>
              <w:right w:val="single" w:sz="4" w:space="0" w:color="auto"/>
            </w:tcBorders>
            <w:hideMark/>
          </w:tcPr>
          <w:p w14:paraId="29EEACB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35.3</w:t>
            </w:r>
          </w:p>
        </w:tc>
        <w:tc>
          <w:tcPr>
            <w:tcW w:w="849" w:type="dxa"/>
            <w:tcBorders>
              <w:top w:val="single" w:sz="4" w:space="0" w:color="auto"/>
              <w:left w:val="single" w:sz="4" w:space="0" w:color="auto"/>
              <w:bottom w:val="single" w:sz="4" w:space="0" w:color="auto"/>
              <w:right w:val="single" w:sz="4" w:space="0" w:color="auto"/>
            </w:tcBorders>
            <w:hideMark/>
          </w:tcPr>
          <w:p w14:paraId="4465A67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123.6</w:t>
            </w:r>
          </w:p>
        </w:tc>
      </w:tr>
      <w:tr w:rsidR="00140722" w:rsidRPr="0078509A" w14:paraId="1A7863A6"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2D1F2E5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CWGM</w:t>
            </w:r>
          </w:p>
        </w:tc>
        <w:tc>
          <w:tcPr>
            <w:tcW w:w="849" w:type="dxa"/>
            <w:tcBorders>
              <w:top w:val="single" w:sz="4" w:space="0" w:color="auto"/>
              <w:left w:val="single" w:sz="4" w:space="0" w:color="auto"/>
              <w:bottom w:val="single" w:sz="4" w:space="0" w:color="auto"/>
              <w:right w:val="single" w:sz="4" w:space="0" w:color="auto"/>
            </w:tcBorders>
            <w:hideMark/>
          </w:tcPr>
          <w:p w14:paraId="204110A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7B27A83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0.7</w:t>
            </w:r>
          </w:p>
        </w:tc>
        <w:tc>
          <w:tcPr>
            <w:tcW w:w="849" w:type="dxa"/>
            <w:tcBorders>
              <w:top w:val="single" w:sz="4" w:space="0" w:color="auto"/>
              <w:left w:val="single" w:sz="4" w:space="0" w:color="auto"/>
              <w:bottom w:val="single" w:sz="4" w:space="0" w:color="auto"/>
              <w:right w:val="single" w:sz="4" w:space="0" w:color="auto"/>
            </w:tcBorders>
            <w:hideMark/>
          </w:tcPr>
          <w:p w14:paraId="3B6DE50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8.1</w:t>
            </w:r>
          </w:p>
        </w:tc>
        <w:tc>
          <w:tcPr>
            <w:tcW w:w="849" w:type="dxa"/>
            <w:tcBorders>
              <w:top w:val="single" w:sz="4" w:space="0" w:color="auto"/>
              <w:left w:val="single" w:sz="4" w:space="0" w:color="auto"/>
              <w:bottom w:val="single" w:sz="4" w:space="0" w:color="auto"/>
              <w:right w:val="single" w:sz="4" w:space="0" w:color="auto"/>
            </w:tcBorders>
            <w:hideMark/>
          </w:tcPr>
          <w:p w14:paraId="01F838A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2AA222D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14.5</w:t>
            </w:r>
          </w:p>
        </w:tc>
        <w:tc>
          <w:tcPr>
            <w:tcW w:w="849" w:type="dxa"/>
            <w:tcBorders>
              <w:top w:val="single" w:sz="4" w:space="0" w:color="auto"/>
              <w:left w:val="single" w:sz="4" w:space="0" w:color="auto"/>
              <w:bottom w:val="single" w:sz="4" w:space="0" w:color="auto"/>
              <w:right w:val="single" w:sz="4" w:space="0" w:color="auto"/>
            </w:tcBorders>
            <w:hideMark/>
          </w:tcPr>
          <w:p w14:paraId="291FEA4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69.2</w:t>
            </w:r>
          </w:p>
        </w:tc>
        <w:tc>
          <w:tcPr>
            <w:tcW w:w="849" w:type="dxa"/>
            <w:tcBorders>
              <w:top w:val="single" w:sz="4" w:space="0" w:color="auto"/>
              <w:left w:val="single" w:sz="4" w:space="0" w:color="auto"/>
              <w:bottom w:val="single" w:sz="4" w:space="0" w:color="auto"/>
              <w:right w:val="single" w:sz="4" w:space="0" w:color="auto"/>
            </w:tcBorders>
            <w:hideMark/>
          </w:tcPr>
          <w:p w14:paraId="486B718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w:t>
            </w:r>
          </w:p>
        </w:tc>
        <w:tc>
          <w:tcPr>
            <w:tcW w:w="849" w:type="dxa"/>
            <w:tcBorders>
              <w:top w:val="single" w:sz="4" w:space="0" w:color="auto"/>
              <w:left w:val="single" w:sz="4" w:space="0" w:color="auto"/>
              <w:bottom w:val="single" w:sz="4" w:space="0" w:color="auto"/>
              <w:right w:val="single" w:sz="4" w:space="0" w:color="auto"/>
            </w:tcBorders>
            <w:hideMark/>
          </w:tcPr>
          <w:p w14:paraId="5CEFD3D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57.2</w:t>
            </w:r>
          </w:p>
        </w:tc>
        <w:tc>
          <w:tcPr>
            <w:tcW w:w="849" w:type="dxa"/>
            <w:tcBorders>
              <w:top w:val="single" w:sz="4" w:space="0" w:color="auto"/>
              <w:left w:val="single" w:sz="4" w:space="0" w:color="auto"/>
              <w:bottom w:val="single" w:sz="4" w:space="0" w:color="auto"/>
              <w:right w:val="single" w:sz="4" w:space="0" w:color="auto"/>
            </w:tcBorders>
            <w:hideMark/>
          </w:tcPr>
          <w:p w14:paraId="779E999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181.2</w:t>
            </w:r>
          </w:p>
        </w:tc>
      </w:tr>
      <w:tr w:rsidR="00140722" w:rsidRPr="0078509A" w14:paraId="60679686"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1793869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CWM</w:t>
            </w:r>
          </w:p>
        </w:tc>
        <w:tc>
          <w:tcPr>
            <w:tcW w:w="849" w:type="dxa"/>
            <w:tcBorders>
              <w:top w:val="single" w:sz="4" w:space="0" w:color="auto"/>
              <w:left w:val="single" w:sz="4" w:space="0" w:color="auto"/>
              <w:bottom w:val="single" w:sz="4" w:space="0" w:color="auto"/>
              <w:right w:val="single" w:sz="4" w:space="0" w:color="auto"/>
            </w:tcBorders>
            <w:hideMark/>
          </w:tcPr>
          <w:p w14:paraId="119EF39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9F3020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0.8</w:t>
            </w:r>
          </w:p>
        </w:tc>
        <w:tc>
          <w:tcPr>
            <w:tcW w:w="849" w:type="dxa"/>
            <w:tcBorders>
              <w:top w:val="single" w:sz="4" w:space="0" w:color="auto"/>
              <w:left w:val="single" w:sz="4" w:space="0" w:color="auto"/>
              <w:bottom w:val="single" w:sz="4" w:space="0" w:color="auto"/>
              <w:right w:val="single" w:sz="4" w:space="0" w:color="auto"/>
            </w:tcBorders>
            <w:hideMark/>
          </w:tcPr>
          <w:p w14:paraId="1AA1A62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7.5</w:t>
            </w:r>
          </w:p>
        </w:tc>
        <w:tc>
          <w:tcPr>
            <w:tcW w:w="849" w:type="dxa"/>
            <w:tcBorders>
              <w:top w:val="single" w:sz="4" w:space="0" w:color="auto"/>
              <w:left w:val="single" w:sz="4" w:space="0" w:color="auto"/>
              <w:bottom w:val="single" w:sz="4" w:space="0" w:color="auto"/>
              <w:right w:val="single" w:sz="4" w:space="0" w:color="auto"/>
            </w:tcBorders>
            <w:hideMark/>
          </w:tcPr>
          <w:p w14:paraId="466FF75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506FAD6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15.1</w:t>
            </w:r>
          </w:p>
        </w:tc>
        <w:tc>
          <w:tcPr>
            <w:tcW w:w="849" w:type="dxa"/>
            <w:tcBorders>
              <w:top w:val="single" w:sz="4" w:space="0" w:color="auto"/>
              <w:left w:val="single" w:sz="4" w:space="0" w:color="auto"/>
              <w:bottom w:val="single" w:sz="4" w:space="0" w:color="auto"/>
              <w:right w:val="single" w:sz="4" w:space="0" w:color="auto"/>
            </w:tcBorders>
            <w:hideMark/>
          </w:tcPr>
          <w:p w14:paraId="675C0D2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71.5</w:t>
            </w:r>
          </w:p>
        </w:tc>
        <w:tc>
          <w:tcPr>
            <w:tcW w:w="849" w:type="dxa"/>
            <w:tcBorders>
              <w:top w:val="single" w:sz="4" w:space="0" w:color="auto"/>
              <w:left w:val="single" w:sz="4" w:space="0" w:color="auto"/>
              <w:bottom w:val="single" w:sz="4" w:space="0" w:color="auto"/>
              <w:right w:val="single" w:sz="4" w:space="0" w:color="auto"/>
            </w:tcBorders>
            <w:hideMark/>
          </w:tcPr>
          <w:p w14:paraId="5170741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2.3</w:t>
            </w:r>
          </w:p>
        </w:tc>
        <w:tc>
          <w:tcPr>
            <w:tcW w:w="849" w:type="dxa"/>
            <w:tcBorders>
              <w:top w:val="single" w:sz="4" w:space="0" w:color="auto"/>
              <w:left w:val="single" w:sz="4" w:space="0" w:color="auto"/>
              <w:bottom w:val="single" w:sz="4" w:space="0" w:color="auto"/>
              <w:right w:val="single" w:sz="4" w:space="0" w:color="auto"/>
            </w:tcBorders>
            <w:hideMark/>
          </w:tcPr>
          <w:p w14:paraId="6223878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61.8</w:t>
            </w:r>
          </w:p>
        </w:tc>
        <w:tc>
          <w:tcPr>
            <w:tcW w:w="849" w:type="dxa"/>
            <w:tcBorders>
              <w:top w:val="single" w:sz="4" w:space="0" w:color="auto"/>
              <w:left w:val="single" w:sz="4" w:space="0" w:color="auto"/>
              <w:bottom w:val="single" w:sz="4" w:space="0" w:color="auto"/>
              <w:right w:val="single" w:sz="4" w:space="0" w:color="auto"/>
            </w:tcBorders>
            <w:hideMark/>
          </w:tcPr>
          <w:p w14:paraId="08131DB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184.8</w:t>
            </w:r>
          </w:p>
        </w:tc>
      </w:tr>
      <w:tr w:rsidR="00140722" w:rsidRPr="0078509A" w14:paraId="284F8B7D"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106707E"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CWH</w:t>
            </w:r>
          </w:p>
        </w:tc>
        <w:tc>
          <w:tcPr>
            <w:tcW w:w="849" w:type="dxa"/>
            <w:tcBorders>
              <w:top w:val="single" w:sz="4" w:space="0" w:color="auto"/>
              <w:left w:val="single" w:sz="4" w:space="0" w:color="auto"/>
              <w:bottom w:val="single" w:sz="4" w:space="0" w:color="auto"/>
              <w:right w:val="single" w:sz="4" w:space="0" w:color="auto"/>
            </w:tcBorders>
            <w:hideMark/>
          </w:tcPr>
          <w:p w14:paraId="6F16552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6CCDE8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0.8</w:t>
            </w:r>
          </w:p>
        </w:tc>
        <w:tc>
          <w:tcPr>
            <w:tcW w:w="849" w:type="dxa"/>
            <w:tcBorders>
              <w:top w:val="single" w:sz="4" w:space="0" w:color="auto"/>
              <w:left w:val="single" w:sz="4" w:space="0" w:color="auto"/>
              <w:bottom w:val="single" w:sz="4" w:space="0" w:color="auto"/>
              <w:right w:val="single" w:sz="4" w:space="0" w:color="auto"/>
            </w:tcBorders>
            <w:hideMark/>
          </w:tcPr>
          <w:p w14:paraId="3C80E87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8.4</w:t>
            </w:r>
          </w:p>
        </w:tc>
        <w:tc>
          <w:tcPr>
            <w:tcW w:w="849" w:type="dxa"/>
            <w:tcBorders>
              <w:top w:val="single" w:sz="4" w:space="0" w:color="auto"/>
              <w:left w:val="single" w:sz="4" w:space="0" w:color="auto"/>
              <w:bottom w:val="single" w:sz="4" w:space="0" w:color="auto"/>
              <w:right w:val="single" w:sz="4" w:space="0" w:color="auto"/>
            </w:tcBorders>
            <w:hideMark/>
          </w:tcPr>
          <w:p w14:paraId="3863ACE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62EDA55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15.3</w:t>
            </w:r>
          </w:p>
        </w:tc>
        <w:tc>
          <w:tcPr>
            <w:tcW w:w="849" w:type="dxa"/>
            <w:tcBorders>
              <w:top w:val="single" w:sz="4" w:space="0" w:color="auto"/>
              <w:left w:val="single" w:sz="4" w:space="0" w:color="auto"/>
              <w:bottom w:val="single" w:sz="4" w:space="0" w:color="auto"/>
              <w:right w:val="single" w:sz="4" w:space="0" w:color="auto"/>
            </w:tcBorders>
            <w:hideMark/>
          </w:tcPr>
          <w:p w14:paraId="51ECB8A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69.1</w:t>
            </w:r>
          </w:p>
        </w:tc>
        <w:tc>
          <w:tcPr>
            <w:tcW w:w="849" w:type="dxa"/>
            <w:tcBorders>
              <w:top w:val="single" w:sz="4" w:space="0" w:color="auto"/>
              <w:left w:val="single" w:sz="4" w:space="0" w:color="auto"/>
              <w:bottom w:val="single" w:sz="4" w:space="0" w:color="auto"/>
              <w:right w:val="single" w:sz="4" w:space="0" w:color="auto"/>
            </w:tcBorders>
            <w:hideMark/>
          </w:tcPr>
          <w:p w14:paraId="01747B1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2.6</w:t>
            </w:r>
          </w:p>
        </w:tc>
        <w:tc>
          <w:tcPr>
            <w:tcW w:w="849" w:type="dxa"/>
            <w:tcBorders>
              <w:top w:val="single" w:sz="4" w:space="0" w:color="auto"/>
              <w:left w:val="single" w:sz="4" w:space="0" w:color="auto"/>
              <w:bottom w:val="single" w:sz="4" w:space="0" w:color="auto"/>
              <w:right w:val="single" w:sz="4" w:space="0" w:color="auto"/>
            </w:tcBorders>
            <w:hideMark/>
          </w:tcPr>
          <w:p w14:paraId="6CA20EF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62.5</w:t>
            </w:r>
          </w:p>
        </w:tc>
        <w:tc>
          <w:tcPr>
            <w:tcW w:w="849" w:type="dxa"/>
            <w:tcBorders>
              <w:top w:val="single" w:sz="4" w:space="0" w:color="auto"/>
              <w:left w:val="single" w:sz="4" w:space="0" w:color="auto"/>
              <w:bottom w:val="single" w:sz="4" w:space="0" w:color="auto"/>
              <w:right w:val="single" w:sz="4" w:space="0" w:color="auto"/>
            </w:tcBorders>
            <w:hideMark/>
          </w:tcPr>
          <w:p w14:paraId="2024369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190.2</w:t>
            </w:r>
          </w:p>
        </w:tc>
      </w:tr>
      <w:tr w:rsidR="00140722" w:rsidRPr="0078509A" w14:paraId="15EEDCE0"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EA6F03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CWL</w:t>
            </w:r>
          </w:p>
        </w:tc>
        <w:tc>
          <w:tcPr>
            <w:tcW w:w="849" w:type="dxa"/>
            <w:tcBorders>
              <w:top w:val="single" w:sz="4" w:space="0" w:color="auto"/>
              <w:left w:val="single" w:sz="4" w:space="0" w:color="auto"/>
              <w:bottom w:val="single" w:sz="4" w:space="0" w:color="auto"/>
              <w:right w:val="single" w:sz="4" w:space="0" w:color="auto"/>
            </w:tcBorders>
            <w:hideMark/>
          </w:tcPr>
          <w:p w14:paraId="355A0B2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5A69BDB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259FEF5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2.8</w:t>
            </w:r>
          </w:p>
        </w:tc>
        <w:tc>
          <w:tcPr>
            <w:tcW w:w="849" w:type="dxa"/>
            <w:tcBorders>
              <w:top w:val="single" w:sz="4" w:space="0" w:color="auto"/>
              <w:left w:val="single" w:sz="4" w:space="0" w:color="auto"/>
              <w:bottom w:val="single" w:sz="4" w:space="0" w:color="auto"/>
              <w:right w:val="single" w:sz="4" w:space="0" w:color="auto"/>
            </w:tcBorders>
            <w:hideMark/>
          </w:tcPr>
          <w:p w14:paraId="03ACEE7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C44FE4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5.6</w:t>
            </w:r>
          </w:p>
        </w:tc>
        <w:tc>
          <w:tcPr>
            <w:tcW w:w="849" w:type="dxa"/>
            <w:tcBorders>
              <w:top w:val="single" w:sz="4" w:space="0" w:color="auto"/>
              <w:left w:val="single" w:sz="4" w:space="0" w:color="auto"/>
              <w:bottom w:val="single" w:sz="4" w:space="0" w:color="auto"/>
              <w:right w:val="single" w:sz="4" w:space="0" w:color="auto"/>
            </w:tcBorders>
            <w:hideMark/>
          </w:tcPr>
          <w:p w14:paraId="1DDAF83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38.4</w:t>
            </w:r>
          </w:p>
        </w:tc>
        <w:tc>
          <w:tcPr>
            <w:tcW w:w="849" w:type="dxa"/>
            <w:tcBorders>
              <w:top w:val="single" w:sz="4" w:space="0" w:color="auto"/>
              <w:left w:val="single" w:sz="4" w:space="0" w:color="auto"/>
              <w:bottom w:val="single" w:sz="4" w:space="0" w:color="auto"/>
              <w:right w:val="single" w:sz="4" w:space="0" w:color="auto"/>
            </w:tcBorders>
            <w:hideMark/>
          </w:tcPr>
          <w:p w14:paraId="7470AEA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0.9</w:t>
            </w:r>
          </w:p>
        </w:tc>
        <w:tc>
          <w:tcPr>
            <w:tcW w:w="849" w:type="dxa"/>
            <w:tcBorders>
              <w:top w:val="single" w:sz="4" w:space="0" w:color="auto"/>
              <w:left w:val="single" w:sz="4" w:space="0" w:color="auto"/>
              <w:bottom w:val="single" w:sz="4" w:space="0" w:color="auto"/>
              <w:right w:val="single" w:sz="4" w:space="0" w:color="auto"/>
            </w:tcBorders>
            <w:hideMark/>
          </w:tcPr>
          <w:p w14:paraId="21E8BBE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32.7</w:t>
            </w:r>
          </w:p>
        </w:tc>
        <w:tc>
          <w:tcPr>
            <w:tcW w:w="849" w:type="dxa"/>
            <w:tcBorders>
              <w:top w:val="single" w:sz="4" w:space="0" w:color="auto"/>
              <w:left w:val="single" w:sz="4" w:space="0" w:color="auto"/>
              <w:bottom w:val="single" w:sz="4" w:space="0" w:color="auto"/>
              <w:right w:val="single" w:sz="4" w:space="0" w:color="auto"/>
            </w:tcBorders>
            <w:hideMark/>
          </w:tcPr>
          <w:p w14:paraId="787E076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112.2</w:t>
            </w:r>
          </w:p>
        </w:tc>
      </w:tr>
      <w:tr w:rsidR="00140722" w:rsidRPr="0078509A" w14:paraId="27B5834C"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79C4AEE"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CWLk</w:t>
            </w:r>
          </w:p>
        </w:tc>
        <w:tc>
          <w:tcPr>
            <w:tcW w:w="849" w:type="dxa"/>
            <w:tcBorders>
              <w:top w:val="single" w:sz="4" w:space="0" w:color="auto"/>
              <w:left w:val="single" w:sz="4" w:space="0" w:color="auto"/>
              <w:bottom w:val="single" w:sz="4" w:space="0" w:color="auto"/>
              <w:right w:val="single" w:sz="4" w:space="0" w:color="auto"/>
            </w:tcBorders>
            <w:hideMark/>
          </w:tcPr>
          <w:p w14:paraId="11F33FD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3BE5CBF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9CF866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2964AB1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6043A5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w:t>
            </w:r>
          </w:p>
        </w:tc>
        <w:tc>
          <w:tcPr>
            <w:tcW w:w="849" w:type="dxa"/>
            <w:tcBorders>
              <w:top w:val="single" w:sz="4" w:space="0" w:color="auto"/>
              <w:left w:val="single" w:sz="4" w:space="0" w:color="auto"/>
              <w:bottom w:val="single" w:sz="4" w:space="0" w:color="auto"/>
              <w:right w:val="single" w:sz="4" w:space="0" w:color="auto"/>
            </w:tcBorders>
            <w:hideMark/>
          </w:tcPr>
          <w:p w14:paraId="3B3F032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21.5</w:t>
            </w:r>
          </w:p>
        </w:tc>
        <w:tc>
          <w:tcPr>
            <w:tcW w:w="849" w:type="dxa"/>
            <w:tcBorders>
              <w:top w:val="single" w:sz="4" w:space="0" w:color="auto"/>
              <w:left w:val="single" w:sz="4" w:space="0" w:color="auto"/>
              <w:bottom w:val="single" w:sz="4" w:space="0" w:color="auto"/>
              <w:right w:val="single" w:sz="4" w:space="0" w:color="auto"/>
            </w:tcBorders>
            <w:hideMark/>
          </w:tcPr>
          <w:p w14:paraId="7B68F06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0.5</w:t>
            </w:r>
          </w:p>
        </w:tc>
        <w:tc>
          <w:tcPr>
            <w:tcW w:w="849" w:type="dxa"/>
            <w:tcBorders>
              <w:top w:val="single" w:sz="4" w:space="0" w:color="auto"/>
              <w:left w:val="single" w:sz="4" w:space="0" w:color="auto"/>
              <w:bottom w:val="single" w:sz="4" w:space="0" w:color="auto"/>
              <w:right w:val="single" w:sz="4" w:space="0" w:color="auto"/>
            </w:tcBorders>
            <w:hideMark/>
          </w:tcPr>
          <w:p w14:paraId="03DC1F6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16.3</w:t>
            </w:r>
          </w:p>
        </w:tc>
        <w:tc>
          <w:tcPr>
            <w:tcW w:w="849" w:type="dxa"/>
            <w:tcBorders>
              <w:top w:val="single" w:sz="4" w:space="0" w:color="auto"/>
              <w:left w:val="single" w:sz="4" w:space="0" w:color="auto"/>
              <w:bottom w:val="single" w:sz="4" w:space="0" w:color="auto"/>
              <w:right w:val="single" w:sz="4" w:space="0" w:color="auto"/>
            </w:tcBorders>
            <w:hideMark/>
          </w:tcPr>
          <w:p w14:paraId="2EAC6BE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76.3</w:t>
            </w:r>
          </w:p>
        </w:tc>
      </w:tr>
      <w:tr w:rsidR="00140722" w:rsidRPr="0078509A" w14:paraId="470CE39E"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797ABB6B"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CDM</w:t>
            </w:r>
          </w:p>
        </w:tc>
        <w:tc>
          <w:tcPr>
            <w:tcW w:w="849" w:type="dxa"/>
            <w:tcBorders>
              <w:top w:val="single" w:sz="4" w:space="0" w:color="auto"/>
              <w:left w:val="single" w:sz="4" w:space="0" w:color="auto"/>
              <w:bottom w:val="single" w:sz="4" w:space="0" w:color="auto"/>
              <w:right w:val="single" w:sz="4" w:space="0" w:color="auto"/>
            </w:tcBorders>
            <w:hideMark/>
          </w:tcPr>
          <w:p w14:paraId="7474FCA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70D1AA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5CC5963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231FE83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A1C369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2.3</w:t>
            </w:r>
          </w:p>
        </w:tc>
        <w:tc>
          <w:tcPr>
            <w:tcW w:w="849" w:type="dxa"/>
            <w:tcBorders>
              <w:top w:val="single" w:sz="4" w:space="0" w:color="auto"/>
              <w:left w:val="single" w:sz="4" w:space="0" w:color="auto"/>
              <w:bottom w:val="single" w:sz="4" w:space="0" w:color="auto"/>
              <w:right w:val="single" w:sz="4" w:space="0" w:color="auto"/>
            </w:tcBorders>
            <w:hideMark/>
          </w:tcPr>
          <w:p w14:paraId="4767D41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23.8</w:t>
            </w:r>
          </w:p>
        </w:tc>
        <w:tc>
          <w:tcPr>
            <w:tcW w:w="849" w:type="dxa"/>
            <w:tcBorders>
              <w:top w:val="single" w:sz="4" w:space="0" w:color="auto"/>
              <w:left w:val="single" w:sz="4" w:space="0" w:color="auto"/>
              <w:bottom w:val="single" w:sz="4" w:space="0" w:color="auto"/>
              <w:right w:val="single" w:sz="4" w:space="0" w:color="auto"/>
            </w:tcBorders>
            <w:hideMark/>
          </w:tcPr>
          <w:p w14:paraId="754052E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0.5</w:t>
            </w:r>
          </w:p>
        </w:tc>
        <w:tc>
          <w:tcPr>
            <w:tcW w:w="849" w:type="dxa"/>
            <w:tcBorders>
              <w:top w:val="single" w:sz="4" w:space="0" w:color="auto"/>
              <w:left w:val="single" w:sz="4" w:space="0" w:color="auto"/>
              <w:bottom w:val="single" w:sz="4" w:space="0" w:color="auto"/>
              <w:right w:val="single" w:sz="4" w:space="0" w:color="auto"/>
            </w:tcBorders>
            <w:hideMark/>
          </w:tcPr>
          <w:p w14:paraId="3FB8DB2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18.1</w:t>
            </w:r>
          </w:p>
        </w:tc>
        <w:tc>
          <w:tcPr>
            <w:tcW w:w="849" w:type="dxa"/>
            <w:tcBorders>
              <w:top w:val="single" w:sz="4" w:space="0" w:color="auto"/>
              <w:left w:val="single" w:sz="4" w:space="0" w:color="auto"/>
              <w:bottom w:val="single" w:sz="4" w:space="0" w:color="auto"/>
              <w:right w:val="single" w:sz="4" w:space="0" w:color="auto"/>
            </w:tcBorders>
            <w:hideMark/>
          </w:tcPr>
          <w:p w14:paraId="31BD525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81.1</w:t>
            </w:r>
          </w:p>
        </w:tc>
      </w:tr>
      <w:tr w:rsidR="00140722" w:rsidRPr="0078509A" w14:paraId="38A9F36A"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54850295"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CDH</w:t>
            </w:r>
          </w:p>
        </w:tc>
        <w:tc>
          <w:tcPr>
            <w:tcW w:w="849" w:type="dxa"/>
            <w:tcBorders>
              <w:top w:val="single" w:sz="4" w:space="0" w:color="auto"/>
              <w:left w:val="single" w:sz="4" w:space="0" w:color="auto"/>
              <w:bottom w:val="single" w:sz="4" w:space="0" w:color="auto"/>
              <w:right w:val="single" w:sz="4" w:space="0" w:color="auto"/>
            </w:tcBorders>
            <w:hideMark/>
          </w:tcPr>
          <w:p w14:paraId="0DC0F45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3E6A316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AF7068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0.7</w:t>
            </w:r>
          </w:p>
        </w:tc>
        <w:tc>
          <w:tcPr>
            <w:tcW w:w="849" w:type="dxa"/>
            <w:tcBorders>
              <w:top w:val="single" w:sz="4" w:space="0" w:color="auto"/>
              <w:left w:val="single" w:sz="4" w:space="0" w:color="auto"/>
              <w:bottom w:val="single" w:sz="4" w:space="0" w:color="auto"/>
              <w:right w:val="single" w:sz="4" w:space="0" w:color="auto"/>
            </w:tcBorders>
            <w:hideMark/>
          </w:tcPr>
          <w:p w14:paraId="41C334E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8D1480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w:t>
            </w:r>
          </w:p>
        </w:tc>
        <w:tc>
          <w:tcPr>
            <w:tcW w:w="849" w:type="dxa"/>
            <w:tcBorders>
              <w:top w:val="single" w:sz="4" w:space="0" w:color="auto"/>
              <w:left w:val="single" w:sz="4" w:space="0" w:color="auto"/>
              <w:bottom w:val="single" w:sz="4" w:space="0" w:color="auto"/>
              <w:right w:val="single" w:sz="4" w:space="0" w:color="auto"/>
            </w:tcBorders>
            <w:hideMark/>
          </w:tcPr>
          <w:p w14:paraId="0FC5F52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12.8</w:t>
            </w:r>
          </w:p>
        </w:tc>
        <w:tc>
          <w:tcPr>
            <w:tcW w:w="849" w:type="dxa"/>
            <w:tcBorders>
              <w:top w:val="single" w:sz="4" w:space="0" w:color="auto"/>
              <w:left w:val="single" w:sz="4" w:space="0" w:color="auto"/>
              <w:bottom w:val="single" w:sz="4" w:space="0" w:color="auto"/>
              <w:right w:val="single" w:sz="4" w:space="0" w:color="auto"/>
            </w:tcBorders>
            <w:hideMark/>
          </w:tcPr>
          <w:p w14:paraId="385B090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177610E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9.7</w:t>
            </w:r>
          </w:p>
        </w:tc>
        <w:tc>
          <w:tcPr>
            <w:tcW w:w="849" w:type="dxa"/>
            <w:tcBorders>
              <w:top w:val="single" w:sz="4" w:space="0" w:color="auto"/>
              <w:left w:val="single" w:sz="4" w:space="0" w:color="auto"/>
              <w:bottom w:val="single" w:sz="4" w:space="0" w:color="auto"/>
              <w:right w:val="single" w:sz="4" w:space="0" w:color="auto"/>
            </w:tcBorders>
            <w:hideMark/>
          </w:tcPr>
          <w:p w14:paraId="27746DE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54.1</w:t>
            </w:r>
          </w:p>
        </w:tc>
      </w:tr>
      <w:tr w:rsidR="00140722" w:rsidRPr="0078509A" w14:paraId="768D0183"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6AEC0CEF"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CDL</w:t>
            </w:r>
          </w:p>
        </w:tc>
        <w:tc>
          <w:tcPr>
            <w:tcW w:w="849" w:type="dxa"/>
            <w:tcBorders>
              <w:top w:val="single" w:sz="4" w:space="0" w:color="auto"/>
              <w:left w:val="single" w:sz="4" w:space="0" w:color="auto"/>
              <w:bottom w:val="single" w:sz="4" w:space="0" w:color="auto"/>
              <w:right w:val="single" w:sz="4" w:space="0" w:color="auto"/>
            </w:tcBorders>
            <w:hideMark/>
          </w:tcPr>
          <w:p w14:paraId="7CB92E7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737D4E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3EFAE1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0.6</w:t>
            </w:r>
          </w:p>
        </w:tc>
        <w:tc>
          <w:tcPr>
            <w:tcW w:w="849" w:type="dxa"/>
            <w:tcBorders>
              <w:top w:val="single" w:sz="4" w:space="0" w:color="auto"/>
              <w:left w:val="single" w:sz="4" w:space="0" w:color="auto"/>
              <w:bottom w:val="single" w:sz="4" w:space="0" w:color="auto"/>
              <w:right w:val="single" w:sz="4" w:space="0" w:color="auto"/>
            </w:tcBorders>
            <w:hideMark/>
          </w:tcPr>
          <w:p w14:paraId="7CF73C3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33CEE8B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23C2BEB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11.8</w:t>
            </w:r>
          </w:p>
        </w:tc>
        <w:tc>
          <w:tcPr>
            <w:tcW w:w="849" w:type="dxa"/>
            <w:tcBorders>
              <w:top w:val="single" w:sz="4" w:space="0" w:color="auto"/>
              <w:left w:val="single" w:sz="4" w:space="0" w:color="auto"/>
              <w:bottom w:val="single" w:sz="4" w:space="0" w:color="auto"/>
              <w:right w:val="single" w:sz="4" w:space="0" w:color="auto"/>
            </w:tcBorders>
            <w:hideMark/>
          </w:tcPr>
          <w:p w14:paraId="011B9DE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1B860AA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9.7</w:t>
            </w:r>
          </w:p>
        </w:tc>
        <w:tc>
          <w:tcPr>
            <w:tcW w:w="849" w:type="dxa"/>
            <w:tcBorders>
              <w:top w:val="single" w:sz="4" w:space="0" w:color="auto"/>
              <w:left w:val="single" w:sz="4" w:space="0" w:color="auto"/>
              <w:bottom w:val="single" w:sz="4" w:space="0" w:color="auto"/>
              <w:right w:val="single" w:sz="4" w:space="0" w:color="auto"/>
            </w:tcBorders>
            <w:hideMark/>
          </w:tcPr>
          <w:p w14:paraId="0052763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55</w:t>
            </w:r>
          </w:p>
        </w:tc>
      </w:tr>
      <w:tr w:rsidR="00140722" w:rsidRPr="0078509A" w14:paraId="16B6C345"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1A8000A2"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CDLk</w:t>
            </w:r>
          </w:p>
        </w:tc>
        <w:tc>
          <w:tcPr>
            <w:tcW w:w="849" w:type="dxa"/>
            <w:tcBorders>
              <w:top w:val="single" w:sz="4" w:space="0" w:color="auto"/>
              <w:left w:val="single" w:sz="4" w:space="0" w:color="auto"/>
              <w:bottom w:val="single" w:sz="4" w:space="0" w:color="auto"/>
              <w:right w:val="single" w:sz="4" w:space="0" w:color="auto"/>
            </w:tcBorders>
            <w:hideMark/>
          </w:tcPr>
          <w:p w14:paraId="3BA4FEA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3CAF2B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5BCD1A7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0.7</w:t>
            </w:r>
          </w:p>
        </w:tc>
        <w:tc>
          <w:tcPr>
            <w:tcW w:w="849" w:type="dxa"/>
            <w:tcBorders>
              <w:top w:val="single" w:sz="4" w:space="0" w:color="auto"/>
              <w:left w:val="single" w:sz="4" w:space="0" w:color="auto"/>
              <w:bottom w:val="single" w:sz="4" w:space="0" w:color="auto"/>
              <w:right w:val="single" w:sz="4" w:space="0" w:color="auto"/>
            </w:tcBorders>
            <w:hideMark/>
          </w:tcPr>
          <w:p w14:paraId="667DEB0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7AD44A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w:t>
            </w:r>
          </w:p>
        </w:tc>
        <w:tc>
          <w:tcPr>
            <w:tcW w:w="849" w:type="dxa"/>
            <w:tcBorders>
              <w:top w:val="single" w:sz="4" w:space="0" w:color="auto"/>
              <w:left w:val="single" w:sz="4" w:space="0" w:color="auto"/>
              <w:bottom w:val="single" w:sz="4" w:space="0" w:color="auto"/>
              <w:right w:val="single" w:sz="4" w:space="0" w:color="auto"/>
            </w:tcBorders>
            <w:hideMark/>
          </w:tcPr>
          <w:p w14:paraId="1D308D5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12.5</w:t>
            </w:r>
          </w:p>
        </w:tc>
        <w:tc>
          <w:tcPr>
            <w:tcW w:w="849" w:type="dxa"/>
            <w:tcBorders>
              <w:top w:val="single" w:sz="4" w:space="0" w:color="auto"/>
              <w:left w:val="single" w:sz="4" w:space="0" w:color="auto"/>
              <w:bottom w:val="single" w:sz="4" w:space="0" w:color="auto"/>
              <w:right w:val="single" w:sz="4" w:space="0" w:color="auto"/>
            </w:tcBorders>
            <w:hideMark/>
          </w:tcPr>
          <w:p w14:paraId="6AAB436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4745CFD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8.6</w:t>
            </w:r>
          </w:p>
        </w:tc>
        <w:tc>
          <w:tcPr>
            <w:tcW w:w="849" w:type="dxa"/>
            <w:tcBorders>
              <w:top w:val="single" w:sz="4" w:space="0" w:color="auto"/>
              <w:left w:val="single" w:sz="4" w:space="0" w:color="auto"/>
              <w:bottom w:val="single" w:sz="4" w:space="0" w:color="auto"/>
              <w:right w:val="single" w:sz="4" w:space="0" w:color="auto"/>
            </w:tcBorders>
            <w:hideMark/>
          </w:tcPr>
          <w:p w14:paraId="5C43238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51.8</w:t>
            </w:r>
          </w:p>
        </w:tc>
      </w:tr>
      <w:tr w:rsidR="00140722" w:rsidRPr="0078509A" w14:paraId="349F7520"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7C6DDDA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WXL</w:t>
            </w:r>
          </w:p>
        </w:tc>
        <w:tc>
          <w:tcPr>
            <w:tcW w:w="849" w:type="dxa"/>
            <w:tcBorders>
              <w:top w:val="single" w:sz="4" w:space="0" w:color="auto"/>
              <w:left w:val="single" w:sz="4" w:space="0" w:color="auto"/>
              <w:bottom w:val="single" w:sz="4" w:space="0" w:color="auto"/>
              <w:right w:val="single" w:sz="4" w:space="0" w:color="auto"/>
            </w:tcBorders>
            <w:hideMark/>
          </w:tcPr>
          <w:p w14:paraId="1DDCE9E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3F05BFD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5A9DB08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4.1</w:t>
            </w:r>
          </w:p>
        </w:tc>
        <w:tc>
          <w:tcPr>
            <w:tcW w:w="849" w:type="dxa"/>
            <w:tcBorders>
              <w:top w:val="single" w:sz="4" w:space="0" w:color="auto"/>
              <w:left w:val="single" w:sz="4" w:space="0" w:color="auto"/>
              <w:bottom w:val="single" w:sz="4" w:space="0" w:color="auto"/>
              <w:right w:val="single" w:sz="4" w:space="0" w:color="auto"/>
            </w:tcBorders>
            <w:hideMark/>
          </w:tcPr>
          <w:p w14:paraId="6E8972C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2A04DFF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8.1</w:t>
            </w:r>
          </w:p>
        </w:tc>
        <w:tc>
          <w:tcPr>
            <w:tcW w:w="849" w:type="dxa"/>
            <w:tcBorders>
              <w:top w:val="single" w:sz="4" w:space="0" w:color="auto"/>
              <w:left w:val="single" w:sz="4" w:space="0" w:color="auto"/>
              <w:bottom w:val="single" w:sz="4" w:space="0" w:color="auto"/>
              <w:right w:val="single" w:sz="4" w:space="0" w:color="auto"/>
            </w:tcBorders>
            <w:hideMark/>
          </w:tcPr>
          <w:p w14:paraId="1810A58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50.6</w:t>
            </w:r>
          </w:p>
        </w:tc>
        <w:tc>
          <w:tcPr>
            <w:tcW w:w="849" w:type="dxa"/>
            <w:tcBorders>
              <w:top w:val="single" w:sz="4" w:space="0" w:color="auto"/>
              <w:left w:val="single" w:sz="4" w:space="0" w:color="auto"/>
              <w:bottom w:val="single" w:sz="4" w:space="0" w:color="auto"/>
              <w:right w:val="single" w:sz="4" w:space="0" w:color="auto"/>
            </w:tcBorders>
            <w:hideMark/>
          </w:tcPr>
          <w:p w14:paraId="51AAF89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w:t>
            </w:r>
          </w:p>
        </w:tc>
        <w:tc>
          <w:tcPr>
            <w:tcW w:w="849" w:type="dxa"/>
            <w:tcBorders>
              <w:top w:val="single" w:sz="4" w:space="0" w:color="auto"/>
              <w:left w:val="single" w:sz="4" w:space="0" w:color="auto"/>
              <w:bottom w:val="single" w:sz="4" w:space="0" w:color="auto"/>
              <w:right w:val="single" w:sz="4" w:space="0" w:color="auto"/>
            </w:tcBorders>
            <w:hideMark/>
          </w:tcPr>
          <w:p w14:paraId="2710B7A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43.5</w:t>
            </w:r>
          </w:p>
        </w:tc>
        <w:tc>
          <w:tcPr>
            <w:tcW w:w="849" w:type="dxa"/>
            <w:tcBorders>
              <w:top w:val="single" w:sz="4" w:space="0" w:color="auto"/>
              <w:left w:val="single" w:sz="4" w:space="0" w:color="auto"/>
              <w:bottom w:val="single" w:sz="4" w:space="0" w:color="auto"/>
              <w:right w:val="single" w:sz="4" w:space="0" w:color="auto"/>
            </w:tcBorders>
            <w:hideMark/>
          </w:tcPr>
          <w:p w14:paraId="4762CEA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143.5</w:t>
            </w:r>
          </w:p>
        </w:tc>
      </w:tr>
      <w:tr w:rsidR="00140722" w:rsidRPr="0078509A" w14:paraId="02C6D146"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645D21E4"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WXH</w:t>
            </w:r>
          </w:p>
        </w:tc>
        <w:tc>
          <w:tcPr>
            <w:tcW w:w="849" w:type="dxa"/>
            <w:tcBorders>
              <w:top w:val="single" w:sz="4" w:space="0" w:color="auto"/>
              <w:left w:val="single" w:sz="4" w:space="0" w:color="auto"/>
              <w:bottom w:val="single" w:sz="4" w:space="0" w:color="auto"/>
              <w:right w:val="single" w:sz="4" w:space="0" w:color="auto"/>
            </w:tcBorders>
            <w:hideMark/>
          </w:tcPr>
          <w:p w14:paraId="63EA1CC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275F5FF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0.7</w:t>
            </w:r>
          </w:p>
        </w:tc>
        <w:tc>
          <w:tcPr>
            <w:tcW w:w="849" w:type="dxa"/>
            <w:tcBorders>
              <w:top w:val="single" w:sz="4" w:space="0" w:color="auto"/>
              <w:left w:val="single" w:sz="4" w:space="0" w:color="auto"/>
              <w:bottom w:val="single" w:sz="4" w:space="0" w:color="auto"/>
              <w:right w:val="single" w:sz="4" w:space="0" w:color="auto"/>
            </w:tcBorders>
            <w:hideMark/>
          </w:tcPr>
          <w:p w14:paraId="10F1D78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7</w:t>
            </w:r>
          </w:p>
        </w:tc>
        <w:tc>
          <w:tcPr>
            <w:tcW w:w="849" w:type="dxa"/>
            <w:tcBorders>
              <w:top w:val="single" w:sz="4" w:space="0" w:color="auto"/>
              <w:left w:val="single" w:sz="4" w:space="0" w:color="auto"/>
              <w:bottom w:val="single" w:sz="4" w:space="0" w:color="auto"/>
              <w:right w:val="single" w:sz="4" w:space="0" w:color="auto"/>
            </w:tcBorders>
            <w:hideMark/>
          </w:tcPr>
          <w:p w14:paraId="28E7455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4B5C03E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240DB07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62.6</w:t>
            </w:r>
          </w:p>
        </w:tc>
        <w:tc>
          <w:tcPr>
            <w:tcW w:w="849" w:type="dxa"/>
            <w:tcBorders>
              <w:top w:val="single" w:sz="4" w:space="0" w:color="auto"/>
              <w:left w:val="single" w:sz="4" w:space="0" w:color="auto"/>
              <w:bottom w:val="single" w:sz="4" w:space="0" w:color="auto"/>
              <w:right w:val="single" w:sz="4" w:space="0" w:color="auto"/>
            </w:tcBorders>
            <w:hideMark/>
          </w:tcPr>
          <w:p w14:paraId="3C36D9D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2.3</w:t>
            </w:r>
          </w:p>
        </w:tc>
        <w:tc>
          <w:tcPr>
            <w:tcW w:w="849" w:type="dxa"/>
            <w:tcBorders>
              <w:top w:val="single" w:sz="4" w:space="0" w:color="auto"/>
              <w:left w:val="single" w:sz="4" w:space="0" w:color="auto"/>
              <w:bottom w:val="single" w:sz="4" w:space="0" w:color="auto"/>
              <w:right w:val="single" w:sz="4" w:space="0" w:color="auto"/>
            </w:tcBorders>
            <w:hideMark/>
          </w:tcPr>
          <w:p w14:paraId="1F509B9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57.2</w:t>
            </w:r>
          </w:p>
        </w:tc>
        <w:tc>
          <w:tcPr>
            <w:tcW w:w="849" w:type="dxa"/>
            <w:tcBorders>
              <w:top w:val="single" w:sz="4" w:space="0" w:color="auto"/>
              <w:left w:val="single" w:sz="4" w:space="0" w:color="auto"/>
              <w:bottom w:val="single" w:sz="4" w:space="0" w:color="auto"/>
              <w:right w:val="single" w:sz="4" w:space="0" w:color="auto"/>
            </w:tcBorders>
            <w:hideMark/>
          </w:tcPr>
          <w:p w14:paraId="726E0BC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174.9</w:t>
            </w:r>
          </w:p>
        </w:tc>
      </w:tr>
      <w:tr w:rsidR="00140722" w:rsidRPr="0078509A" w14:paraId="26694F0F"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2057273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WWH</w:t>
            </w:r>
          </w:p>
        </w:tc>
        <w:tc>
          <w:tcPr>
            <w:tcW w:w="849" w:type="dxa"/>
            <w:tcBorders>
              <w:top w:val="single" w:sz="4" w:space="0" w:color="auto"/>
              <w:left w:val="single" w:sz="4" w:space="0" w:color="auto"/>
              <w:bottom w:val="single" w:sz="4" w:space="0" w:color="auto"/>
              <w:right w:val="single" w:sz="4" w:space="0" w:color="auto"/>
            </w:tcBorders>
            <w:hideMark/>
          </w:tcPr>
          <w:p w14:paraId="4A878EE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D82B17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1.6</w:t>
            </w:r>
          </w:p>
        </w:tc>
        <w:tc>
          <w:tcPr>
            <w:tcW w:w="849" w:type="dxa"/>
            <w:tcBorders>
              <w:top w:val="single" w:sz="4" w:space="0" w:color="auto"/>
              <w:left w:val="single" w:sz="4" w:space="0" w:color="auto"/>
              <w:bottom w:val="single" w:sz="4" w:space="0" w:color="auto"/>
              <w:right w:val="single" w:sz="4" w:space="0" w:color="auto"/>
            </w:tcBorders>
            <w:hideMark/>
          </w:tcPr>
          <w:p w14:paraId="29DF629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13.9</w:t>
            </w:r>
          </w:p>
        </w:tc>
        <w:tc>
          <w:tcPr>
            <w:tcW w:w="849" w:type="dxa"/>
            <w:tcBorders>
              <w:top w:val="single" w:sz="4" w:space="0" w:color="auto"/>
              <w:left w:val="single" w:sz="4" w:space="0" w:color="auto"/>
              <w:bottom w:val="single" w:sz="4" w:space="0" w:color="auto"/>
              <w:right w:val="single" w:sz="4" w:space="0" w:color="auto"/>
            </w:tcBorders>
            <w:hideMark/>
          </w:tcPr>
          <w:p w14:paraId="79D55F4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0.6</w:t>
            </w:r>
          </w:p>
        </w:tc>
        <w:tc>
          <w:tcPr>
            <w:tcW w:w="849" w:type="dxa"/>
            <w:tcBorders>
              <w:top w:val="single" w:sz="4" w:space="0" w:color="auto"/>
              <w:left w:val="single" w:sz="4" w:space="0" w:color="auto"/>
              <w:bottom w:val="single" w:sz="4" w:space="0" w:color="auto"/>
              <w:right w:val="single" w:sz="4" w:space="0" w:color="auto"/>
            </w:tcBorders>
            <w:hideMark/>
          </w:tcPr>
          <w:p w14:paraId="09B59B7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26.7</w:t>
            </w:r>
          </w:p>
        </w:tc>
        <w:tc>
          <w:tcPr>
            <w:tcW w:w="849" w:type="dxa"/>
            <w:tcBorders>
              <w:top w:val="single" w:sz="4" w:space="0" w:color="auto"/>
              <w:left w:val="single" w:sz="4" w:space="0" w:color="auto"/>
              <w:bottom w:val="single" w:sz="4" w:space="0" w:color="auto"/>
              <w:right w:val="single" w:sz="4" w:space="0" w:color="auto"/>
            </w:tcBorders>
            <w:hideMark/>
          </w:tcPr>
          <w:p w14:paraId="1718CD6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97.6</w:t>
            </w:r>
          </w:p>
        </w:tc>
        <w:tc>
          <w:tcPr>
            <w:tcW w:w="849" w:type="dxa"/>
            <w:tcBorders>
              <w:top w:val="single" w:sz="4" w:space="0" w:color="auto"/>
              <w:left w:val="single" w:sz="4" w:space="0" w:color="auto"/>
              <w:bottom w:val="single" w:sz="4" w:space="0" w:color="auto"/>
              <w:right w:val="single" w:sz="4" w:space="0" w:color="auto"/>
            </w:tcBorders>
            <w:hideMark/>
          </w:tcPr>
          <w:p w14:paraId="2D8D180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5.5</w:t>
            </w:r>
          </w:p>
        </w:tc>
        <w:tc>
          <w:tcPr>
            <w:tcW w:w="849" w:type="dxa"/>
            <w:tcBorders>
              <w:top w:val="single" w:sz="4" w:space="0" w:color="auto"/>
              <w:left w:val="single" w:sz="4" w:space="0" w:color="auto"/>
              <w:bottom w:val="single" w:sz="4" w:space="0" w:color="auto"/>
              <w:right w:val="single" w:sz="4" w:space="0" w:color="auto"/>
            </w:tcBorders>
            <w:hideMark/>
          </w:tcPr>
          <w:p w14:paraId="18E07B93"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91.9</w:t>
            </w:r>
          </w:p>
        </w:tc>
        <w:tc>
          <w:tcPr>
            <w:tcW w:w="849" w:type="dxa"/>
            <w:tcBorders>
              <w:top w:val="single" w:sz="4" w:space="0" w:color="auto"/>
              <w:left w:val="single" w:sz="4" w:space="0" w:color="auto"/>
              <w:bottom w:val="single" w:sz="4" w:space="0" w:color="auto"/>
              <w:right w:val="single" w:sz="4" w:space="0" w:color="auto"/>
            </w:tcBorders>
            <w:hideMark/>
          </w:tcPr>
          <w:p w14:paraId="76F1698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259</w:t>
            </w:r>
          </w:p>
        </w:tc>
      </w:tr>
      <w:tr w:rsidR="00140722" w:rsidRPr="0078509A" w14:paraId="1BF0F2EB"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310ABA28"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WWL</w:t>
            </w:r>
          </w:p>
        </w:tc>
        <w:tc>
          <w:tcPr>
            <w:tcW w:w="849" w:type="dxa"/>
            <w:tcBorders>
              <w:top w:val="single" w:sz="4" w:space="0" w:color="auto"/>
              <w:left w:val="single" w:sz="4" w:space="0" w:color="auto"/>
              <w:bottom w:val="single" w:sz="4" w:space="0" w:color="auto"/>
              <w:right w:val="single" w:sz="4" w:space="0" w:color="auto"/>
            </w:tcBorders>
            <w:hideMark/>
          </w:tcPr>
          <w:p w14:paraId="039463D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EC77B6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5D737F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0.9</w:t>
            </w:r>
          </w:p>
        </w:tc>
        <w:tc>
          <w:tcPr>
            <w:tcW w:w="849" w:type="dxa"/>
            <w:tcBorders>
              <w:top w:val="single" w:sz="4" w:space="0" w:color="auto"/>
              <w:left w:val="single" w:sz="4" w:space="0" w:color="auto"/>
              <w:bottom w:val="single" w:sz="4" w:space="0" w:color="auto"/>
              <w:right w:val="single" w:sz="4" w:space="0" w:color="auto"/>
            </w:tcBorders>
            <w:hideMark/>
          </w:tcPr>
          <w:p w14:paraId="5C8B45F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607EDF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1.9</w:t>
            </w:r>
          </w:p>
        </w:tc>
        <w:tc>
          <w:tcPr>
            <w:tcW w:w="849" w:type="dxa"/>
            <w:tcBorders>
              <w:top w:val="single" w:sz="4" w:space="0" w:color="auto"/>
              <w:left w:val="single" w:sz="4" w:space="0" w:color="auto"/>
              <w:bottom w:val="single" w:sz="4" w:space="0" w:color="auto"/>
              <w:right w:val="single" w:sz="4" w:space="0" w:color="auto"/>
            </w:tcBorders>
            <w:hideMark/>
          </w:tcPr>
          <w:p w14:paraId="594129B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15.3</w:t>
            </w:r>
          </w:p>
        </w:tc>
        <w:tc>
          <w:tcPr>
            <w:tcW w:w="849" w:type="dxa"/>
            <w:tcBorders>
              <w:top w:val="single" w:sz="4" w:space="0" w:color="auto"/>
              <w:left w:val="single" w:sz="4" w:space="0" w:color="auto"/>
              <w:bottom w:val="single" w:sz="4" w:space="0" w:color="auto"/>
              <w:right w:val="single" w:sz="4" w:space="0" w:color="auto"/>
            </w:tcBorders>
            <w:hideMark/>
          </w:tcPr>
          <w:p w14:paraId="33EB586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66AA72D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12.3</w:t>
            </w:r>
          </w:p>
        </w:tc>
        <w:tc>
          <w:tcPr>
            <w:tcW w:w="849" w:type="dxa"/>
            <w:tcBorders>
              <w:top w:val="single" w:sz="4" w:space="0" w:color="auto"/>
              <w:left w:val="single" w:sz="4" w:space="0" w:color="auto"/>
              <w:bottom w:val="single" w:sz="4" w:space="0" w:color="auto"/>
              <w:right w:val="single" w:sz="4" w:space="0" w:color="auto"/>
            </w:tcBorders>
            <w:hideMark/>
          </w:tcPr>
          <w:p w14:paraId="340416F1"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62.1</w:t>
            </w:r>
          </w:p>
        </w:tc>
      </w:tr>
      <w:tr w:rsidR="00140722" w:rsidRPr="0078509A" w14:paraId="26366842"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05A3F346"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WWLk</w:t>
            </w:r>
          </w:p>
        </w:tc>
        <w:tc>
          <w:tcPr>
            <w:tcW w:w="849" w:type="dxa"/>
            <w:tcBorders>
              <w:top w:val="single" w:sz="4" w:space="0" w:color="auto"/>
              <w:left w:val="single" w:sz="4" w:space="0" w:color="auto"/>
              <w:bottom w:val="single" w:sz="4" w:space="0" w:color="auto"/>
              <w:right w:val="single" w:sz="4" w:space="0" w:color="auto"/>
            </w:tcBorders>
            <w:hideMark/>
          </w:tcPr>
          <w:p w14:paraId="7DB865F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262DCFD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68C1E3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0.7</w:t>
            </w:r>
          </w:p>
        </w:tc>
        <w:tc>
          <w:tcPr>
            <w:tcW w:w="849" w:type="dxa"/>
            <w:tcBorders>
              <w:top w:val="single" w:sz="4" w:space="0" w:color="auto"/>
              <w:left w:val="single" w:sz="4" w:space="0" w:color="auto"/>
              <w:bottom w:val="single" w:sz="4" w:space="0" w:color="auto"/>
              <w:right w:val="single" w:sz="4" w:space="0" w:color="auto"/>
            </w:tcBorders>
            <w:hideMark/>
          </w:tcPr>
          <w:p w14:paraId="0870D28B"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B49E3CD"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0CB5305A"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13.3</w:t>
            </w:r>
          </w:p>
        </w:tc>
        <w:tc>
          <w:tcPr>
            <w:tcW w:w="849" w:type="dxa"/>
            <w:tcBorders>
              <w:top w:val="single" w:sz="4" w:space="0" w:color="auto"/>
              <w:left w:val="single" w:sz="4" w:space="0" w:color="auto"/>
              <w:bottom w:val="single" w:sz="4" w:space="0" w:color="auto"/>
              <w:right w:val="single" w:sz="4" w:space="0" w:color="auto"/>
            </w:tcBorders>
            <w:hideMark/>
          </w:tcPr>
          <w:p w14:paraId="1E0CB05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67D66DB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11.1</w:t>
            </w:r>
          </w:p>
        </w:tc>
        <w:tc>
          <w:tcPr>
            <w:tcW w:w="849" w:type="dxa"/>
            <w:tcBorders>
              <w:top w:val="single" w:sz="4" w:space="0" w:color="auto"/>
              <w:left w:val="single" w:sz="4" w:space="0" w:color="auto"/>
              <w:bottom w:val="single" w:sz="4" w:space="0" w:color="auto"/>
              <w:right w:val="single" w:sz="4" w:space="0" w:color="auto"/>
            </w:tcBorders>
            <w:hideMark/>
          </w:tcPr>
          <w:p w14:paraId="283C23C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57.7</w:t>
            </w:r>
          </w:p>
        </w:tc>
      </w:tr>
      <w:tr w:rsidR="00140722" w:rsidRPr="0078509A" w14:paraId="5342CBF2"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104A7E53"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WDL</w:t>
            </w:r>
          </w:p>
        </w:tc>
        <w:tc>
          <w:tcPr>
            <w:tcW w:w="849" w:type="dxa"/>
            <w:tcBorders>
              <w:top w:val="single" w:sz="4" w:space="0" w:color="auto"/>
              <w:left w:val="single" w:sz="4" w:space="0" w:color="auto"/>
              <w:bottom w:val="single" w:sz="4" w:space="0" w:color="auto"/>
              <w:right w:val="single" w:sz="4" w:space="0" w:color="auto"/>
            </w:tcBorders>
            <w:hideMark/>
          </w:tcPr>
          <w:p w14:paraId="14DD018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7D908DE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2DA0CC68"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CCE846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69BB30D9"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D4DDA36"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3EB91A3E"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5E30811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1.3</w:t>
            </w:r>
          </w:p>
        </w:tc>
        <w:tc>
          <w:tcPr>
            <w:tcW w:w="849" w:type="dxa"/>
            <w:tcBorders>
              <w:top w:val="single" w:sz="4" w:space="0" w:color="auto"/>
              <w:left w:val="single" w:sz="4" w:space="0" w:color="auto"/>
              <w:bottom w:val="single" w:sz="4" w:space="0" w:color="auto"/>
              <w:right w:val="single" w:sz="4" w:space="0" w:color="auto"/>
            </w:tcBorders>
            <w:hideMark/>
          </w:tcPr>
          <w:p w14:paraId="05D4E43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11.2</w:t>
            </w:r>
          </w:p>
        </w:tc>
      </w:tr>
      <w:tr w:rsidR="00140722" w:rsidRPr="0078509A" w14:paraId="42D479C2" w14:textId="77777777" w:rsidTr="00492A4A">
        <w:tc>
          <w:tcPr>
            <w:tcW w:w="865" w:type="dxa"/>
            <w:tcBorders>
              <w:top w:val="single" w:sz="4" w:space="0" w:color="auto"/>
              <w:left w:val="single" w:sz="4" w:space="0" w:color="auto"/>
              <w:bottom w:val="single" w:sz="4" w:space="0" w:color="auto"/>
              <w:right w:val="single" w:sz="4" w:space="0" w:color="auto"/>
            </w:tcBorders>
            <w:hideMark/>
          </w:tcPr>
          <w:p w14:paraId="4496D9D5" w14:textId="77777777" w:rsidR="00140722" w:rsidRPr="0078509A" w:rsidRDefault="00140722" w:rsidP="00492A4A">
            <w:pPr>
              <w:spacing w:before="0" w:after="0" w:line="240" w:lineRule="auto"/>
              <w:jc w:val="left"/>
              <w:rPr>
                <w:rFonts w:eastAsia="Times New Roman"/>
                <w:b/>
                <w:bCs/>
                <w:lang w:eastAsia="en-US" w:bidi="hi-IN"/>
              </w:rPr>
            </w:pPr>
            <w:r w:rsidRPr="0078509A">
              <w:rPr>
                <w:rFonts w:eastAsia="Times New Roman"/>
                <w:b/>
                <w:bCs/>
                <w:lang w:eastAsia="en-US"/>
              </w:rPr>
              <w:t>WDLk</w:t>
            </w:r>
          </w:p>
        </w:tc>
        <w:tc>
          <w:tcPr>
            <w:tcW w:w="849" w:type="dxa"/>
            <w:tcBorders>
              <w:top w:val="single" w:sz="4" w:space="0" w:color="auto"/>
              <w:left w:val="single" w:sz="4" w:space="0" w:color="auto"/>
              <w:bottom w:val="single" w:sz="4" w:space="0" w:color="auto"/>
              <w:right w:val="single" w:sz="4" w:space="0" w:color="auto"/>
            </w:tcBorders>
            <w:hideMark/>
          </w:tcPr>
          <w:p w14:paraId="6A2F8ED4"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3D873BA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8091B77"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0.8</w:t>
            </w:r>
          </w:p>
        </w:tc>
        <w:tc>
          <w:tcPr>
            <w:tcW w:w="849" w:type="dxa"/>
            <w:tcBorders>
              <w:top w:val="single" w:sz="4" w:space="0" w:color="auto"/>
              <w:left w:val="single" w:sz="4" w:space="0" w:color="auto"/>
              <w:bottom w:val="single" w:sz="4" w:space="0" w:color="auto"/>
              <w:right w:val="single" w:sz="4" w:space="0" w:color="auto"/>
            </w:tcBorders>
            <w:hideMark/>
          </w:tcPr>
          <w:p w14:paraId="606F5FD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2BBDDE55"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1.3</w:t>
            </w:r>
          </w:p>
        </w:tc>
        <w:tc>
          <w:tcPr>
            <w:tcW w:w="849" w:type="dxa"/>
            <w:tcBorders>
              <w:top w:val="single" w:sz="4" w:space="0" w:color="auto"/>
              <w:left w:val="single" w:sz="4" w:space="0" w:color="auto"/>
              <w:bottom w:val="single" w:sz="4" w:space="0" w:color="auto"/>
              <w:right w:val="single" w:sz="4" w:space="0" w:color="auto"/>
            </w:tcBorders>
            <w:hideMark/>
          </w:tcPr>
          <w:p w14:paraId="2E072112"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628C803C"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43206FB0"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4E69905F" w14:textId="77777777" w:rsidR="00140722" w:rsidRPr="0078509A" w:rsidRDefault="00140722" w:rsidP="00492A4A">
            <w:pPr>
              <w:spacing w:before="0" w:after="0" w:line="240" w:lineRule="auto"/>
              <w:jc w:val="left"/>
              <w:rPr>
                <w:rFonts w:eastAsia="Times New Roman"/>
                <w:lang w:eastAsia="en-US" w:bidi="hi-IN"/>
              </w:rPr>
            </w:pPr>
            <w:r w:rsidRPr="0078509A">
              <w:rPr>
                <w:rFonts w:eastAsia="Times New Roman"/>
                <w:lang w:eastAsia="en-US"/>
              </w:rPr>
              <w:t>57.7</w:t>
            </w:r>
          </w:p>
        </w:tc>
      </w:tr>
    </w:tbl>
    <w:p w14:paraId="6C4FDADF" w14:textId="77777777" w:rsidR="00140722" w:rsidRPr="0078509A" w:rsidRDefault="00140722" w:rsidP="00140722">
      <w:pPr>
        <w:spacing w:before="0" w:after="200" w:line="276" w:lineRule="auto"/>
        <w:jc w:val="left"/>
        <w:rPr>
          <w:rFonts w:eastAsia="Times New Roman" w:cs="Times New Roman"/>
          <w:lang w:val="en-US" w:eastAsia="en-US" w:bidi="hi-IN"/>
        </w:rPr>
      </w:pPr>
    </w:p>
    <w:p w14:paraId="1862FC71" w14:textId="77777777" w:rsidR="0078509A" w:rsidRPr="0078509A" w:rsidRDefault="0078509A" w:rsidP="008E40DC">
      <w:pPr>
        <w:pStyle w:val="Heading3"/>
        <w:rPr>
          <w:lang w:val="en-US" w:eastAsia="en-US" w:bidi="hi-IN"/>
        </w:rPr>
      </w:pPr>
      <w:bookmarkStart w:id="224" w:name="_Toc39145120"/>
      <w:bookmarkStart w:id="225" w:name="_Toc39145260"/>
      <w:bookmarkStart w:id="226" w:name="_Toc39145329"/>
      <w:r w:rsidRPr="0078509A">
        <w:rPr>
          <w:lang w:val="en-US" w:eastAsia="en-US" w:bidi="hi-IN"/>
        </w:rPr>
        <w:t>Tests using independent data</w:t>
      </w:r>
      <w:bookmarkEnd w:id="224"/>
      <w:bookmarkEnd w:id="225"/>
      <w:bookmarkEnd w:id="226"/>
    </w:p>
    <w:p w14:paraId="287B33D9" w14:textId="36D0E681" w:rsidR="0078509A" w:rsidRPr="0078509A" w:rsidRDefault="0078509A" w:rsidP="00FA2A78">
      <w:pPr>
        <w:pStyle w:val="BodyText"/>
        <w:rPr>
          <w:lang w:val="en-US" w:eastAsia="en-US"/>
        </w:rPr>
      </w:pPr>
      <w:r w:rsidRPr="0078509A">
        <w:rPr>
          <w:lang w:val="en-US" w:eastAsia="en-US" w:bidi="hi-IN"/>
        </w:rPr>
        <w:t xml:space="preserve">Tests of the derived TN and DRP </w:t>
      </w:r>
      <w:r w:rsidRPr="0078509A">
        <w:rPr>
          <w:lang w:val="en-US" w:eastAsia="en-US"/>
        </w:rPr>
        <w:t xml:space="preserve">concentration targets </w:t>
      </w:r>
      <w:r w:rsidRPr="0078509A">
        <w:rPr>
          <w:lang w:val="en-US" w:eastAsia="en-US" w:bidi="hi-IN"/>
        </w:rPr>
        <w:t>were performed using observations of</w:t>
      </w:r>
      <w:r w:rsidR="00E156A8">
        <w:rPr>
          <w:lang w:val="en-US" w:eastAsia="en-US" w:bidi="hi-IN"/>
        </w:rPr>
        <w:t> </w:t>
      </w:r>
      <w:r w:rsidRPr="0078509A">
        <w:rPr>
          <w:lang w:val="en-US" w:eastAsia="en-US" w:bidi="hi-IN"/>
        </w:rPr>
        <w:t xml:space="preserve">periphyton biomass and nutrient concentrations at 173 independent sites in six regions; Northland, Bay of Plenty, Manawatu-Wanganui, Wellington, Canterbury and Southland. The testing methodology is as described by </w:t>
      </w:r>
      <w:r w:rsidRPr="0078509A">
        <w:rPr>
          <w:lang w:val="en-US" w:eastAsia="en-US"/>
        </w:rPr>
        <w:fldChar w:fldCharType="begin"/>
      </w:r>
      <w:r w:rsidRPr="0078509A">
        <w:rPr>
          <w:lang w:val="en-US" w:eastAsia="en-US"/>
        </w:rPr>
        <w:instrText xml:space="preserve"> ADDIN ZOTERO_ITEM CSL_CITATION {"citationID":"oHLbPaUL","properties":{"formattedCitation":"(Snelder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The tests presented here were consistent with those of </w:t>
      </w:r>
      <w:r w:rsidRPr="0078509A">
        <w:rPr>
          <w:lang w:val="en-US" w:eastAsia="en-US"/>
        </w:rPr>
        <w:fldChar w:fldCharType="begin"/>
      </w:r>
      <w:r w:rsidRPr="0078509A">
        <w:rPr>
          <w:lang w:val="en-US" w:eastAsia="en-US"/>
        </w:rPr>
        <w:instrText xml:space="preserve"> ADDIN ZOTERO_ITEM CSL_CITATION {"citationID":"LIsNNpC1","properties":{"formattedCitation":"(Snelder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009C17BC">
        <w:rPr>
          <w:lang w:val="en-US" w:eastAsia="en-US"/>
        </w:rPr>
        <w:t>Figure 6, Table 3</w:t>
      </w:r>
      <w:r w:rsidRPr="0078509A">
        <w:rPr>
          <w:lang w:val="en-US" w:eastAsia="en-US"/>
        </w:rPr>
        <w:t xml:space="preserve">). </w:t>
      </w:r>
    </w:p>
    <w:p w14:paraId="1980D989" w14:textId="5A3BBDAC" w:rsidR="0078509A" w:rsidRPr="0078509A" w:rsidRDefault="0078509A" w:rsidP="00FA2A78">
      <w:pPr>
        <w:pStyle w:val="BodyText"/>
        <w:rPr>
          <w:lang w:val="en-US" w:eastAsia="en-US"/>
        </w:rPr>
      </w:pPr>
      <w:r w:rsidRPr="0078509A">
        <w:rPr>
          <w:lang w:val="en-US" w:eastAsia="en-US"/>
        </w:rPr>
        <w:t>The tests on independent data indicate that for DRP and the 10</w:t>
      </w:r>
      <w:r w:rsidR="008E40DC">
        <w:rPr>
          <w:lang w:val="en-US" w:eastAsia="en-US"/>
        </w:rPr>
        <w:t xml:space="preserve"> per cent</w:t>
      </w:r>
      <w:r w:rsidRPr="0078509A">
        <w:rPr>
          <w:lang w:val="en-US" w:eastAsia="en-US"/>
        </w:rPr>
        <w:t>, 20</w:t>
      </w:r>
      <w:r w:rsidR="008E40DC">
        <w:rPr>
          <w:lang w:val="en-US" w:eastAsia="en-US"/>
        </w:rPr>
        <w:t xml:space="preserve"> per cent</w:t>
      </w:r>
      <w:r w:rsidRPr="0078509A">
        <w:rPr>
          <w:lang w:val="en-US" w:eastAsia="en-US"/>
        </w:rPr>
        <w:t xml:space="preserve"> and 30</w:t>
      </w:r>
      <w:r w:rsidR="008E40DC">
        <w:rPr>
          <w:lang w:val="en-US" w:eastAsia="en-US"/>
        </w:rPr>
        <w:t xml:space="preserve"> per cent</w:t>
      </w:r>
      <w:r w:rsidRPr="0078509A">
        <w:rPr>
          <w:lang w:val="en-US" w:eastAsia="en-US"/>
        </w:rPr>
        <w:t xml:space="preserve"> spatial exceedance criterion, the nutrient concentration targets are consistent with observations (considering the uncertainties associated with both the observations and concentration targets). The tests indicate that the concentration targets are too permissive for DRP for 50</w:t>
      </w:r>
      <w:r w:rsidR="008E40DC">
        <w:rPr>
          <w:lang w:val="en-US" w:eastAsia="en-US"/>
        </w:rPr>
        <w:t xml:space="preserve"> per cent</w:t>
      </w:r>
      <w:r w:rsidR="00E156A8">
        <w:rPr>
          <w:lang w:val="en-US" w:eastAsia="en-US"/>
        </w:rPr>
        <w:t> </w:t>
      </w:r>
      <w:r w:rsidRPr="0078509A">
        <w:rPr>
          <w:lang w:val="en-US" w:eastAsia="en-US"/>
        </w:rPr>
        <w:t>spatial exceedance (</w:t>
      </w:r>
      <w:r w:rsidR="008E40DC">
        <w:rPr>
          <w:lang w:val="en-US" w:eastAsia="en-US"/>
        </w:rPr>
        <w:t>ie,</w:t>
      </w:r>
      <w:r w:rsidRPr="0078509A">
        <w:rPr>
          <w:lang w:val="en-US" w:eastAsia="en-US"/>
        </w:rPr>
        <w:t xml:space="preserve"> the concentration targets are too low) and are consistently too</w:t>
      </w:r>
      <w:r w:rsidR="002703B7">
        <w:rPr>
          <w:lang w:val="en-US" w:eastAsia="en-US"/>
        </w:rPr>
        <w:t> </w:t>
      </w:r>
      <w:r w:rsidRPr="0078509A">
        <w:rPr>
          <w:lang w:val="en-US" w:eastAsia="en-US"/>
        </w:rPr>
        <w:t>conservative for TN (</w:t>
      </w:r>
      <w:r w:rsidR="008E40DC">
        <w:rPr>
          <w:lang w:val="en-US" w:eastAsia="en-US"/>
        </w:rPr>
        <w:t>ie,</w:t>
      </w:r>
      <w:r w:rsidRPr="0078509A">
        <w:rPr>
          <w:lang w:val="en-US" w:eastAsia="en-US"/>
        </w:rPr>
        <w:t xml:space="preserve"> the concentration targets are too high).</w:t>
      </w:r>
    </w:p>
    <w:p w14:paraId="7F261E1A" w14:textId="77777777" w:rsidR="0078509A" w:rsidRPr="0078509A" w:rsidRDefault="0078509A" w:rsidP="0078509A">
      <w:pPr>
        <w:spacing w:before="0" w:after="200" w:line="276" w:lineRule="auto"/>
        <w:jc w:val="left"/>
        <w:rPr>
          <w:rFonts w:eastAsia="Times New Roman" w:cs="Times New Roman"/>
          <w:lang w:val="en-US" w:eastAsia="en-US" w:bidi="hi-IN"/>
        </w:rPr>
      </w:pPr>
      <w:r w:rsidRPr="0078509A">
        <w:rPr>
          <w:rFonts w:eastAsia="Times New Roman" w:cs="Times New Roman"/>
          <w:noProof/>
        </w:rPr>
        <w:lastRenderedPageBreak/>
        <w:drawing>
          <wp:inline distT="0" distB="0" distL="0" distR="0" wp14:anchorId="4B88D0DF" wp14:editId="5AC1DE4A">
            <wp:extent cx="5249545" cy="6311265"/>
            <wp:effectExtent l="0" t="0" r="825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9545" cy="6311265"/>
                    </a:xfrm>
                    <a:prstGeom prst="rect">
                      <a:avLst/>
                    </a:prstGeom>
                    <a:noFill/>
                    <a:ln>
                      <a:noFill/>
                    </a:ln>
                  </pic:spPr>
                </pic:pic>
              </a:graphicData>
            </a:graphic>
          </wp:inline>
        </w:drawing>
      </w:r>
    </w:p>
    <w:p w14:paraId="40456182" w14:textId="77777777" w:rsidR="00140722" w:rsidRDefault="00140722" w:rsidP="00140722">
      <w:pPr>
        <w:spacing w:before="0" w:after="200" w:line="240" w:lineRule="auto"/>
        <w:jc w:val="left"/>
        <w:rPr>
          <w:rFonts w:eastAsia="Times New Roman" w:cs="Times New Roman"/>
          <w:b/>
          <w:bCs/>
          <w:smallCaps/>
          <w:color w:val="1F497D"/>
          <w:spacing w:val="6"/>
          <w:szCs w:val="18"/>
          <w:lang w:val="en-US" w:eastAsia="en-US" w:bidi="hi-IN"/>
        </w:rPr>
      </w:pPr>
      <w:bookmarkStart w:id="227" w:name="_Ref33704961"/>
      <w:r w:rsidRPr="0078509A">
        <w:rPr>
          <w:rFonts w:eastAsia="Times New Roman" w:cs="Times New Roman"/>
          <w:b/>
          <w:bCs/>
          <w:smallCaps/>
          <w:color w:val="1F497D"/>
          <w:spacing w:val="6"/>
          <w:szCs w:val="18"/>
          <w:lang w:val="en-US" w:eastAsia="en-US" w:bidi="hi-IN"/>
        </w:rPr>
        <w:t xml:space="preserve">Figure </w:t>
      </w:r>
      <w:bookmarkEnd w:id="227"/>
      <w:r>
        <w:rPr>
          <w:rFonts w:eastAsia="Times New Roman" w:cs="Times New Roman"/>
          <w:b/>
          <w:bCs/>
          <w:smallCaps/>
          <w:color w:val="1F497D"/>
          <w:spacing w:val="6"/>
          <w:szCs w:val="18"/>
          <w:lang w:val="en-US" w:eastAsia="en-US" w:bidi="hi-IN"/>
        </w:rPr>
        <w:t>6</w:t>
      </w:r>
      <w:r w:rsidRPr="0078509A">
        <w:rPr>
          <w:rFonts w:eastAsia="Times New Roman" w:cs="Times New Roman"/>
          <w:b/>
          <w:bCs/>
          <w:smallCaps/>
          <w:color w:val="1F497D"/>
          <w:spacing w:val="6"/>
          <w:szCs w:val="18"/>
          <w:lang w:val="en-US" w:eastAsia="en-US" w:bidi="hi-IN"/>
        </w:rPr>
        <w:t>. The observed and predicted values of the periphyton biomass at the 173 test data sites where predicted values are derived from the nutrient concentration targets for spatial exceedance criteria of 10, 20, 30 and 50%. Panel labels indicate the spatial exceedance criteria and the target concentration targets (TN or DRP). The red diagonal (one to one) line represents perfect agreement between the predictions and observations. The points lying below the red line indicate sites for which the observed biomass was less than that predicted by the targets and vice versa. The grey bars indicate the standard errors for the 92nd percentile biomass predicted from the nutrient targets. The tan bars indicate the standard errors for the estimate of 92nd percentile biomass made from the observations. Biomass estimates and their uncertainties that exceeded 800 mg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 xml:space="preserve"> could not be estimated and have been plotted as 800 mg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w:t>
      </w:r>
    </w:p>
    <w:p w14:paraId="4F995730" w14:textId="77777777" w:rsidR="0078509A" w:rsidRPr="0078509A" w:rsidRDefault="0078509A" w:rsidP="00FA2A78">
      <w:pPr>
        <w:pStyle w:val="BodyText"/>
        <w:rPr>
          <w:lang w:val="en-US" w:eastAsia="en-US" w:bidi="hi-IN"/>
        </w:rPr>
      </w:pPr>
    </w:p>
    <w:p w14:paraId="33B5A039" w14:textId="77777777" w:rsidR="00140722" w:rsidRPr="0078509A" w:rsidRDefault="00140722" w:rsidP="00140722">
      <w:pPr>
        <w:keepNext/>
        <w:spacing w:before="0" w:after="200" w:line="240" w:lineRule="auto"/>
        <w:jc w:val="left"/>
        <w:rPr>
          <w:rFonts w:eastAsia="Times New Roman" w:cs="Times New Roman"/>
          <w:b/>
          <w:bCs/>
          <w:smallCaps/>
          <w:color w:val="1F497D"/>
          <w:spacing w:val="6"/>
          <w:szCs w:val="18"/>
          <w:lang w:val="en-US" w:eastAsia="en-US" w:bidi="hi-IN"/>
        </w:rPr>
      </w:pPr>
      <w:bookmarkStart w:id="228" w:name="_Ref33704955"/>
      <w:bookmarkStart w:id="229" w:name="_Toc39145121"/>
      <w:bookmarkStart w:id="230" w:name="_Toc39145261"/>
      <w:bookmarkStart w:id="231" w:name="_Toc39145330"/>
      <w:r w:rsidRPr="0078509A">
        <w:rPr>
          <w:rFonts w:eastAsia="Times New Roman" w:cs="Times New Roman"/>
          <w:b/>
          <w:bCs/>
          <w:smallCaps/>
          <w:color w:val="1F497D"/>
          <w:spacing w:val="6"/>
          <w:szCs w:val="18"/>
          <w:lang w:val="en-US" w:eastAsia="en-US" w:bidi="hi-IN"/>
        </w:rPr>
        <w:lastRenderedPageBreak/>
        <w:t xml:space="preserve">Table </w:t>
      </w:r>
      <w:bookmarkEnd w:id="228"/>
      <w:r>
        <w:rPr>
          <w:rFonts w:eastAsia="Times New Roman" w:cs="Times New Roman"/>
          <w:b/>
          <w:bCs/>
          <w:smallCaps/>
          <w:color w:val="1F497D"/>
          <w:spacing w:val="6"/>
          <w:szCs w:val="18"/>
          <w:lang w:val="en-US" w:eastAsia="en-US" w:bidi="hi-IN"/>
        </w:rPr>
        <w:t>3</w:t>
      </w:r>
      <w:r w:rsidRPr="0078509A">
        <w:rPr>
          <w:rFonts w:eastAsia="Times New Roman" w:cs="Times New Roman"/>
          <w:b/>
          <w:bCs/>
          <w:smallCaps/>
          <w:color w:val="1F497D"/>
          <w:spacing w:val="6"/>
          <w:szCs w:val="18"/>
          <w:lang w:val="en-US" w:eastAsia="en-US" w:bidi="hi-IN"/>
        </w:rPr>
        <w:t>. Performance of the concentration targets based on independent test data.</w:t>
      </w:r>
    </w:p>
    <w:tbl>
      <w:tblPr>
        <w:tblW w:w="8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351"/>
        <w:gridCol w:w="2060"/>
        <w:gridCol w:w="2211"/>
        <w:gridCol w:w="1890"/>
      </w:tblGrid>
      <w:tr w:rsidR="00140722" w:rsidRPr="0078509A" w14:paraId="74133B7C" w14:textId="77777777" w:rsidTr="00492A4A">
        <w:trPr>
          <w:trHeight w:val="300"/>
        </w:trPr>
        <w:tc>
          <w:tcPr>
            <w:tcW w:w="979" w:type="dxa"/>
            <w:tcBorders>
              <w:top w:val="single" w:sz="4" w:space="0" w:color="auto"/>
              <w:left w:val="single" w:sz="4" w:space="0" w:color="auto"/>
              <w:bottom w:val="single" w:sz="4" w:space="0" w:color="auto"/>
              <w:right w:val="single" w:sz="4" w:space="0" w:color="auto"/>
            </w:tcBorders>
            <w:noWrap/>
            <w:vAlign w:val="center"/>
            <w:hideMark/>
          </w:tcPr>
          <w:p w14:paraId="59D06BD2" w14:textId="77777777" w:rsidR="00140722" w:rsidRPr="0078509A" w:rsidRDefault="00140722" w:rsidP="00492A4A">
            <w:pPr>
              <w:spacing w:before="0" w:after="0" w:line="240" w:lineRule="auto"/>
              <w:jc w:val="left"/>
              <w:rPr>
                <w:rFonts w:eastAsia="Times New Roman" w:cs="Calibri"/>
                <w:b/>
                <w:bCs/>
                <w:color w:val="000000"/>
              </w:rPr>
            </w:pPr>
            <w:r w:rsidRPr="0078509A">
              <w:rPr>
                <w:rFonts w:eastAsia="Times New Roman" w:cs="Calibri"/>
                <w:b/>
                <w:bCs/>
                <w:color w:val="000000"/>
              </w:rPr>
              <w:t>Variable</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BC52B36" w14:textId="77777777" w:rsidR="00140722" w:rsidRPr="0078509A" w:rsidRDefault="00140722" w:rsidP="00492A4A">
            <w:pPr>
              <w:autoSpaceDE w:val="0"/>
              <w:autoSpaceDN w:val="0"/>
              <w:adjustRightInd w:val="0"/>
              <w:spacing w:before="0" w:after="0" w:line="276" w:lineRule="auto"/>
              <w:jc w:val="center"/>
              <w:rPr>
                <w:rFonts w:eastAsia="Times New Roman" w:cs="Calibri"/>
                <w:b/>
                <w:bCs/>
                <w:color w:val="000000"/>
                <w:lang w:val="en-US" w:eastAsia="en-US"/>
              </w:rPr>
            </w:pPr>
            <w:r w:rsidRPr="0078509A">
              <w:rPr>
                <w:rFonts w:eastAsia="Times New Roman" w:cs="Calibri"/>
                <w:b/>
                <w:bCs/>
                <w:color w:val="000000"/>
                <w:lang w:val="en-US" w:eastAsia="en-US"/>
              </w:rPr>
              <w:t>Spatial exceedance</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46177AE0" w14:textId="77777777" w:rsidR="00140722" w:rsidRPr="0078509A" w:rsidRDefault="00140722" w:rsidP="00492A4A">
            <w:pPr>
              <w:spacing w:before="0" w:after="0" w:line="240" w:lineRule="auto"/>
              <w:jc w:val="center"/>
              <w:rPr>
                <w:rFonts w:eastAsia="Times New Roman" w:cs="Calibri"/>
                <w:b/>
                <w:bCs/>
                <w:color w:val="000000"/>
              </w:rPr>
            </w:pPr>
            <w:r w:rsidRPr="0078509A">
              <w:rPr>
                <w:rFonts w:eastAsia="Times New Roman" w:cs="Calibri"/>
                <w:b/>
                <w:bCs/>
                <w:lang w:val="en-US" w:eastAsia="en-US"/>
              </w:rPr>
              <w:t>Mean proportion exceeding (%)</w:t>
            </w:r>
          </w:p>
        </w:tc>
        <w:tc>
          <w:tcPr>
            <w:tcW w:w="2211" w:type="dxa"/>
            <w:tcBorders>
              <w:top w:val="single" w:sz="4" w:space="0" w:color="auto"/>
              <w:left w:val="single" w:sz="4" w:space="0" w:color="auto"/>
              <w:bottom w:val="single" w:sz="4" w:space="0" w:color="auto"/>
              <w:right w:val="single" w:sz="4" w:space="0" w:color="auto"/>
            </w:tcBorders>
            <w:noWrap/>
            <w:vAlign w:val="center"/>
            <w:hideMark/>
          </w:tcPr>
          <w:p w14:paraId="0DD1CF6D" w14:textId="77777777" w:rsidR="00140722" w:rsidRPr="0078509A" w:rsidRDefault="00140722" w:rsidP="00492A4A">
            <w:pPr>
              <w:spacing w:before="0" w:after="0" w:line="240" w:lineRule="auto"/>
              <w:jc w:val="center"/>
              <w:rPr>
                <w:rFonts w:eastAsia="Times New Roman" w:cs="Calibri"/>
                <w:b/>
                <w:bCs/>
                <w:color w:val="000000"/>
              </w:rPr>
            </w:pPr>
            <w:r w:rsidRPr="0078509A">
              <w:rPr>
                <w:rFonts w:eastAsia="Times New Roman" w:cs="Calibri"/>
                <w:b/>
                <w:bCs/>
                <w:lang w:val="en-US" w:eastAsia="en-US"/>
              </w:rPr>
              <w:t>Standard error mean proportion exceeding (%)</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50F393A" w14:textId="77777777" w:rsidR="00140722" w:rsidRPr="0078509A" w:rsidRDefault="00140722" w:rsidP="00492A4A">
            <w:pPr>
              <w:spacing w:before="0" w:after="0" w:line="240" w:lineRule="auto"/>
              <w:jc w:val="center"/>
              <w:rPr>
                <w:rFonts w:eastAsia="Times New Roman" w:cs="Calibri"/>
                <w:b/>
                <w:bCs/>
                <w:color w:val="000000"/>
              </w:rPr>
            </w:pPr>
            <w:r w:rsidRPr="0078509A">
              <w:rPr>
                <w:rFonts w:eastAsia="Times New Roman" w:cs="Calibri"/>
                <w:b/>
                <w:bCs/>
                <w:lang w:val="en-US" w:eastAsia="en-US"/>
              </w:rPr>
              <w:t>95% confidence intervals (%)</w:t>
            </w:r>
          </w:p>
        </w:tc>
      </w:tr>
      <w:tr w:rsidR="00140722" w:rsidRPr="0078509A" w14:paraId="3044B036" w14:textId="77777777" w:rsidTr="00492A4A">
        <w:trPr>
          <w:trHeight w:val="300"/>
        </w:trPr>
        <w:tc>
          <w:tcPr>
            <w:tcW w:w="979" w:type="dxa"/>
            <w:vMerge w:val="restart"/>
            <w:tcBorders>
              <w:top w:val="single" w:sz="4" w:space="0" w:color="auto"/>
              <w:left w:val="single" w:sz="4" w:space="0" w:color="auto"/>
              <w:bottom w:val="single" w:sz="4" w:space="0" w:color="auto"/>
              <w:right w:val="single" w:sz="4" w:space="0" w:color="auto"/>
            </w:tcBorders>
            <w:noWrap/>
            <w:vAlign w:val="center"/>
            <w:hideMark/>
          </w:tcPr>
          <w:p w14:paraId="20DE06F3" w14:textId="77777777" w:rsidR="00140722" w:rsidRPr="0078509A" w:rsidRDefault="00140722" w:rsidP="00492A4A">
            <w:pPr>
              <w:spacing w:before="0" w:after="0" w:line="240" w:lineRule="auto"/>
              <w:jc w:val="left"/>
              <w:rPr>
                <w:rFonts w:eastAsia="Times New Roman" w:cs="Calibri"/>
                <w:b/>
                <w:bCs/>
                <w:color w:val="000000"/>
              </w:rPr>
            </w:pPr>
            <w:r w:rsidRPr="0078509A">
              <w:rPr>
                <w:rFonts w:eastAsia="Times New Roman" w:cs="Calibri"/>
                <w:b/>
                <w:bCs/>
                <w:color w:val="000000"/>
              </w:rPr>
              <w:t>TN</w:t>
            </w: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00BD5858"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7AF2E70E"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2.3</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5397020A"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63362C0C"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0.3 - 4.3</w:t>
            </w:r>
          </w:p>
        </w:tc>
      </w:tr>
      <w:tr w:rsidR="00140722" w:rsidRPr="0078509A" w14:paraId="653E1600"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8D804"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77F3E778"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6303D483"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9.2</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24FC916A"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1.9</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08635199"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5.5 - 12.9</w:t>
            </w:r>
          </w:p>
        </w:tc>
      </w:tr>
      <w:tr w:rsidR="00140722" w:rsidRPr="0078509A" w14:paraId="32B407F4"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ED96A"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15478210"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73556F62"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19.1</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2F9EFF0F"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2.5</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01ABB10E"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14.2 - 24</w:t>
            </w:r>
          </w:p>
        </w:tc>
      </w:tr>
      <w:tr w:rsidR="00140722" w:rsidRPr="0078509A" w14:paraId="72D4694A"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1F961"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43E8D1A2"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50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55BF140F"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38.6</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1E7165FB"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3.4</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7F62228D"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31.9 - 45.3</w:t>
            </w:r>
          </w:p>
        </w:tc>
      </w:tr>
      <w:tr w:rsidR="00140722" w:rsidRPr="0078509A" w14:paraId="77E61AC9" w14:textId="77777777" w:rsidTr="00492A4A">
        <w:trPr>
          <w:trHeight w:val="300"/>
        </w:trPr>
        <w:tc>
          <w:tcPr>
            <w:tcW w:w="979" w:type="dxa"/>
            <w:vMerge w:val="restart"/>
            <w:tcBorders>
              <w:top w:val="single" w:sz="4" w:space="0" w:color="auto"/>
              <w:left w:val="single" w:sz="4" w:space="0" w:color="auto"/>
              <w:bottom w:val="single" w:sz="4" w:space="0" w:color="auto"/>
              <w:right w:val="single" w:sz="4" w:space="0" w:color="auto"/>
            </w:tcBorders>
            <w:noWrap/>
            <w:vAlign w:val="center"/>
            <w:hideMark/>
          </w:tcPr>
          <w:p w14:paraId="59D835A4" w14:textId="77777777" w:rsidR="00140722" w:rsidRPr="0078509A" w:rsidRDefault="00140722" w:rsidP="00492A4A">
            <w:pPr>
              <w:spacing w:before="0" w:after="0" w:line="240" w:lineRule="auto"/>
              <w:jc w:val="left"/>
              <w:rPr>
                <w:rFonts w:eastAsia="Times New Roman" w:cs="Calibri"/>
                <w:b/>
                <w:bCs/>
                <w:color w:val="000000"/>
              </w:rPr>
            </w:pPr>
            <w:r w:rsidRPr="0078509A">
              <w:rPr>
                <w:rFonts w:eastAsia="Times New Roman" w:cs="Calibri"/>
                <w:b/>
                <w:bCs/>
                <w:color w:val="000000"/>
              </w:rPr>
              <w:t>DRP</w:t>
            </w: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568EB4DC"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3BBD456C"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8.1</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671D107B"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1.8</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610E2D20"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4.6 - 11.6</w:t>
            </w:r>
          </w:p>
        </w:tc>
      </w:tr>
      <w:tr w:rsidR="00140722" w:rsidRPr="0078509A" w14:paraId="04804C41"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7C04"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48088DFA"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0B3B9893"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20.1</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0858F056"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2.5</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708B7CE"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15.2 - 25</w:t>
            </w:r>
          </w:p>
        </w:tc>
      </w:tr>
      <w:tr w:rsidR="00140722" w:rsidRPr="0078509A" w14:paraId="2DCBEDCE"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A1B1A"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3DEE84D8"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026B287E"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32.8</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63FD0AF7"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3.1</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7D9A917A"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26.7 - 38.9</w:t>
            </w:r>
          </w:p>
        </w:tc>
      </w:tr>
      <w:tr w:rsidR="00140722" w:rsidRPr="0078509A" w14:paraId="2D7F9280" w14:textId="77777777" w:rsidTr="00492A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ED4AD" w14:textId="77777777" w:rsidR="00140722" w:rsidRPr="0078509A" w:rsidRDefault="00140722" w:rsidP="00492A4A">
            <w:pPr>
              <w:spacing w:before="0" w:after="0" w:line="276" w:lineRule="auto"/>
              <w:jc w:val="left"/>
              <w:rPr>
                <w:rFonts w:eastAsia="Times New Roman" w:cs="Calibri"/>
                <w:b/>
                <w:bCs/>
                <w:color w:val="000000"/>
              </w:rPr>
            </w:pPr>
          </w:p>
        </w:tc>
        <w:tc>
          <w:tcPr>
            <w:tcW w:w="1351" w:type="dxa"/>
            <w:tcBorders>
              <w:top w:val="single" w:sz="4" w:space="0" w:color="auto"/>
              <w:left w:val="single" w:sz="4" w:space="0" w:color="auto"/>
              <w:bottom w:val="single" w:sz="4" w:space="0" w:color="auto"/>
              <w:right w:val="single" w:sz="4" w:space="0" w:color="auto"/>
            </w:tcBorders>
            <w:noWrap/>
            <w:vAlign w:val="bottom"/>
            <w:hideMark/>
          </w:tcPr>
          <w:p w14:paraId="4DE1A659"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50</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64B77255"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59.2</w:t>
            </w:r>
          </w:p>
        </w:tc>
        <w:tc>
          <w:tcPr>
            <w:tcW w:w="2211" w:type="dxa"/>
            <w:tcBorders>
              <w:top w:val="single" w:sz="4" w:space="0" w:color="auto"/>
              <w:left w:val="single" w:sz="4" w:space="0" w:color="auto"/>
              <w:bottom w:val="single" w:sz="4" w:space="0" w:color="auto"/>
              <w:right w:val="single" w:sz="4" w:space="0" w:color="auto"/>
            </w:tcBorders>
            <w:noWrap/>
            <w:vAlign w:val="bottom"/>
            <w:hideMark/>
          </w:tcPr>
          <w:p w14:paraId="6CAA0416"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3.5</w:t>
            </w: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16BBEB2" w14:textId="77777777" w:rsidR="00140722" w:rsidRPr="0078509A" w:rsidRDefault="00140722" w:rsidP="00492A4A">
            <w:pPr>
              <w:spacing w:before="0" w:after="0" w:line="240" w:lineRule="auto"/>
              <w:jc w:val="center"/>
              <w:rPr>
                <w:rFonts w:eastAsia="Times New Roman" w:cs="Calibri"/>
                <w:color w:val="000000"/>
              </w:rPr>
            </w:pPr>
            <w:r w:rsidRPr="0078509A">
              <w:rPr>
                <w:rFonts w:eastAsia="Times New Roman" w:cs="Calibri"/>
                <w:color w:val="000000"/>
              </w:rPr>
              <w:t>52.3 - 66.1</w:t>
            </w:r>
          </w:p>
        </w:tc>
      </w:tr>
    </w:tbl>
    <w:p w14:paraId="5A32376F" w14:textId="77777777" w:rsidR="0078509A" w:rsidRPr="0078509A" w:rsidRDefault="0078509A" w:rsidP="008E40DC">
      <w:pPr>
        <w:pStyle w:val="Heading3"/>
        <w:rPr>
          <w:lang w:val="en-US" w:eastAsia="en-US" w:bidi="hi-IN"/>
        </w:rPr>
      </w:pPr>
      <w:r w:rsidRPr="0078509A">
        <w:rPr>
          <w:lang w:val="en-US" w:eastAsia="en-US" w:bidi="hi-IN"/>
        </w:rPr>
        <w:t xml:space="preserve">Recalibrated </w:t>
      </w:r>
      <w:r w:rsidRPr="0078509A">
        <w:rPr>
          <w:lang w:val="en-US" w:eastAsia="en-US"/>
        </w:rPr>
        <w:t>concentration targets</w:t>
      </w:r>
      <w:bookmarkEnd w:id="229"/>
      <w:bookmarkEnd w:id="230"/>
      <w:bookmarkEnd w:id="231"/>
    </w:p>
    <w:p w14:paraId="53858B8B" w14:textId="16A8034B" w:rsidR="0078509A" w:rsidRPr="0078509A" w:rsidRDefault="0078509A" w:rsidP="00143BF5">
      <w:pPr>
        <w:pStyle w:val="BodyText"/>
        <w:rPr>
          <w:lang w:val="en-US" w:eastAsia="en-US" w:bidi="hi-IN"/>
        </w:rPr>
      </w:pPr>
      <w:r w:rsidRPr="0078509A">
        <w:rPr>
          <w:lang w:val="en-US" w:eastAsia="en-US"/>
        </w:rPr>
        <w:fldChar w:fldCharType="begin"/>
      </w:r>
      <w:r w:rsidRPr="0078509A">
        <w:rPr>
          <w:lang w:val="en-US" w:eastAsia="en-US"/>
        </w:rPr>
        <w:instrText xml:space="preserve"> ADDIN ZOTERO_ITEM CSL_CITATION {"citationID":"Dxoo3OT8","properties":{"formattedCitation":"(Snelder {\\i{}et al.}, 2019)","plainCitation":"(Snelder et al., 2019)","dontUpdate":true,"noteIndex":0},"citationItems":[{"id":3608,"uris":["http://zotero.org/groups/2329384/items/SP3LJK3U"],"uri":["http://zotero.org/groups/2329384/items/SP3LJK3U"],"itemData":{"id":3608,"type":"article-journal","container-title":"JAWRA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8509A">
        <w:rPr>
          <w:lang w:val="en-US" w:eastAsia="en-US"/>
        </w:rPr>
        <w:fldChar w:fldCharType="separate"/>
      </w:r>
      <w:r w:rsidRPr="0078509A">
        <w:rPr>
          <w:rFonts w:cs="Calibri"/>
          <w:szCs w:val="24"/>
          <w:lang w:val="en-US" w:eastAsia="en-US"/>
        </w:rPr>
        <w:t xml:space="preserve">Snelder </w:t>
      </w:r>
      <w:r w:rsidR="008E40DC">
        <w:rPr>
          <w:rFonts w:cs="Calibri"/>
          <w:i/>
          <w:iCs/>
          <w:szCs w:val="24"/>
          <w:lang w:val="en-US" w:eastAsia="en-US"/>
        </w:rPr>
        <w:t>et al</w:t>
      </w:r>
      <w:r w:rsidRPr="0078509A">
        <w:rPr>
          <w:rFonts w:cs="Calibri"/>
          <w:szCs w:val="24"/>
          <w:lang w:val="en-US" w:eastAsia="en-US"/>
        </w:rPr>
        <w:t xml:space="preserve"> (2019)</w:t>
      </w:r>
      <w:r w:rsidRPr="0078509A">
        <w:rPr>
          <w:lang w:val="en-US" w:eastAsia="en-US"/>
        </w:rPr>
        <w:fldChar w:fldCharType="end"/>
      </w:r>
      <w:r w:rsidRPr="0078509A">
        <w:rPr>
          <w:lang w:val="en-US" w:eastAsia="en-US"/>
        </w:rPr>
        <w:t xml:space="preserve"> </w:t>
      </w:r>
      <w:r w:rsidRPr="0078509A">
        <w:rPr>
          <w:lang w:val="en-US" w:eastAsia="en-US" w:bidi="hi-IN"/>
        </w:rPr>
        <w:t>suggested that testing data could be used to re-calibrate the TN and DRP</w:t>
      </w:r>
      <w:r w:rsidR="00464AE1">
        <w:rPr>
          <w:lang w:val="en-US" w:eastAsia="en-US" w:bidi="hi-IN"/>
        </w:rPr>
        <w:t> </w:t>
      </w:r>
      <w:r w:rsidRPr="0078509A">
        <w:rPr>
          <w:lang w:val="en-US" w:eastAsia="en-US"/>
        </w:rPr>
        <w:t xml:space="preserve">concentration targets </w:t>
      </w:r>
      <w:r w:rsidRPr="0078509A">
        <w:rPr>
          <w:lang w:val="en-US" w:eastAsia="en-US" w:bidi="hi-IN"/>
        </w:rPr>
        <w:t xml:space="preserve">given the test indicated that they were </w:t>
      </w:r>
      <w:r w:rsidRPr="0078509A">
        <w:rPr>
          <w:lang w:val="en-US" w:eastAsia="en-US"/>
        </w:rPr>
        <w:t>too conservative and too</w:t>
      </w:r>
      <w:r w:rsidR="00464AE1">
        <w:rPr>
          <w:lang w:val="en-US" w:eastAsia="en-US"/>
        </w:rPr>
        <w:t> </w:t>
      </w:r>
      <w:r w:rsidRPr="0078509A">
        <w:rPr>
          <w:lang w:val="en-US" w:eastAsia="en-US"/>
        </w:rPr>
        <w:t xml:space="preserve">permissive </w:t>
      </w:r>
      <w:r w:rsidRPr="0078509A">
        <w:rPr>
          <w:lang w:val="en-US" w:eastAsia="en-US" w:bidi="hi-IN"/>
        </w:rPr>
        <w:t>across all REC classes,</w:t>
      </w:r>
      <w:r w:rsidRPr="0078509A">
        <w:rPr>
          <w:lang w:val="en-US" w:eastAsia="en-US"/>
        </w:rPr>
        <w:t xml:space="preserve"> respectively</w:t>
      </w:r>
      <w:r w:rsidRPr="0078509A">
        <w:rPr>
          <w:lang w:val="en-US" w:eastAsia="en-US" w:bidi="hi-IN"/>
        </w:rPr>
        <w:t xml:space="preserve">. Re-calibration involves adjusting the </w:t>
      </w:r>
      <w:r w:rsidRPr="0078509A">
        <w:rPr>
          <w:lang w:val="en-US" w:eastAsia="en-US"/>
        </w:rPr>
        <w:t xml:space="preserve">concentration targets </w:t>
      </w:r>
      <w:r w:rsidRPr="0078509A">
        <w:rPr>
          <w:lang w:val="en-US" w:eastAsia="en-US" w:bidi="hi-IN"/>
        </w:rPr>
        <w:t>so that the proportion of test sites exceeding the biomass threshold matched the spatial exceedance criteria. It was proposed re-calibration is justifiable because the test dataset (of 173 regional council sites) are generally on smaller rivers than the NRWQN</w:t>
      </w:r>
      <w:r w:rsidR="00464AE1">
        <w:rPr>
          <w:lang w:val="en-US" w:eastAsia="en-US" w:bidi="hi-IN"/>
        </w:rPr>
        <w:t> </w:t>
      </w:r>
      <w:r w:rsidRPr="0078509A">
        <w:rPr>
          <w:lang w:val="en-US" w:eastAsia="en-US" w:bidi="hi-IN"/>
        </w:rPr>
        <w:t xml:space="preserve">sites. </w:t>
      </w:r>
    </w:p>
    <w:p w14:paraId="454734C1" w14:textId="0597DE47" w:rsidR="0078509A" w:rsidRPr="0078509A" w:rsidRDefault="0078509A" w:rsidP="00143BF5">
      <w:pPr>
        <w:pStyle w:val="BodyText"/>
        <w:rPr>
          <w:lang w:val="en-US" w:eastAsia="en-US" w:bidi="hi-IN"/>
        </w:rPr>
      </w:pPr>
      <w:r w:rsidRPr="0078509A">
        <w:rPr>
          <w:lang w:val="en-US" w:eastAsia="en-US" w:bidi="hi-IN"/>
        </w:rPr>
        <w:t xml:space="preserve">To recalibrate the </w:t>
      </w:r>
      <w:r w:rsidRPr="0078509A">
        <w:rPr>
          <w:lang w:val="en-US" w:eastAsia="en-US"/>
        </w:rPr>
        <w:t>concentration targets</w:t>
      </w:r>
      <w:r w:rsidRPr="0078509A">
        <w:rPr>
          <w:lang w:val="en-US" w:eastAsia="en-US" w:bidi="hi-IN"/>
        </w:rPr>
        <w:t xml:space="preserve">, each row of the original </w:t>
      </w:r>
      <w:r w:rsidRPr="0078509A">
        <w:rPr>
          <w:lang w:val="en-US" w:eastAsia="en-US"/>
        </w:rPr>
        <w:t xml:space="preserve">concentration targets </w:t>
      </w:r>
      <w:r w:rsidRPr="0078509A">
        <w:rPr>
          <w:lang w:val="en-US" w:eastAsia="en-US" w:bidi="hi-IN"/>
        </w:rPr>
        <w:t>(</w:t>
      </w:r>
      <w:r w:rsidR="008E40DC">
        <w:rPr>
          <w:lang w:val="en-US" w:eastAsia="en-US" w:bidi="hi-IN"/>
        </w:rPr>
        <w:t>ie,</w:t>
      </w:r>
      <w:r w:rsidRPr="0078509A">
        <w:rPr>
          <w:lang w:val="en-US" w:eastAsia="en-US" w:bidi="hi-IN"/>
        </w:rPr>
        <w:t xml:space="preserve"> each REC Source of Flow class shown in </w:t>
      </w:r>
      <w:r w:rsidR="009C17BC">
        <w:rPr>
          <w:lang w:val="en-US" w:eastAsia="en-US" w:bidi="hi-IN"/>
        </w:rPr>
        <w:t>Table 1</w:t>
      </w:r>
      <w:r w:rsidRPr="0078509A">
        <w:rPr>
          <w:lang w:val="en-US" w:eastAsia="en-US" w:bidi="hi-IN"/>
        </w:rPr>
        <w:t>) is interpolated from the observed (</w:t>
      </w:r>
      <w:r w:rsidR="008E40DC">
        <w:rPr>
          <w:lang w:val="en-US" w:eastAsia="en-US" w:bidi="hi-IN"/>
        </w:rPr>
        <w:t>ie,</w:t>
      </w:r>
      <w:r w:rsidRPr="0078509A">
        <w:rPr>
          <w:lang w:val="en-US" w:eastAsia="en-US" w:bidi="hi-IN"/>
        </w:rPr>
        <w:t xml:space="preserve"> test results in</w:t>
      </w:r>
      <w:r w:rsidR="009C17BC">
        <w:rPr>
          <w:lang w:val="en-US" w:eastAsia="en-US" w:bidi="hi-IN"/>
        </w:rPr>
        <w:t xml:space="preserve"> Table 3</w:t>
      </w:r>
      <w:r w:rsidRPr="0078509A">
        <w:rPr>
          <w:lang w:val="en-US" w:eastAsia="en-US" w:bidi="hi-IN"/>
        </w:rPr>
        <w:t>) to obtain the TN and DRP concentrations at which the proportion of sites exceeding the biomass threshold is consistent with the designated spatial exceedance (</w:t>
      </w:r>
      <w:r w:rsidR="008E40DC">
        <w:rPr>
          <w:lang w:val="en-US" w:eastAsia="en-US" w:bidi="hi-IN"/>
        </w:rPr>
        <w:t>ie,</w:t>
      </w:r>
      <w:r w:rsidRPr="0078509A">
        <w:rPr>
          <w:lang w:val="en-US" w:eastAsia="en-US" w:bidi="hi-IN"/>
        </w:rPr>
        <w:t xml:space="preserve"> 10, 20, 30 and 50). The results of the re-calibrations are show in </w:t>
      </w:r>
      <w:r w:rsidR="009C17BC">
        <w:rPr>
          <w:lang w:val="en-US" w:eastAsia="en-US" w:bidi="hi-IN"/>
        </w:rPr>
        <w:t>Tables 4 and 5</w:t>
      </w:r>
      <w:r w:rsidRPr="0078509A">
        <w:rPr>
          <w:lang w:val="en-US" w:eastAsia="en-US" w:bidi="hi-IN"/>
        </w:rPr>
        <w:t>. Note that re</w:t>
      </w:r>
      <w:r w:rsidR="00DE45AA">
        <w:rPr>
          <w:lang w:val="en-US" w:eastAsia="en-US" w:bidi="hi-IN"/>
        </w:rPr>
        <w:noBreakHyphen/>
      </w:r>
      <w:r w:rsidRPr="0078509A">
        <w:rPr>
          <w:lang w:val="en-US" w:eastAsia="en-US" w:bidi="hi-IN"/>
        </w:rPr>
        <w:t xml:space="preserve">calibrated TN </w:t>
      </w:r>
      <w:r w:rsidRPr="0078509A">
        <w:rPr>
          <w:lang w:val="en-US" w:eastAsia="en-US"/>
        </w:rPr>
        <w:t xml:space="preserve">concentration targets </w:t>
      </w:r>
      <w:r w:rsidRPr="0078509A">
        <w:rPr>
          <w:lang w:val="en-US" w:eastAsia="en-US" w:bidi="hi-IN"/>
        </w:rPr>
        <w:t xml:space="preserve">were used in the analysis of the impact of existing NPS-FM periphyton attribute </w:t>
      </w:r>
      <w:r w:rsidR="0067679D">
        <w:rPr>
          <w:lang w:val="en-US" w:eastAsia="en-US" w:bidi="hi-IN"/>
        </w:rPr>
        <w:t>bottom-line</w:t>
      </w:r>
      <w:r w:rsidRPr="0078509A">
        <w:rPr>
          <w:lang w:val="en-US" w:eastAsia="en-US" w:bidi="hi-IN"/>
        </w:rPr>
        <w:t xml:space="preserve">s and dissolved inorganic nitrogen </w:t>
      </w:r>
      <w:r w:rsidR="0067679D">
        <w:rPr>
          <w:lang w:val="en-US" w:eastAsia="en-US" w:bidi="hi-IN"/>
        </w:rPr>
        <w:t>bottom-line</w:t>
      </w:r>
      <w:r w:rsidRPr="0078509A">
        <w:rPr>
          <w:lang w:val="en-US" w:eastAsia="en-US" w:bidi="hi-IN"/>
        </w:rPr>
        <w:t xml:space="preserve">s proposed as part of the Essential Freshwater policy package </w:t>
      </w:r>
      <w:r w:rsidRPr="0078509A">
        <w:rPr>
          <w:lang w:val="en-US" w:eastAsia="en-US" w:bidi="hi-IN"/>
        </w:rPr>
        <w:fldChar w:fldCharType="begin"/>
      </w:r>
      <w:r w:rsidRPr="0078509A">
        <w:rPr>
          <w:lang w:val="en-US" w:eastAsia="en-US" w:bidi="hi-IN"/>
        </w:rPr>
        <w:instrText xml:space="preserve"> ADDIN ZOTERO_ITEM CSL_CITATION {"citationID":"nnhjFoZY","properties":{"formattedCitation":"(MFE, 2019)","plainCitation":"(MFE, 2019)","noteIndex":0},"citationItems":[{"id":3577,"uris":["http://zotero.org/groups/2329384/items/5EA46DW7"],"uri":["http://zotero.org/groups/2329384/items/5EA46DW7"],"itemData":{"id":3577,"type":"report","event-place":"Wellington, New  Zealand","number":"ME 1467","publisher":"Ministry for the Environment &amp; Statistics NZ","publisher-place":"Wellington, New  Zealand","title":"Essential Freshwater: Impact of existing periphyton and proposed dissolved inorganic nitrogen bottom lines","author":[{"family":"MFE","given":""}],"issued":{"date-parts":[["2019"]]}}}],"schema":"https://github.com/citation-style-language/schema/raw/master/csl-citation.json"} </w:instrText>
      </w:r>
      <w:r w:rsidRPr="0078509A">
        <w:rPr>
          <w:lang w:val="en-US" w:eastAsia="en-US" w:bidi="hi-IN"/>
        </w:rPr>
        <w:fldChar w:fldCharType="separate"/>
      </w:r>
      <w:r w:rsidRPr="0078509A">
        <w:rPr>
          <w:rFonts w:cs="Calibri"/>
          <w:lang w:val="en-US" w:eastAsia="en-US"/>
        </w:rPr>
        <w:t>(</w:t>
      </w:r>
      <w:r w:rsidR="00D877B1">
        <w:rPr>
          <w:rFonts w:cs="Calibri"/>
          <w:lang w:val="en-US" w:eastAsia="en-US"/>
        </w:rPr>
        <w:t>Ministry for the Environment</w:t>
      </w:r>
      <w:r w:rsidRPr="0078509A">
        <w:rPr>
          <w:rFonts w:cs="Calibri"/>
          <w:lang w:val="en-US" w:eastAsia="en-US"/>
        </w:rPr>
        <w:t>, 2019)</w:t>
      </w:r>
      <w:r w:rsidRPr="0078509A">
        <w:rPr>
          <w:lang w:val="en-US" w:eastAsia="en-US" w:bidi="hi-IN"/>
        </w:rPr>
        <w:fldChar w:fldCharType="end"/>
      </w:r>
      <w:r w:rsidRPr="0078509A">
        <w:rPr>
          <w:lang w:val="en-US" w:eastAsia="en-US" w:bidi="hi-IN"/>
        </w:rPr>
        <w:t>.</w:t>
      </w:r>
    </w:p>
    <w:p w14:paraId="57BFA11C" w14:textId="77777777" w:rsidR="0078509A" w:rsidRPr="0078509A" w:rsidRDefault="0078509A" w:rsidP="0078509A">
      <w:pPr>
        <w:spacing w:before="0" w:after="200" w:line="276" w:lineRule="auto"/>
        <w:jc w:val="left"/>
        <w:rPr>
          <w:rFonts w:eastAsia="Times New Roman" w:cs="Times New Roman"/>
          <w:lang w:val="en-US" w:eastAsia="en-US" w:bidi="hi-IN"/>
        </w:rPr>
      </w:pPr>
      <w:r w:rsidRPr="0078509A">
        <w:rPr>
          <w:rFonts w:eastAsia="Times New Roman" w:cs="Times New Roman"/>
          <w:lang w:val="en-US" w:eastAsia="en-US" w:bidi="hi-IN"/>
        </w:rPr>
        <w:br w:type="page"/>
      </w:r>
    </w:p>
    <w:p w14:paraId="6D949692" w14:textId="54E993A8" w:rsidR="0078509A" w:rsidRPr="0078509A" w:rsidRDefault="0078509A" w:rsidP="0078509A">
      <w:pPr>
        <w:keepNext/>
        <w:spacing w:before="0" w:after="200" w:line="240" w:lineRule="auto"/>
        <w:jc w:val="left"/>
        <w:rPr>
          <w:rFonts w:eastAsia="Times New Roman" w:cs="Times New Roman"/>
          <w:b/>
          <w:bCs/>
          <w:smallCaps/>
          <w:color w:val="1F497D"/>
          <w:spacing w:val="6"/>
          <w:szCs w:val="18"/>
          <w:lang w:val="en-US" w:eastAsia="en-US" w:bidi="hi-IN"/>
        </w:rPr>
      </w:pPr>
      <w:bookmarkStart w:id="232" w:name="_Ref33717688"/>
      <w:bookmarkStart w:id="233" w:name="_Ref33717659"/>
      <w:r w:rsidRPr="0078509A">
        <w:rPr>
          <w:rFonts w:eastAsia="Times New Roman" w:cs="Times New Roman"/>
          <w:b/>
          <w:bCs/>
          <w:smallCaps/>
          <w:color w:val="1F497D"/>
          <w:spacing w:val="6"/>
          <w:szCs w:val="18"/>
          <w:lang w:val="en-US" w:eastAsia="en-US" w:bidi="hi-IN"/>
        </w:rPr>
        <w:lastRenderedPageBreak/>
        <w:t xml:space="preserve">Table </w:t>
      </w:r>
      <w:bookmarkEnd w:id="232"/>
      <w:r w:rsidR="00BC21BD">
        <w:rPr>
          <w:rFonts w:eastAsia="Times New Roman" w:cs="Times New Roman"/>
          <w:b/>
          <w:bCs/>
          <w:smallCaps/>
          <w:color w:val="1F497D"/>
          <w:spacing w:val="6"/>
          <w:szCs w:val="18"/>
          <w:lang w:val="en-US" w:eastAsia="en-US" w:bidi="hi-IN"/>
        </w:rPr>
        <w:t>4</w:t>
      </w:r>
      <w:r w:rsidRPr="0078509A">
        <w:rPr>
          <w:rFonts w:eastAsia="Times New Roman" w:cs="Times New Roman"/>
          <w:b/>
          <w:bCs/>
          <w:smallCaps/>
          <w:color w:val="1F497D"/>
          <w:spacing w:val="6"/>
          <w:szCs w:val="18"/>
          <w:lang w:val="en-US" w:eastAsia="en-US" w:bidi="hi-IN"/>
        </w:rPr>
        <w:t>. Recalibrated TN concentration targets (mg m</w:t>
      </w:r>
      <w:r w:rsidRPr="0078509A">
        <w:rPr>
          <w:rFonts w:eastAsia="Times New Roman" w:cs="Times New Roman"/>
          <w:b/>
          <w:bCs/>
          <w:smallCaps/>
          <w:color w:val="1F497D"/>
          <w:spacing w:val="6"/>
          <w:szCs w:val="18"/>
          <w:vertAlign w:val="superscript"/>
          <w:lang w:val="en-US" w:eastAsia="en-US" w:bidi="hi-IN"/>
        </w:rPr>
        <w:t>-3</w:t>
      </w:r>
      <w:r w:rsidRPr="0078509A">
        <w:rPr>
          <w:rFonts w:eastAsia="Times New Roman" w:cs="Times New Roman"/>
          <w:b/>
          <w:bCs/>
          <w:smallCaps/>
          <w:color w:val="1F497D"/>
          <w:spacing w:val="6"/>
          <w:szCs w:val="18"/>
          <w:lang w:val="en-US" w:eastAsia="en-US" w:bidi="hi-IN"/>
        </w:rPr>
        <w:t>) to achieve the chlorophyll thresholds of 50, 120 and 200 mg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 xml:space="preserve"> for spatial exceedance criteria of 10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 20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 xml:space="preserve"> and</w:t>
      </w:r>
      <w:r w:rsidR="00464AE1">
        <w:rPr>
          <w:rFonts w:eastAsia="Times New Roman" w:cs="Times New Roman"/>
          <w:b/>
          <w:bCs/>
          <w:smallCaps/>
          <w:color w:val="1F497D"/>
          <w:spacing w:val="6"/>
          <w:szCs w:val="18"/>
          <w:lang w:val="en-US" w:eastAsia="en-US" w:bidi="hi-IN"/>
        </w:rPr>
        <w:t> </w:t>
      </w:r>
      <w:r w:rsidRPr="0078509A">
        <w:rPr>
          <w:rFonts w:eastAsia="Times New Roman" w:cs="Times New Roman"/>
          <w:b/>
          <w:bCs/>
          <w:smallCaps/>
          <w:color w:val="1F497D"/>
          <w:spacing w:val="6"/>
          <w:szCs w:val="18"/>
          <w:lang w:val="en-US" w:eastAsia="en-US" w:bidi="hi-IN"/>
        </w:rPr>
        <w:t>30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w:t>
      </w:r>
      <w:bookmarkEnd w:id="233"/>
      <w:r w:rsidRPr="0078509A">
        <w:rPr>
          <w:rFonts w:eastAsia="Times New Roman" w:cs="Times New Roman"/>
          <w:b/>
          <w:bCs/>
          <w:smallCaps/>
          <w:color w:val="1F497D"/>
          <w:spacing w:val="6"/>
          <w:szCs w:val="18"/>
          <w:lang w:val="en-US" w:eastAsia="en-US" w:bidi="hi-IN"/>
        </w:rPr>
        <w:t xml:space="preserve"> </w:t>
      </w:r>
    </w:p>
    <w:tbl>
      <w:tblPr>
        <w:tblStyle w:val="TableGrid1"/>
        <w:tblW w:w="8506" w:type="dxa"/>
        <w:tblInd w:w="0" w:type="dxa"/>
        <w:tblLook w:val="04A0" w:firstRow="1" w:lastRow="0" w:firstColumn="1" w:lastColumn="0" w:noHBand="0" w:noVBand="1"/>
      </w:tblPr>
      <w:tblGrid>
        <w:gridCol w:w="865"/>
        <w:gridCol w:w="849"/>
        <w:gridCol w:w="849"/>
        <w:gridCol w:w="849"/>
        <w:gridCol w:w="849"/>
        <w:gridCol w:w="849"/>
        <w:gridCol w:w="849"/>
        <w:gridCol w:w="849"/>
        <w:gridCol w:w="849"/>
        <w:gridCol w:w="849"/>
      </w:tblGrid>
      <w:tr w:rsidR="0078509A" w:rsidRPr="0078509A" w14:paraId="69670917" w14:textId="77777777" w:rsidTr="0078509A">
        <w:tc>
          <w:tcPr>
            <w:tcW w:w="865" w:type="dxa"/>
            <w:vMerge w:val="restart"/>
            <w:tcBorders>
              <w:top w:val="single" w:sz="4" w:space="0" w:color="auto"/>
              <w:left w:val="single" w:sz="4" w:space="0" w:color="auto"/>
              <w:bottom w:val="single" w:sz="4" w:space="0" w:color="auto"/>
              <w:right w:val="single" w:sz="4" w:space="0" w:color="auto"/>
            </w:tcBorders>
            <w:hideMark/>
          </w:tcPr>
          <w:p w14:paraId="7861525A"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bidi="hi-IN"/>
              </w:rPr>
              <w:t>REC class</w:t>
            </w:r>
          </w:p>
        </w:tc>
        <w:tc>
          <w:tcPr>
            <w:tcW w:w="2547" w:type="dxa"/>
            <w:gridSpan w:val="3"/>
            <w:tcBorders>
              <w:top w:val="single" w:sz="4" w:space="0" w:color="auto"/>
              <w:left w:val="single" w:sz="4" w:space="0" w:color="auto"/>
              <w:bottom w:val="single" w:sz="4" w:space="0" w:color="auto"/>
              <w:right w:val="single" w:sz="4" w:space="0" w:color="auto"/>
            </w:tcBorders>
            <w:hideMark/>
          </w:tcPr>
          <w:p w14:paraId="48A13584"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bidi="hi-IN"/>
              </w:rPr>
              <w:t>10%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6B8ED54D"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bidi="hi-IN"/>
              </w:rPr>
              <w:t>20%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6199EEB2"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bidi="hi-IN"/>
              </w:rPr>
              <w:t>30% Spatial exceedance</w:t>
            </w:r>
          </w:p>
        </w:tc>
      </w:tr>
      <w:tr w:rsidR="0078509A" w:rsidRPr="0078509A" w14:paraId="600D20AB" w14:textId="77777777" w:rsidTr="0078509A">
        <w:tc>
          <w:tcPr>
            <w:tcW w:w="0" w:type="auto"/>
            <w:vMerge/>
            <w:tcBorders>
              <w:top w:val="single" w:sz="4" w:space="0" w:color="auto"/>
              <w:left w:val="single" w:sz="4" w:space="0" w:color="auto"/>
              <w:bottom w:val="single" w:sz="4" w:space="0" w:color="auto"/>
              <w:right w:val="single" w:sz="4" w:space="0" w:color="auto"/>
            </w:tcBorders>
            <w:vAlign w:val="center"/>
            <w:hideMark/>
          </w:tcPr>
          <w:p w14:paraId="30D49CCF" w14:textId="77777777" w:rsidR="0078509A" w:rsidRPr="0078509A" w:rsidRDefault="0078509A" w:rsidP="0078509A">
            <w:pPr>
              <w:spacing w:before="0" w:after="0" w:line="240" w:lineRule="auto"/>
              <w:jc w:val="left"/>
              <w:rPr>
                <w:rFonts w:eastAsia="Times New Roman"/>
                <w:b/>
                <w:bCs/>
                <w:lang w:eastAsia="en-US" w:bidi="hi-IN"/>
              </w:rPr>
            </w:pPr>
          </w:p>
        </w:tc>
        <w:tc>
          <w:tcPr>
            <w:tcW w:w="849" w:type="dxa"/>
            <w:tcBorders>
              <w:top w:val="single" w:sz="4" w:space="0" w:color="auto"/>
              <w:left w:val="single" w:sz="4" w:space="0" w:color="auto"/>
              <w:bottom w:val="single" w:sz="4" w:space="0" w:color="auto"/>
              <w:right w:val="single" w:sz="4" w:space="0" w:color="auto"/>
            </w:tcBorders>
            <w:hideMark/>
          </w:tcPr>
          <w:p w14:paraId="679088CA"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2EDC9430"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5F2DB101"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76EC5CB6"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64AD9ACA"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73182E24"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01AF1777"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3523D16D"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3A2607FC"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r>
      <w:tr w:rsidR="0078509A" w:rsidRPr="0078509A" w14:paraId="63452693"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2AB1CF4"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CXGM</w:t>
            </w:r>
          </w:p>
        </w:tc>
        <w:tc>
          <w:tcPr>
            <w:tcW w:w="849" w:type="dxa"/>
            <w:tcBorders>
              <w:top w:val="single" w:sz="4" w:space="0" w:color="auto"/>
              <w:left w:val="single" w:sz="4" w:space="0" w:color="auto"/>
              <w:bottom w:val="single" w:sz="4" w:space="0" w:color="auto"/>
              <w:right w:val="single" w:sz="4" w:space="0" w:color="auto"/>
            </w:tcBorders>
            <w:hideMark/>
          </w:tcPr>
          <w:p w14:paraId="2982BED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74</w:t>
            </w:r>
          </w:p>
        </w:tc>
        <w:tc>
          <w:tcPr>
            <w:tcW w:w="849" w:type="dxa"/>
            <w:tcBorders>
              <w:top w:val="single" w:sz="4" w:space="0" w:color="auto"/>
              <w:left w:val="single" w:sz="4" w:space="0" w:color="auto"/>
              <w:bottom w:val="single" w:sz="4" w:space="0" w:color="auto"/>
              <w:right w:val="single" w:sz="4" w:space="0" w:color="auto"/>
            </w:tcBorders>
            <w:hideMark/>
          </w:tcPr>
          <w:p w14:paraId="17E118C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369</w:t>
            </w:r>
          </w:p>
        </w:tc>
        <w:tc>
          <w:tcPr>
            <w:tcW w:w="849" w:type="dxa"/>
            <w:tcBorders>
              <w:top w:val="single" w:sz="4" w:space="0" w:color="auto"/>
              <w:left w:val="single" w:sz="4" w:space="0" w:color="auto"/>
              <w:bottom w:val="single" w:sz="4" w:space="0" w:color="auto"/>
              <w:right w:val="single" w:sz="4" w:space="0" w:color="auto"/>
            </w:tcBorders>
            <w:hideMark/>
          </w:tcPr>
          <w:p w14:paraId="3181354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899</w:t>
            </w:r>
          </w:p>
        </w:tc>
        <w:tc>
          <w:tcPr>
            <w:tcW w:w="849" w:type="dxa"/>
            <w:tcBorders>
              <w:top w:val="single" w:sz="4" w:space="0" w:color="auto"/>
              <w:left w:val="single" w:sz="4" w:space="0" w:color="auto"/>
              <w:bottom w:val="single" w:sz="4" w:space="0" w:color="auto"/>
              <w:right w:val="single" w:sz="4" w:space="0" w:color="auto"/>
            </w:tcBorders>
            <w:hideMark/>
          </w:tcPr>
          <w:p w14:paraId="44E4F51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183</w:t>
            </w:r>
          </w:p>
        </w:tc>
        <w:tc>
          <w:tcPr>
            <w:tcW w:w="849" w:type="dxa"/>
            <w:tcBorders>
              <w:top w:val="single" w:sz="4" w:space="0" w:color="auto"/>
              <w:left w:val="single" w:sz="4" w:space="0" w:color="auto"/>
              <w:bottom w:val="single" w:sz="4" w:space="0" w:color="auto"/>
              <w:right w:val="single" w:sz="4" w:space="0" w:color="auto"/>
            </w:tcBorders>
            <w:hideMark/>
          </w:tcPr>
          <w:p w14:paraId="1E9ABA6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883</w:t>
            </w:r>
          </w:p>
        </w:tc>
        <w:tc>
          <w:tcPr>
            <w:tcW w:w="849" w:type="dxa"/>
            <w:tcBorders>
              <w:top w:val="single" w:sz="4" w:space="0" w:color="auto"/>
              <w:left w:val="single" w:sz="4" w:space="0" w:color="auto"/>
              <w:bottom w:val="single" w:sz="4" w:space="0" w:color="auto"/>
              <w:right w:val="single" w:sz="4" w:space="0" w:color="auto"/>
            </w:tcBorders>
            <w:hideMark/>
          </w:tcPr>
          <w:p w14:paraId="30EE263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2059</w:t>
            </w:r>
          </w:p>
        </w:tc>
        <w:tc>
          <w:tcPr>
            <w:tcW w:w="849" w:type="dxa"/>
            <w:tcBorders>
              <w:top w:val="single" w:sz="4" w:space="0" w:color="auto"/>
              <w:left w:val="single" w:sz="4" w:space="0" w:color="auto"/>
              <w:bottom w:val="single" w:sz="4" w:space="0" w:color="auto"/>
              <w:right w:val="single" w:sz="4" w:space="0" w:color="auto"/>
            </w:tcBorders>
            <w:hideMark/>
          </w:tcPr>
          <w:p w14:paraId="3B3BC35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555</w:t>
            </w:r>
          </w:p>
        </w:tc>
        <w:tc>
          <w:tcPr>
            <w:tcW w:w="849" w:type="dxa"/>
            <w:tcBorders>
              <w:top w:val="single" w:sz="4" w:space="0" w:color="auto"/>
              <w:left w:val="single" w:sz="4" w:space="0" w:color="auto"/>
              <w:bottom w:val="single" w:sz="4" w:space="0" w:color="auto"/>
              <w:right w:val="single" w:sz="4" w:space="0" w:color="auto"/>
            </w:tcBorders>
            <w:hideMark/>
          </w:tcPr>
          <w:p w14:paraId="7EC110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2519</w:t>
            </w:r>
          </w:p>
        </w:tc>
        <w:tc>
          <w:tcPr>
            <w:tcW w:w="849" w:type="dxa"/>
            <w:tcBorders>
              <w:top w:val="single" w:sz="4" w:space="0" w:color="auto"/>
              <w:left w:val="single" w:sz="4" w:space="0" w:color="auto"/>
              <w:bottom w:val="single" w:sz="4" w:space="0" w:color="auto"/>
              <w:right w:val="single" w:sz="4" w:space="0" w:color="auto"/>
            </w:tcBorders>
            <w:hideMark/>
          </w:tcPr>
          <w:p w14:paraId="4F9D5EA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5233</w:t>
            </w:r>
          </w:p>
        </w:tc>
      </w:tr>
      <w:tr w:rsidR="0078509A" w:rsidRPr="0078509A" w14:paraId="1FC7D0BB"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EE5C38B"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CXM</w:t>
            </w:r>
          </w:p>
        </w:tc>
        <w:tc>
          <w:tcPr>
            <w:tcW w:w="849" w:type="dxa"/>
            <w:tcBorders>
              <w:top w:val="single" w:sz="4" w:space="0" w:color="auto"/>
              <w:left w:val="single" w:sz="4" w:space="0" w:color="auto"/>
              <w:bottom w:val="single" w:sz="4" w:space="0" w:color="auto"/>
              <w:right w:val="single" w:sz="4" w:space="0" w:color="auto"/>
            </w:tcBorders>
            <w:hideMark/>
          </w:tcPr>
          <w:p w14:paraId="7F8BAC2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130</w:t>
            </w:r>
          </w:p>
        </w:tc>
        <w:tc>
          <w:tcPr>
            <w:tcW w:w="849" w:type="dxa"/>
            <w:tcBorders>
              <w:top w:val="single" w:sz="4" w:space="0" w:color="auto"/>
              <w:left w:val="single" w:sz="4" w:space="0" w:color="auto"/>
              <w:bottom w:val="single" w:sz="4" w:space="0" w:color="auto"/>
              <w:right w:val="single" w:sz="4" w:space="0" w:color="auto"/>
            </w:tcBorders>
            <w:hideMark/>
          </w:tcPr>
          <w:p w14:paraId="2C58030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651</w:t>
            </w:r>
          </w:p>
        </w:tc>
        <w:tc>
          <w:tcPr>
            <w:tcW w:w="849" w:type="dxa"/>
            <w:tcBorders>
              <w:top w:val="single" w:sz="4" w:space="0" w:color="auto"/>
              <w:left w:val="single" w:sz="4" w:space="0" w:color="auto"/>
              <w:bottom w:val="single" w:sz="4" w:space="0" w:color="auto"/>
              <w:right w:val="single" w:sz="4" w:space="0" w:color="auto"/>
            </w:tcBorders>
            <w:hideMark/>
          </w:tcPr>
          <w:p w14:paraId="4777DEB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1566</w:t>
            </w:r>
          </w:p>
        </w:tc>
        <w:tc>
          <w:tcPr>
            <w:tcW w:w="849" w:type="dxa"/>
            <w:tcBorders>
              <w:top w:val="single" w:sz="4" w:space="0" w:color="auto"/>
              <w:left w:val="single" w:sz="4" w:space="0" w:color="auto"/>
              <w:bottom w:val="single" w:sz="4" w:space="0" w:color="auto"/>
              <w:right w:val="single" w:sz="4" w:space="0" w:color="auto"/>
            </w:tcBorders>
            <w:hideMark/>
          </w:tcPr>
          <w:p w14:paraId="5CA7991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328</w:t>
            </w:r>
          </w:p>
        </w:tc>
        <w:tc>
          <w:tcPr>
            <w:tcW w:w="849" w:type="dxa"/>
            <w:tcBorders>
              <w:top w:val="single" w:sz="4" w:space="0" w:color="auto"/>
              <w:left w:val="single" w:sz="4" w:space="0" w:color="auto"/>
              <w:bottom w:val="single" w:sz="4" w:space="0" w:color="auto"/>
              <w:right w:val="single" w:sz="4" w:space="0" w:color="auto"/>
            </w:tcBorders>
            <w:hideMark/>
          </w:tcPr>
          <w:p w14:paraId="24A8472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1554</w:t>
            </w:r>
          </w:p>
        </w:tc>
        <w:tc>
          <w:tcPr>
            <w:tcW w:w="849" w:type="dxa"/>
            <w:tcBorders>
              <w:top w:val="single" w:sz="4" w:space="0" w:color="auto"/>
              <w:left w:val="single" w:sz="4" w:space="0" w:color="auto"/>
              <w:bottom w:val="single" w:sz="4" w:space="0" w:color="auto"/>
              <w:right w:val="single" w:sz="4" w:space="0" w:color="auto"/>
            </w:tcBorders>
            <w:hideMark/>
          </w:tcPr>
          <w:p w14:paraId="66BE16B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3434</w:t>
            </w:r>
          </w:p>
        </w:tc>
        <w:tc>
          <w:tcPr>
            <w:tcW w:w="849" w:type="dxa"/>
            <w:tcBorders>
              <w:top w:val="single" w:sz="4" w:space="0" w:color="auto"/>
              <w:left w:val="single" w:sz="4" w:space="0" w:color="auto"/>
              <w:bottom w:val="single" w:sz="4" w:space="0" w:color="auto"/>
              <w:right w:val="single" w:sz="4" w:space="0" w:color="auto"/>
            </w:tcBorders>
            <w:hideMark/>
          </w:tcPr>
          <w:p w14:paraId="257AD7E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1019</w:t>
            </w:r>
          </w:p>
        </w:tc>
        <w:tc>
          <w:tcPr>
            <w:tcW w:w="849" w:type="dxa"/>
            <w:tcBorders>
              <w:top w:val="single" w:sz="4" w:space="0" w:color="auto"/>
              <w:left w:val="single" w:sz="4" w:space="0" w:color="auto"/>
              <w:bottom w:val="single" w:sz="4" w:space="0" w:color="auto"/>
              <w:right w:val="single" w:sz="4" w:space="0" w:color="auto"/>
            </w:tcBorders>
            <w:hideMark/>
          </w:tcPr>
          <w:p w14:paraId="74BA90B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4252</w:t>
            </w:r>
          </w:p>
        </w:tc>
        <w:tc>
          <w:tcPr>
            <w:tcW w:w="849" w:type="dxa"/>
            <w:tcBorders>
              <w:top w:val="single" w:sz="4" w:space="0" w:color="auto"/>
              <w:left w:val="single" w:sz="4" w:space="0" w:color="auto"/>
              <w:bottom w:val="single" w:sz="4" w:space="0" w:color="auto"/>
              <w:right w:val="single" w:sz="4" w:space="0" w:color="auto"/>
            </w:tcBorders>
            <w:hideMark/>
          </w:tcPr>
          <w:p w14:paraId="344D97D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5188</w:t>
            </w:r>
          </w:p>
        </w:tc>
      </w:tr>
      <w:tr w:rsidR="0078509A" w:rsidRPr="0078509A" w14:paraId="4DA9F6B7"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F9F486F"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CXH</w:t>
            </w:r>
          </w:p>
        </w:tc>
        <w:tc>
          <w:tcPr>
            <w:tcW w:w="849" w:type="dxa"/>
            <w:tcBorders>
              <w:top w:val="single" w:sz="4" w:space="0" w:color="auto"/>
              <w:left w:val="single" w:sz="4" w:space="0" w:color="auto"/>
              <w:bottom w:val="single" w:sz="4" w:space="0" w:color="auto"/>
              <w:right w:val="single" w:sz="4" w:space="0" w:color="auto"/>
            </w:tcBorders>
            <w:hideMark/>
          </w:tcPr>
          <w:p w14:paraId="2CAAB48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134</w:t>
            </w:r>
          </w:p>
        </w:tc>
        <w:tc>
          <w:tcPr>
            <w:tcW w:w="849" w:type="dxa"/>
            <w:tcBorders>
              <w:top w:val="single" w:sz="4" w:space="0" w:color="auto"/>
              <w:left w:val="single" w:sz="4" w:space="0" w:color="auto"/>
              <w:bottom w:val="single" w:sz="4" w:space="0" w:color="auto"/>
              <w:right w:val="single" w:sz="4" w:space="0" w:color="auto"/>
            </w:tcBorders>
            <w:hideMark/>
          </w:tcPr>
          <w:p w14:paraId="2BDB54B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682</w:t>
            </w:r>
          </w:p>
        </w:tc>
        <w:tc>
          <w:tcPr>
            <w:tcW w:w="849" w:type="dxa"/>
            <w:tcBorders>
              <w:top w:val="single" w:sz="4" w:space="0" w:color="auto"/>
              <w:left w:val="single" w:sz="4" w:space="0" w:color="auto"/>
              <w:bottom w:val="single" w:sz="4" w:space="0" w:color="auto"/>
              <w:right w:val="single" w:sz="4" w:space="0" w:color="auto"/>
            </w:tcBorders>
            <w:hideMark/>
          </w:tcPr>
          <w:p w14:paraId="184EA00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1625</w:t>
            </w:r>
          </w:p>
        </w:tc>
        <w:tc>
          <w:tcPr>
            <w:tcW w:w="849" w:type="dxa"/>
            <w:tcBorders>
              <w:top w:val="single" w:sz="4" w:space="0" w:color="auto"/>
              <w:left w:val="single" w:sz="4" w:space="0" w:color="auto"/>
              <w:bottom w:val="single" w:sz="4" w:space="0" w:color="auto"/>
              <w:right w:val="single" w:sz="4" w:space="0" w:color="auto"/>
            </w:tcBorders>
            <w:hideMark/>
          </w:tcPr>
          <w:p w14:paraId="1B5D8CA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336</w:t>
            </w:r>
          </w:p>
        </w:tc>
        <w:tc>
          <w:tcPr>
            <w:tcW w:w="849" w:type="dxa"/>
            <w:tcBorders>
              <w:top w:val="single" w:sz="4" w:space="0" w:color="auto"/>
              <w:left w:val="single" w:sz="4" w:space="0" w:color="auto"/>
              <w:bottom w:val="single" w:sz="4" w:space="0" w:color="auto"/>
              <w:right w:val="single" w:sz="4" w:space="0" w:color="auto"/>
            </w:tcBorders>
            <w:hideMark/>
          </w:tcPr>
          <w:p w14:paraId="6EE8A16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1609</w:t>
            </w:r>
          </w:p>
        </w:tc>
        <w:tc>
          <w:tcPr>
            <w:tcW w:w="849" w:type="dxa"/>
            <w:tcBorders>
              <w:top w:val="single" w:sz="4" w:space="0" w:color="auto"/>
              <w:left w:val="single" w:sz="4" w:space="0" w:color="auto"/>
              <w:bottom w:val="single" w:sz="4" w:space="0" w:color="auto"/>
              <w:right w:val="single" w:sz="4" w:space="0" w:color="auto"/>
            </w:tcBorders>
            <w:hideMark/>
          </w:tcPr>
          <w:p w14:paraId="6D85C17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3532</w:t>
            </w:r>
          </w:p>
        </w:tc>
        <w:tc>
          <w:tcPr>
            <w:tcW w:w="849" w:type="dxa"/>
            <w:tcBorders>
              <w:top w:val="single" w:sz="4" w:space="0" w:color="auto"/>
              <w:left w:val="single" w:sz="4" w:space="0" w:color="auto"/>
              <w:bottom w:val="single" w:sz="4" w:space="0" w:color="auto"/>
              <w:right w:val="single" w:sz="4" w:space="0" w:color="auto"/>
            </w:tcBorders>
            <w:hideMark/>
          </w:tcPr>
          <w:p w14:paraId="3F5CD20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1044</w:t>
            </w:r>
          </w:p>
        </w:tc>
        <w:tc>
          <w:tcPr>
            <w:tcW w:w="849" w:type="dxa"/>
            <w:tcBorders>
              <w:top w:val="single" w:sz="4" w:space="0" w:color="auto"/>
              <w:left w:val="single" w:sz="4" w:space="0" w:color="auto"/>
              <w:bottom w:val="single" w:sz="4" w:space="0" w:color="auto"/>
              <w:right w:val="single" w:sz="4" w:space="0" w:color="auto"/>
            </w:tcBorders>
            <w:hideMark/>
          </w:tcPr>
          <w:p w14:paraId="66F1DC2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4324</w:t>
            </w:r>
          </w:p>
        </w:tc>
        <w:tc>
          <w:tcPr>
            <w:tcW w:w="849" w:type="dxa"/>
            <w:tcBorders>
              <w:top w:val="single" w:sz="4" w:space="0" w:color="auto"/>
              <w:left w:val="single" w:sz="4" w:space="0" w:color="auto"/>
              <w:bottom w:val="single" w:sz="4" w:space="0" w:color="auto"/>
              <w:right w:val="single" w:sz="4" w:space="0" w:color="auto"/>
            </w:tcBorders>
            <w:hideMark/>
          </w:tcPr>
          <w:p w14:paraId="679802A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5346</w:t>
            </w:r>
          </w:p>
        </w:tc>
      </w:tr>
      <w:tr w:rsidR="0078509A" w:rsidRPr="0078509A" w14:paraId="0D7B2871"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C6A999C"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CXL</w:t>
            </w:r>
          </w:p>
        </w:tc>
        <w:tc>
          <w:tcPr>
            <w:tcW w:w="849" w:type="dxa"/>
            <w:tcBorders>
              <w:top w:val="single" w:sz="4" w:space="0" w:color="auto"/>
              <w:left w:val="single" w:sz="4" w:space="0" w:color="auto"/>
              <w:bottom w:val="single" w:sz="4" w:space="0" w:color="auto"/>
              <w:right w:val="single" w:sz="4" w:space="0" w:color="auto"/>
            </w:tcBorders>
            <w:hideMark/>
          </w:tcPr>
          <w:p w14:paraId="7093A1F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96</w:t>
            </w:r>
          </w:p>
        </w:tc>
        <w:tc>
          <w:tcPr>
            <w:tcW w:w="849" w:type="dxa"/>
            <w:tcBorders>
              <w:top w:val="single" w:sz="4" w:space="0" w:color="auto"/>
              <w:left w:val="single" w:sz="4" w:space="0" w:color="auto"/>
              <w:bottom w:val="single" w:sz="4" w:space="0" w:color="auto"/>
              <w:right w:val="single" w:sz="4" w:space="0" w:color="auto"/>
            </w:tcBorders>
            <w:hideMark/>
          </w:tcPr>
          <w:p w14:paraId="6AB8F4E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482</w:t>
            </w:r>
          </w:p>
        </w:tc>
        <w:tc>
          <w:tcPr>
            <w:tcW w:w="849" w:type="dxa"/>
            <w:tcBorders>
              <w:top w:val="single" w:sz="4" w:space="0" w:color="auto"/>
              <w:left w:val="single" w:sz="4" w:space="0" w:color="auto"/>
              <w:bottom w:val="single" w:sz="4" w:space="0" w:color="auto"/>
              <w:right w:val="single" w:sz="4" w:space="0" w:color="auto"/>
            </w:tcBorders>
            <w:hideMark/>
          </w:tcPr>
          <w:p w14:paraId="5497B4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1174</w:t>
            </w:r>
          </w:p>
        </w:tc>
        <w:tc>
          <w:tcPr>
            <w:tcW w:w="849" w:type="dxa"/>
            <w:tcBorders>
              <w:top w:val="single" w:sz="4" w:space="0" w:color="auto"/>
              <w:left w:val="single" w:sz="4" w:space="0" w:color="auto"/>
              <w:bottom w:val="single" w:sz="4" w:space="0" w:color="auto"/>
              <w:right w:val="single" w:sz="4" w:space="0" w:color="auto"/>
            </w:tcBorders>
            <w:hideMark/>
          </w:tcPr>
          <w:p w14:paraId="5AEEE59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233</w:t>
            </w:r>
          </w:p>
        </w:tc>
        <w:tc>
          <w:tcPr>
            <w:tcW w:w="849" w:type="dxa"/>
            <w:tcBorders>
              <w:top w:val="single" w:sz="4" w:space="0" w:color="auto"/>
              <w:left w:val="single" w:sz="4" w:space="0" w:color="auto"/>
              <w:bottom w:val="single" w:sz="4" w:space="0" w:color="auto"/>
              <w:right w:val="single" w:sz="4" w:space="0" w:color="auto"/>
            </w:tcBorders>
            <w:hideMark/>
          </w:tcPr>
          <w:p w14:paraId="19EBC11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1134</w:t>
            </w:r>
          </w:p>
        </w:tc>
        <w:tc>
          <w:tcPr>
            <w:tcW w:w="849" w:type="dxa"/>
            <w:tcBorders>
              <w:top w:val="single" w:sz="4" w:space="0" w:color="auto"/>
              <w:left w:val="single" w:sz="4" w:space="0" w:color="auto"/>
              <w:bottom w:val="single" w:sz="4" w:space="0" w:color="auto"/>
              <w:right w:val="single" w:sz="4" w:space="0" w:color="auto"/>
            </w:tcBorders>
            <w:hideMark/>
          </w:tcPr>
          <w:p w14:paraId="045AFE9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2607</w:t>
            </w:r>
          </w:p>
        </w:tc>
        <w:tc>
          <w:tcPr>
            <w:tcW w:w="849" w:type="dxa"/>
            <w:tcBorders>
              <w:top w:val="single" w:sz="4" w:space="0" w:color="auto"/>
              <w:left w:val="single" w:sz="4" w:space="0" w:color="auto"/>
              <w:bottom w:val="single" w:sz="4" w:space="0" w:color="auto"/>
              <w:right w:val="single" w:sz="4" w:space="0" w:color="auto"/>
            </w:tcBorders>
            <w:hideMark/>
          </w:tcPr>
          <w:p w14:paraId="31E50CD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710</w:t>
            </w:r>
          </w:p>
        </w:tc>
        <w:tc>
          <w:tcPr>
            <w:tcW w:w="849" w:type="dxa"/>
            <w:tcBorders>
              <w:top w:val="single" w:sz="4" w:space="0" w:color="auto"/>
              <w:left w:val="single" w:sz="4" w:space="0" w:color="auto"/>
              <w:bottom w:val="single" w:sz="4" w:space="0" w:color="auto"/>
              <w:right w:val="single" w:sz="4" w:space="0" w:color="auto"/>
            </w:tcBorders>
            <w:hideMark/>
          </w:tcPr>
          <w:p w14:paraId="3B2B74B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3144</w:t>
            </w:r>
          </w:p>
        </w:tc>
        <w:tc>
          <w:tcPr>
            <w:tcW w:w="849" w:type="dxa"/>
            <w:tcBorders>
              <w:top w:val="single" w:sz="4" w:space="0" w:color="auto"/>
              <w:left w:val="single" w:sz="4" w:space="0" w:color="auto"/>
              <w:bottom w:val="single" w:sz="4" w:space="0" w:color="auto"/>
              <w:right w:val="single" w:sz="4" w:space="0" w:color="auto"/>
            </w:tcBorders>
            <w:hideMark/>
          </w:tcPr>
          <w:p w14:paraId="0D29890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6040</w:t>
            </w:r>
          </w:p>
        </w:tc>
      </w:tr>
      <w:tr w:rsidR="0078509A" w:rsidRPr="0078509A" w14:paraId="0181ABE3"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8CB286E"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CXLk</w:t>
            </w:r>
          </w:p>
        </w:tc>
        <w:tc>
          <w:tcPr>
            <w:tcW w:w="849" w:type="dxa"/>
            <w:tcBorders>
              <w:top w:val="single" w:sz="4" w:space="0" w:color="auto"/>
              <w:left w:val="single" w:sz="4" w:space="0" w:color="auto"/>
              <w:bottom w:val="single" w:sz="4" w:space="0" w:color="auto"/>
              <w:right w:val="single" w:sz="4" w:space="0" w:color="auto"/>
            </w:tcBorders>
            <w:hideMark/>
          </w:tcPr>
          <w:p w14:paraId="34DAD25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w:t>
            </w:r>
          </w:p>
        </w:tc>
        <w:tc>
          <w:tcPr>
            <w:tcW w:w="849" w:type="dxa"/>
            <w:tcBorders>
              <w:top w:val="single" w:sz="4" w:space="0" w:color="auto"/>
              <w:left w:val="single" w:sz="4" w:space="0" w:color="auto"/>
              <w:bottom w:val="single" w:sz="4" w:space="0" w:color="auto"/>
              <w:right w:val="single" w:sz="4" w:space="0" w:color="auto"/>
            </w:tcBorders>
            <w:hideMark/>
          </w:tcPr>
          <w:p w14:paraId="49C406E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146</w:t>
            </w:r>
          </w:p>
        </w:tc>
        <w:tc>
          <w:tcPr>
            <w:tcW w:w="849" w:type="dxa"/>
            <w:tcBorders>
              <w:top w:val="single" w:sz="4" w:space="0" w:color="auto"/>
              <w:left w:val="single" w:sz="4" w:space="0" w:color="auto"/>
              <w:bottom w:val="single" w:sz="4" w:space="0" w:color="auto"/>
              <w:right w:val="single" w:sz="4" w:space="0" w:color="auto"/>
            </w:tcBorders>
            <w:hideMark/>
          </w:tcPr>
          <w:p w14:paraId="004AC29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351</w:t>
            </w:r>
          </w:p>
        </w:tc>
        <w:tc>
          <w:tcPr>
            <w:tcW w:w="849" w:type="dxa"/>
            <w:tcBorders>
              <w:top w:val="single" w:sz="4" w:space="0" w:color="auto"/>
              <w:left w:val="single" w:sz="4" w:space="0" w:color="auto"/>
              <w:bottom w:val="single" w:sz="4" w:space="0" w:color="auto"/>
              <w:right w:val="single" w:sz="4" w:space="0" w:color="auto"/>
            </w:tcBorders>
            <w:hideMark/>
          </w:tcPr>
          <w:p w14:paraId="4F16C99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w:t>
            </w:r>
          </w:p>
        </w:tc>
        <w:tc>
          <w:tcPr>
            <w:tcW w:w="849" w:type="dxa"/>
            <w:tcBorders>
              <w:top w:val="single" w:sz="4" w:space="0" w:color="auto"/>
              <w:left w:val="single" w:sz="4" w:space="0" w:color="auto"/>
              <w:bottom w:val="single" w:sz="4" w:space="0" w:color="auto"/>
              <w:right w:val="single" w:sz="4" w:space="0" w:color="auto"/>
            </w:tcBorders>
            <w:hideMark/>
          </w:tcPr>
          <w:p w14:paraId="3840269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330</w:t>
            </w:r>
          </w:p>
        </w:tc>
        <w:tc>
          <w:tcPr>
            <w:tcW w:w="849" w:type="dxa"/>
            <w:tcBorders>
              <w:top w:val="single" w:sz="4" w:space="0" w:color="auto"/>
              <w:left w:val="single" w:sz="4" w:space="0" w:color="auto"/>
              <w:bottom w:val="single" w:sz="4" w:space="0" w:color="auto"/>
              <w:right w:val="single" w:sz="4" w:space="0" w:color="auto"/>
            </w:tcBorders>
            <w:hideMark/>
          </w:tcPr>
          <w:p w14:paraId="1015E97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792</w:t>
            </w:r>
          </w:p>
        </w:tc>
        <w:tc>
          <w:tcPr>
            <w:tcW w:w="849" w:type="dxa"/>
            <w:tcBorders>
              <w:top w:val="single" w:sz="4" w:space="0" w:color="auto"/>
              <w:left w:val="single" w:sz="4" w:space="0" w:color="auto"/>
              <w:bottom w:val="single" w:sz="4" w:space="0" w:color="auto"/>
              <w:right w:val="single" w:sz="4" w:space="0" w:color="auto"/>
            </w:tcBorders>
            <w:hideMark/>
          </w:tcPr>
          <w:p w14:paraId="33AB50C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195</w:t>
            </w:r>
          </w:p>
        </w:tc>
        <w:tc>
          <w:tcPr>
            <w:tcW w:w="849" w:type="dxa"/>
            <w:tcBorders>
              <w:top w:val="single" w:sz="4" w:space="0" w:color="auto"/>
              <w:left w:val="single" w:sz="4" w:space="0" w:color="auto"/>
              <w:bottom w:val="single" w:sz="4" w:space="0" w:color="auto"/>
              <w:right w:val="single" w:sz="4" w:space="0" w:color="auto"/>
            </w:tcBorders>
            <w:hideMark/>
          </w:tcPr>
          <w:p w14:paraId="4E47B3F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918</w:t>
            </w:r>
          </w:p>
        </w:tc>
        <w:tc>
          <w:tcPr>
            <w:tcW w:w="849" w:type="dxa"/>
            <w:tcBorders>
              <w:top w:val="single" w:sz="4" w:space="0" w:color="auto"/>
              <w:left w:val="single" w:sz="4" w:space="0" w:color="auto"/>
              <w:bottom w:val="single" w:sz="4" w:space="0" w:color="auto"/>
              <w:right w:val="single" w:sz="4" w:space="0" w:color="auto"/>
            </w:tcBorders>
            <w:hideMark/>
          </w:tcPr>
          <w:p w14:paraId="2FD10A3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2171</w:t>
            </w:r>
          </w:p>
        </w:tc>
      </w:tr>
      <w:tr w:rsidR="0078509A" w:rsidRPr="0078509A" w14:paraId="0F859A6A"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6ABD703"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CWGM</w:t>
            </w:r>
          </w:p>
        </w:tc>
        <w:tc>
          <w:tcPr>
            <w:tcW w:w="849" w:type="dxa"/>
            <w:tcBorders>
              <w:top w:val="single" w:sz="4" w:space="0" w:color="auto"/>
              <w:left w:val="single" w:sz="4" w:space="0" w:color="auto"/>
              <w:bottom w:val="single" w:sz="4" w:space="0" w:color="auto"/>
              <w:right w:val="single" w:sz="4" w:space="0" w:color="auto"/>
            </w:tcBorders>
            <w:hideMark/>
          </w:tcPr>
          <w:p w14:paraId="69648D1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34</w:t>
            </w:r>
          </w:p>
        </w:tc>
        <w:tc>
          <w:tcPr>
            <w:tcW w:w="849" w:type="dxa"/>
            <w:tcBorders>
              <w:top w:val="single" w:sz="4" w:space="0" w:color="auto"/>
              <w:left w:val="single" w:sz="4" w:space="0" w:color="auto"/>
              <w:bottom w:val="single" w:sz="4" w:space="0" w:color="auto"/>
              <w:right w:val="single" w:sz="4" w:space="0" w:color="auto"/>
            </w:tcBorders>
            <w:hideMark/>
          </w:tcPr>
          <w:p w14:paraId="5185B27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169</w:t>
            </w:r>
          </w:p>
        </w:tc>
        <w:tc>
          <w:tcPr>
            <w:tcW w:w="849" w:type="dxa"/>
            <w:tcBorders>
              <w:top w:val="single" w:sz="4" w:space="0" w:color="auto"/>
              <w:left w:val="single" w:sz="4" w:space="0" w:color="auto"/>
              <w:bottom w:val="single" w:sz="4" w:space="0" w:color="auto"/>
              <w:right w:val="single" w:sz="4" w:space="0" w:color="auto"/>
            </w:tcBorders>
            <w:hideMark/>
          </w:tcPr>
          <w:p w14:paraId="111BD2B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407</w:t>
            </w:r>
          </w:p>
        </w:tc>
        <w:tc>
          <w:tcPr>
            <w:tcW w:w="849" w:type="dxa"/>
            <w:tcBorders>
              <w:top w:val="single" w:sz="4" w:space="0" w:color="auto"/>
              <w:left w:val="single" w:sz="4" w:space="0" w:color="auto"/>
              <w:bottom w:val="single" w:sz="4" w:space="0" w:color="auto"/>
              <w:right w:val="single" w:sz="4" w:space="0" w:color="auto"/>
            </w:tcBorders>
            <w:hideMark/>
          </w:tcPr>
          <w:p w14:paraId="736FE11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77</w:t>
            </w:r>
          </w:p>
        </w:tc>
        <w:tc>
          <w:tcPr>
            <w:tcW w:w="849" w:type="dxa"/>
            <w:tcBorders>
              <w:top w:val="single" w:sz="4" w:space="0" w:color="auto"/>
              <w:left w:val="single" w:sz="4" w:space="0" w:color="auto"/>
              <w:bottom w:val="single" w:sz="4" w:space="0" w:color="auto"/>
              <w:right w:val="single" w:sz="4" w:space="0" w:color="auto"/>
            </w:tcBorders>
            <w:hideMark/>
          </w:tcPr>
          <w:p w14:paraId="261B200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374</w:t>
            </w:r>
          </w:p>
        </w:tc>
        <w:tc>
          <w:tcPr>
            <w:tcW w:w="849" w:type="dxa"/>
            <w:tcBorders>
              <w:top w:val="single" w:sz="4" w:space="0" w:color="auto"/>
              <w:left w:val="single" w:sz="4" w:space="0" w:color="auto"/>
              <w:bottom w:val="single" w:sz="4" w:space="0" w:color="auto"/>
              <w:right w:val="single" w:sz="4" w:space="0" w:color="auto"/>
            </w:tcBorders>
            <w:hideMark/>
          </w:tcPr>
          <w:p w14:paraId="79A94D6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892</w:t>
            </w:r>
          </w:p>
        </w:tc>
        <w:tc>
          <w:tcPr>
            <w:tcW w:w="849" w:type="dxa"/>
            <w:tcBorders>
              <w:top w:val="single" w:sz="4" w:space="0" w:color="auto"/>
              <w:left w:val="single" w:sz="4" w:space="0" w:color="auto"/>
              <w:bottom w:val="single" w:sz="4" w:space="0" w:color="auto"/>
              <w:right w:val="single" w:sz="4" w:space="0" w:color="auto"/>
            </w:tcBorders>
            <w:hideMark/>
          </w:tcPr>
          <w:p w14:paraId="6F0AD7C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214</w:t>
            </w:r>
          </w:p>
        </w:tc>
        <w:tc>
          <w:tcPr>
            <w:tcW w:w="849" w:type="dxa"/>
            <w:tcBorders>
              <w:top w:val="single" w:sz="4" w:space="0" w:color="auto"/>
              <w:left w:val="single" w:sz="4" w:space="0" w:color="auto"/>
              <w:bottom w:val="single" w:sz="4" w:space="0" w:color="auto"/>
              <w:right w:val="single" w:sz="4" w:space="0" w:color="auto"/>
            </w:tcBorders>
            <w:hideMark/>
          </w:tcPr>
          <w:p w14:paraId="0E05079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992</w:t>
            </w:r>
          </w:p>
        </w:tc>
        <w:tc>
          <w:tcPr>
            <w:tcW w:w="849" w:type="dxa"/>
            <w:tcBorders>
              <w:top w:val="single" w:sz="4" w:space="0" w:color="auto"/>
              <w:left w:val="single" w:sz="4" w:space="0" w:color="auto"/>
              <w:bottom w:val="single" w:sz="4" w:space="0" w:color="auto"/>
              <w:right w:val="single" w:sz="4" w:space="0" w:color="auto"/>
            </w:tcBorders>
            <w:hideMark/>
          </w:tcPr>
          <w:p w14:paraId="720045E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2337</w:t>
            </w:r>
          </w:p>
        </w:tc>
      </w:tr>
      <w:tr w:rsidR="0078509A" w:rsidRPr="0078509A" w14:paraId="5BCF4E3F"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138187B0"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CWM</w:t>
            </w:r>
          </w:p>
        </w:tc>
        <w:tc>
          <w:tcPr>
            <w:tcW w:w="849" w:type="dxa"/>
            <w:tcBorders>
              <w:top w:val="single" w:sz="4" w:space="0" w:color="auto"/>
              <w:left w:val="single" w:sz="4" w:space="0" w:color="auto"/>
              <w:bottom w:val="single" w:sz="4" w:space="0" w:color="auto"/>
              <w:right w:val="single" w:sz="4" w:space="0" w:color="auto"/>
            </w:tcBorders>
            <w:hideMark/>
          </w:tcPr>
          <w:p w14:paraId="6B3F20B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38</w:t>
            </w:r>
          </w:p>
        </w:tc>
        <w:tc>
          <w:tcPr>
            <w:tcW w:w="849" w:type="dxa"/>
            <w:tcBorders>
              <w:top w:val="single" w:sz="4" w:space="0" w:color="auto"/>
              <w:left w:val="single" w:sz="4" w:space="0" w:color="auto"/>
              <w:bottom w:val="single" w:sz="4" w:space="0" w:color="auto"/>
              <w:right w:val="single" w:sz="4" w:space="0" w:color="auto"/>
            </w:tcBorders>
            <w:hideMark/>
          </w:tcPr>
          <w:p w14:paraId="6FD7B62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193</w:t>
            </w:r>
          </w:p>
        </w:tc>
        <w:tc>
          <w:tcPr>
            <w:tcW w:w="849" w:type="dxa"/>
            <w:tcBorders>
              <w:top w:val="single" w:sz="4" w:space="0" w:color="auto"/>
              <w:left w:val="single" w:sz="4" w:space="0" w:color="auto"/>
              <w:bottom w:val="single" w:sz="4" w:space="0" w:color="auto"/>
              <w:right w:val="single" w:sz="4" w:space="0" w:color="auto"/>
            </w:tcBorders>
            <w:hideMark/>
          </w:tcPr>
          <w:p w14:paraId="417482C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455</w:t>
            </w:r>
          </w:p>
        </w:tc>
        <w:tc>
          <w:tcPr>
            <w:tcW w:w="849" w:type="dxa"/>
            <w:tcBorders>
              <w:top w:val="single" w:sz="4" w:space="0" w:color="auto"/>
              <w:left w:val="single" w:sz="4" w:space="0" w:color="auto"/>
              <w:bottom w:val="single" w:sz="4" w:space="0" w:color="auto"/>
              <w:right w:val="single" w:sz="4" w:space="0" w:color="auto"/>
            </w:tcBorders>
            <w:hideMark/>
          </w:tcPr>
          <w:p w14:paraId="2DCA39E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90</w:t>
            </w:r>
          </w:p>
        </w:tc>
        <w:tc>
          <w:tcPr>
            <w:tcW w:w="849" w:type="dxa"/>
            <w:tcBorders>
              <w:top w:val="single" w:sz="4" w:space="0" w:color="auto"/>
              <w:left w:val="single" w:sz="4" w:space="0" w:color="auto"/>
              <w:bottom w:val="single" w:sz="4" w:space="0" w:color="auto"/>
              <w:right w:val="single" w:sz="4" w:space="0" w:color="auto"/>
            </w:tcBorders>
            <w:hideMark/>
          </w:tcPr>
          <w:p w14:paraId="421C277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437</w:t>
            </w:r>
          </w:p>
        </w:tc>
        <w:tc>
          <w:tcPr>
            <w:tcW w:w="849" w:type="dxa"/>
            <w:tcBorders>
              <w:top w:val="single" w:sz="4" w:space="0" w:color="auto"/>
              <w:left w:val="single" w:sz="4" w:space="0" w:color="auto"/>
              <w:bottom w:val="single" w:sz="4" w:space="0" w:color="auto"/>
              <w:right w:val="single" w:sz="4" w:space="0" w:color="auto"/>
            </w:tcBorders>
            <w:hideMark/>
          </w:tcPr>
          <w:p w14:paraId="4D21C95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1039</w:t>
            </w:r>
          </w:p>
        </w:tc>
        <w:tc>
          <w:tcPr>
            <w:tcW w:w="849" w:type="dxa"/>
            <w:tcBorders>
              <w:top w:val="single" w:sz="4" w:space="0" w:color="auto"/>
              <w:left w:val="single" w:sz="4" w:space="0" w:color="auto"/>
              <w:bottom w:val="single" w:sz="4" w:space="0" w:color="auto"/>
              <w:right w:val="single" w:sz="4" w:space="0" w:color="auto"/>
            </w:tcBorders>
            <w:hideMark/>
          </w:tcPr>
          <w:p w14:paraId="24358CF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262</w:t>
            </w:r>
          </w:p>
        </w:tc>
        <w:tc>
          <w:tcPr>
            <w:tcW w:w="849" w:type="dxa"/>
            <w:tcBorders>
              <w:top w:val="single" w:sz="4" w:space="0" w:color="auto"/>
              <w:left w:val="single" w:sz="4" w:space="0" w:color="auto"/>
              <w:bottom w:val="single" w:sz="4" w:space="0" w:color="auto"/>
              <w:right w:val="single" w:sz="4" w:space="0" w:color="auto"/>
            </w:tcBorders>
            <w:hideMark/>
          </w:tcPr>
          <w:p w14:paraId="356D6CF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1242</w:t>
            </w:r>
          </w:p>
        </w:tc>
        <w:tc>
          <w:tcPr>
            <w:tcW w:w="849" w:type="dxa"/>
            <w:tcBorders>
              <w:top w:val="single" w:sz="4" w:space="0" w:color="auto"/>
              <w:left w:val="single" w:sz="4" w:space="0" w:color="auto"/>
              <w:bottom w:val="single" w:sz="4" w:space="0" w:color="auto"/>
              <w:right w:val="single" w:sz="4" w:space="0" w:color="auto"/>
            </w:tcBorders>
            <w:hideMark/>
          </w:tcPr>
          <w:p w14:paraId="41FB2BE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2833</w:t>
            </w:r>
          </w:p>
        </w:tc>
      </w:tr>
      <w:tr w:rsidR="0078509A" w:rsidRPr="0078509A" w14:paraId="16B64E16"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AF9BC3A"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CWH</w:t>
            </w:r>
          </w:p>
        </w:tc>
        <w:tc>
          <w:tcPr>
            <w:tcW w:w="849" w:type="dxa"/>
            <w:tcBorders>
              <w:top w:val="single" w:sz="4" w:space="0" w:color="auto"/>
              <w:left w:val="single" w:sz="4" w:space="0" w:color="auto"/>
              <w:bottom w:val="single" w:sz="4" w:space="0" w:color="auto"/>
              <w:right w:val="single" w:sz="4" w:space="0" w:color="auto"/>
            </w:tcBorders>
            <w:hideMark/>
          </w:tcPr>
          <w:p w14:paraId="19B6C1C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41</w:t>
            </w:r>
          </w:p>
        </w:tc>
        <w:tc>
          <w:tcPr>
            <w:tcW w:w="849" w:type="dxa"/>
            <w:tcBorders>
              <w:top w:val="single" w:sz="4" w:space="0" w:color="auto"/>
              <w:left w:val="single" w:sz="4" w:space="0" w:color="auto"/>
              <w:bottom w:val="single" w:sz="4" w:space="0" w:color="auto"/>
              <w:right w:val="single" w:sz="4" w:space="0" w:color="auto"/>
            </w:tcBorders>
            <w:hideMark/>
          </w:tcPr>
          <w:p w14:paraId="1334DEC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208</w:t>
            </w:r>
          </w:p>
        </w:tc>
        <w:tc>
          <w:tcPr>
            <w:tcW w:w="849" w:type="dxa"/>
            <w:tcBorders>
              <w:top w:val="single" w:sz="4" w:space="0" w:color="auto"/>
              <w:left w:val="single" w:sz="4" w:space="0" w:color="auto"/>
              <w:bottom w:val="single" w:sz="4" w:space="0" w:color="auto"/>
              <w:right w:val="single" w:sz="4" w:space="0" w:color="auto"/>
            </w:tcBorders>
            <w:hideMark/>
          </w:tcPr>
          <w:p w14:paraId="6E53A9A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499</w:t>
            </w:r>
          </w:p>
        </w:tc>
        <w:tc>
          <w:tcPr>
            <w:tcW w:w="849" w:type="dxa"/>
            <w:tcBorders>
              <w:top w:val="single" w:sz="4" w:space="0" w:color="auto"/>
              <w:left w:val="single" w:sz="4" w:space="0" w:color="auto"/>
              <w:bottom w:val="single" w:sz="4" w:space="0" w:color="auto"/>
              <w:right w:val="single" w:sz="4" w:space="0" w:color="auto"/>
            </w:tcBorders>
            <w:hideMark/>
          </w:tcPr>
          <w:p w14:paraId="1AA01CF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101</w:t>
            </w:r>
          </w:p>
        </w:tc>
        <w:tc>
          <w:tcPr>
            <w:tcW w:w="849" w:type="dxa"/>
            <w:tcBorders>
              <w:top w:val="single" w:sz="4" w:space="0" w:color="auto"/>
              <w:left w:val="single" w:sz="4" w:space="0" w:color="auto"/>
              <w:bottom w:val="single" w:sz="4" w:space="0" w:color="auto"/>
              <w:right w:val="single" w:sz="4" w:space="0" w:color="auto"/>
            </w:tcBorders>
            <w:hideMark/>
          </w:tcPr>
          <w:p w14:paraId="0B84440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488</w:t>
            </w:r>
          </w:p>
        </w:tc>
        <w:tc>
          <w:tcPr>
            <w:tcW w:w="849" w:type="dxa"/>
            <w:tcBorders>
              <w:top w:val="single" w:sz="4" w:space="0" w:color="auto"/>
              <w:left w:val="single" w:sz="4" w:space="0" w:color="auto"/>
              <w:bottom w:val="single" w:sz="4" w:space="0" w:color="auto"/>
              <w:right w:val="single" w:sz="4" w:space="0" w:color="auto"/>
            </w:tcBorders>
            <w:hideMark/>
          </w:tcPr>
          <w:p w14:paraId="6C3212D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1154</w:t>
            </w:r>
          </w:p>
        </w:tc>
        <w:tc>
          <w:tcPr>
            <w:tcW w:w="849" w:type="dxa"/>
            <w:tcBorders>
              <w:top w:val="single" w:sz="4" w:space="0" w:color="auto"/>
              <w:left w:val="single" w:sz="4" w:space="0" w:color="auto"/>
              <w:bottom w:val="single" w:sz="4" w:space="0" w:color="auto"/>
              <w:right w:val="single" w:sz="4" w:space="0" w:color="auto"/>
            </w:tcBorders>
            <w:hideMark/>
          </w:tcPr>
          <w:p w14:paraId="58097D3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311</w:t>
            </w:r>
          </w:p>
        </w:tc>
        <w:tc>
          <w:tcPr>
            <w:tcW w:w="849" w:type="dxa"/>
            <w:tcBorders>
              <w:top w:val="single" w:sz="4" w:space="0" w:color="auto"/>
              <w:left w:val="single" w:sz="4" w:space="0" w:color="auto"/>
              <w:bottom w:val="single" w:sz="4" w:space="0" w:color="auto"/>
              <w:right w:val="single" w:sz="4" w:space="0" w:color="auto"/>
            </w:tcBorders>
            <w:hideMark/>
          </w:tcPr>
          <w:p w14:paraId="7F15D9A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1428</w:t>
            </w:r>
          </w:p>
        </w:tc>
        <w:tc>
          <w:tcPr>
            <w:tcW w:w="849" w:type="dxa"/>
            <w:tcBorders>
              <w:top w:val="single" w:sz="4" w:space="0" w:color="auto"/>
              <w:left w:val="single" w:sz="4" w:space="0" w:color="auto"/>
              <w:bottom w:val="single" w:sz="4" w:space="0" w:color="auto"/>
              <w:right w:val="single" w:sz="4" w:space="0" w:color="auto"/>
            </w:tcBorders>
            <w:hideMark/>
          </w:tcPr>
          <w:p w14:paraId="044CF09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3243</w:t>
            </w:r>
          </w:p>
        </w:tc>
      </w:tr>
      <w:tr w:rsidR="0078509A" w:rsidRPr="0078509A" w14:paraId="0D508BA8"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ADE602E"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CWL</w:t>
            </w:r>
          </w:p>
        </w:tc>
        <w:tc>
          <w:tcPr>
            <w:tcW w:w="849" w:type="dxa"/>
            <w:tcBorders>
              <w:top w:val="single" w:sz="4" w:space="0" w:color="auto"/>
              <w:left w:val="single" w:sz="4" w:space="0" w:color="auto"/>
              <w:bottom w:val="single" w:sz="4" w:space="0" w:color="auto"/>
              <w:right w:val="single" w:sz="4" w:space="0" w:color="auto"/>
            </w:tcBorders>
            <w:hideMark/>
          </w:tcPr>
          <w:p w14:paraId="701CBBC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32</w:t>
            </w:r>
          </w:p>
        </w:tc>
        <w:tc>
          <w:tcPr>
            <w:tcW w:w="849" w:type="dxa"/>
            <w:tcBorders>
              <w:top w:val="single" w:sz="4" w:space="0" w:color="auto"/>
              <w:left w:val="single" w:sz="4" w:space="0" w:color="auto"/>
              <w:bottom w:val="single" w:sz="4" w:space="0" w:color="auto"/>
              <w:right w:val="single" w:sz="4" w:space="0" w:color="auto"/>
            </w:tcBorders>
            <w:hideMark/>
          </w:tcPr>
          <w:p w14:paraId="195C668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159</w:t>
            </w:r>
          </w:p>
        </w:tc>
        <w:tc>
          <w:tcPr>
            <w:tcW w:w="849" w:type="dxa"/>
            <w:tcBorders>
              <w:top w:val="single" w:sz="4" w:space="0" w:color="auto"/>
              <w:left w:val="single" w:sz="4" w:space="0" w:color="auto"/>
              <w:bottom w:val="single" w:sz="4" w:space="0" w:color="auto"/>
              <w:right w:val="single" w:sz="4" w:space="0" w:color="auto"/>
            </w:tcBorders>
            <w:hideMark/>
          </w:tcPr>
          <w:p w14:paraId="08D653E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385</w:t>
            </w:r>
          </w:p>
        </w:tc>
        <w:tc>
          <w:tcPr>
            <w:tcW w:w="849" w:type="dxa"/>
            <w:tcBorders>
              <w:top w:val="single" w:sz="4" w:space="0" w:color="auto"/>
              <w:left w:val="single" w:sz="4" w:space="0" w:color="auto"/>
              <w:bottom w:val="single" w:sz="4" w:space="0" w:color="auto"/>
              <w:right w:val="single" w:sz="4" w:space="0" w:color="auto"/>
            </w:tcBorders>
            <w:hideMark/>
          </w:tcPr>
          <w:p w14:paraId="215CF53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76</w:t>
            </w:r>
          </w:p>
        </w:tc>
        <w:tc>
          <w:tcPr>
            <w:tcW w:w="849" w:type="dxa"/>
            <w:tcBorders>
              <w:top w:val="single" w:sz="4" w:space="0" w:color="auto"/>
              <w:left w:val="single" w:sz="4" w:space="0" w:color="auto"/>
              <w:bottom w:val="single" w:sz="4" w:space="0" w:color="auto"/>
              <w:right w:val="single" w:sz="4" w:space="0" w:color="auto"/>
            </w:tcBorders>
            <w:hideMark/>
          </w:tcPr>
          <w:p w14:paraId="06374ED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370</w:t>
            </w:r>
          </w:p>
        </w:tc>
        <w:tc>
          <w:tcPr>
            <w:tcW w:w="849" w:type="dxa"/>
            <w:tcBorders>
              <w:top w:val="single" w:sz="4" w:space="0" w:color="auto"/>
              <w:left w:val="single" w:sz="4" w:space="0" w:color="auto"/>
              <w:bottom w:val="single" w:sz="4" w:space="0" w:color="auto"/>
              <w:right w:val="single" w:sz="4" w:space="0" w:color="auto"/>
            </w:tcBorders>
            <w:hideMark/>
          </w:tcPr>
          <w:p w14:paraId="12D75EA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874</w:t>
            </w:r>
          </w:p>
        </w:tc>
        <w:tc>
          <w:tcPr>
            <w:tcW w:w="849" w:type="dxa"/>
            <w:tcBorders>
              <w:top w:val="single" w:sz="4" w:space="0" w:color="auto"/>
              <w:left w:val="single" w:sz="4" w:space="0" w:color="auto"/>
              <w:bottom w:val="single" w:sz="4" w:space="0" w:color="auto"/>
              <w:right w:val="single" w:sz="4" w:space="0" w:color="auto"/>
            </w:tcBorders>
            <w:hideMark/>
          </w:tcPr>
          <w:p w14:paraId="6B55EA8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223</w:t>
            </w:r>
          </w:p>
        </w:tc>
        <w:tc>
          <w:tcPr>
            <w:tcW w:w="849" w:type="dxa"/>
            <w:tcBorders>
              <w:top w:val="single" w:sz="4" w:space="0" w:color="auto"/>
              <w:left w:val="single" w:sz="4" w:space="0" w:color="auto"/>
              <w:bottom w:val="single" w:sz="4" w:space="0" w:color="auto"/>
              <w:right w:val="single" w:sz="4" w:space="0" w:color="auto"/>
            </w:tcBorders>
            <w:hideMark/>
          </w:tcPr>
          <w:p w14:paraId="5A13250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1045</w:t>
            </w:r>
          </w:p>
        </w:tc>
        <w:tc>
          <w:tcPr>
            <w:tcW w:w="849" w:type="dxa"/>
            <w:tcBorders>
              <w:top w:val="single" w:sz="4" w:space="0" w:color="auto"/>
              <w:left w:val="single" w:sz="4" w:space="0" w:color="auto"/>
              <w:bottom w:val="single" w:sz="4" w:space="0" w:color="auto"/>
              <w:right w:val="single" w:sz="4" w:space="0" w:color="auto"/>
            </w:tcBorders>
            <w:hideMark/>
          </w:tcPr>
          <w:p w14:paraId="2B80F55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2426</w:t>
            </w:r>
          </w:p>
        </w:tc>
      </w:tr>
      <w:tr w:rsidR="0078509A" w:rsidRPr="0078509A" w14:paraId="361255F6"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60A7456"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CWLk</w:t>
            </w:r>
          </w:p>
        </w:tc>
        <w:tc>
          <w:tcPr>
            <w:tcW w:w="849" w:type="dxa"/>
            <w:tcBorders>
              <w:top w:val="single" w:sz="4" w:space="0" w:color="auto"/>
              <w:left w:val="single" w:sz="4" w:space="0" w:color="auto"/>
              <w:bottom w:val="single" w:sz="4" w:space="0" w:color="auto"/>
              <w:right w:val="single" w:sz="4" w:space="0" w:color="auto"/>
            </w:tcBorders>
            <w:hideMark/>
          </w:tcPr>
          <w:p w14:paraId="3A1DEBF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w:t>
            </w:r>
          </w:p>
        </w:tc>
        <w:tc>
          <w:tcPr>
            <w:tcW w:w="849" w:type="dxa"/>
            <w:tcBorders>
              <w:top w:val="single" w:sz="4" w:space="0" w:color="auto"/>
              <w:left w:val="single" w:sz="4" w:space="0" w:color="auto"/>
              <w:bottom w:val="single" w:sz="4" w:space="0" w:color="auto"/>
              <w:right w:val="single" w:sz="4" w:space="0" w:color="auto"/>
            </w:tcBorders>
            <w:hideMark/>
          </w:tcPr>
          <w:p w14:paraId="28F1818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100</w:t>
            </w:r>
          </w:p>
        </w:tc>
        <w:tc>
          <w:tcPr>
            <w:tcW w:w="849" w:type="dxa"/>
            <w:tcBorders>
              <w:top w:val="single" w:sz="4" w:space="0" w:color="auto"/>
              <w:left w:val="single" w:sz="4" w:space="0" w:color="auto"/>
              <w:bottom w:val="single" w:sz="4" w:space="0" w:color="auto"/>
              <w:right w:val="single" w:sz="4" w:space="0" w:color="auto"/>
            </w:tcBorders>
            <w:hideMark/>
          </w:tcPr>
          <w:p w14:paraId="5403C18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243</w:t>
            </w:r>
          </w:p>
        </w:tc>
        <w:tc>
          <w:tcPr>
            <w:tcW w:w="849" w:type="dxa"/>
            <w:tcBorders>
              <w:top w:val="single" w:sz="4" w:space="0" w:color="auto"/>
              <w:left w:val="single" w:sz="4" w:space="0" w:color="auto"/>
              <w:bottom w:val="single" w:sz="4" w:space="0" w:color="auto"/>
              <w:right w:val="single" w:sz="4" w:space="0" w:color="auto"/>
            </w:tcBorders>
            <w:hideMark/>
          </w:tcPr>
          <w:p w14:paraId="2F23766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47</w:t>
            </w:r>
          </w:p>
        </w:tc>
        <w:tc>
          <w:tcPr>
            <w:tcW w:w="849" w:type="dxa"/>
            <w:tcBorders>
              <w:top w:val="single" w:sz="4" w:space="0" w:color="auto"/>
              <w:left w:val="single" w:sz="4" w:space="0" w:color="auto"/>
              <w:bottom w:val="single" w:sz="4" w:space="0" w:color="auto"/>
              <w:right w:val="single" w:sz="4" w:space="0" w:color="auto"/>
            </w:tcBorders>
            <w:hideMark/>
          </w:tcPr>
          <w:p w14:paraId="7E82805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227</w:t>
            </w:r>
          </w:p>
        </w:tc>
        <w:tc>
          <w:tcPr>
            <w:tcW w:w="849" w:type="dxa"/>
            <w:tcBorders>
              <w:top w:val="single" w:sz="4" w:space="0" w:color="auto"/>
              <w:left w:val="single" w:sz="4" w:space="0" w:color="auto"/>
              <w:bottom w:val="single" w:sz="4" w:space="0" w:color="auto"/>
              <w:right w:val="single" w:sz="4" w:space="0" w:color="auto"/>
            </w:tcBorders>
            <w:hideMark/>
          </w:tcPr>
          <w:p w14:paraId="6F82A6E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544</w:t>
            </w:r>
          </w:p>
        </w:tc>
        <w:tc>
          <w:tcPr>
            <w:tcW w:w="849" w:type="dxa"/>
            <w:tcBorders>
              <w:top w:val="single" w:sz="4" w:space="0" w:color="auto"/>
              <w:left w:val="single" w:sz="4" w:space="0" w:color="auto"/>
              <w:bottom w:val="single" w:sz="4" w:space="0" w:color="auto"/>
              <w:right w:val="single" w:sz="4" w:space="0" w:color="auto"/>
            </w:tcBorders>
            <w:hideMark/>
          </w:tcPr>
          <w:p w14:paraId="0248E9C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131</w:t>
            </w:r>
          </w:p>
        </w:tc>
        <w:tc>
          <w:tcPr>
            <w:tcW w:w="849" w:type="dxa"/>
            <w:tcBorders>
              <w:top w:val="single" w:sz="4" w:space="0" w:color="auto"/>
              <w:left w:val="single" w:sz="4" w:space="0" w:color="auto"/>
              <w:bottom w:val="single" w:sz="4" w:space="0" w:color="auto"/>
              <w:right w:val="single" w:sz="4" w:space="0" w:color="auto"/>
            </w:tcBorders>
            <w:hideMark/>
          </w:tcPr>
          <w:p w14:paraId="423CF0E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617</w:t>
            </w:r>
          </w:p>
        </w:tc>
        <w:tc>
          <w:tcPr>
            <w:tcW w:w="849" w:type="dxa"/>
            <w:tcBorders>
              <w:top w:val="single" w:sz="4" w:space="0" w:color="auto"/>
              <w:left w:val="single" w:sz="4" w:space="0" w:color="auto"/>
              <w:bottom w:val="single" w:sz="4" w:space="0" w:color="auto"/>
              <w:right w:val="single" w:sz="4" w:space="0" w:color="auto"/>
            </w:tcBorders>
            <w:hideMark/>
          </w:tcPr>
          <w:p w14:paraId="36F37D1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1450</w:t>
            </w:r>
          </w:p>
        </w:tc>
      </w:tr>
      <w:tr w:rsidR="0078509A" w:rsidRPr="0078509A" w14:paraId="11BFEAEE"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8789535"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CDM</w:t>
            </w:r>
          </w:p>
        </w:tc>
        <w:tc>
          <w:tcPr>
            <w:tcW w:w="849" w:type="dxa"/>
            <w:tcBorders>
              <w:top w:val="single" w:sz="4" w:space="0" w:color="auto"/>
              <w:left w:val="single" w:sz="4" w:space="0" w:color="auto"/>
              <w:bottom w:val="single" w:sz="4" w:space="0" w:color="auto"/>
              <w:right w:val="single" w:sz="4" w:space="0" w:color="auto"/>
            </w:tcBorders>
            <w:hideMark/>
          </w:tcPr>
          <w:p w14:paraId="4501001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w:t>
            </w:r>
          </w:p>
        </w:tc>
        <w:tc>
          <w:tcPr>
            <w:tcW w:w="849" w:type="dxa"/>
            <w:tcBorders>
              <w:top w:val="single" w:sz="4" w:space="0" w:color="auto"/>
              <w:left w:val="single" w:sz="4" w:space="0" w:color="auto"/>
              <w:bottom w:val="single" w:sz="4" w:space="0" w:color="auto"/>
              <w:right w:val="single" w:sz="4" w:space="0" w:color="auto"/>
            </w:tcBorders>
            <w:hideMark/>
          </w:tcPr>
          <w:p w14:paraId="526DA40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109</w:t>
            </w:r>
          </w:p>
        </w:tc>
        <w:tc>
          <w:tcPr>
            <w:tcW w:w="849" w:type="dxa"/>
            <w:tcBorders>
              <w:top w:val="single" w:sz="4" w:space="0" w:color="auto"/>
              <w:left w:val="single" w:sz="4" w:space="0" w:color="auto"/>
              <w:bottom w:val="single" w:sz="4" w:space="0" w:color="auto"/>
              <w:right w:val="single" w:sz="4" w:space="0" w:color="auto"/>
            </w:tcBorders>
            <w:hideMark/>
          </w:tcPr>
          <w:p w14:paraId="5339D44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263</w:t>
            </w:r>
          </w:p>
        </w:tc>
        <w:tc>
          <w:tcPr>
            <w:tcW w:w="849" w:type="dxa"/>
            <w:tcBorders>
              <w:top w:val="single" w:sz="4" w:space="0" w:color="auto"/>
              <w:left w:val="single" w:sz="4" w:space="0" w:color="auto"/>
              <w:bottom w:val="single" w:sz="4" w:space="0" w:color="auto"/>
              <w:right w:val="single" w:sz="4" w:space="0" w:color="auto"/>
            </w:tcBorders>
            <w:hideMark/>
          </w:tcPr>
          <w:p w14:paraId="6C9111F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50</w:t>
            </w:r>
          </w:p>
        </w:tc>
        <w:tc>
          <w:tcPr>
            <w:tcW w:w="849" w:type="dxa"/>
            <w:tcBorders>
              <w:top w:val="single" w:sz="4" w:space="0" w:color="auto"/>
              <w:left w:val="single" w:sz="4" w:space="0" w:color="auto"/>
              <w:bottom w:val="single" w:sz="4" w:space="0" w:color="auto"/>
              <w:right w:val="single" w:sz="4" w:space="0" w:color="auto"/>
            </w:tcBorders>
            <w:hideMark/>
          </w:tcPr>
          <w:p w14:paraId="146BF63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241</w:t>
            </w:r>
          </w:p>
        </w:tc>
        <w:tc>
          <w:tcPr>
            <w:tcW w:w="849" w:type="dxa"/>
            <w:tcBorders>
              <w:top w:val="single" w:sz="4" w:space="0" w:color="auto"/>
              <w:left w:val="single" w:sz="4" w:space="0" w:color="auto"/>
              <w:bottom w:val="single" w:sz="4" w:space="0" w:color="auto"/>
              <w:right w:val="single" w:sz="4" w:space="0" w:color="auto"/>
            </w:tcBorders>
            <w:hideMark/>
          </w:tcPr>
          <w:p w14:paraId="0CD19DF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578</w:t>
            </w:r>
          </w:p>
        </w:tc>
        <w:tc>
          <w:tcPr>
            <w:tcW w:w="849" w:type="dxa"/>
            <w:tcBorders>
              <w:top w:val="single" w:sz="4" w:space="0" w:color="auto"/>
              <w:left w:val="single" w:sz="4" w:space="0" w:color="auto"/>
              <w:bottom w:val="single" w:sz="4" w:space="0" w:color="auto"/>
              <w:right w:val="single" w:sz="4" w:space="0" w:color="auto"/>
            </w:tcBorders>
            <w:hideMark/>
          </w:tcPr>
          <w:p w14:paraId="60A685A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139</w:t>
            </w:r>
          </w:p>
        </w:tc>
        <w:tc>
          <w:tcPr>
            <w:tcW w:w="849" w:type="dxa"/>
            <w:tcBorders>
              <w:top w:val="single" w:sz="4" w:space="0" w:color="auto"/>
              <w:left w:val="single" w:sz="4" w:space="0" w:color="auto"/>
              <w:bottom w:val="single" w:sz="4" w:space="0" w:color="auto"/>
              <w:right w:val="single" w:sz="4" w:space="0" w:color="auto"/>
            </w:tcBorders>
            <w:hideMark/>
          </w:tcPr>
          <w:p w14:paraId="6F61CE2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648</w:t>
            </w:r>
          </w:p>
        </w:tc>
        <w:tc>
          <w:tcPr>
            <w:tcW w:w="849" w:type="dxa"/>
            <w:tcBorders>
              <w:top w:val="single" w:sz="4" w:space="0" w:color="auto"/>
              <w:left w:val="single" w:sz="4" w:space="0" w:color="auto"/>
              <w:bottom w:val="single" w:sz="4" w:space="0" w:color="auto"/>
              <w:right w:val="single" w:sz="4" w:space="0" w:color="auto"/>
            </w:tcBorders>
            <w:hideMark/>
          </w:tcPr>
          <w:p w14:paraId="162E856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1551</w:t>
            </w:r>
          </w:p>
        </w:tc>
      </w:tr>
      <w:tr w:rsidR="0078509A" w:rsidRPr="0078509A" w14:paraId="06BF9A8F"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AA45646"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CDH</w:t>
            </w:r>
          </w:p>
        </w:tc>
        <w:tc>
          <w:tcPr>
            <w:tcW w:w="849" w:type="dxa"/>
            <w:tcBorders>
              <w:top w:val="single" w:sz="4" w:space="0" w:color="auto"/>
              <w:left w:val="single" w:sz="4" w:space="0" w:color="auto"/>
              <w:bottom w:val="single" w:sz="4" w:space="0" w:color="auto"/>
              <w:right w:val="single" w:sz="4" w:space="0" w:color="auto"/>
            </w:tcBorders>
            <w:hideMark/>
          </w:tcPr>
          <w:p w14:paraId="5D8E7C8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w:t>
            </w:r>
          </w:p>
        </w:tc>
        <w:tc>
          <w:tcPr>
            <w:tcW w:w="849" w:type="dxa"/>
            <w:tcBorders>
              <w:top w:val="single" w:sz="4" w:space="0" w:color="auto"/>
              <w:left w:val="single" w:sz="4" w:space="0" w:color="auto"/>
              <w:bottom w:val="single" w:sz="4" w:space="0" w:color="auto"/>
              <w:right w:val="single" w:sz="4" w:space="0" w:color="auto"/>
            </w:tcBorders>
            <w:hideMark/>
          </w:tcPr>
          <w:p w14:paraId="3E4CB46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97</w:t>
            </w:r>
          </w:p>
        </w:tc>
        <w:tc>
          <w:tcPr>
            <w:tcW w:w="849" w:type="dxa"/>
            <w:tcBorders>
              <w:top w:val="single" w:sz="4" w:space="0" w:color="auto"/>
              <w:left w:val="single" w:sz="4" w:space="0" w:color="auto"/>
              <w:bottom w:val="single" w:sz="4" w:space="0" w:color="auto"/>
              <w:right w:val="single" w:sz="4" w:space="0" w:color="auto"/>
            </w:tcBorders>
            <w:hideMark/>
          </w:tcPr>
          <w:p w14:paraId="1FB2312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234</w:t>
            </w:r>
          </w:p>
        </w:tc>
        <w:tc>
          <w:tcPr>
            <w:tcW w:w="849" w:type="dxa"/>
            <w:tcBorders>
              <w:top w:val="single" w:sz="4" w:space="0" w:color="auto"/>
              <w:left w:val="single" w:sz="4" w:space="0" w:color="auto"/>
              <w:bottom w:val="single" w:sz="4" w:space="0" w:color="auto"/>
              <w:right w:val="single" w:sz="4" w:space="0" w:color="auto"/>
            </w:tcBorders>
            <w:hideMark/>
          </w:tcPr>
          <w:p w14:paraId="1213AB0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44</w:t>
            </w:r>
          </w:p>
        </w:tc>
        <w:tc>
          <w:tcPr>
            <w:tcW w:w="849" w:type="dxa"/>
            <w:tcBorders>
              <w:top w:val="single" w:sz="4" w:space="0" w:color="auto"/>
              <w:left w:val="single" w:sz="4" w:space="0" w:color="auto"/>
              <w:bottom w:val="single" w:sz="4" w:space="0" w:color="auto"/>
              <w:right w:val="single" w:sz="4" w:space="0" w:color="auto"/>
            </w:tcBorders>
            <w:hideMark/>
          </w:tcPr>
          <w:p w14:paraId="17954F4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217</w:t>
            </w:r>
          </w:p>
        </w:tc>
        <w:tc>
          <w:tcPr>
            <w:tcW w:w="849" w:type="dxa"/>
            <w:tcBorders>
              <w:top w:val="single" w:sz="4" w:space="0" w:color="auto"/>
              <w:left w:val="single" w:sz="4" w:space="0" w:color="auto"/>
              <w:bottom w:val="single" w:sz="4" w:space="0" w:color="auto"/>
              <w:right w:val="single" w:sz="4" w:space="0" w:color="auto"/>
            </w:tcBorders>
            <w:hideMark/>
          </w:tcPr>
          <w:p w14:paraId="560E92C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516</w:t>
            </w:r>
          </w:p>
        </w:tc>
        <w:tc>
          <w:tcPr>
            <w:tcW w:w="849" w:type="dxa"/>
            <w:tcBorders>
              <w:top w:val="single" w:sz="4" w:space="0" w:color="auto"/>
              <w:left w:val="single" w:sz="4" w:space="0" w:color="auto"/>
              <w:bottom w:val="single" w:sz="4" w:space="0" w:color="auto"/>
              <w:right w:val="single" w:sz="4" w:space="0" w:color="auto"/>
            </w:tcBorders>
            <w:hideMark/>
          </w:tcPr>
          <w:p w14:paraId="0820F90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124</w:t>
            </w:r>
          </w:p>
        </w:tc>
        <w:tc>
          <w:tcPr>
            <w:tcW w:w="849" w:type="dxa"/>
            <w:tcBorders>
              <w:top w:val="single" w:sz="4" w:space="0" w:color="auto"/>
              <w:left w:val="single" w:sz="4" w:space="0" w:color="auto"/>
              <w:bottom w:val="single" w:sz="4" w:space="0" w:color="auto"/>
              <w:right w:val="single" w:sz="4" w:space="0" w:color="auto"/>
            </w:tcBorders>
            <w:hideMark/>
          </w:tcPr>
          <w:p w14:paraId="73FDCE7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589</w:t>
            </w:r>
          </w:p>
        </w:tc>
        <w:tc>
          <w:tcPr>
            <w:tcW w:w="849" w:type="dxa"/>
            <w:tcBorders>
              <w:top w:val="single" w:sz="4" w:space="0" w:color="auto"/>
              <w:left w:val="single" w:sz="4" w:space="0" w:color="auto"/>
              <w:bottom w:val="single" w:sz="4" w:space="0" w:color="auto"/>
              <w:right w:val="single" w:sz="4" w:space="0" w:color="auto"/>
            </w:tcBorders>
            <w:hideMark/>
          </w:tcPr>
          <w:p w14:paraId="6AE5A38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1394</w:t>
            </w:r>
          </w:p>
        </w:tc>
      </w:tr>
      <w:tr w:rsidR="0078509A" w:rsidRPr="0078509A" w14:paraId="6EAEA4EE"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F99270D"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CDL</w:t>
            </w:r>
          </w:p>
        </w:tc>
        <w:tc>
          <w:tcPr>
            <w:tcW w:w="849" w:type="dxa"/>
            <w:tcBorders>
              <w:top w:val="single" w:sz="4" w:space="0" w:color="auto"/>
              <w:left w:val="single" w:sz="4" w:space="0" w:color="auto"/>
              <w:bottom w:val="single" w:sz="4" w:space="0" w:color="auto"/>
              <w:right w:val="single" w:sz="4" w:space="0" w:color="auto"/>
            </w:tcBorders>
            <w:hideMark/>
          </w:tcPr>
          <w:p w14:paraId="317C2C6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w:t>
            </w:r>
          </w:p>
        </w:tc>
        <w:tc>
          <w:tcPr>
            <w:tcW w:w="849" w:type="dxa"/>
            <w:tcBorders>
              <w:top w:val="single" w:sz="4" w:space="0" w:color="auto"/>
              <w:left w:val="single" w:sz="4" w:space="0" w:color="auto"/>
              <w:bottom w:val="single" w:sz="4" w:space="0" w:color="auto"/>
              <w:right w:val="single" w:sz="4" w:space="0" w:color="auto"/>
            </w:tcBorders>
            <w:hideMark/>
          </w:tcPr>
          <w:p w14:paraId="03BFA5D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101</w:t>
            </w:r>
          </w:p>
        </w:tc>
        <w:tc>
          <w:tcPr>
            <w:tcW w:w="849" w:type="dxa"/>
            <w:tcBorders>
              <w:top w:val="single" w:sz="4" w:space="0" w:color="auto"/>
              <w:left w:val="single" w:sz="4" w:space="0" w:color="auto"/>
              <w:bottom w:val="single" w:sz="4" w:space="0" w:color="auto"/>
              <w:right w:val="single" w:sz="4" w:space="0" w:color="auto"/>
            </w:tcBorders>
            <w:hideMark/>
          </w:tcPr>
          <w:p w14:paraId="6A48D9D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244</w:t>
            </w:r>
          </w:p>
        </w:tc>
        <w:tc>
          <w:tcPr>
            <w:tcW w:w="849" w:type="dxa"/>
            <w:tcBorders>
              <w:top w:val="single" w:sz="4" w:space="0" w:color="auto"/>
              <w:left w:val="single" w:sz="4" w:space="0" w:color="auto"/>
              <w:bottom w:val="single" w:sz="4" w:space="0" w:color="auto"/>
              <w:right w:val="single" w:sz="4" w:space="0" w:color="auto"/>
            </w:tcBorders>
            <w:hideMark/>
          </w:tcPr>
          <w:p w14:paraId="07DA705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47</w:t>
            </w:r>
          </w:p>
        </w:tc>
        <w:tc>
          <w:tcPr>
            <w:tcW w:w="849" w:type="dxa"/>
            <w:tcBorders>
              <w:top w:val="single" w:sz="4" w:space="0" w:color="auto"/>
              <w:left w:val="single" w:sz="4" w:space="0" w:color="auto"/>
              <w:bottom w:val="single" w:sz="4" w:space="0" w:color="auto"/>
              <w:right w:val="single" w:sz="4" w:space="0" w:color="auto"/>
            </w:tcBorders>
            <w:hideMark/>
          </w:tcPr>
          <w:p w14:paraId="6215766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229</w:t>
            </w:r>
          </w:p>
        </w:tc>
        <w:tc>
          <w:tcPr>
            <w:tcW w:w="849" w:type="dxa"/>
            <w:tcBorders>
              <w:top w:val="single" w:sz="4" w:space="0" w:color="auto"/>
              <w:left w:val="single" w:sz="4" w:space="0" w:color="auto"/>
              <w:bottom w:val="single" w:sz="4" w:space="0" w:color="auto"/>
              <w:right w:val="single" w:sz="4" w:space="0" w:color="auto"/>
            </w:tcBorders>
            <w:hideMark/>
          </w:tcPr>
          <w:p w14:paraId="6C6C26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542</w:t>
            </w:r>
          </w:p>
        </w:tc>
        <w:tc>
          <w:tcPr>
            <w:tcW w:w="849" w:type="dxa"/>
            <w:tcBorders>
              <w:top w:val="single" w:sz="4" w:space="0" w:color="auto"/>
              <w:left w:val="single" w:sz="4" w:space="0" w:color="auto"/>
              <w:bottom w:val="single" w:sz="4" w:space="0" w:color="auto"/>
              <w:right w:val="single" w:sz="4" w:space="0" w:color="auto"/>
            </w:tcBorders>
            <w:hideMark/>
          </w:tcPr>
          <w:p w14:paraId="0C08623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132</w:t>
            </w:r>
          </w:p>
        </w:tc>
        <w:tc>
          <w:tcPr>
            <w:tcW w:w="849" w:type="dxa"/>
            <w:tcBorders>
              <w:top w:val="single" w:sz="4" w:space="0" w:color="auto"/>
              <w:left w:val="single" w:sz="4" w:space="0" w:color="auto"/>
              <w:bottom w:val="single" w:sz="4" w:space="0" w:color="auto"/>
              <w:right w:val="single" w:sz="4" w:space="0" w:color="auto"/>
            </w:tcBorders>
            <w:hideMark/>
          </w:tcPr>
          <w:p w14:paraId="38AC232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633</w:t>
            </w:r>
          </w:p>
        </w:tc>
        <w:tc>
          <w:tcPr>
            <w:tcW w:w="849" w:type="dxa"/>
            <w:tcBorders>
              <w:top w:val="single" w:sz="4" w:space="0" w:color="auto"/>
              <w:left w:val="single" w:sz="4" w:space="0" w:color="auto"/>
              <w:bottom w:val="single" w:sz="4" w:space="0" w:color="auto"/>
              <w:right w:val="single" w:sz="4" w:space="0" w:color="auto"/>
            </w:tcBorders>
            <w:hideMark/>
          </w:tcPr>
          <w:p w14:paraId="3ECD8D3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1474</w:t>
            </w:r>
          </w:p>
        </w:tc>
      </w:tr>
      <w:tr w:rsidR="0078509A" w:rsidRPr="0078509A" w14:paraId="2F9A33C8"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CFA42A3"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CDLk</w:t>
            </w:r>
          </w:p>
        </w:tc>
        <w:tc>
          <w:tcPr>
            <w:tcW w:w="849" w:type="dxa"/>
            <w:tcBorders>
              <w:top w:val="single" w:sz="4" w:space="0" w:color="auto"/>
              <w:left w:val="single" w:sz="4" w:space="0" w:color="auto"/>
              <w:bottom w:val="single" w:sz="4" w:space="0" w:color="auto"/>
              <w:right w:val="single" w:sz="4" w:space="0" w:color="auto"/>
            </w:tcBorders>
            <w:hideMark/>
          </w:tcPr>
          <w:p w14:paraId="67DB2A9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17</w:t>
            </w:r>
          </w:p>
        </w:tc>
        <w:tc>
          <w:tcPr>
            <w:tcW w:w="849" w:type="dxa"/>
            <w:tcBorders>
              <w:top w:val="single" w:sz="4" w:space="0" w:color="auto"/>
              <w:left w:val="single" w:sz="4" w:space="0" w:color="auto"/>
              <w:bottom w:val="single" w:sz="4" w:space="0" w:color="auto"/>
              <w:right w:val="single" w:sz="4" w:space="0" w:color="auto"/>
            </w:tcBorders>
            <w:hideMark/>
          </w:tcPr>
          <w:p w14:paraId="5DFD2E8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88</w:t>
            </w:r>
          </w:p>
        </w:tc>
        <w:tc>
          <w:tcPr>
            <w:tcW w:w="849" w:type="dxa"/>
            <w:tcBorders>
              <w:top w:val="single" w:sz="4" w:space="0" w:color="auto"/>
              <w:left w:val="single" w:sz="4" w:space="0" w:color="auto"/>
              <w:bottom w:val="single" w:sz="4" w:space="0" w:color="auto"/>
              <w:right w:val="single" w:sz="4" w:space="0" w:color="auto"/>
            </w:tcBorders>
            <w:hideMark/>
          </w:tcPr>
          <w:p w14:paraId="54EFDFA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209</w:t>
            </w:r>
          </w:p>
        </w:tc>
        <w:tc>
          <w:tcPr>
            <w:tcW w:w="849" w:type="dxa"/>
            <w:tcBorders>
              <w:top w:val="single" w:sz="4" w:space="0" w:color="auto"/>
              <w:left w:val="single" w:sz="4" w:space="0" w:color="auto"/>
              <w:bottom w:val="single" w:sz="4" w:space="0" w:color="auto"/>
              <w:right w:val="single" w:sz="4" w:space="0" w:color="auto"/>
            </w:tcBorders>
            <w:hideMark/>
          </w:tcPr>
          <w:p w14:paraId="1164740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40</w:t>
            </w:r>
          </w:p>
        </w:tc>
        <w:tc>
          <w:tcPr>
            <w:tcW w:w="849" w:type="dxa"/>
            <w:tcBorders>
              <w:top w:val="single" w:sz="4" w:space="0" w:color="auto"/>
              <w:left w:val="single" w:sz="4" w:space="0" w:color="auto"/>
              <w:bottom w:val="single" w:sz="4" w:space="0" w:color="auto"/>
              <w:right w:val="single" w:sz="4" w:space="0" w:color="auto"/>
            </w:tcBorders>
            <w:hideMark/>
          </w:tcPr>
          <w:p w14:paraId="55C4AA6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192</w:t>
            </w:r>
          </w:p>
        </w:tc>
        <w:tc>
          <w:tcPr>
            <w:tcW w:w="849" w:type="dxa"/>
            <w:tcBorders>
              <w:top w:val="single" w:sz="4" w:space="0" w:color="auto"/>
              <w:left w:val="single" w:sz="4" w:space="0" w:color="auto"/>
              <w:bottom w:val="single" w:sz="4" w:space="0" w:color="auto"/>
              <w:right w:val="single" w:sz="4" w:space="0" w:color="auto"/>
            </w:tcBorders>
            <w:hideMark/>
          </w:tcPr>
          <w:p w14:paraId="74CB0F0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463</w:t>
            </w:r>
          </w:p>
        </w:tc>
        <w:tc>
          <w:tcPr>
            <w:tcW w:w="849" w:type="dxa"/>
            <w:tcBorders>
              <w:top w:val="single" w:sz="4" w:space="0" w:color="auto"/>
              <w:left w:val="single" w:sz="4" w:space="0" w:color="auto"/>
              <w:bottom w:val="single" w:sz="4" w:space="0" w:color="auto"/>
              <w:right w:val="single" w:sz="4" w:space="0" w:color="auto"/>
            </w:tcBorders>
            <w:hideMark/>
          </w:tcPr>
          <w:p w14:paraId="2D0C944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111</w:t>
            </w:r>
          </w:p>
        </w:tc>
        <w:tc>
          <w:tcPr>
            <w:tcW w:w="849" w:type="dxa"/>
            <w:tcBorders>
              <w:top w:val="single" w:sz="4" w:space="0" w:color="auto"/>
              <w:left w:val="single" w:sz="4" w:space="0" w:color="auto"/>
              <w:bottom w:val="single" w:sz="4" w:space="0" w:color="auto"/>
              <w:right w:val="single" w:sz="4" w:space="0" w:color="auto"/>
            </w:tcBorders>
            <w:hideMark/>
          </w:tcPr>
          <w:p w14:paraId="56A130B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521</w:t>
            </w:r>
          </w:p>
        </w:tc>
        <w:tc>
          <w:tcPr>
            <w:tcW w:w="849" w:type="dxa"/>
            <w:tcBorders>
              <w:top w:val="single" w:sz="4" w:space="0" w:color="auto"/>
              <w:left w:val="single" w:sz="4" w:space="0" w:color="auto"/>
              <w:bottom w:val="single" w:sz="4" w:space="0" w:color="auto"/>
              <w:right w:val="single" w:sz="4" w:space="0" w:color="auto"/>
            </w:tcBorders>
            <w:hideMark/>
          </w:tcPr>
          <w:p w14:paraId="00D612C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1257</w:t>
            </w:r>
          </w:p>
        </w:tc>
      </w:tr>
      <w:tr w:rsidR="0078509A" w:rsidRPr="0078509A" w14:paraId="666C5C32"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9C145F1"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WXL</w:t>
            </w:r>
          </w:p>
        </w:tc>
        <w:tc>
          <w:tcPr>
            <w:tcW w:w="849" w:type="dxa"/>
            <w:tcBorders>
              <w:top w:val="single" w:sz="4" w:space="0" w:color="auto"/>
              <w:left w:val="single" w:sz="4" w:space="0" w:color="auto"/>
              <w:bottom w:val="single" w:sz="4" w:space="0" w:color="auto"/>
              <w:right w:val="single" w:sz="4" w:space="0" w:color="auto"/>
            </w:tcBorders>
            <w:hideMark/>
          </w:tcPr>
          <w:p w14:paraId="16A4FC1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36</w:t>
            </w:r>
          </w:p>
        </w:tc>
        <w:tc>
          <w:tcPr>
            <w:tcW w:w="849" w:type="dxa"/>
            <w:tcBorders>
              <w:top w:val="single" w:sz="4" w:space="0" w:color="auto"/>
              <w:left w:val="single" w:sz="4" w:space="0" w:color="auto"/>
              <w:bottom w:val="single" w:sz="4" w:space="0" w:color="auto"/>
              <w:right w:val="single" w:sz="4" w:space="0" w:color="auto"/>
            </w:tcBorders>
            <w:hideMark/>
          </w:tcPr>
          <w:p w14:paraId="5266DB5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179</w:t>
            </w:r>
          </w:p>
        </w:tc>
        <w:tc>
          <w:tcPr>
            <w:tcW w:w="849" w:type="dxa"/>
            <w:tcBorders>
              <w:top w:val="single" w:sz="4" w:space="0" w:color="auto"/>
              <w:left w:val="single" w:sz="4" w:space="0" w:color="auto"/>
              <w:bottom w:val="single" w:sz="4" w:space="0" w:color="auto"/>
              <w:right w:val="single" w:sz="4" w:space="0" w:color="auto"/>
            </w:tcBorders>
            <w:hideMark/>
          </w:tcPr>
          <w:p w14:paraId="4EF85C4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427</w:t>
            </w:r>
          </w:p>
        </w:tc>
        <w:tc>
          <w:tcPr>
            <w:tcW w:w="849" w:type="dxa"/>
            <w:tcBorders>
              <w:top w:val="single" w:sz="4" w:space="0" w:color="auto"/>
              <w:left w:val="single" w:sz="4" w:space="0" w:color="auto"/>
              <w:bottom w:val="single" w:sz="4" w:space="0" w:color="auto"/>
              <w:right w:val="single" w:sz="4" w:space="0" w:color="auto"/>
            </w:tcBorders>
            <w:hideMark/>
          </w:tcPr>
          <w:p w14:paraId="28FA312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87</w:t>
            </w:r>
          </w:p>
        </w:tc>
        <w:tc>
          <w:tcPr>
            <w:tcW w:w="849" w:type="dxa"/>
            <w:tcBorders>
              <w:top w:val="single" w:sz="4" w:space="0" w:color="auto"/>
              <w:left w:val="single" w:sz="4" w:space="0" w:color="auto"/>
              <w:bottom w:val="single" w:sz="4" w:space="0" w:color="auto"/>
              <w:right w:val="single" w:sz="4" w:space="0" w:color="auto"/>
            </w:tcBorders>
            <w:hideMark/>
          </w:tcPr>
          <w:p w14:paraId="213C283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414</w:t>
            </w:r>
          </w:p>
        </w:tc>
        <w:tc>
          <w:tcPr>
            <w:tcW w:w="849" w:type="dxa"/>
            <w:tcBorders>
              <w:top w:val="single" w:sz="4" w:space="0" w:color="auto"/>
              <w:left w:val="single" w:sz="4" w:space="0" w:color="auto"/>
              <w:bottom w:val="single" w:sz="4" w:space="0" w:color="auto"/>
              <w:right w:val="single" w:sz="4" w:space="0" w:color="auto"/>
            </w:tcBorders>
            <w:hideMark/>
          </w:tcPr>
          <w:p w14:paraId="1BE0972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1008</w:t>
            </w:r>
          </w:p>
        </w:tc>
        <w:tc>
          <w:tcPr>
            <w:tcW w:w="849" w:type="dxa"/>
            <w:tcBorders>
              <w:top w:val="single" w:sz="4" w:space="0" w:color="auto"/>
              <w:left w:val="single" w:sz="4" w:space="0" w:color="auto"/>
              <w:bottom w:val="single" w:sz="4" w:space="0" w:color="auto"/>
              <w:right w:val="single" w:sz="4" w:space="0" w:color="auto"/>
            </w:tcBorders>
            <w:hideMark/>
          </w:tcPr>
          <w:p w14:paraId="1213C20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259</w:t>
            </w:r>
          </w:p>
        </w:tc>
        <w:tc>
          <w:tcPr>
            <w:tcW w:w="849" w:type="dxa"/>
            <w:tcBorders>
              <w:top w:val="single" w:sz="4" w:space="0" w:color="auto"/>
              <w:left w:val="single" w:sz="4" w:space="0" w:color="auto"/>
              <w:bottom w:val="single" w:sz="4" w:space="0" w:color="auto"/>
              <w:right w:val="single" w:sz="4" w:space="0" w:color="auto"/>
            </w:tcBorders>
            <w:hideMark/>
          </w:tcPr>
          <w:p w14:paraId="1B087BD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1211</w:t>
            </w:r>
          </w:p>
        </w:tc>
        <w:tc>
          <w:tcPr>
            <w:tcW w:w="849" w:type="dxa"/>
            <w:tcBorders>
              <w:top w:val="single" w:sz="4" w:space="0" w:color="auto"/>
              <w:left w:val="single" w:sz="4" w:space="0" w:color="auto"/>
              <w:bottom w:val="single" w:sz="4" w:space="0" w:color="auto"/>
              <w:right w:val="single" w:sz="4" w:space="0" w:color="auto"/>
            </w:tcBorders>
            <w:hideMark/>
          </w:tcPr>
          <w:p w14:paraId="2F83980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2792</w:t>
            </w:r>
          </w:p>
        </w:tc>
      </w:tr>
      <w:tr w:rsidR="0078509A" w:rsidRPr="0078509A" w14:paraId="10E57201"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619DC94"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WXH</w:t>
            </w:r>
          </w:p>
        </w:tc>
        <w:tc>
          <w:tcPr>
            <w:tcW w:w="849" w:type="dxa"/>
            <w:tcBorders>
              <w:top w:val="single" w:sz="4" w:space="0" w:color="auto"/>
              <w:left w:val="single" w:sz="4" w:space="0" w:color="auto"/>
              <w:bottom w:val="single" w:sz="4" w:space="0" w:color="auto"/>
              <w:right w:val="single" w:sz="4" w:space="0" w:color="auto"/>
            </w:tcBorders>
            <w:hideMark/>
          </w:tcPr>
          <w:p w14:paraId="0930019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39</w:t>
            </w:r>
          </w:p>
        </w:tc>
        <w:tc>
          <w:tcPr>
            <w:tcW w:w="849" w:type="dxa"/>
            <w:tcBorders>
              <w:top w:val="single" w:sz="4" w:space="0" w:color="auto"/>
              <w:left w:val="single" w:sz="4" w:space="0" w:color="auto"/>
              <w:bottom w:val="single" w:sz="4" w:space="0" w:color="auto"/>
              <w:right w:val="single" w:sz="4" w:space="0" w:color="auto"/>
            </w:tcBorders>
            <w:hideMark/>
          </w:tcPr>
          <w:p w14:paraId="11BADAC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198</w:t>
            </w:r>
          </w:p>
        </w:tc>
        <w:tc>
          <w:tcPr>
            <w:tcW w:w="849" w:type="dxa"/>
            <w:tcBorders>
              <w:top w:val="single" w:sz="4" w:space="0" w:color="auto"/>
              <w:left w:val="single" w:sz="4" w:space="0" w:color="auto"/>
              <w:bottom w:val="single" w:sz="4" w:space="0" w:color="auto"/>
              <w:right w:val="single" w:sz="4" w:space="0" w:color="auto"/>
            </w:tcBorders>
            <w:hideMark/>
          </w:tcPr>
          <w:p w14:paraId="48689A2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475</w:t>
            </w:r>
          </w:p>
        </w:tc>
        <w:tc>
          <w:tcPr>
            <w:tcW w:w="849" w:type="dxa"/>
            <w:tcBorders>
              <w:top w:val="single" w:sz="4" w:space="0" w:color="auto"/>
              <w:left w:val="single" w:sz="4" w:space="0" w:color="auto"/>
              <w:bottom w:val="single" w:sz="4" w:space="0" w:color="auto"/>
              <w:right w:val="single" w:sz="4" w:space="0" w:color="auto"/>
            </w:tcBorders>
            <w:hideMark/>
          </w:tcPr>
          <w:p w14:paraId="6FEDAB8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95</w:t>
            </w:r>
          </w:p>
        </w:tc>
        <w:tc>
          <w:tcPr>
            <w:tcW w:w="849" w:type="dxa"/>
            <w:tcBorders>
              <w:top w:val="single" w:sz="4" w:space="0" w:color="auto"/>
              <w:left w:val="single" w:sz="4" w:space="0" w:color="auto"/>
              <w:bottom w:val="single" w:sz="4" w:space="0" w:color="auto"/>
              <w:right w:val="single" w:sz="4" w:space="0" w:color="auto"/>
            </w:tcBorders>
            <w:hideMark/>
          </w:tcPr>
          <w:p w14:paraId="0BDADF3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462</w:t>
            </w:r>
          </w:p>
        </w:tc>
        <w:tc>
          <w:tcPr>
            <w:tcW w:w="849" w:type="dxa"/>
            <w:tcBorders>
              <w:top w:val="single" w:sz="4" w:space="0" w:color="auto"/>
              <w:left w:val="single" w:sz="4" w:space="0" w:color="auto"/>
              <w:bottom w:val="single" w:sz="4" w:space="0" w:color="auto"/>
              <w:right w:val="single" w:sz="4" w:space="0" w:color="auto"/>
            </w:tcBorders>
            <w:hideMark/>
          </w:tcPr>
          <w:p w14:paraId="66B32F2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1096</w:t>
            </w:r>
          </w:p>
        </w:tc>
        <w:tc>
          <w:tcPr>
            <w:tcW w:w="849" w:type="dxa"/>
            <w:tcBorders>
              <w:top w:val="single" w:sz="4" w:space="0" w:color="auto"/>
              <w:left w:val="single" w:sz="4" w:space="0" w:color="auto"/>
              <w:bottom w:val="single" w:sz="4" w:space="0" w:color="auto"/>
              <w:right w:val="single" w:sz="4" w:space="0" w:color="auto"/>
            </w:tcBorders>
            <w:hideMark/>
          </w:tcPr>
          <w:p w14:paraId="0324DF0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287</w:t>
            </w:r>
          </w:p>
        </w:tc>
        <w:tc>
          <w:tcPr>
            <w:tcW w:w="849" w:type="dxa"/>
            <w:tcBorders>
              <w:top w:val="single" w:sz="4" w:space="0" w:color="auto"/>
              <w:left w:val="single" w:sz="4" w:space="0" w:color="auto"/>
              <w:bottom w:val="single" w:sz="4" w:space="0" w:color="auto"/>
              <w:right w:val="single" w:sz="4" w:space="0" w:color="auto"/>
            </w:tcBorders>
            <w:hideMark/>
          </w:tcPr>
          <w:p w14:paraId="388C228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1371</w:t>
            </w:r>
          </w:p>
        </w:tc>
        <w:tc>
          <w:tcPr>
            <w:tcW w:w="849" w:type="dxa"/>
            <w:tcBorders>
              <w:top w:val="single" w:sz="4" w:space="0" w:color="auto"/>
              <w:left w:val="single" w:sz="4" w:space="0" w:color="auto"/>
              <w:bottom w:val="single" w:sz="4" w:space="0" w:color="auto"/>
              <w:right w:val="single" w:sz="4" w:space="0" w:color="auto"/>
            </w:tcBorders>
            <w:hideMark/>
          </w:tcPr>
          <w:p w14:paraId="73153D8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3082</w:t>
            </w:r>
          </w:p>
        </w:tc>
      </w:tr>
      <w:tr w:rsidR="0078509A" w:rsidRPr="0078509A" w14:paraId="44FF700D"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D5358D2"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WWH</w:t>
            </w:r>
          </w:p>
        </w:tc>
        <w:tc>
          <w:tcPr>
            <w:tcW w:w="849" w:type="dxa"/>
            <w:tcBorders>
              <w:top w:val="single" w:sz="4" w:space="0" w:color="auto"/>
              <w:left w:val="single" w:sz="4" w:space="0" w:color="auto"/>
              <w:bottom w:val="single" w:sz="4" w:space="0" w:color="auto"/>
              <w:right w:val="single" w:sz="4" w:space="0" w:color="auto"/>
            </w:tcBorders>
            <w:hideMark/>
          </w:tcPr>
          <w:p w14:paraId="11833C9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57</w:t>
            </w:r>
          </w:p>
        </w:tc>
        <w:tc>
          <w:tcPr>
            <w:tcW w:w="849" w:type="dxa"/>
            <w:tcBorders>
              <w:top w:val="single" w:sz="4" w:space="0" w:color="auto"/>
              <w:left w:val="single" w:sz="4" w:space="0" w:color="auto"/>
              <w:bottom w:val="single" w:sz="4" w:space="0" w:color="auto"/>
              <w:right w:val="single" w:sz="4" w:space="0" w:color="auto"/>
            </w:tcBorders>
            <w:hideMark/>
          </w:tcPr>
          <w:p w14:paraId="72B75D1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288</w:t>
            </w:r>
          </w:p>
        </w:tc>
        <w:tc>
          <w:tcPr>
            <w:tcW w:w="849" w:type="dxa"/>
            <w:tcBorders>
              <w:top w:val="single" w:sz="4" w:space="0" w:color="auto"/>
              <w:left w:val="single" w:sz="4" w:space="0" w:color="auto"/>
              <w:bottom w:val="single" w:sz="4" w:space="0" w:color="auto"/>
              <w:right w:val="single" w:sz="4" w:space="0" w:color="auto"/>
            </w:tcBorders>
            <w:hideMark/>
          </w:tcPr>
          <w:p w14:paraId="7F7A3F9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701</w:t>
            </w:r>
          </w:p>
        </w:tc>
        <w:tc>
          <w:tcPr>
            <w:tcW w:w="849" w:type="dxa"/>
            <w:tcBorders>
              <w:top w:val="single" w:sz="4" w:space="0" w:color="auto"/>
              <w:left w:val="single" w:sz="4" w:space="0" w:color="auto"/>
              <w:bottom w:val="single" w:sz="4" w:space="0" w:color="auto"/>
              <w:right w:val="single" w:sz="4" w:space="0" w:color="auto"/>
            </w:tcBorders>
            <w:hideMark/>
          </w:tcPr>
          <w:p w14:paraId="0FE5C18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144</w:t>
            </w:r>
          </w:p>
        </w:tc>
        <w:tc>
          <w:tcPr>
            <w:tcW w:w="849" w:type="dxa"/>
            <w:tcBorders>
              <w:top w:val="single" w:sz="4" w:space="0" w:color="auto"/>
              <w:left w:val="single" w:sz="4" w:space="0" w:color="auto"/>
              <w:bottom w:val="single" w:sz="4" w:space="0" w:color="auto"/>
              <w:right w:val="single" w:sz="4" w:space="0" w:color="auto"/>
            </w:tcBorders>
            <w:hideMark/>
          </w:tcPr>
          <w:p w14:paraId="7C3ED4E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690</w:t>
            </w:r>
          </w:p>
        </w:tc>
        <w:tc>
          <w:tcPr>
            <w:tcW w:w="849" w:type="dxa"/>
            <w:tcBorders>
              <w:top w:val="single" w:sz="4" w:space="0" w:color="auto"/>
              <w:left w:val="single" w:sz="4" w:space="0" w:color="auto"/>
              <w:bottom w:val="single" w:sz="4" w:space="0" w:color="auto"/>
              <w:right w:val="single" w:sz="4" w:space="0" w:color="auto"/>
            </w:tcBorders>
            <w:hideMark/>
          </w:tcPr>
          <w:p w14:paraId="117B635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1645</w:t>
            </w:r>
          </w:p>
        </w:tc>
        <w:tc>
          <w:tcPr>
            <w:tcW w:w="849" w:type="dxa"/>
            <w:tcBorders>
              <w:top w:val="single" w:sz="4" w:space="0" w:color="auto"/>
              <w:left w:val="single" w:sz="4" w:space="0" w:color="auto"/>
              <w:bottom w:val="single" w:sz="4" w:space="0" w:color="auto"/>
              <w:right w:val="single" w:sz="4" w:space="0" w:color="auto"/>
            </w:tcBorders>
            <w:hideMark/>
          </w:tcPr>
          <w:p w14:paraId="459FA38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444</w:t>
            </w:r>
          </w:p>
        </w:tc>
        <w:tc>
          <w:tcPr>
            <w:tcW w:w="849" w:type="dxa"/>
            <w:tcBorders>
              <w:top w:val="single" w:sz="4" w:space="0" w:color="auto"/>
              <w:left w:val="single" w:sz="4" w:space="0" w:color="auto"/>
              <w:bottom w:val="single" w:sz="4" w:space="0" w:color="auto"/>
              <w:right w:val="single" w:sz="4" w:space="0" w:color="auto"/>
            </w:tcBorders>
            <w:hideMark/>
          </w:tcPr>
          <w:p w14:paraId="18523DF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2064</w:t>
            </w:r>
          </w:p>
        </w:tc>
        <w:tc>
          <w:tcPr>
            <w:tcW w:w="849" w:type="dxa"/>
            <w:tcBorders>
              <w:top w:val="single" w:sz="4" w:space="0" w:color="auto"/>
              <w:left w:val="single" w:sz="4" w:space="0" w:color="auto"/>
              <w:bottom w:val="single" w:sz="4" w:space="0" w:color="auto"/>
              <w:right w:val="single" w:sz="4" w:space="0" w:color="auto"/>
            </w:tcBorders>
            <w:hideMark/>
          </w:tcPr>
          <w:p w14:paraId="26206CE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4401</w:t>
            </w:r>
          </w:p>
        </w:tc>
      </w:tr>
      <w:tr w:rsidR="0078509A" w:rsidRPr="0078509A" w14:paraId="2D46672E"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167A8628"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WWL</w:t>
            </w:r>
          </w:p>
        </w:tc>
        <w:tc>
          <w:tcPr>
            <w:tcW w:w="849" w:type="dxa"/>
            <w:tcBorders>
              <w:top w:val="single" w:sz="4" w:space="0" w:color="auto"/>
              <w:left w:val="single" w:sz="4" w:space="0" w:color="auto"/>
              <w:bottom w:val="single" w:sz="4" w:space="0" w:color="auto"/>
              <w:right w:val="single" w:sz="4" w:space="0" w:color="auto"/>
            </w:tcBorders>
            <w:hideMark/>
          </w:tcPr>
          <w:p w14:paraId="7579616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w:t>
            </w:r>
          </w:p>
        </w:tc>
        <w:tc>
          <w:tcPr>
            <w:tcW w:w="849" w:type="dxa"/>
            <w:tcBorders>
              <w:top w:val="single" w:sz="4" w:space="0" w:color="auto"/>
              <w:left w:val="single" w:sz="4" w:space="0" w:color="auto"/>
              <w:bottom w:val="single" w:sz="4" w:space="0" w:color="auto"/>
              <w:right w:val="single" w:sz="4" w:space="0" w:color="auto"/>
            </w:tcBorders>
            <w:hideMark/>
          </w:tcPr>
          <w:p w14:paraId="4C9B9BF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104</w:t>
            </w:r>
          </w:p>
        </w:tc>
        <w:tc>
          <w:tcPr>
            <w:tcW w:w="849" w:type="dxa"/>
            <w:tcBorders>
              <w:top w:val="single" w:sz="4" w:space="0" w:color="auto"/>
              <w:left w:val="single" w:sz="4" w:space="0" w:color="auto"/>
              <w:bottom w:val="single" w:sz="4" w:space="0" w:color="auto"/>
              <w:right w:val="single" w:sz="4" w:space="0" w:color="auto"/>
            </w:tcBorders>
            <w:hideMark/>
          </w:tcPr>
          <w:p w14:paraId="08BA447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252</w:t>
            </w:r>
          </w:p>
        </w:tc>
        <w:tc>
          <w:tcPr>
            <w:tcW w:w="849" w:type="dxa"/>
            <w:tcBorders>
              <w:top w:val="single" w:sz="4" w:space="0" w:color="auto"/>
              <w:left w:val="single" w:sz="4" w:space="0" w:color="auto"/>
              <w:bottom w:val="single" w:sz="4" w:space="0" w:color="auto"/>
              <w:right w:val="single" w:sz="4" w:space="0" w:color="auto"/>
            </w:tcBorders>
            <w:hideMark/>
          </w:tcPr>
          <w:p w14:paraId="6CE07F5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50</w:t>
            </w:r>
          </w:p>
        </w:tc>
        <w:tc>
          <w:tcPr>
            <w:tcW w:w="849" w:type="dxa"/>
            <w:tcBorders>
              <w:top w:val="single" w:sz="4" w:space="0" w:color="auto"/>
              <w:left w:val="single" w:sz="4" w:space="0" w:color="auto"/>
              <w:bottom w:val="single" w:sz="4" w:space="0" w:color="auto"/>
              <w:right w:val="single" w:sz="4" w:space="0" w:color="auto"/>
            </w:tcBorders>
            <w:hideMark/>
          </w:tcPr>
          <w:p w14:paraId="7B82E43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238</w:t>
            </w:r>
          </w:p>
        </w:tc>
        <w:tc>
          <w:tcPr>
            <w:tcW w:w="849" w:type="dxa"/>
            <w:tcBorders>
              <w:top w:val="single" w:sz="4" w:space="0" w:color="auto"/>
              <w:left w:val="single" w:sz="4" w:space="0" w:color="auto"/>
              <w:bottom w:val="single" w:sz="4" w:space="0" w:color="auto"/>
              <w:right w:val="single" w:sz="4" w:space="0" w:color="auto"/>
            </w:tcBorders>
            <w:hideMark/>
          </w:tcPr>
          <w:p w14:paraId="677A96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576</w:t>
            </w:r>
          </w:p>
        </w:tc>
        <w:tc>
          <w:tcPr>
            <w:tcW w:w="849" w:type="dxa"/>
            <w:tcBorders>
              <w:top w:val="single" w:sz="4" w:space="0" w:color="auto"/>
              <w:left w:val="single" w:sz="4" w:space="0" w:color="auto"/>
              <w:bottom w:val="single" w:sz="4" w:space="0" w:color="auto"/>
              <w:right w:val="single" w:sz="4" w:space="0" w:color="auto"/>
            </w:tcBorders>
            <w:hideMark/>
          </w:tcPr>
          <w:p w14:paraId="64E702B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143</w:t>
            </w:r>
          </w:p>
        </w:tc>
        <w:tc>
          <w:tcPr>
            <w:tcW w:w="849" w:type="dxa"/>
            <w:tcBorders>
              <w:top w:val="single" w:sz="4" w:space="0" w:color="auto"/>
              <w:left w:val="single" w:sz="4" w:space="0" w:color="auto"/>
              <w:bottom w:val="single" w:sz="4" w:space="0" w:color="auto"/>
              <w:right w:val="single" w:sz="4" w:space="0" w:color="auto"/>
            </w:tcBorders>
            <w:hideMark/>
          </w:tcPr>
          <w:p w14:paraId="0D5F0DC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689</w:t>
            </w:r>
          </w:p>
        </w:tc>
        <w:tc>
          <w:tcPr>
            <w:tcW w:w="849" w:type="dxa"/>
            <w:tcBorders>
              <w:top w:val="single" w:sz="4" w:space="0" w:color="auto"/>
              <w:left w:val="single" w:sz="4" w:space="0" w:color="auto"/>
              <w:bottom w:val="single" w:sz="4" w:space="0" w:color="auto"/>
              <w:right w:val="single" w:sz="4" w:space="0" w:color="auto"/>
            </w:tcBorders>
            <w:hideMark/>
          </w:tcPr>
          <w:p w14:paraId="12A05E1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1636</w:t>
            </w:r>
          </w:p>
        </w:tc>
      </w:tr>
      <w:tr w:rsidR="0078509A" w:rsidRPr="0078509A" w14:paraId="39E7D240"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0F12CDA"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WWLk</w:t>
            </w:r>
          </w:p>
        </w:tc>
        <w:tc>
          <w:tcPr>
            <w:tcW w:w="849" w:type="dxa"/>
            <w:tcBorders>
              <w:top w:val="single" w:sz="4" w:space="0" w:color="auto"/>
              <w:left w:val="single" w:sz="4" w:space="0" w:color="auto"/>
              <w:bottom w:val="single" w:sz="4" w:space="0" w:color="auto"/>
              <w:right w:val="single" w:sz="4" w:space="0" w:color="auto"/>
            </w:tcBorders>
            <w:hideMark/>
          </w:tcPr>
          <w:p w14:paraId="3F52523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w:t>
            </w:r>
          </w:p>
        </w:tc>
        <w:tc>
          <w:tcPr>
            <w:tcW w:w="849" w:type="dxa"/>
            <w:tcBorders>
              <w:top w:val="single" w:sz="4" w:space="0" w:color="auto"/>
              <w:left w:val="single" w:sz="4" w:space="0" w:color="auto"/>
              <w:bottom w:val="single" w:sz="4" w:space="0" w:color="auto"/>
              <w:right w:val="single" w:sz="4" w:space="0" w:color="auto"/>
            </w:tcBorders>
            <w:hideMark/>
          </w:tcPr>
          <w:p w14:paraId="542878C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102</w:t>
            </w:r>
          </w:p>
        </w:tc>
        <w:tc>
          <w:tcPr>
            <w:tcW w:w="849" w:type="dxa"/>
            <w:tcBorders>
              <w:top w:val="single" w:sz="4" w:space="0" w:color="auto"/>
              <w:left w:val="single" w:sz="4" w:space="0" w:color="auto"/>
              <w:bottom w:val="single" w:sz="4" w:space="0" w:color="auto"/>
              <w:right w:val="single" w:sz="4" w:space="0" w:color="auto"/>
            </w:tcBorders>
            <w:hideMark/>
          </w:tcPr>
          <w:p w14:paraId="2FAE07B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247</w:t>
            </w:r>
          </w:p>
        </w:tc>
        <w:tc>
          <w:tcPr>
            <w:tcW w:w="849" w:type="dxa"/>
            <w:tcBorders>
              <w:top w:val="single" w:sz="4" w:space="0" w:color="auto"/>
              <w:left w:val="single" w:sz="4" w:space="0" w:color="auto"/>
              <w:bottom w:val="single" w:sz="4" w:space="0" w:color="auto"/>
              <w:right w:val="single" w:sz="4" w:space="0" w:color="auto"/>
            </w:tcBorders>
            <w:hideMark/>
          </w:tcPr>
          <w:p w14:paraId="426BC64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47</w:t>
            </w:r>
          </w:p>
        </w:tc>
        <w:tc>
          <w:tcPr>
            <w:tcW w:w="849" w:type="dxa"/>
            <w:tcBorders>
              <w:top w:val="single" w:sz="4" w:space="0" w:color="auto"/>
              <w:left w:val="single" w:sz="4" w:space="0" w:color="auto"/>
              <w:bottom w:val="single" w:sz="4" w:space="0" w:color="auto"/>
              <w:right w:val="single" w:sz="4" w:space="0" w:color="auto"/>
            </w:tcBorders>
            <w:hideMark/>
          </w:tcPr>
          <w:p w14:paraId="3BA1C1B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230</w:t>
            </w:r>
          </w:p>
        </w:tc>
        <w:tc>
          <w:tcPr>
            <w:tcW w:w="849" w:type="dxa"/>
            <w:tcBorders>
              <w:top w:val="single" w:sz="4" w:space="0" w:color="auto"/>
              <w:left w:val="single" w:sz="4" w:space="0" w:color="auto"/>
              <w:bottom w:val="single" w:sz="4" w:space="0" w:color="auto"/>
              <w:right w:val="single" w:sz="4" w:space="0" w:color="auto"/>
            </w:tcBorders>
            <w:hideMark/>
          </w:tcPr>
          <w:p w14:paraId="47909CD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551</w:t>
            </w:r>
          </w:p>
        </w:tc>
        <w:tc>
          <w:tcPr>
            <w:tcW w:w="849" w:type="dxa"/>
            <w:tcBorders>
              <w:top w:val="single" w:sz="4" w:space="0" w:color="auto"/>
              <w:left w:val="single" w:sz="4" w:space="0" w:color="auto"/>
              <w:bottom w:val="single" w:sz="4" w:space="0" w:color="auto"/>
              <w:right w:val="single" w:sz="4" w:space="0" w:color="auto"/>
            </w:tcBorders>
            <w:hideMark/>
          </w:tcPr>
          <w:p w14:paraId="11DD890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135</w:t>
            </w:r>
          </w:p>
        </w:tc>
        <w:tc>
          <w:tcPr>
            <w:tcW w:w="849" w:type="dxa"/>
            <w:tcBorders>
              <w:top w:val="single" w:sz="4" w:space="0" w:color="auto"/>
              <w:left w:val="single" w:sz="4" w:space="0" w:color="auto"/>
              <w:bottom w:val="single" w:sz="4" w:space="0" w:color="auto"/>
              <w:right w:val="single" w:sz="4" w:space="0" w:color="auto"/>
            </w:tcBorders>
            <w:hideMark/>
          </w:tcPr>
          <w:p w14:paraId="7ADF59E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644</w:t>
            </w:r>
          </w:p>
        </w:tc>
        <w:tc>
          <w:tcPr>
            <w:tcW w:w="849" w:type="dxa"/>
            <w:tcBorders>
              <w:top w:val="single" w:sz="4" w:space="0" w:color="auto"/>
              <w:left w:val="single" w:sz="4" w:space="0" w:color="auto"/>
              <w:bottom w:val="single" w:sz="4" w:space="0" w:color="auto"/>
              <w:right w:val="single" w:sz="4" w:space="0" w:color="auto"/>
            </w:tcBorders>
            <w:hideMark/>
          </w:tcPr>
          <w:p w14:paraId="6588531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1525</w:t>
            </w:r>
          </w:p>
        </w:tc>
      </w:tr>
      <w:tr w:rsidR="0078509A" w:rsidRPr="0078509A" w14:paraId="79E647E5"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D79ACA2"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WDL</w:t>
            </w:r>
          </w:p>
        </w:tc>
        <w:tc>
          <w:tcPr>
            <w:tcW w:w="849" w:type="dxa"/>
            <w:tcBorders>
              <w:top w:val="single" w:sz="4" w:space="0" w:color="auto"/>
              <w:left w:val="single" w:sz="4" w:space="0" w:color="auto"/>
              <w:bottom w:val="single" w:sz="4" w:space="0" w:color="auto"/>
              <w:right w:val="single" w:sz="4" w:space="0" w:color="auto"/>
            </w:tcBorders>
            <w:hideMark/>
          </w:tcPr>
          <w:p w14:paraId="0FE06BF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2F9B980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53</w:t>
            </w:r>
          </w:p>
        </w:tc>
        <w:tc>
          <w:tcPr>
            <w:tcW w:w="849" w:type="dxa"/>
            <w:tcBorders>
              <w:top w:val="single" w:sz="4" w:space="0" w:color="auto"/>
              <w:left w:val="single" w:sz="4" w:space="0" w:color="auto"/>
              <w:bottom w:val="single" w:sz="4" w:space="0" w:color="auto"/>
              <w:right w:val="single" w:sz="4" w:space="0" w:color="auto"/>
            </w:tcBorders>
            <w:hideMark/>
          </w:tcPr>
          <w:p w14:paraId="7F2463E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125</w:t>
            </w:r>
          </w:p>
        </w:tc>
        <w:tc>
          <w:tcPr>
            <w:tcW w:w="849" w:type="dxa"/>
            <w:tcBorders>
              <w:top w:val="single" w:sz="4" w:space="0" w:color="auto"/>
              <w:left w:val="single" w:sz="4" w:space="0" w:color="auto"/>
              <w:bottom w:val="single" w:sz="4" w:space="0" w:color="auto"/>
              <w:right w:val="single" w:sz="4" w:space="0" w:color="auto"/>
            </w:tcBorders>
            <w:hideMark/>
          </w:tcPr>
          <w:p w14:paraId="3219EF4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w:t>
            </w:r>
          </w:p>
        </w:tc>
        <w:tc>
          <w:tcPr>
            <w:tcW w:w="849" w:type="dxa"/>
            <w:tcBorders>
              <w:top w:val="single" w:sz="4" w:space="0" w:color="auto"/>
              <w:left w:val="single" w:sz="4" w:space="0" w:color="auto"/>
              <w:bottom w:val="single" w:sz="4" w:space="0" w:color="auto"/>
              <w:right w:val="single" w:sz="4" w:space="0" w:color="auto"/>
            </w:tcBorders>
            <w:hideMark/>
          </w:tcPr>
          <w:p w14:paraId="27FC9C8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117</w:t>
            </w:r>
          </w:p>
        </w:tc>
        <w:tc>
          <w:tcPr>
            <w:tcW w:w="849" w:type="dxa"/>
            <w:tcBorders>
              <w:top w:val="single" w:sz="4" w:space="0" w:color="auto"/>
              <w:left w:val="single" w:sz="4" w:space="0" w:color="auto"/>
              <w:bottom w:val="single" w:sz="4" w:space="0" w:color="auto"/>
              <w:right w:val="single" w:sz="4" w:space="0" w:color="auto"/>
            </w:tcBorders>
            <w:hideMark/>
          </w:tcPr>
          <w:p w14:paraId="210CDF6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279</w:t>
            </w:r>
          </w:p>
        </w:tc>
        <w:tc>
          <w:tcPr>
            <w:tcW w:w="849" w:type="dxa"/>
            <w:tcBorders>
              <w:top w:val="single" w:sz="4" w:space="0" w:color="auto"/>
              <w:left w:val="single" w:sz="4" w:space="0" w:color="auto"/>
              <w:bottom w:val="single" w:sz="4" w:space="0" w:color="auto"/>
              <w:right w:val="single" w:sz="4" w:space="0" w:color="auto"/>
            </w:tcBorders>
            <w:hideMark/>
          </w:tcPr>
          <w:p w14:paraId="05E414E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w:t>
            </w:r>
          </w:p>
        </w:tc>
        <w:tc>
          <w:tcPr>
            <w:tcW w:w="849" w:type="dxa"/>
            <w:tcBorders>
              <w:top w:val="single" w:sz="4" w:space="0" w:color="auto"/>
              <w:left w:val="single" w:sz="4" w:space="0" w:color="auto"/>
              <w:bottom w:val="single" w:sz="4" w:space="0" w:color="auto"/>
              <w:right w:val="single" w:sz="4" w:space="0" w:color="auto"/>
            </w:tcBorders>
            <w:hideMark/>
          </w:tcPr>
          <w:p w14:paraId="1A03375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317</w:t>
            </w:r>
          </w:p>
        </w:tc>
        <w:tc>
          <w:tcPr>
            <w:tcW w:w="849" w:type="dxa"/>
            <w:tcBorders>
              <w:top w:val="single" w:sz="4" w:space="0" w:color="auto"/>
              <w:left w:val="single" w:sz="4" w:space="0" w:color="auto"/>
              <w:bottom w:val="single" w:sz="4" w:space="0" w:color="auto"/>
              <w:right w:val="single" w:sz="4" w:space="0" w:color="auto"/>
            </w:tcBorders>
            <w:hideMark/>
          </w:tcPr>
          <w:p w14:paraId="086DDDE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751</w:t>
            </w:r>
          </w:p>
        </w:tc>
      </w:tr>
      <w:tr w:rsidR="0078509A" w:rsidRPr="0078509A" w14:paraId="28CA251D"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126114C1"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WDLk</w:t>
            </w:r>
          </w:p>
        </w:tc>
        <w:tc>
          <w:tcPr>
            <w:tcW w:w="849" w:type="dxa"/>
            <w:tcBorders>
              <w:top w:val="single" w:sz="4" w:space="0" w:color="auto"/>
              <w:left w:val="single" w:sz="4" w:space="0" w:color="auto"/>
              <w:bottom w:val="single" w:sz="4" w:space="0" w:color="auto"/>
              <w:right w:val="single" w:sz="4" w:space="0" w:color="auto"/>
            </w:tcBorders>
            <w:hideMark/>
          </w:tcPr>
          <w:p w14:paraId="3165EDA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w:t>
            </w:r>
          </w:p>
        </w:tc>
        <w:tc>
          <w:tcPr>
            <w:tcW w:w="849" w:type="dxa"/>
            <w:tcBorders>
              <w:top w:val="single" w:sz="4" w:space="0" w:color="auto"/>
              <w:left w:val="single" w:sz="4" w:space="0" w:color="auto"/>
              <w:bottom w:val="single" w:sz="4" w:space="0" w:color="auto"/>
              <w:right w:val="single" w:sz="4" w:space="0" w:color="auto"/>
            </w:tcBorders>
            <w:hideMark/>
          </w:tcPr>
          <w:p w14:paraId="2E5A183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119</w:t>
            </w:r>
          </w:p>
        </w:tc>
        <w:tc>
          <w:tcPr>
            <w:tcW w:w="849" w:type="dxa"/>
            <w:tcBorders>
              <w:top w:val="single" w:sz="4" w:space="0" w:color="auto"/>
              <w:left w:val="single" w:sz="4" w:space="0" w:color="auto"/>
              <w:bottom w:val="single" w:sz="4" w:space="0" w:color="auto"/>
              <w:right w:val="single" w:sz="4" w:space="0" w:color="auto"/>
            </w:tcBorders>
            <w:hideMark/>
          </w:tcPr>
          <w:p w14:paraId="515F26C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283</w:t>
            </w:r>
          </w:p>
        </w:tc>
        <w:tc>
          <w:tcPr>
            <w:tcW w:w="849" w:type="dxa"/>
            <w:tcBorders>
              <w:top w:val="single" w:sz="4" w:space="0" w:color="auto"/>
              <w:left w:val="single" w:sz="4" w:space="0" w:color="auto"/>
              <w:bottom w:val="single" w:sz="4" w:space="0" w:color="auto"/>
              <w:right w:val="single" w:sz="4" w:space="0" w:color="auto"/>
            </w:tcBorders>
            <w:hideMark/>
          </w:tcPr>
          <w:p w14:paraId="4A5FA0B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w:t>
            </w:r>
          </w:p>
        </w:tc>
        <w:tc>
          <w:tcPr>
            <w:tcW w:w="849" w:type="dxa"/>
            <w:tcBorders>
              <w:top w:val="single" w:sz="4" w:space="0" w:color="auto"/>
              <w:left w:val="single" w:sz="4" w:space="0" w:color="auto"/>
              <w:bottom w:val="single" w:sz="4" w:space="0" w:color="auto"/>
              <w:right w:val="single" w:sz="4" w:space="0" w:color="auto"/>
            </w:tcBorders>
            <w:hideMark/>
          </w:tcPr>
          <w:p w14:paraId="51A5996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272</w:t>
            </w:r>
          </w:p>
        </w:tc>
        <w:tc>
          <w:tcPr>
            <w:tcW w:w="849" w:type="dxa"/>
            <w:tcBorders>
              <w:top w:val="single" w:sz="4" w:space="0" w:color="auto"/>
              <w:left w:val="single" w:sz="4" w:space="0" w:color="auto"/>
              <w:bottom w:val="single" w:sz="4" w:space="0" w:color="auto"/>
              <w:right w:val="single" w:sz="4" w:space="0" w:color="auto"/>
            </w:tcBorders>
            <w:hideMark/>
          </w:tcPr>
          <w:p w14:paraId="58FB914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648</w:t>
            </w:r>
          </w:p>
        </w:tc>
        <w:tc>
          <w:tcPr>
            <w:tcW w:w="849" w:type="dxa"/>
            <w:tcBorders>
              <w:top w:val="single" w:sz="4" w:space="0" w:color="auto"/>
              <w:left w:val="single" w:sz="4" w:space="0" w:color="auto"/>
              <w:bottom w:val="single" w:sz="4" w:space="0" w:color="auto"/>
              <w:right w:val="single" w:sz="4" w:space="0" w:color="auto"/>
            </w:tcBorders>
            <w:hideMark/>
          </w:tcPr>
          <w:p w14:paraId="460086B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161</w:t>
            </w:r>
          </w:p>
        </w:tc>
        <w:tc>
          <w:tcPr>
            <w:tcW w:w="849" w:type="dxa"/>
            <w:tcBorders>
              <w:top w:val="single" w:sz="4" w:space="0" w:color="auto"/>
              <w:left w:val="single" w:sz="4" w:space="0" w:color="auto"/>
              <w:bottom w:val="single" w:sz="4" w:space="0" w:color="auto"/>
              <w:right w:val="single" w:sz="4" w:space="0" w:color="auto"/>
            </w:tcBorders>
            <w:hideMark/>
          </w:tcPr>
          <w:p w14:paraId="1D3BF57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761</w:t>
            </w:r>
          </w:p>
        </w:tc>
        <w:tc>
          <w:tcPr>
            <w:tcW w:w="849" w:type="dxa"/>
            <w:tcBorders>
              <w:top w:val="single" w:sz="4" w:space="0" w:color="auto"/>
              <w:left w:val="single" w:sz="4" w:space="0" w:color="auto"/>
              <w:bottom w:val="single" w:sz="4" w:space="0" w:color="auto"/>
              <w:right w:val="single" w:sz="4" w:space="0" w:color="auto"/>
            </w:tcBorders>
            <w:hideMark/>
          </w:tcPr>
          <w:p w14:paraId="2045974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1822</w:t>
            </w:r>
          </w:p>
        </w:tc>
      </w:tr>
    </w:tbl>
    <w:p w14:paraId="6DFE8F97" w14:textId="77777777" w:rsidR="0078509A" w:rsidRPr="0078509A" w:rsidRDefault="0078509A" w:rsidP="0078509A">
      <w:pPr>
        <w:spacing w:before="0" w:after="200" w:line="276" w:lineRule="auto"/>
        <w:jc w:val="left"/>
        <w:rPr>
          <w:rFonts w:eastAsia="Times New Roman" w:cs="Times New Roman"/>
          <w:lang w:val="en-US" w:eastAsia="en-US" w:bidi="hi-IN"/>
        </w:rPr>
      </w:pPr>
    </w:p>
    <w:p w14:paraId="59D78DB0" w14:textId="77777777" w:rsidR="0078509A" w:rsidRPr="0078509A" w:rsidRDefault="0078509A" w:rsidP="0078509A">
      <w:pPr>
        <w:spacing w:before="0" w:after="200" w:line="276" w:lineRule="auto"/>
        <w:jc w:val="left"/>
        <w:rPr>
          <w:rFonts w:eastAsia="Times New Roman" w:cs="Times New Roman"/>
          <w:lang w:val="en-US" w:eastAsia="en-US" w:bidi="hi-IN"/>
        </w:rPr>
      </w:pPr>
      <w:r w:rsidRPr="0078509A">
        <w:rPr>
          <w:rFonts w:eastAsia="Times New Roman" w:cs="Times New Roman"/>
          <w:lang w:val="en-US" w:eastAsia="en-US" w:bidi="hi-IN"/>
        </w:rPr>
        <w:br w:type="page"/>
      </w:r>
    </w:p>
    <w:p w14:paraId="3D638044" w14:textId="4577CEB5" w:rsidR="0078509A" w:rsidRPr="0078509A" w:rsidRDefault="0078509A" w:rsidP="0078509A">
      <w:pPr>
        <w:keepNext/>
        <w:spacing w:before="0" w:after="200" w:line="240" w:lineRule="auto"/>
        <w:jc w:val="left"/>
        <w:rPr>
          <w:rFonts w:eastAsia="Times New Roman" w:cs="Times New Roman"/>
          <w:b/>
          <w:bCs/>
          <w:smallCaps/>
          <w:color w:val="1F497D"/>
          <w:spacing w:val="6"/>
          <w:szCs w:val="18"/>
          <w:lang w:val="en-US" w:eastAsia="en-US" w:bidi="hi-IN"/>
        </w:rPr>
      </w:pPr>
      <w:bookmarkStart w:id="234" w:name="_Ref33717694"/>
      <w:r w:rsidRPr="0078509A">
        <w:rPr>
          <w:rFonts w:eastAsia="Times New Roman" w:cs="Times New Roman"/>
          <w:b/>
          <w:bCs/>
          <w:smallCaps/>
          <w:color w:val="1F497D"/>
          <w:spacing w:val="6"/>
          <w:szCs w:val="18"/>
          <w:lang w:val="en-US" w:eastAsia="en-US" w:bidi="hi-IN"/>
        </w:rPr>
        <w:lastRenderedPageBreak/>
        <w:t xml:space="preserve">Table </w:t>
      </w:r>
      <w:bookmarkEnd w:id="234"/>
      <w:r w:rsidR="00BC21BD">
        <w:rPr>
          <w:rFonts w:eastAsia="Times New Roman" w:cs="Times New Roman"/>
          <w:b/>
          <w:bCs/>
          <w:smallCaps/>
          <w:color w:val="1F497D"/>
          <w:spacing w:val="6"/>
          <w:szCs w:val="18"/>
          <w:lang w:val="en-US" w:eastAsia="en-US" w:bidi="hi-IN"/>
        </w:rPr>
        <w:t>5</w:t>
      </w:r>
      <w:r w:rsidRPr="0078509A">
        <w:rPr>
          <w:rFonts w:eastAsia="Times New Roman" w:cs="Times New Roman"/>
          <w:b/>
          <w:bCs/>
          <w:smallCaps/>
          <w:color w:val="1F497D"/>
          <w:spacing w:val="6"/>
          <w:szCs w:val="18"/>
          <w:lang w:val="en-US" w:eastAsia="en-US" w:bidi="hi-IN"/>
        </w:rPr>
        <w:t>. Recalibrated DRP concentration targets (mg m</w:t>
      </w:r>
      <w:r w:rsidRPr="0078509A">
        <w:rPr>
          <w:rFonts w:eastAsia="Times New Roman" w:cs="Times New Roman"/>
          <w:b/>
          <w:bCs/>
          <w:smallCaps/>
          <w:color w:val="1F497D"/>
          <w:spacing w:val="6"/>
          <w:szCs w:val="18"/>
          <w:vertAlign w:val="superscript"/>
          <w:lang w:val="en-US" w:eastAsia="en-US" w:bidi="hi-IN"/>
        </w:rPr>
        <w:t>-3</w:t>
      </w:r>
      <w:r w:rsidRPr="0078509A">
        <w:rPr>
          <w:rFonts w:eastAsia="Times New Roman" w:cs="Times New Roman"/>
          <w:b/>
          <w:bCs/>
          <w:smallCaps/>
          <w:color w:val="1F497D"/>
          <w:spacing w:val="6"/>
          <w:szCs w:val="18"/>
          <w:lang w:val="en-US" w:eastAsia="en-US" w:bidi="hi-IN"/>
        </w:rPr>
        <w:t>) to achieve the chlorophyll thresholds of 50, 120 and 200 mg m</w:t>
      </w:r>
      <w:r w:rsidRPr="0078509A">
        <w:rPr>
          <w:rFonts w:eastAsia="Times New Roman" w:cs="Times New Roman"/>
          <w:b/>
          <w:bCs/>
          <w:smallCaps/>
          <w:color w:val="1F497D"/>
          <w:spacing w:val="6"/>
          <w:szCs w:val="18"/>
          <w:vertAlign w:val="superscript"/>
          <w:lang w:val="en-US" w:eastAsia="en-US" w:bidi="hi-IN"/>
        </w:rPr>
        <w:t>-2</w:t>
      </w:r>
      <w:r w:rsidRPr="0078509A">
        <w:rPr>
          <w:rFonts w:eastAsia="Times New Roman" w:cs="Times New Roman"/>
          <w:b/>
          <w:bCs/>
          <w:smallCaps/>
          <w:color w:val="1F497D"/>
          <w:spacing w:val="6"/>
          <w:szCs w:val="18"/>
          <w:lang w:val="en-US" w:eastAsia="en-US" w:bidi="hi-IN"/>
        </w:rPr>
        <w:t xml:space="preserve"> for spatial exceedance criteria of 10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 20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 xml:space="preserve"> and</w:t>
      </w:r>
      <w:r w:rsidR="00464AE1">
        <w:rPr>
          <w:rFonts w:eastAsia="Times New Roman" w:cs="Times New Roman"/>
          <w:b/>
          <w:bCs/>
          <w:smallCaps/>
          <w:color w:val="1F497D"/>
          <w:spacing w:val="6"/>
          <w:szCs w:val="18"/>
          <w:lang w:val="en-US" w:eastAsia="en-US" w:bidi="hi-IN"/>
        </w:rPr>
        <w:t> </w:t>
      </w:r>
      <w:r w:rsidRPr="0078509A">
        <w:rPr>
          <w:rFonts w:eastAsia="Times New Roman" w:cs="Times New Roman"/>
          <w:b/>
          <w:bCs/>
          <w:smallCaps/>
          <w:color w:val="1F497D"/>
          <w:spacing w:val="6"/>
          <w:szCs w:val="18"/>
          <w:lang w:val="en-US" w:eastAsia="en-US" w:bidi="hi-IN"/>
        </w:rPr>
        <w:t>30</w:t>
      </w:r>
      <w:r w:rsidR="008E40DC">
        <w:rPr>
          <w:rFonts w:eastAsia="Times New Roman" w:cs="Times New Roman"/>
          <w:b/>
          <w:bCs/>
          <w:smallCaps/>
          <w:color w:val="1F497D"/>
          <w:spacing w:val="6"/>
          <w:szCs w:val="18"/>
          <w:lang w:val="en-US" w:eastAsia="en-US" w:bidi="hi-IN"/>
        </w:rPr>
        <w:t xml:space="preserve"> per cent</w:t>
      </w:r>
      <w:r w:rsidRPr="0078509A">
        <w:rPr>
          <w:rFonts w:eastAsia="Times New Roman" w:cs="Times New Roman"/>
          <w:b/>
          <w:bCs/>
          <w:smallCaps/>
          <w:color w:val="1F497D"/>
          <w:spacing w:val="6"/>
          <w:szCs w:val="18"/>
          <w:lang w:val="en-US" w:eastAsia="en-US" w:bidi="hi-IN"/>
        </w:rPr>
        <w:t>.</w:t>
      </w:r>
    </w:p>
    <w:tbl>
      <w:tblPr>
        <w:tblStyle w:val="TableGrid1"/>
        <w:tblW w:w="8506" w:type="dxa"/>
        <w:tblInd w:w="0" w:type="dxa"/>
        <w:tblLook w:val="04A0" w:firstRow="1" w:lastRow="0" w:firstColumn="1" w:lastColumn="0" w:noHBand="0" w:noVBand="1"/>
      </w:tblPr>
      <w:tblGrid>
        <w:gridCol w:w="865"/>
        <w:gridCol w:w="849"/>
        <w:gridCol w:w="849"/>
        <w:gridCol w:w="849"/>
        <w:gridCol w:w="849"/>
        <w:gridCol w:w="849"/>
        <w:gridCol w:w="849"/>
        <w:gridCol w:w="849"/>
        <w:gridCol w:w="849"/>
        <w:gridCol w:w="849"/>
      </w:tblGrid>
      <w:tr w:rsidR="0078509A" w:rsidRPr="0078509A" w14:paraId="2CE06679" w14:textId="77777777" w:rsidTr="0078509A">
        <w:tc>
          <w:tcPr>
            <w:tcW w:w="865" w:type="dxa"/>
            <w:vMerge w:val="restart"/>
            <w:tcBorders>
              <w:top w:val="single" w:sz="4" w:space="0" w:color="auto"/>
              <w:left w:val="single" w:sz="4" w:space="0" w:color="auto"/>
              <w:bottom w:val="single" w:sz="4" w:space="0" w:color="auto"/>
              <w:right w:val="single" w:sz="4" w:space="0" w:color="auto"/>
            </w:tcBorders>
            <w:hideMark/>
          </w:tcPr>
          <w:p w14:paraId="2D3C76B0"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bidi="hi-IN"/>
              </w:rPr>
              <w:t>REC class</w:t>
            </w:r>
          </w:p>
        </w:tc>
        <w:tc>
          <w:tcPr>
            <w:tcW w:w="2547" w:type="dxa"/>
            <w:gridSpan w:val="3"/>
            <w:tcBorders>
              <w:top w:val="single" w:sz="4" w:space="0" w:color="auto"/>
              <w:left w:val="single" w:sz="4" w:space="0" w:color="auto"/>
              <w:bottom w:val="single" w:sz="4" w:space="0" w:color="auto"/>
              <w:right w:val="single" w:sz="4" w:space="0" w:color="auto"/>
            </w:tcBorders>
            <w:hideMark/>
          </w:tcPr>
          <w:p w14:paraId="03A20A71"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bidi="hi-IN"/>
              </w:rPr>
              <w:t>10%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7A7755FB"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bidi="hi-IN"/>
              </w:rPr>
              <w:t>20% Spatial exceedance</w:t>
            </w:r>
          </w:p>
        </w:tc>
        <w:tc>
          <w:tcPr>
            <w:tcW w:w="2547" w:type="dxa"/>
            <w:gridSpan w:val="3"/>
            <w:tcBorders>
              <w:top w:val="single" w:sz="4" w:space="0" w:color="auto"/>
              <w:left w:val="single" w:sz="4" w:space="0" w:color="auto"/>
              <w:bottom w:val="single" w:sz="4" w:space="0" w:color="auto"/>
              <w:right w:val="single" w:sz="4" w:space="0" w:color="auto"/>
            </w:tcBorders>
            <w:hideMark/>
          </w:tcPr>
          <w:p w14:paraId="4F2A8295"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bidi="hi-IN"/>
              </w:rPr>
              <w:t>30% Spatial exceedance</w:t>
            </w:r>
          </w:p>
        </w:tc>
      </w:tr>
      <w:tr w:rsidR="0078509A" w:rsidRPr="0078509A" w14:paraId="764267D9" w14:textId="77777777" w:rsidTr="0078509A">
        <w:tc>
          <w:tcPr>
            <w:tcW w:w="0" w:type="auto"/>
            <w:vMerge/>
            <w:tcBorders>
              <w:top w:val="single" w:sz="4" w:space="0" w:color="auto"/>
              <w:left w:val="single" w:sz="4" w:space="0" w:color="auto"/>
              <w:bottom w:val="single" w:sz="4" w:space="0" w:color="auto"/>
              <w:right w:val="single" w:sz="4" w:space="0" w:color="auto"/>
            </w:tcBorders>
            <w:vAlign w:val="center"/>
            <w:hideMark/>
          </w:tcPr>
          <w:p w14:paraId="37C7E95A" w14:textId="77777777" w:rsidR="0078509A" w:rsidRPr="0078509A" w:rsidRDefault="0078509A" w:rsidP="0078509A">
            <w:pPr>
              <w:spacing w:before="0" w:after="0" w:line="240" w:lineRule="auto"/>
              <w:jc w:val="left"/>
              <w:rPr>
                <w:rFonts w:eastAsia="Times New Roman"/>
                <w:b/>
                <w:bCs/>
                <w:lang w:eastAsia="en-US" w:bidi="hi-IN"/>
              </w:rPr>
            </w:pPr>
          </w:p>
        </w:tc>
        <w:tc>
          <w:tcPr>
            <w:tcW w:w="849" w:type="dxa"/>
            <w:tcBorders>
              <w:top w:val="single" w:sz="4" w:space="0" w:color="auto"/>
              <w:left w:val="single" w:sz="4" w:space="0" w:color="auto"/>
              <w:bottom w:val="single" w:sz="4" w:space="0" w:color="auto"/>
              <w:right w:val="single" w:sz="4" w:space="0" w:color="auto"/>
            </w:tcBorders>
            <w:hideMark/>
          </w:tcPr>
          <w:p w14:paraId="0B5000C8"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173ABF64"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43CD24C9"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30091B79"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686FAC5F"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1F34BA4A"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c>
          <w:tcPr>
            <w:tcW w:w="849" w:type="dxa"/>
            <w:tcBorders>
              <w:top w:val="single" w:sz="4" w:space="0" w:color="auto"/>
              <w:left w:val="single" w:sz="4" w:space="0" w:color="auto"/>
              <w:bottom w:val="single" w:sz="4" w:space="0" w:color="auto"/>
              <w:right w:val="single" w:sz="4" w:space="0" w:color="auto"/>
            </w:tcBorders>
            <w:hideMark/>
          </w:tcPr>
          <w:p w14:paraId="44DB7370"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T50</w:t>
            </w:r>
          </w:p>
        </w:tc>
        <w:tc>
          <w:tcPr>
            <w:tcW w:w="849" w:type="dxa"/>
            <w:tcBorders>
              <w:top w:val="single" w:sz="4" w:space="0" w:color="auto"/>
              <w:left w:val="single" w:sz="4" w:space="0" w:color="auto"/>
              <w:bottom w:val="single" w:sz="4" w:space="0" w:color="auto"/>
              <w:right w:val="single" w:sz="4" w:space="0" w:color="auto"/>
            </w:tcBorders>
            <w:hideMark/>
          </w:tcPr>
          <w:p w14:paraId="31E85F43"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T120</w:t>
            </w:r>
          </w:p>
        </w:tc>
        <w:tc>
          <w:tcPr>
            <w:tcW w:w="849" w:type="dxa"/>
            <w:tcBorders>
              <w:top w:val="single" w:sz="4" w:space="0" w:color="auto"/>
              <w:left w:val="single" w:sz="4" w:space="0" w:color="auto"/>
              <w:bottom w:val="single" w:sz="4" w:space="0" w:color="auto"/>
              <w:right w:val="single" w:sz="4" w:space="0" w:color="auto"/>
            </w:tcBorders>
            <w:hideMark/>
          </w:tcPr>
          <w:p w14:paraId="3A9B636F" w14:textId="77777777" w:rsidR="0078509A" w:rsidRPr="0078509A" w:rsidRDefault="0078509A" w:rsidP="0078509A">
            <w:pPr>
              <w:spacing w:before="0" w:after="0" w:line="240" w:lineRule="auto"/>
              <w:jc w:val="center"/>
              <w:rPr>
                <w:rFonts w:eastAsia="Times New Roman"/>
                <w:b/>
                <w:bCs/>
                <w:lang w:eastAsia="en-US" w:bidi="hi-IN"/>
              </w:rPr>
            </w:pPr>
            <w:r w:rsidRPr="0078509A">
              <w:rPr>
                <w:rFonts w:eastAsia="Times New Roman"/>
                <w:b/>
                <w:bCs/>
                <w:lang w:eastAsia="en-US"/>
              </w:rPr>
              <w:t>T200</w:t>
            </w:r>
          </w:p>
        </w:tc>
      </w:tr>
      <w:tr w:rsidR="0078509A" w:rsidRPr="0078509A" w14:paraId="33589B8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C96D775"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CXGM</w:t>
            </w:r>
          </w:p>
        </w:tc>
        <w:tc>
          <w:tcPr>
            <w:tcW w:w="849" w:type="dxa"/>
            <w:tcBorders>
              <w:top w:val="single" w:sz="4" w:space="0" w:color="auto"/>
              <w:left w:val="single" w:sz="4" w:space="0" w:color="auto"/>
              <w:bottom w:val="single" w:sz="4" w:space="0" w:color="auto"/>
              <w:right w:val="single" w:sz="4" w:space="0" w:color="auto"/>
            </w:tcBorders>
            <w:hideMark/>
          </w:tcPr>
          <w:p w14:paraId="71D4856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010FDCC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13.4</w:t>
            </w:r>
          </w:p>
        </w:tc>
        <w:tc>
          <w:tcPr>
            <w:tcW w:w="849" w:type="dxa"/>
            <w:tcBorders>
              <w:top w:val="single" w:sz="4" w:space="0" w:color="auto"/>
              <w:left w:val="single" w:sz="4" w:space="0" w:color="auto"/>
              <w:bottom w:val="single" w:sz="4" w:space="0" w:color="auto"/>
              <w:right w:val="single" w:sz="4" w:space="0" w:color="auto"/>
            </w:tcBorders>
            <w:hideMark/>
          </w:tcPr>
          <w:p w14:paraId="58947B1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54.0</w:t>
            </w:r>
          </w:p>
        </w:tc>
        <w:tc>
          <w:tcPr>
            <w:tcW w:w="849" w:type="dxa"/>
            <w:tcBorders>
              <w:top w:val="single" w:sz="4" w:space="0" w:color="auto"/>
              <w:left w:val="single" w:sz="4" w:space="0" w:color="auto"/>
              <w:bottom w:val="single" w:sz="4" w:space="0" w:color="auto"/>
              <w:right w:val="single" w:sz="4" w:space="0" w:color="auto"/>
            </w:tcBorders>
            <w:hideMark/>
          </w:tcPr>
          <w:p w14:paraId="53438DF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w:t>
            </w:r>
          </w:p>
        </w:tc>
        <w:tc>
          <w:tcPr>
            <w:tcW w:w="849" w:type="dxa"/>
            <w:tcBorders>
              <w:top w:val="single" w:sz="4" w:space="0" w:color="auto"/>
              <w:left w:val="single" w:sz="4" w:space="0" w:color="auto"/>
              <w:bottom w:val="single" w:sz="4" w:space="0" w:color="auto"/>
              <w:right w:val="single" w:sz="4" w:space="0" w:color="auto"/>
            </w:tcBorders>
            <w:hideMark/>
          </w:tcPr>
          <w:p w14:paraId="61AAACF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55.9</w:t>
            </w:r>
          </w:p>
        </w:tc>
        <w:tc>
          <w:tcPr>
            <w:tcW w:w="849" w:type="dxa"/>
            <w:tcBorders>
              <w:top w:val="single" w:sz="4" w:space="0" w:color="auto"/>
              <w:left w:val="single" w:sz="4" w:space="0" w:color="auto"/>
              <w:bottom w:val="single" w:sz="4" w:space="0" w:color="auto"/>
              <w:right w:val="single" w:sz="4" w:space="0" w:color="auto"/>
            </w:tcBorders>
            <w:hideMark/>
          </w:tcPr>
          <w:p w14:paraId="6BB9CD2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160.3</w:t>
            </w:r>
          </w:p>
        </w:tc>
        <w:tc>
          <w:tcPr>
            <w:tcW w:w="849" w:type="dxa"/>
            <w:tcBorders>
              <w:top w:val="single" w:sz="4" w:space="0" w:color="auto"/>
              <w:left w:val="single" w:sz="4" w:space="0" w:color="auto"/>
              <w:bottom w:val="single" w:sz="4" w:space="0" w:color="auto"/>
              <w:right w:val="single" w:sz="4" w:space="0" w:color="auto"/>
            </w:tcBorders>
            <w:hideMark/>
          </w:tcPr>
          <w:p w14:paraId="52003A1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104.5</w:t>
            </w:r>
          </w:p>
        </w:tc>
        <w:tc>
          <w:tcPr>
            <w:tcW w:w="849" w:type="dxa"/>
            <w:tcBorders>
              <w:top w:val="single" w:sz="4" w:space="0" w:color="auto"/>
              <w:left w:val="single" w:sz="4" w:space="0" w:color="auto"/>
              <w:bottom w:val="single" w:sz="4" w:space="0" w:color="auto"/>
              <w:right w:val="single" w:sz="4" w:space="0" w:color="auto"/>
            </w:tcBorders>
            <w:hideMark/>
          </w:tcPr>
          <w:p w14:paraId="6DC0836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300.7</w:t>
            </w:r>
          </w:p>
        </w:tc>
        <w:tc>
          <w:tcPr>
            <w:tcW w:w="849" w:type="dxa"/>
            <w:tcBorders>
              <w:top w:val="single" w:sz="4" w:space="0" w:color="auto"/>
              <w:left w:val="single" w:sz="4" w:space="0" w:color="auto"/>
              <w:bottom w:val="single" w:sz="4" w:space="0" w:color="auto"/>
              <w:right w:val="single" w:sz="4" w:space="0" w:color="auto"/>
            </w:tcBorders>
            <w:hideMark/>
          </w:tcPr>
          <w:p w14:paraId="0D7DEF7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366.7</w:t>
            </w:r>
          </w:p>
        </w:tc>
      </w:tr>
      <w:tr w:rsidR="0078509A" w:rsidRPr="0078509A" w14:paraId="6D4065EE"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954123D"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CXM</w:t>
            </w:r>
          </w:p>
        </w:tc>
        <w:tc>
          <w:tcPr>
            <w:tcW w:w="849" w:type="dxa"/>
            <w:tcBorders>
              <w:top w:val="single" w:sz="4" w:space="0" w:color="auto"/>
              <w:left w:val="single" w:sz="4" w:space="0" w:color="auto"/>
              <w:bottom w:val="single" w:sz="4" w:space="0" w:color="auto"/>
              <w:right w:val="single" w:sz="4" w:space="0" w:color="auto"/>
            </w:tcBorders>
            <w:hideMark/>
          </w:tcPr>
          <w:p w14:paraId="594C99D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w:t>
            </w:r>
          </w:p>
        </w:tc>
        <w:tc>
          <w:tcPr>
            <w:tcW w:w="849" w:type="dxa"/>
            <w:tcBorders>
              <w:top w:val="single" w:sz="4" w:space="0" w:color="auto"/>
              <w:left w:val="single" w:sz="4" w:space="0" w:color="auto"/>
              <w:bottom w:val="single" w:sz="4" w:space="0" w:color="auto"/>
              <w:right w:val="single" w:sz="4" w:space="0" w:color="auto"/>
            </w:tcBorders>
            <w:hideMark/>
          </w:tcPr>
          <w:p w14:paraId="6AB65AE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34.5</w:t>
            </w:r>
          </w:p>
        </w:tc>
        <w:tc>
          <w:tcPr>
            <w:tcW w:w="849" w:type="dxa"/>
            <w:tcBorders>
              <w:top w:val="single" w:sz="4" w:space="0" w:color="auto"/>
              <w:left w:val="single" w:sz="4" w:space="0" w:color="auto"/>
              <w:bottom w:val="single" w:sz="4" w:space="0" w:color="auto"/>
              <w:right w:val="single" w:sz="4" w:space="0" w:color="auto"/>
            </w:tcBorders>
            <w:hideMark/>
          </w:tcPr>
          <w:p w14:paraId="70C9C6D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109.1</w:t>
            </w:r>
          </w:p>
        </w:tc>
        <w:tc>
          <w:tcPr>
            <w:tcW w:w="849" w:type="dxa"/>
            <w:tcBorders>
              <w:top w:val="single" w:sz="4" w:space="0" w:color="auto"/>
              <w:left w:val="single" w:sz="4" w:space="0" w:color="auto"/>
              <w:bottom w:val="single" w:sz="4" w:space="0" w:color="auto"/>
              <w:right w:val="single" w:sz="4" w:space="0" w:color="auto"/>
            </w:tcBorders>
            <w:hideMark/>
          </w:tcPr>
          <w:p w14:paraId="07DE73D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8.0</w:t>
            </w:r>
          </w:p>
        </w:tc>
        <w:tc>
          <w:tcPr>
            <w:tcW w:w="849" w:type="dxa"/>
            <w:tcBorders>
              <w:top w:val="single" w:sz="4" w:space="0" w:color="auto"/>
              <w:left w:val="single" w:sz="4" w:space="0" w:color="auto"/>
              <w:bottom w:val="single" w:sz="4" w:space="0" w:color="auto"/>
              <w:right w:val="single" w:sz="4" w:space="0" w:color="auto"/>
            </w:tcBorders>
            <w:hideMark/>
          </w:tcPr>
          <w:p w14:paraId="7C0F90A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114.2</w:t>
            </w:r>
          </w:p>
        </w:tc>
        <w:tc>
          <w:tcPr>
            <w:tcW w:w="849" w:type="dxa"/>
            <w:tcBorders>
              <w:top w:val="single" w:sz="4" w:space="0" w:color="auto"/>
              <w:left w:val="single" w:sz="4" w:space="0" w:color="auto"/>
              <w:bottom w:val="single" w:sz="4" w:space="0" w:color="auto"/>
              <w:right w:val="single" w:sz="4" w:space="0" w:color="auto"/>
            </w:tcBorders>
            <w:hideMark/>
          </w:tcPr>
          <w:p w14:paraId="7C2DD07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288.1</w:t>
            </w:r>
          </w:p>
        </w:tc>
        <w:tc>
          <w:tcPr>
            <w:tcW w:w="849" w:type="dxa"/>
            <w:tcBorders>
              <w:top w:val="single" w:sz="4" w:space="0" w:color="auto"/>
              <w:left w:val="single" w:sz="4" w:space="0" w:color="auto"/>
              <w:bottom w:val="single" w:sz="4" w:space="0" w:color="auto"/>
              <w:right w:val="single" w:sz="4" w:space="0" w:color="auto"/>
            </w:tcBorders>
            <w:hideMark/>
          </w:tcPr>
          <w:p w14:paraId="04A3C8F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206.5</w:t>
            </w:r>
          </w:p>
        </w:tc>
        <w:tc>
          <w:tcPr>
            <w:tcW w:w="849" w:type="dxa"/>
            <w:tcBorders>
              <w:top w:val="single" w:sz="4" w:space="0" w:color="auto"/>
              <w:left w:val="single" w:sz="4" w:space="0" w:color="auto"/>
              <w:bottom w:val="single" w:sz="4" w:space="0" w:color="auto"/>
              <w:right w:val="single" w:sz="4" w:space="0" w:color="auto"/>
            </w:tcBorders>
            <w:hideMark/>
          </w:tcPr>
          <w:p w14:paraId="1A60795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336.4</w:t>
            </w:r>
          </w:p>
        </w:tc>
        <w:tc>
          <w:tcPr>
            <w:tcW w:w="849" w:type="dxa"/>
            <w:tcBorders>
              <w:top w:val="single" w:sz="4" w:space="0" w:color="auto"/>
              <w:left w:val="single" w:sz="4" w:space="0" w:color="auto"/>
              <w:bottom w:val="single" w:sz="4" w:space="0" w:color="auto"/>
              <w:right w:val="single" w:sz="4" w:space="0" w:color="auto"/>
            </w:tcBorders>
            <w:hideMark/>
          </w:tcPr>
          <w:p w14:paraId="021B52B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373.0</w:t>
            </w:r>
          </w:p>
        </w:tc>
      </w:tr>
      <w:tr w:rsidR="0078509A" w:rsidRPr="0078509A" w14:paraId="4E645429"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5A93518D"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CXH</w:t>
            </w:r>
          </w:p>
        </w:tc>
        <w:tc>
          <w:tcPr>
            <w:tcW w:w="849" w:type="dxa"/>
            <w:tcBorders>
              <w:top w:val="single" w:sz="4" w:space="0" w:color="auto"/>
              <w:left w:val="single" w:sz="4" w:space="0" w:color="auto"/>
              <w:bottom w:val="single" w:sz="4" w:space="0" w:color="auto"/>
              <w:right w:val="single" w:sz="4" w:space="0" w:color="auto"/>
            </w:tcBorders>
            <w:hideMark/>
          </w:tcPr>
          <w:p w14:paraId="60AC62F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505D884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30.6</w:t>
            </w:r>
          </w:p>
        </w:tc>
        <w:tc>
          <w:tcPr>
            <w:tcW w:w="849" w:type="dxa"/>
            <w:tcBorders>
              <w:top w:val="single" w:sz="4" w:space="0" w:color="auto"/>
              <w:left w:val="single" w:sz="4" w:space="0" w:color="auto"/>
              <w:bottom w:val="single" w:sz="4" w:space="0" w:color="auto"/>
              <w:right w:val="single" w:sz="4" w:space="0" w:color="auto"/>
            </w:tcBorders>
            <w:hideMark/>
          </w:tcPr>
          <w:p w14:paraId="2F41F0D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103.9</w:t>
            </w:r>
          </w:p>
        </w:tc>
        <w:tc>
          <w:tcPr>
            <w:tcW w:w="849" w:type="dxa"/>
            <w:tcBorders>
              <w:top w:val="single" w:sz="4" w:space="0" w:color="auto"/>
              <w:left w:val="single" w:sz="4" w:space="0" w:color="auto"/>
              <w:bottom w:val="single" w:sz="4" w:space="0" w:color="auto"/>
              <w:right w:val="single" w:sz="4" w:space="0" w:color="auto"/>
            </w:tcBorders>
            <w:hideMark/>
          </w:tcPr>
          <w:p w14:paraId="0FC2762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w:t>
            </w:r>
          </w:p>
        </w:tc>
        <w:tc>
          <w:tcPr>
            <w:tcW w:w="849" w:type="dxa"/>
            <w:tcBorders>
              <w:top w:val="single" w:sz="4" w:space="0" w:color="auto"/>
              <w:left w:val="single" w:sz="4" w:space="0" w:color="auto"/>
              <w:bottom w:val="single" w:sz="4" w:space="0" w:color="auto"/>
              <w:right w:val="single" w:sz="4" w:space="0" w:color="auto"/>
            </w:tcBorders>
            <w:hideMark/>
          </w:tcPr>
          <w:p w14:paraId="323A7EA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105.0</w:t>
            </w:r>
          </w:p>
        </w:tc>
        <w:tc>
          <w:tcPr>
            <w:tcW w:w="849" w:type="dxa"/>
            <w:tcBorders>
              <w:top w:val="single" w:sz="4" w:space="0" w:color="auto"/>
              <w:left w:val="single" w:sz="4" w:space="0" w:color="auto"/>
              <w:bottom w:val="single" w:sz="4" w:space="0" w:color="auto"/>
              <w:right w:val="single" w:sz="4" w:space="0" w:color="auto"/>
            </w:tcBorders>
            <w:hideMark/>
          </w:tcPr>
          <w:p w14:paraId="091A462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272.3</w:t>
            </w:r>
          </w:p>
        </w:tc>
        <w:tc>
          <w:tcPr>
            <w:tcW w:w="849" w:type="dxa"/>
            <w:tcBorders>
              <w:top w:val="single" w:sz="4" w:space="0" w:color="auto"/>
              <w:left w:val="single" w:sz="4" w:space="0" w:color="auto"/>
              <w:bottom w:val="single" w:sz="4" w:space="0" w:color="auto"/>
              <w:right w:val="single" w:sz="4" w:space="0" w:color="auto"/>
            </w:tcBorders>
            <w:hideMark/>
          </w:tcPr>
          <w:p w14:paraId="5003274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194.8</w:t>
            </w:r>
          </w:p>
        </w:tc>
        <w:tc>
          <w:tcPr>
            <w:tcW w:w="849" w:type="dxa"/>
            <w:tcBorders>
              <w:top w:val="single" w:sz="4" w:space="0" w:color="auto"/>
              <w:left w:val="single" w:sz="4" w:space="0" w:color="auto"/>
              <w:bottom w:val="single" w:sz="4" w:space="0" w:color="auto"/>
              <w:right w:val="single" w:sz="4" w:space="0" w:color="auto"/>
            </w:tcBorders>
            <w:hideMark/>
          </w:tcPr>
          <w:p w14:paraId="2407B7F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359.3</w:t>
            </w:r>
          </w:p>
        </w:tc>
        <w:tc>
          <w:tcPr>
            <w:tcW w:w="849" w:type="dxa"/>
            <w:tcBorders>
              <w:top w:val="single" w:sz="4" w:space="0" w:color="auto"/>
              <w:left w:val="single" w:sz="4" w:space="0" w:color="auto"/>
              <w:bottom w:val="single" w:sz="4" w:space="0" w:color="auto"/>
              <w:right w:val="single" w:sz="4" w:space="0" w:color="auto"/>
            </w:tcBorders>
            <w:hideMark/>
          </w:tcPr>
          <w:p w14:paraId="5728AC3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356.1</w:t>
            </w:r>
          </w:p>
        </w:tc>
      </w:tr>
      <w:tr w:rsidR="0078509A" w:rsidRPr="0078509A" w14:paraId="245ACC22"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9FD84FA"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CXL</w:t>
            </w:r>
          </w:p>
        </w:tc>
        <w:tc>
          <w:tcPr>
            <w:tcW w:w="849" w:type="dxa"/>
            <w:tcBorders>
              <w:top w:val="single" w:sz="4" w:space="0" w:color="auto"/>
              <w:left w:val="single" w:sz="4" w:space="0" w:color="auto"/>
              <w:bottom w:val="single" w:sz="4" w:space="0" w:color="auto"/>
              <w:right w:val="single" w:sz="4" w:space="0" w:color="auto"/>
            </w:tcBorders>
            <w:hideMark/>
          </w:tcPr>
          <w:p w14:paraId="0DE3741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0.6</w:t>
            </w:r>
          </w:p>
        </w:tc>
        <w:tc>
          <w:tcPr>
            <w:tcW w:w="849" w:type="dxa"/>
            <w:tcBorders>
              <w:top w:val="single" w:sz="4" w:space="0" w:color="auto"/>
              <w:left w:val="single" w:sz="4" w:space="0" w:color="auto"/>
              <w:bottom w:val="single" w:sz="4" w:space="0" w:color="auto"/>
              <w:right w:val="single" w:sz="4" w:space="0" w:color="auto"/>
            </w:tcBorders>
            <w:hideMark/>
          </w:tcPr>
          <w:p w14:paraId="69E9673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16.8</w:t>
            </w:r>
          </w:p>
        </w:tc>
        <w:tc>
          <w:tcPr>
            <w:tcW w:w="849" w:type="dxa"/>
            <w:tcBorders>
              <w:top w:val="single" w:sz="4" w:space="0" w:color="auto"/>
              <w:left w:val="single" w:sz="4" w:space="0" w:color="auto"/>
              <w:bottom w:val="single" w:sz="4" w:space="0" w:color="auto"/>
              <w:right w:val="single" w:sz="4" w:space="0" w:color="auto"/>
            </w:tcBorders>
            <w:hideMark/>
          </w:tcPr>
          <w:p w14:paraId="3A290F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65.5</w:t>
            </w:r>
          </w:p>
        </w:tc>
        <w:tc>
          <w:tcPr>
            <w:tcW w:w="849" w:type="dxa"/>
            <w:tcBorders>
              <w:top w:val="single" w:sz="4" w:space="0" w:color="auto"/>
              <w:left w:val="single" w:sz="4" w:space="0" w:color="auto"/>
              <w:bottom w:val="single" w:sz="4" w:space="0" w:color="auto"/>
              <w:right w:val="single" w:sz="4" w:space="0" w:color="auto"/>
            </w:tcBorders>
            <w:hideMark/>
          </w:tcPr>
          <w:p w14:paraId="543EEB4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2.5</w:t>
            </w:r>
          </w:p>
        </w:tc>
        <w:tc>
          <w:tcPr>
            <w:tcW w:w="849" w:type="dxa"/>
            <w:tcBorders>
              <w:top w:val="single" w:sz="4" w:space="0" w:color="auto"/>
              <w:left w:val="single" w:sz="4" w:space="0" w:color="auto"/>
              <w:bottom w:val="single" w:sz="4" w:space="0" w:color="auto"/>
              <w:right w:val="single" w:sz="4" w:space="0" w:color="auto"/>
            </w:tcBorders>
            <w:hideMark/>
          </w:tcPr>
          <w:p w14:paraId="0CD3E44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68.1</w:t>
            </w:r>
          </w:p>
        </w:tc>
        <w:tc>
          <w:tcPr>
            <w:tcW w:w="849" w:type="dxa"/>
            <w:tcBorders>
              <w:top w:val="single" w:sz="4" w:space="0" w:color="auto"/>
              <w:left w:val="single" w:sz="4" w:space="0" w:color="auto"/>
              <w:bottom w:val="single" w:sz="4" w:space="0" w:color="auto"/>
              <w:right w:val="single" w:sz="4" w:space="0" w:color="auto"/>
            </w:tcBorders>
            <w:hideMark/>
          </w:tcPr>
          <w:p w14:paraId="37E8113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185.2</w:t>
            </w:r>
          </w:p>
        </w:tc>
        <w:tc>
          <w:tcPr>
            <w:tcW w:w="849" w:type="dxa"/>
            <w:tcBorders>
              <w:top w:val="single" w:sz="4" w:space="0" w:color="auto"/>
              <w:left w:val="single" w:sz="4" w:space="0" w:color="auto"/>
              <w:bottom w:val="single" w:sz="4" w:space="0" w:color="auto"/>
              <w:right w:val="single" w:sz="4" w:space="0" w:color="auto"/>
            </w:tcBorders>
            <w:hideMark/>
          </w:tcPr>
          <w:p w14:paraId="5CEA2E8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117.7</w:t>
            </w:r>
          </w:p>
        </w:tc>
        <w:tc>
          <w:tcPr>
            <w:tcW w:w="849" w:type="dxa"/>
            <w:tcBorders>
              <w:top w:val="single" w:sz="4" w:space="0" w:color="auto"/>
              <w:left w:val="single" w:sz="4" w:space="0" w:color="auto"/>
              <w:bottom w:val="single" w:sz="4" w:space="0" w:color="auto"/>
              <w:right w:val="single" w:sz="4" w:space="0" w:color="auto"/>
            </w:tcBorders>
            <w:hideMark/>
          </w:tcPr>
          <w:p w14:paraId="1F078A9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311.8</w:t>
            </w:r>
          </w:p>
        </w:tc>
        <w:tc>
          <w:tcPr>
            <w:tcW w:w="849" w:type="dxa"/>
            <w:tcBorders>
              <w:top w:val="single" w:sz="4" w:space="0" w:color="auto"/>
              <w:left w:val="single" w:sz="4" w:space="0" w:color="auto"/>
              <w:bottom w:val="single" w:sz="4" w:space="0" w:color="auto"/>
              <w:right w:val="single" w:sz="4" w:space="0" w:color="auto"/>
            </w:tcBorders>
            <w:hideMark/>
          </w:tcPr>
          <w:p w14:paraId="7F5CC0B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374.6</w:t>
            </w:r>
          </w:p>
        </w:tc>
      </w:tr>
      <w:tr w:rsidR="0078509A" w:rsidRPr="0078509A" w14:paraId="33B2A1C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A55F41E"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CXLk</w:t>
            </w:r>
          </w:p>
        </w:tc>
        <w:tc>
          <w:tcPr>
            <w:tcW w:w="849" w:type="dxa"/>
            <w:tcBorders>
              <w:top w:val="single" w:sz="4" w:space="0" w:color="auto"/>
              <w:left w:val="single" w:sz="4" w:space="0" w:color="auto"/>
              <w:bottom w:val="single" w:sz="4" w:space="0" w:color="auto"/>
              <w:right w:val="single" w:sz="4" w:space="0" w:color="auto"/>
            </w:tcBorders>
            <w:hideMark/>
          </w:tcPr>
          <w:p w14:paraId="5E82EC7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5FB6EC6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w:t>
            </w:r>
          </w:p>
        </w:tc>
        <w:tc>
          <w:tcPr>
            <w:tcW w:w="849" w:type="dxa"/>
            <w:tcBorders>
              <w:top w:val="single" w:sz="4" w:space="0" w:color="auto"/>
              <w:left w:val="single" w:sz="4" w:space="0" w:color="auto"/>
              <w:bottom w:val="single" w:sz="4" w:space="0" w:color="auto"/>
              <w:right w:val="single" w:sz="4" w:space="0" w:color="auto"/>
            </w:tcBorders>
            <w:hideMark/>
          </w:tcPr>
          <w:p w14:paraId="0797C40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9.4</w:t>
            </w:r>
          </w:p>
        </w:tc>
        <w:tc>
          <w:tcPr>
            <w:tcW w:w="849" w:type="dxa"/>
            <w:tcBorders>
              <w:top w:val="single" w:sz="4" w:space="0" w:color="auto"/>
              <w:left w:val="single" w:sz="4" w:space="0" w:color="auto"/>
              <w:bottom w:val="single" w:sz="4" w:space="0" w:color="auto"/>
              <w:right w:val="single" w:sz="4" w:space="0" w:color="auto"/>
            </w:tcBorders>
            <w:hideMark/>
          </w:tcPr>
          <w:p w14:paraId="6446D74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CBE20E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w:t>
            </w:r>
          </w:p>
        </w:tc>
        <w:tc>
          <w:tcPr>
            <w:tcW w:w="849" w:type="dxa"/>
            <w:tcBorders>
              <w:top w:val="single" w:sz="4" w:space="0" w:color="auto"/>
              <w:left w:val="single" w:sz="4" w:space="0" w:color="auto"/>
              <w:bottom w:val="single" w:sz="4" w:space="0" w:color="auto"/>
              <w:right w:val="single" w:sz="4" w:space="0" w:color="auto"/>
            </w:tcBorders>
            <w:hideMark/>
          </w:tcPr>
          <w:p w14:paraId="7502054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41.1</w:t>
            </w:r>
          </w:p>
        </w:tc>
        <w:tc>
          <w:tcPr>
            <w:tcW w:w="849" w:type="dxa"/>
            <w:tcBorders>
              <w:top w:val="single" w:sz="4" w:space="0" w:color="auto"/>
              <w:left w:val="single" w:sz="4" w:space="0" w:color="auto"/>
              <w:bottom w:val="single" w:sz="4" w:space="0" w:color="auto"/>
              <w:right w:val="single" w:sz="4" w:space="0" w:color="auto"/>
            </w:tcBorders>
            <w:hideMark/>
          </w:tcPr>
          <w:p w14:paraId="6991652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21.1</w:t>
            </w:r>
          </w:p>
        </w:tc>
        <w:tc>
          <w:tcPr>
            <w:tcW w:w="849" w:type="dxa"/>
            <w:tcBorders>
              <w:top w:val="single" w:sz="4" w:space="0" w:color="auto"/>
              <w:left w:val="single" w:sz="4" w:space="0" w:color="auto"/>
              <w:bottom w:val="single" w:sz="4" w:space="0" w:color="auto"/>
              <w:right w:val="single" w:sz="4" w:space="0" w:color="auto"/>
            </w:tcBorders>
            <w:hideMark/>
          </w:tcPr>
          <w:p w14:paraId="09E3A79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169.9</w:t>
            </w:r>
          </w:p>
        </w:tc>
        <w:tc>
          <w:tcPr>
            <w:tcW w:w="849" w:type="dxa"/>
            <w:tcBorders>
              <w:top w:val="single" w:sz="4" w:space="0" w:color="auto"/>
              <w:left w:val="single" w:sz="4" w:space="0" w:color="auto"/>
              <w:bottom w:val="single" w:sz="4" w:space="0" w:color="auto"/>
              <w:right w:val="single" w:sz="4" w:space="0" w:color="auto"/>
            </w:tcBorders>
            <w:hideMark/>
          </w:tcPr>
          <w:p w14:paraId="7DA1652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298.6</w:t>
            </w:r>
          </w:p>
        </w:tc>
      </w:tr>
      <w:tr w:rsidR="0078509A" w:rsidRPr="0078509A" w14:paraId="712FA0EF"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6F5E919"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CWGM</w:t>
            </w:r>
          </w:p>
        </w:tc>
        <w:tc>
          <w:tcPr>
            <w:tcW w:w="849" w:type="dxa"/>
            <w:tcBorders>
              <w:top w:val="single" w:sz="4" w:space="0" w:color="auto"/>
              <w:left w:val="single" w:sz="4" w:space="0" w:color="auto"/>
              <w:bottom w:val="single" w:sz="4" w:space="0" w:color="auto"/>
              <w:right w:val="single" w:sz="4" w:space="0" w:color="auto"/>
            </w:tcBorders>
            <w:hideMark/>
          </w:tcPr>
          <w:p w14:paraId="02FC43B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22BDAE7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2.9</w:t>
            </w:r>
          </w:p>
        </w:tc>
        <w:tc>
          <w:tcPr>
            <w:tcW w:w="849" w:type="dxa"/>
            <w:tcBorders>
              <w:top w:val="single" w:sz="4" w:space="0" w:color="auto"/>
              <w:left w:val="single" w:sz="4" w:space="0" w:color="auto"/>
              <w:bottom w:val="single" w:sz="4" w:space="0" w:color="auto"/>
              <w:right w:val="single" w:sz="4" w:space="0" w:color="auto"/>
            </w:tcBorders>
            <w:hideMark/>
          </w:tcPr>
          <w:p w14:paraId="61DA40C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17.8</w:t>
            </w:r>
          </w:p>
        </w:tc>
        <w:tc>
          <w:tcPr>
            <w:tcW w:w="849" w:type="dxa"/>
            <w:tcBorders>
              <w:top w:val="single" w:sz="4" w:space="0" w:color="auto"/>
              <w:left w:val="single" w:sz="4" w:space="0" w:color="auto"/>
              <w:bottom w:val="single" w:sz="4" w:space="0" w:color="auto"/>
              <w:right w:val="single" w:sz="4" w:space="0" w:color="auto"/>
            </w:tcBorders>
            <w:hideMark/>
          </w:tcPr>
          <w:p w14:paraId="0CF307D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6280101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14.4</w:t>
            </w:r>
          </w:p>
        </w:tc>
        <w:tc>
          <w:tcPr>
            <w:tcW w:w="849" w:type="dxa"/>
            <w:tcBorders>
              <w:top w:val="single" w:sz="4" w:space="0" w:color="auto"/>
              <w:left w:val="single" w:sz="4" w:space="0" w:color="auto"/>
              <w:bottom w:val="single" w:sz="4" w:space="0" w:color="auto"/>
              <w:right w:val="single" w:sz="4" w:space="0" w:color="auto"/>
            </w:tcBorders>
            <w:hideMark/>
          </w:tcPr>
          <w:p w14:paraId="65F5B4B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68.7</w:t>
            </w:r>
          </w:p>
        </w:tc>
        <w:tc>
          <w:tcPr>
            <w:tcW w:w="849" w:type="dxa"/>
            <w:tcBorders>
              <w:top w:val="single" w:sz="4" w:space="0" w:color="auto"/>
              <w:left w:val="single" w:sz="4" w:space="0" w:color="auto"/>
              <w:bottom w:val="single" w:sz="4" w:space="0" w:color="auto"/>
              <w:right w:val="single" w:sz="4" w:space="0" w:color="auto"/>
            </w:tcBorders>
            <w:hideMark/>
          </w:tcPr>
          <w:p w14:paraId="1E22CE7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30.2</w:t>
            </w:r>
          </w:p>
        </w:tc>
        <w:tc>
          <w:tcPr>
            <w:tcW w:w="849" w:type="dxa"/>
            <w:tcBorders>
              <w:top w:val="single" w:sz="4" w:space="0" w:color="auto"/>
              <w:left w:val="single" w:sz="4" w:space="0" w:color="auto"/>
              <w:bottom w:val="single" w:sz="4" w:space="0" w:color="auto"/>
              <w:right w:val="single" w:sz="4" w:space="0" w:color="auto"/>
            </w:tcBorders>
            <w:hideMark/>
          </w:tcPr>
          <w:p w14:paraId="38565F2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227.4</w:t>
            </w:r>
          </w:p>
        </w:tc>
        <w:tc>
          <w:tcPr>
            <w:tcW w:w="849" w:type="dxa"/>
            <w:tcBorders>
              <w:top w:val="single" w:sz="4" w:space="0" w:color="auto"/>
              <w:left w:val="single" w:sz="4" w:space="0" w:color="auto"/>
              <w:bottom w:val="single" w:sz="4" w:space="0" w:color="auto"/>
              <w:right w:val="single" w:sz="4" w:space="0" w:color="auto"/>
            </w:tcBorders>
            <w:hideMark/>
          </w:tcPr>
          <w:p w14:paraId="648C308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315.1</w:t>
            </w:r>
          </w:p>
        </w:tc>
      </w:tr>
      <w:tr w:rsidR="0078509A" w:rsidRPr="0078509A" w14:paraId="1F23D626"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4B3DD980"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CWM</w:t>
            </w:r>
          </w:p>
        </w:tc>
        <w:tc>
          <w:tcPr>
            <w:tcW w:w="849" w:type="dxa"/>
            <w:tcBorders>
              <w:top w:val="single" w:sz="4" w:space="0" w:color="auto"/>
              <w:left w:val="single" w:sz="4" w:space="0" w:color="auto"/>
              <w:bottom w:val="single" w:sz="4" w:space="0" w:color="auto"/>
              <w:right w:val="single" w:sz="4" w:space="0" w:color="auto"/>
            </w:tcBorders>
            <w:hideMark/>
          </w:tcPr>
          <w:p w14:paraId="1ECDD3E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5946F49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w:t>
            </w:r>
          </w:p>
        </w:tc>
        <w:tc>
          <w:tcPr>
            <w:tcW w:w="849" w:type="dxa"/>
            <w:tcBorders>
              <w:top w:val="single" w:sz="4" w:space="0" w:color="auto"/>
              <w:left w:val="single" w:sz="4" w:space="0" w:color="auto"/>
              <w:bottom w:val="single" w:sz="4" w:space="0" w:color="auto"/>
              <w:right w:val="single" w:sz="4" w:space="0" w:color="auto"/>
            </w:tcBorders>
            <w:hideMark/>
          </w:tcPr>
          <w:p w14:paraId="122172F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17.6</w:t>
            </w:r>
          </w:p>
        </w:tc>
        <w:tc>
          <w:tcPr>
            <w:tcW w:w="849" w:type="dxa"/>
            <w:tcBorders>
              <w:top w:val="single" w:sz="4" w:space="0" w:color="auto"/>
              <w:left w:val="single" w:sz="4" w:space="0" w:color="auto"/>
              <w:bottom w:val="single" w:sz="4" w:space="0" w:color="auto"/>
              <w:right w:val="single" w:sz="4" w:space="0" w:color="auto"/>
            </w:tcBorders>
            <w:hideMark/>
          </w:tcPr>
          <w:p w14:paraId="28440CC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55AA033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15.0</w:t>
            </w:r>
          </w:p>
        </w:tc>
        <w:tc>
          <w:tcPr>
            <w:tcW w:w="849" w:type="dxa"/>
            <w:tcBorders>
              <w:top w:val="single" w:sz="4" w:space="0" w:color="auto"/>
              <w:left w:val="single" w:sz="4" w:space="0" w:color="auto"/>
              <w:bottom w:val="single" w:sz="4" w:space="0" w:color="auto"/>
              <w:right w:val="single" w:sz="4" w:space="0" w:color="auto"/>
            </w:tcBorders>
            <w:hideMark/>
          </w:tcPr>
          <w:p w14:paraId="764AD45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71.0</w:t>
            </w:r>
          </w:p>
        </w:tc>
        <w:tc>
          <w:tcPr>
            <w:tcW w:w="849" w:type="dxa"/>
            <w:tcBorders>
              <w:top w:val="single" w:sz="4" w:space="0" w:color="auto"/>
              <w:left w:val="single" w:sz="4" w:space="0" w:color="auto"/>
              <w:bottom w:val="single" w:sz="4" w:space="0" w:color="auto"/>
              <w:right w:val="single" w:sz="4" w:space="0" w:color="auto"/>
            </w:tcBorders>
            <w:hideMark/>
          </w:tcPr>
          <w:p w14:paraId="2FC0C24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36.6</w:t>
            </w:r>
          </w:p>
        </w:tc>
        <w:tc>
          <w:tcPr>
            <w:tcW w:w="849" w:type="dxa"/>
            <w:tcBorders>
              <w:top w:val="single" w:sz="4" w:space="0" w:color="auto"/>
              <w:left w:val="single" w:sz="4" w:space="0" w:color="auto"/>
              <w:bottom w:val="single" w:sz="4" w:space="0" w:color="auto"/>
              <w:right w:val="single" w:sz="4" w:space="0" w:color="auto"/>
            </w:tcBorders>
            <w:hideMark/>
          </w:tcPr>
          <w:p w14:paraId="10EA124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245.3</w:t>
            </w:r>
          </w:p>
        </w:tc>
        <w:tc>
          <w:tcPr>
            <w:tcW w:w="849" w:type="dxa"/>
            <w:tcBorders>
              <w:top w:val="single" w:sz="4" w:space="0" w:color="auto"/>
              <w:left w:val="single" w:sz="4" w:space="0" w:color="auto"/>
              <w:bottom w:val="single" w:sz="4" w:space="0" w:color="auto"/>
              <w:right w:val="single" w:sz="4" w:space="0" w:color="auto"/>
            </w:tcBorders>
            <w:hideMark/>
          </w:tcPr>
          <w:p w14:paraId="7ECD257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317.5</w:t>
            </w:r>
          </w:p>
        </w:tc>
      </w:tr>
      <w:tr w:rsidR="0078509A" w:rsidRPr="0078509A" w14:paraId="07CF65ED"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CDB2A06"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CWH</w:t>
            </w:r>
          </w:p>
        </w:tc>
        <w:tc>
          <w:tcPr>
            <w:tcW w:w="849" w:type="dxa"/>
            <w:tcBorders>
              <w:top w:val="single" w:sz="4" w:space="0" w:color="auto"/>
              <w:left w:val="single" w:sz="4" w:space="0" w:color="auto"/>
              <w:bottom w:val="single" w:sz="4" w:space="0" w:color="auto"/>
              <w:right w:val="single" w:sz="4" w:space="0" w:color="auto"/>
            </w:tcBorders>
            <w:hideMark/>
          </w:tcPr>
          <w:p w14:paraId="3EE8073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668A29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3.1</w:t>
            </w:r>
          </w:p>
        </w:tc>
        <w:tc>
          <w:tcPr>
            <w:tcW w:w="849" w:type="dxa"/>
            <w:tcBorders>
              <w:top w:val="single" w:sz="4" w:space="0" w:color="auto"/>
              <w:left w:val="single" w:sz="4" w:space="0" w:color="auto"/>
              <w:bottom w:val="single" w:sz="4" w:space="0" w:color="auto"/>
              <w:right w:val="single" w:sz="4" w:space="0" w:color="auto"/>
            </w:tcBorders>
            <w:hideMark/>
          </w:tcPr>
          <w:p w14:paraId="57315E4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18.0</w:t>
            </w:r>
          </w:p>
        </w:tc>
        <w:tc>
          <w:tcPr>
            <w:tcW w:w="849" w:type="dxa"/>
            <w:tcBorders>
              <w:top w:val="single" w:sz="4" w:space="0" w:color="auto"/>
              <w:left w:val="single" w:sz="4" w:space="0" w:color="auto"/>
              <w:bottom w:val="single" w:sz="4" w:space="0" w:color="auto"/>
              <w:right w:val="single" w:sz="4" w:space="0" w:color="auto"/>
            </w:tcBorders>
            <w:hideMark/>
          </w:tcPr>
          <w:p w14:paraId="1BF9CBB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5908043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15.2</w:t>
            </w:r>
          </w:p>
        </w:tc>
        <w:tc>
          <w:tcPr>
            <w:tcW w:w="849" w:type="dxa"/>
            <w:tcBorders>
              <w:top w:val="single" w:sz="4" w:space="0" w:color="auto"/>
              <w:left w:val="single" w:sz="4" w:space="0" w:color="auto"/>
              <w:bottom w:val="single" w:sz="4" w:space="0" w:color="auto"/>
              <w:right w:val="single" w:sz="4" w:space="0" w:color="auto"/>
            </w:tcBorders>
            <w:hideMark/>
          </w:tcPr>
          <w:p w14:paraId="2397882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68.6</w:t>
            </w:r>
          </w:p>
        </w:tc>
        <w:tc>
          <w:tcPr>
            <w:tcW w:w="849" w:type="dxa"/>
            <w:tcBorders>
              <w:top w:val="single" w:sz="4" w:space="0" w:color="auto"/>
              <w:left w:val="single" w:sz="4" w:space="0" w:color="auto"/>
              <w:bottom w:val="single" w:sz="4" w:space="0" w:color="auto"/>
              <w:right w:val="single" w:sz="4" w:space="0" w:color="auto"/>
            </w:tcBorders>
            <w:hideMark/>
          </w:tcPr>
          <w:p w14:paraId="0750156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41.0</w:t>
            </w:r>
          </w:p>
        </w:tc>
        <w:tc>
          <w:tcPr>
            <w:tcW w:w="849" w:type="dxa"/>
            <w:tcBorders>
              <w:top w:val="single" w:sz="4" w:space="0" w:color="auto"/>
              <w:left w:val="single" w:sz="4" w:space="0" w:color="auto"/>
              <w:bottom w:val="single" w:sz="4" w:space="0" w:color="auto"/>
              <w:right w:val="single" w:sz="4" w:space="0" w:color="auto"/>
            </w:tcBorders>
            <w:hideMark/>
          </w:tcPr>
          <w:p w14:paraId="26517E8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252.0</w:t>
            </w:r>
          </w:p>
        </w:tc>
        <w:tc>
          <w:tcPr>
            <w:tcW w:w="849" w:type="dxa"/>
            <w:tcBorders>
              <w:top w:val="single" w:sz="4" w:space="0" w:color="auto"/>
              <w:left w:val="single" w:sz="4" w:space="0" w:color="auto"/>
              <w:bottom w:val="single" w:sz="4" w:space="0" w:color="auto"/>
              <w:right w:val="single" w:sz="4" w:space="0" w:color="auto"/>
            </w:tcBorders>
            <w:hideMark/>
          </w:tcPr>
          <w:p w14:paraId="1F6F319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321.8</w:t>
            </w:r>
          </w:p>
        </w:tc>
      </w:tr>
      <w:tr w:rsidR="0078509A" w:rsidRPr="0078509A" w14:paraId="0B1AAE0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A85DB50"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CWL</w:t>
            </w:r>
          </w:p>
        </w:tc>
        <w:tc>
          <w:tcPr>
            <w:tcW w:w="849" w:type="dxa"/>
            <w:tcBorders>
              <w:top w:val="single" w:sz="4" w:space="0" w:color="auto"/>
              <w:left w:val="single" w:sz="4" w:space="0" w:color="auto"/>
              <w:bottom w:val="single" w:sz="4" w:space="0" w:color="auto"/>
              <w:right w:val="single" w:sz="4" w:space="0" w:color="auto"/>
            </w:tcBorders>
            <w:hideMark/>
          </w:tcPr>
          <w:p w14:paraId="3C3B57F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4BAA78A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w:t>
            </w:r>
          </w:p>
        </w:tc>
        <w:tc>
          <w:tcPr>
            <w:tcW w:w="849" w:type="dxa"/>
            <w:tcBorders>
              <w:top w:val="single" w:sz="4" w:space="0" w:color="auto"/>
              <w:left w:val="single" w:sz="4" w:space="0" w:color="auto"/>
              <w:bottom w:val="single" w:sz="4" w:space="0" w:color="auto"/>
              <w:right w:val="single" w:sz="4" w:space="0" w:color="auto"/>
            </w:tcBorders>
            <w:hideMark/>
          </w:tcPr>
          <w:p w14:paraId="65E32A9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8.4</w:t>
            </w:r>
          </w:p>
        </w:tc>
        <w:tc>
          <w:tcPr>
            <w:tcW w:w="849" w:type="dxa"/>
            <w:tcBorders>
              <w:top w:val="single" w:sz="4" w:space="0" w:color="auto"/>
              <w:left w:val="single" w:sz="4" w:space="0" w:color="auto"/>
              <w:bottom w:val="single" w:sz="4" w:space="0" w:color="auto"/>
              <w:right w:val="single" w:sz="4" w:space="0" w:color="auto"/>
            </w:tcBorders>
            <w:hideMark/>
          </w:tcPr>
          <w:p w14:paraId="56E56B6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3A55F6A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5.6</w:t>
            </w:r>
          </w:p>
        </w:tc>
        <w:tc>
          <w:tcPr>
            <w:tcW w:w="849" w:type="dxa"/>
            <w:tcBorders>
              <w:top w:val="single" w:sz="4" w:space="0" w:color="auto"/>
              <w:left w:val="single" w:sz="4" w:space="0" w:color="auto"/>
              <w:bottom w:val="single" w:sz="4" w:space="0" w:color="auto"/>
              <w:right w:val="single" w:sz="4" w:space="0" w:color="auto"/>
            </w:tcBorders>
            <w:hideMark/>
          </w:tcPr>
          <w:p w14:paraId="0EE4534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38.1</w:t>
            </w:r>
          </w:p>
        </w:tc>
        <w:tc>
          <w:tcPr>
            <w:tcW w:w="849" w:type="dxa"/>
            <w:tcBorders>
              <w:top w:val="single" w:sz="4" w:space="0" w:color="auto"/>
              <w:left w:val="single" w:sz="4" w:space="0" w:color="auto"/>
              <w:bottom w:val="single" w:sz="4" w:space="0" w:color="auto"/>
              <w:right w:val="single" w:sz="4" w:space="0" w:color="auto"/>
            </w:tcBorders>
            <w:hideMark/>
          </w:tcPr>
          <w:p w14:paraId="685B0F1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20.1</w:t>
            </w:r>
          </w:p>
        </w:tc>
        <w:tc>
          <w:tcPr>
            <w:tcW w:w="849" w:type="dxa"/>
            <w:tcBorders>
              <w:top w:val="single" w:sz="4" w:space="0" w:color="auto"/>
              <w:left w:val="single" w:sz="4" w:space="0" w:color="auto"/>
              <w:bottom w:val="single" w:sz="4" w:space="0" w:color="auto"/>
              <w:right w:val="single" w:sz="4" w:space="0" w:color="auto"/>
            </w:tcBorders>
            <w:hideMark/>
          </w:tcPr>
          <w:p w14:paraId="085E2EA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159.5</w:t>
            </w:r>
          </w:p>
        </w:tc>
        <w:tc>
          <w:tcPr>
            <w:tcW w:w="849" w:type="dxa"/>
            <w:tcBorders>
              <w:top w:val="single" w:sz="4" w:space="0" w:color="auto"/>
              <w:left w:val="single" w:sz="4" w:space="0" w:color="auto"/>
              <w:bottom w:val="single" w:sz="4" w:space="0" w:color="auto"/>
              <w:right w:val="single" w:sz="4" w:space="0" w:color="auto"/>
            </w:tcBorders>
            <w:hideMark/>
          </w:tcPr>
          <w:p w14:paraId="2030CC4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272.9</w:t>
            </w:r>
          </w:p>
        </w:tc>
      </w:tr>
      <w:tr w:rsidR="0078509A" w:rsidRPr="0078509A" w14:paraId="7A71F950"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1993B071"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CWLk</w:t>
            </w:r>
          </w:p>
        </w:tc>
        <w:tc>
          <w:tcPr>
            <w:tcW w:w="849" w:type="dxa"/>
            <w:tcBorders>
              <w:top w:val="single" w:sz="4" w:space="0" w:color="auto"/>
              <w:left w:val="single" w:sz="4" w:space="0" w:color="auto"/>
              <w:bottom w:val="single" w:sz="4" w:space="0" w:color="auto"/>
              <w:right w:val="single" w:sz="4" w:space="0" w:color="auto"/>
            </w:tcBorders>
            <w:hideMark/>
          </w:tcPr>
          <w:p w14:paraId="51E4ADB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4CE987C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0.5</w:t>
            </w:r>
          </w:p>
        </w:tc>
        <w:tc>
          <w:tcPr>
            <w:tcW w:w="849" w:type="dxa"/>
            <w:tcBorders>
              <w:top w:val="single" w:sz="4" w:space="0" w:color="auto"/>
              <w:left w:val="single" w:sz="4" w:space="0" w:color="auto"/>
              <w:bottom w:val="single" w:sz="4" w:space="0" w:color="auto"/>
              <w:right w:val="single" w:sz="4" w:space="0" w:color="auto"/>
            </w:tcBorders>
            <w:hideMark/>
          </w:tcPr>
          <w:p w14:paraId="360A6A2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4.3</w:t>
            </w:r>
          </w:p>
        </w:tc>
        <w:tc>
          <w:tcPr>
            <w:tcW w:w="849" w:type="dxa"/>
            <w:tcBorders>
              <w:top w:val="single" w:sz="4" w:space="0" w:color="auto"/>
              <w:left w:val="single" w:sz="4" w:space="0" w:color="auto"/>
              <w:bottom w:val="single" w:sz="4" w:space="0" w:color="auto"/>
              <w:right w:val="single" w:sz="4" w:space="0" w:color="auto"/>
            </w:tcBorders>
            <w:hideMark/>
          </w:tcPr>
          <w:p w14:paraId="489849D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555A2D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w:t>
            </w:r>
          </w:p>
        </w:tc>
        <w:tc>
          <w:tcPr>
            <w:tcW w:w="849" w:type="dxa"/>
            <w:tcBorders>
              <w:top w:val="single" w:sz="4" w:space="0" w:color="auto"/>
              <w:left w:val="single" w:sz="4" w:space="0" w:color="auto"/>
              <w:bottom w:val="single" w:sz="4" w:space="0" w:color="auto"/>
              <w:right w:val="single" w:sz="4" w:space="0" w:color="auto"/>
            </w:tcBorders>
            <w:hideMark/>
          </w:tcPr>
          <w:p w14:paraId="11559F0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21.3</w:t>
            </w:r>
          </w:p>
        </w:tc>
        <w:tc>
          <w:tcPr>
            <w:tcW w:w="849" w:type="dxa"/>
            <w:tcBorders>
              <w:top w:val="single" w:sz="4" w:space="0" w:color="auto"/>
              <w:left w:val="single" w:sz="4" w:space="0" w:color="auto"/>
              <w:bottom w:val="single" w:sz="4" w:space="0" w:color="auto"/>
              <w:right w:val="single" w:sz="4" w:space="0" w:color="auto"/>
            </w:tcBorders>
            <w:hideMark/>
          </w:tcPr>
          <w:p w14:paraId="1CC27F8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9.3</w:t>
            </w:r>
          </w:p>
        </w:tc>
        <w:tc>
          <w:tcPr>
            <w:tcW w:w="849" w:type="dxa"/>
            <w:tcBorders>
              <w:top w:val="single" w:sz="4" w:space="0" w:color="auto"/>
              <w:left w:val="single" w:sz="4" w:space="0" w:color="auto"/>
              <w:bottom w:val="single" w:sz="4" w:space="0" w:color="auto"/>
              <w:right w:val="single" w:sz="4" w:space="0" w:color="auto"/>
            </w:tcBorders>
            <w:hideMark/>
          </w:tcPr>
          <w:p w14:paraId="6CA20E9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104.5</w:t>
            </w:r>
          </w:p>
        </w:tc>
        <w:tc>
          <w:tcPr>
            <w:tcW w:w="849" w:type="dxa"/>
            <w:tcBorders>
              <w:top w:val="single" w:sz="4" w:space="0" w:color="auto"/>
              <w:left w:val="single" w:sz="4" w:space="0" w:color="auto"/>
              <w:bottom w:val="single" w:sz="4" w:space="0" w:color="auto"/>
              <w:right w:val="single" w:sz="4" w:space="0" w:color="auto"/>
            </w:tcBorders>
            <w:hideMark/>
          </w:tcPr>
          <w:p w14:paraId="2015ABF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265.6</w:t>
            </w:r>
          </w:p>
        </w:tc>
      </w:tr>
      <w:tr w:rsidR="0078509A" w:rsidRPr="0078509A" w14:paraId="3C09A158"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1767E2F"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CDM</w:t>
            </w:r>
          </w:p>
        </w:tc>
        <w:tc>
          <w:tcPr>
            <w:tcW w:w="849" w:type="dxa"/>
            <w:tcBorders>
              <w:top w:val="single" w:sz="4" w:space="0" w:color="auto"/>
              <w:left w:val="single" w:sz="4" w:space="0" w:color="auto"/>
              <w:bottom w:val="single" w:sz="4" w:space="0" w:color="auto"/>
              <w:right w:val="single" w:sz="4" w:space="0" w:color="auto"/>
            </w:tcBorders>
            <w:hideMark/>
          </w:tcPr>
          <w:p w14:paraId="39D377F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0ADFCA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0.5</w:t>
            </w:r>
          </w:p>
        </w:tc>
        <w:tc>
          <w:tcPr>
            <w:tcW w:w="849" w:type="dxa"/>
            <w:tcBorders>
              <w:top w:val="single" w:sz="4" w:space="0" w:color="auto"/>
              <w:left w:val="single" w:sz="4" w:space="0" w:color="auto"/>
              <w:bottom w:val="single" w:sz="4" w:space="0" w:color="auto"/>
              <w:right w:val="single" w:sz="4" w:space="0" w:color="auto"/>
            </w:tcBorders>
            <w:hideMark/>
          </w:tcPr>
          <w:p w14:paraId="2DC1466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4.9</w:t>
            </w:r>
          </w:p>
        </w:tc>
        <w:tc>
          <w:tcPr>
            <w:tcW w:w="849" w:type="dxa"/>
            <w:tcBorders>
              <w:top w:val="single" w:sz="4" w:space="0" w:color="auto"/>
              <w:left w:val="single" w:sz="4" w:space="0" w:color="auto"/>
              <w:bottom w:val="single" w:sz="4" w:space="0" w:color="auto"/>
              <w:right w:val="single" w:sz="4" w:space="0" w:color="auto"/>
            </w:tcBorders>
            <w:hideMark/>
          </w:tcPr>
          <w:p w14:paraId="6AB7248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F003F9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w:t>
            </w:r>
          </w:p>
        </w:tc>
        <w:tc>
          <w:tcPr>
            <w:tcW w:w="849" w:type="dxa"/>
            <w:tcBorders>
              <w:top w:val="single" w:sz="4" w:space="0" w:color="auto"/>
              <w:left w:val="single" w:sz="4" w:space="0" w:color="auto"/>
              <w:bottom w:val="single" w:sz="4" w:space="0" w:color="auto"/>
              <w:right w:val="single" w:sz="4" w:space="0" w:color="auto"/>
            </w:tcBorders>
            <w:hideMark/>
          </w:tcPr>
          <w:p w14:paraId="17947A6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23.6</w:t>
            </w:r>
          </w:p>
        </w:tc>
        <w:tc>
          <w:tcPr>
            <w:tcW w:w="849" w:type="dxa"/>
            <w:tcBorders>
              <w:top w:val="single" w:sz="4" w:space="0" w:color="auto"/>
              <w:left w:val="single" w:sz="4" w:space="0" w:color="auto"/>
              <w:bottom w:val="single" w:sz="4" w:space="0" w:color="auto"/>
              <w:right w:val="single" w:sz="4" w:space="0" w:color="auto"/>
            </w:tcBorders>
            <w:hideMark/>
          </w:tcPr>
          <w:p w14:paraId="362835C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10.1</w:t>
            </w:r>
          </w:p>
        </w:tc>
        <w:tc>
          <w:tcPr>
            <w:tcW w:w="849" w:type="dxa"/>
            <w:tcBorders>
              <w:top w:val="single" w:sz="4" w:space="0" w:color="auto"/>
              <w:left w:val="single" w:sz="4" w:space="0" w:color="auto"/>
              <w:bottom w:val="single" w:sz="4" w:space="0" w:color="auto"/>
              <w:right w:val="single" w:sz="4" w:space="0" w:color="auto"/>
            </w:tcBorders>
            <w:hideMark/>
          </w:tcPr>
          <w:p w14:paraId="3FA4F3C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108.2</w:t>
            </w:r>
          </w:p>
        </w:tc>
        <w:tc>
          <w:tcPr>
            <w:tcW w:w="849" w:type="dxa"/>
            <w:tcBorders>
              <w:top w:val="single" w:sz="4" w:space="0" w:color="auto"/>
              <w:left w:val="single" w:sz="4" w:space="0" w:color="auto"/>
              <w:bottom w:val="single" w:sz="4" w:space="0" w:color="auto"/>
              <w:right w:val="single" w:sz="4" w:space="0" w:color="auto"/>
            </w:tcBorders>
            <w:hideMark/>
          </w:tcPr>
          <w:p w14:paraId="36281DB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272.5</w:t>
            </w:r>
          </w:p>
        </w:tc>
      </w:tr>
      <w:tr w:rsidR="0078509A" w:rsidRPr="0078509A" w14:paraId="6830DC81"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587F83F6"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CDH</w:t>
            </w:r>
          </w:p>
        </w:tc>
        <w:tc>
          <w:tcPr>
            <w:tcW w:w="849" w:type="dxa"/>
            <w:tcBorders>
              <w:top w:val="single" w:sz="4" w:space="0" w:color="auto"/>
              <w:left w:val="single" w:sz="4" w:space="0" w:color="auto"/>
              <w:bottom w:val="single" w:sz="4" w:space="0" w:color="auto"/>
              <w:right w:val="single" w:sz="4" w:space="0" w:color="auto"/>
            </w:tcBorders>
            <w:hideMark/>
          </w:tcPr>
          <w:p w14:paraId="2EF649C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3979808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0545ADF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w:t>
            </w:r>
          </w:p>
        </w:tc>
        <w:tc>
          <w:tcPr>
            <w:tcW w:w="849" w:type="dxa"/>
            <w:tcBorders>
              <w:top w:val="single" w:sz="4" w:space="0" w:color="auto"/>
              <w:left w:val="single" w:sz="4" w:space="0" w:color="auto"/>
              <w:bottom w:val="single" w:sz="4" w:space="0" w:color="auto"/>
              <w:right w:val="single" w:sz="4" w:space="0" w:color="auto"/>
            </w:tcBorders>
            <w:hideMark/>
          </w:tcPr>
          <w:p w14:paraId="5D2EAEA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2EFD83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w:t>
            </w:r>
          </w:p>
        </w:tc>
        <w:tc>
          <w:tcPr>
            <w:tcW w:w="849" w:type="dxa"/>
            <w:tcBorders>
              <w:top w:val="single" w:sz="4" w:space="0" w:color="auto"/>
              <w:left w:val="single" w:sz="4" w:space="0" w:color="auto"/>
              <w:bottom w:val="single" w:sz="4" w:space="0" w:color="auto"/>
              <w:right w:val="single" w:sz="4" w:space="0" w:color="auto"/>
            </w:tcBorders>
            <w:hideMark/>
          </w:tcPr>
          <w:p w14:paraId="2645DC9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12.7</w:t>
            </w:r>
          </w:p>
        </w:tc>
        <w:tc>
          <w:tcPr>
            <w:tcW w:w="849" w:type="dxa"/>
            <w:tcBorders>
              <w:top w:val="single" w:sz="4" w:space="0" w:color="auto"/>
              <w:left w:val="single" w:sz="4" w:space="0" w:color="auto"/>
              <w:bottom w:val="single" w:sz="4" w:space="0" w:color="auto"/>
              <w:right w:val="single" w:sz="4" w:space="0" w:color="auto"/>
            </w:tcBorders>
            <w:hideMark/>
          </w:tcPr>
          <w:p w14:paraId="612C724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5.5</w:t>
            </w:r>
          </w:p>
        </w:tc>
        <w:tc>
          <w:tcPr>
            <w:tcW w:w="849" w:type="dxa"/>
            <w:tcBorders>
              <w:top w:val="single" w:sz="4" w:space="0" w:color="auto"/>
              <w:left w:val="single" w:sz="4" w:space="0" w:color="auto"/>
              <w:bottom w:val="single" w:sz="4" w:space="0" w:color="auto"/>
              <w:right w:val="single" w:sz="4" w:space="0" w:color="auto"/>
            </w:tcBorders>
            <w:hideMark/>
          </w:tcPr>
          <w:p w14:paraId="012A184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76.0</w:t>
            </w:r>
          </w:p>
        </w:tc>
        <w:tc>
          <w:tcPr>
            <w:tcW w:w="849" w:type="dxa"/>
            <w:tcBorders>
              <w:top w:val="single" w:sz="4" w:space="0" w:color="auto"/>
              <w:left w:val="single" w:sz="4" w:space="0" w:color="auto"/>
              <w:bottom w:val="single" w:sz="4" w:space="0" w:color="auto"/>
              <w:right w:val="single" w:sz="4" w:space="0" w:color="auto"/>
            </w:tcBorders>
            <w:hideMark/>
          </w:tcPr>
          <w:p w14:paraId="46F2B5A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221.3</w:t>
            </w:r>
          </w:p>
        </w:tc>
      </w:tr>
      <w:tr w:rsidR="0078509A" w:rsidRPr="0078509A" w14:paraId="3728D37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58835AD"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CDL</w:t>
            </w:r>
          </w:p>
        </w:tc>
        <w:tc>
          <w:tcPr>
            <w:tcW w:w="849" w:type="dxa"/>
            <w:tcBorders>
              <w:top w:val="single" w:sz="4" w:space="0" w:color="auto"/>
              <w:left w:val="single" w:sz="4" w:space="0" w:color="auto"/>
              <w:bottom w:val="single" w:sz="4" w:space="0" w:color="auto"/>
              <w:right w:val="single" w:sz="4" w:space="0" w:color="auto"/>
            </w:tcBorders>
            <w:hideMark/>
          </w:tcPr>
          <w:p w14:paraId="45800E8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5CB950D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4C5F2A1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w:t>
            </w:r>
          </w:p>
        </w:tc>
        <w:tc>
          <w:tcPr>
            <w:tcW w:w="849" w:type="dxa"/>
            <w:tcBorders>
              <w:top w:val="single" w:sz="4" w:space="0" w:color="auto"/>
              <w:left w:val="single" w:sz="4" w:space="0" w:color="auto"/>
              <w:bottom w:val="single" w:sz="4" w:space="0" w:color="auto"/>
              <w:right w:val="single" w:sz="4" w:space="0" w:color="auto"/>
            </w:tcBorders>
            <w:hideMark/>
          </w:tcPr>
          <w:p w14:paraId="79DF647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0A1EF3F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60821B9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11.7</w:t>
            </w:r>
          </w:p>
        </w:tc>
        <w:tc>
          <w:tcPr>
            <w:tcW w:w="849" w:type="dxa"/>
            <w:tcBorders>
              <w:top w:val="single" w:sz="4" w:space="0" w:color="auto"/>
              <w:left w:val="single" w:sz="4" w:space="0" w:color="auto"/>
              <w:bottom w:val="single" w:sz="4" w:space="0" w:color="auto"/>
              <w:right w:val="single" w:sz="4" w:space="0" w:color="auto"/>
            </w:tcBorders>
            <w:hideMark/>
          </w:tcPr>
          <w:p w14:paraId="7A68D63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6.0</w:t>
            </w:r>
          </w:p>
        </w:tc>
        <w:tc>
          <w:tcPr>
            <w:tcW w:w="849" w:type="dxa"/>
            <w:tcBorders>
              <w:top w:val="single" w:sz="4" w:space="0" w:color="auto"/>
              <w:left w:val="single" w:sz="4" w:space="0" w:color="auto"/>
              <w:bottom w:val="single" w:sz="4" w:space="0" w:color="auto"/>
              <w:right w:val="single" w:sz="4" w:space="0" w:color="auto"/>
            </w:tcBorders>
            <w:hideMark/>
          </w:tcPr>
          <w:p w14:paraId="22EF6AA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76.7</w:t>
            </w:r>
          </w:p>
        </w:tc>
        <w:tc>
          <w:tcPr>
            <w:tcW w:w="849" w:type="dxa"/>
            <w:tcBorders>
              <w:top w:val="single" w:sz="4" w:space="0" w:color="auto"/>
              <w:left w:val="single" w:sz="4" w:space="0" w:color="auto"/>
              <w:bottom w:val="single" w:sz="4" w:space="0" w:color="auto"/>
              <w:right w:val="single" w:sz="4" w:space="0" w:color="auto"/>
            </w:tcBorders>
            <w:hideMark/>
          </w:tcPr>
          <w:p w14:paraId="55DA6A3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220.9</w:t>
            </w:r>
          </w:p>
        </w:tc>
      </w:tr>
      <w:tr w:rsidR="0078509A" w:rsidRPr="0078509A" w14:paraId="247A62F9"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446154A"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CDLk</w:t>
            </w:r>
          </w:p>
        </w:tc>
        <w:tc>
          <w:tcPr>
            <w:tcW w:w="849" w:type="dxa"/>
            <w:tcBorders>
              <w:top w:val="single" w:sz="4" w:space="0" w:color="auto"/>
              <w:left w:val="single" w:sz="4" w:space="0" w:color="auto"/>
              <w:bottom w:val="single" w:sz="4" w:space="0" w:color="auto"/>
              <w:right w:val="single" w:sz="4" w:space="0" w:color="auto"/>
            </w:tcBorders>
            <w:hideMark/>
          </w:tcPr>
          <w:p w14:paraId="7FAB782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02E03F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305B7F7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w:t>
            </w:r>
          </w:p>
        </w:tc>
        <w:tc>
          <w:tcPr>
            <w:tcW w:w="849" w:type="dxa"/>
            <w:tcBorders>
              <w:top w:val="single" w:sz="4" w:space="0" w:color="auto"/>
              <w:left w:val="single" w:sz="4" w:space="0" w:color="auto"/>
              <w:bottom w:val="single" w:sz="4" w:space="0" w:color="auto"/>
              <w:right w:val="single" w:sz="4" w:space="0" w:color="auto"/>
            </w:tcBorders>
            <w:hideMark/>
          </w:tcPr>
          <w:p w14:paraId="4136A70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68B21EA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1.0</w:t>
            </w:r>
          </w:p>
        </w:tc>
        <w:tc>
          <w:tcPr>
            <w:tcW w:w="849" w:type="dxa"/>
            <w:tcBorders>
              <w:top w:val="single" w:sz="4" w:space="0" w:color="auto"/>
              <w:left w:val="single" w:sz="4" w:space="0" w:color="auto"/>
              <w:bottom w:val="single" w:sz="4" w:space="0" w:color="auto"/>
              <w:right w:val="single" w:sz="4" w:space="0" w:color="auto"/>
            </w:tcBorders>
            <w:hideMark/>
          </w:tcPr>
          <w:p w14:paraId="144F544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12.4</w:t>
            </w:r>
          </w:p>
        </w:tc>
        <w:tc>
          <w:tcPr>
            <w:tcW w:w="849" w:type="dxa"/>
            <w:tcBorders>
              <w:top w:val="single" w:sz="4" w:space="0" w:color="auto"/>
              <w:left w:val="single" w:sz="4" w:space="0" w:color="auto"/>
              <w:bottom w:val="single" w:sz="4" w:space="0" w:color="auto"/>
              <w:right w:val="single" w:sz="4" w:space="0" w:color="auto"/>
            </w:tcBorders>
            <w:hideMark/>
          </w:tcPr>
          <w:p w14:paraId="4260C63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5.6</w:t>
            </w:r>
          </w:p>
        </w:tc>
        <w:tc>
          <w:tcPr>
            <w:tcW w:w="849" w:type="dxa"/>
            <w:tcBorders>
              <w:top w:val="single" w:sz="4" w:space="0" w:color="auto"/>
              <w:left w:val="single" w:sz="4" w:space="0" w:color="auto"/>
              <w:bottom w:val="single" w:sz="4" w:space="0" w:color="auto"/>
              <w:right w:val="single" w:sz="4" w:space="0" w:color="auto"/>
            </w:tcBorders>
            <w:hideMark/>
          </w:tcPr>
          <w:p w14:paraId="15A0FC1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72.4</w:t>
            </w:r>
          </w:p>
        </w:tc>
        <w:tc>
          <w:tcPr>
            <w:tcW w:w="849" w:type="dxa"/>
            <w:tcBorders>
              <w:top w:val="single" w:sz="4" w:space="0" w:color="auto"/>
              <w:left w:val="single" w:sz="4" w:space="0" w:color="auto"/>
              <w:bottom w:val="single" w:sz="4" w:space="0" w:color="auto"/>
              <w:right w:val="single" w:sz="4" w:space="0" w:color="auto"/>
            </w:tcBorders>
            <w:hideMark/>
          </w:tcPr>
          <w:p w14:paraId="5BF36BC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212.2</w:t>
            </w:r>
          </w:p>
        </w:tc>
      </w:tr>
      <w:tr w:rsidR="0078509A" w:rsidRPr="0078509A" w14:paraId="2965B1BA"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0633AE59"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WXL</w:t>
            </w:r>
          </w:p>
        </w:tc>
        <w:tc>
          <w:tcPr>
            <w:tcW w:w="849" w:type="dxa"/>
            <w:tcBorders>
              <w:top w:val="single" w:sz="4" w:space="0" w:color="auto"/>
              <w:left w:val="single" w:sz="4" w:space="0" w:color="auto"/>
              <w:bottom w:val="single" w:sz="4" w:space="0" w:color="auto"/>
              <w:right w:val="single" w:sz="4" w:space="0" w:color="auto"/>
            </w:tcBorders>
            <w:hideMark/>
          </w:tcPr>
          <w:p w14:paraId="07B42F2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2682969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1.6</w:t>
            </w:r>
          </w:p>
        </w:tc>
        <w:tc>
          <w:tcPr>
            <w:tcW w:w="849" w:type="dxa"/>
            <w:tcBorders>
              <w:top w:val="single" w:sz="4" w:space="0" w:color="auto"/>
              <w:left w:val="single" w:sz="4" w:space="0" w:color="auto"/>
              <w:bottom w:val="single" w:sz="4" w:space="0" w:color="auto"/>
              <w:right w:val="single" w:sz="4" w:space="0" w:color="auto"/>
            </w:tcBorders>
            <w:hideMark/>
          </w:tcPr>
          <w:p w14:paraId="7AD7A5A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11.5</w:t>
            </w:r>
          </w:p>
        </w:tc>
        <w:tc>
          <w:tcPr>
            <w:tcW w:w="849" w:type="dxa"/>
            <w:tcBorders>
              <w:top w:val="single" w:sz="4" w:space="0" w:color="auto"/>
              <w:left w:val="single" w:sz="4" w:space="0" w:color="auto"/>
              <w:bottom w:val="single" w:sz="4" w:space="0" w:color="auto"/>
              <w:right w:val="single" w:sz="4" w:space="0" w:color="auto"/>
            </w:tcBorders>
            <w:hideMark/>
          </w:tcPr>
          <w:p w14:paraId="3DFBA5A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7A0DEBE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8.0</w:t>
            </w:r>
          </w:p>
        </w:tc>
        <w:tc>
          <w:tcPr>
            <w:tcW w:w="849" w:type="dxa"/>
            <w:tcBorders>
              <w:top w:val="single" w:sz="4" w:space="0" w:color="auto"/>
              <w:left w:val="single" w:sz="4" w:space="0" w:color="auto"/>
              <w:bottom w:val="single" w:sz="4" w:space="0" w:color="auto"/>
              <w:right w:val="single" w:sz="4" w:space="0" w:color="auto"/>
            </w:tcBorders>
            <w:hideMark/>
          </w:tcPr>
          <w:p w14:paraId="0320C62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50.2</w:t>
            </w:r>
          </w:p>
        </w:tc>
        <w:tc>
          <w:tcPr>
            <w:tcW w:w="849" w:type="dxa"/>
            <w:tcBorders>
              <w:top w:val="single" w:sz="4" w:space="0" w:color="auto"/>
              <w:left w:val="single" w:sz="4" w:space="0" w:color="auto"/>
              <w:bottom w:val="single" w:sz="4" w:space="0" w:color="auto"/>
              <w:right w:val="single" w:sz="4" w:space="0" w:color="auto"/>
            </w:tcBorders>
            <w:hideMark/>
          </w:tcPr>
          <w:p w14:paraId="1B5EA51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26.9</w:t>
            </w:r>
          </w:p>
        </w:tc>
        <w:tc>
          <w:tcPr>
            <w:tcW w:w="849" w:type="dxa"/>
            <w:tcBorders>
              <w:top w:val="single" w:sz="4" w:space="0" w:color="auto"/>
              <w:left w:val="single" w:sz="4" w:space="0" w:color="auto"/>
              <w:bottom w:val="single" w:sz="4" w:space="0" w:color="auto"/>
              <w:right w:val="single" w:sz="4" w:space="0" w:color="auto"/>
            </w:tcBorders>
            <w:hideMark/>
          </w:tcPr>
          <w:p w14:paraId="18F0B59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201.3</w:t>
            </w:r>
          </w:p>
        </w:tc>
        <w:tc>
          <w:tcPr>
            <w:tcW w:w="849" w:type="dxa"/>
            <w:tcBorders>
              <w:top w:val="single" w:sz="4" w:space="0" w:color="auto"/>
              <w:left w:val="single" w:sz="4" w:space="0" w:color="auto"/>
              <w:bottom w:val="single" w:sz="4" w:space="0" w:color="auto"/>
              <w:right w:val="single" w:sz="4" w:space="0" w:color="auto"/>
            </w:tcBorders>
            <w:hideMark/>
          </w:tcPr>
          <w:p w14:paraId="6573E00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293.9</w:t>
            </w:r>
          </w:p>
        </w:tc>
      </w:tr>
      <w:tr w:rsidR="0078509A" w:rsidRPr="0078509A" w14:paraId="7BB4C76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3D5FEFDB"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WXH</w:t>
            </w:r>
          </w:p>
        </w:tc>
        <w:tc>
          <w:tcPr>
            <w:tcW w:w="849" w:type="dxa"/>
            <w:tcBorders>
              <w:top w:val="single" w:sz="4" w:space="0" w:color="auto"/>
              <w:left w:val="single" w:sz="4" w:space="0" w:color="auto"/>
              <w:bottom w:val="single" w:sz="4" w:space="0" w:color="auto"/>
              <w:right w:val="single" w:sz="4" w:space="0" w:color="auto"/>
            </w:tcBorders>
            <w:hideMark/>
          </w:tcPr>
          <w:p w14:paraId="248182B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781993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w:t>
            </w:r>
          </w:p>
        </w:tc>
        <w:tc>
          <w:tcPr>
            <w:tcW w:w="849" w:type="dxa"/>
            <w:tcBorders>
              <w:top w:val="single" w:sz="4" w:space="0" w:color="auto"/>
              <w:left w:val="single" w:sz="4" w:space="0" w:color="auto"/>
              <w:bottom w:val="single" w:sz="4" w:space="0" w:color="auto"/>
              <w:right w:val="single" w:sz="4" w:space="0" w:color="auto"/>
            </w:tcBorders>
            <w:hideMark/>
          </w:tcPr>
          <w:p w14:paraId="61E0169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15.8</w:t>
            </w:r>
          </w:p>
        </w:tc>
        <w:tc>
          <w:tcPr>
            <w:tcW w:w="849" w:type="dxa"/>
            <w:tcBorders>
              <w:top w:val="single" w:sz="4" w:space="0" w:color="auto"/>
              <w:left w:val="single" w:sz="4" w:space="0" w:color="auto"/>
              <w:bottom w:val="single" w:sz="4" w:space="0" w:color="auto"/>
              <w:right w:val="single" w:sz="4" w:space="0" w:color="auto"/>
            </w:tcBorders>
            <w:hideMark/>
          </w:tcPr>
          <w:p w14:paraId="6CD08F5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1818556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13.9</w:t>
            </w:r>
          </w:p>
        </w:tc>
        <w:tc>
          <w:tcPr>
            <w:tcW w:w="849" w:type="dxa"/>
            <w:tcBorders>
              <w:top w:val="single" w:sz="4" w:space="0" w:color="auto"/>
              <w:left w:val="single" w:sz="4" w:space="0" w:color="auto"/>
              <w:bottom w:val="single" w:sz="4" w:space="0" w:color="auto"/>
              <w:right w:val="single" w:sz="4" w:space="0" w:color="auto"/>
            </w:tcBorders>
            <w:hideMark/>
          </w:tcPr>
          <w:p w14:paraId="78900A1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62.1</w:t>
            </w:r>
          </w:p>
        </w:tc>
        <w:tc>
          <w:tcPr>
            <w:tcW w:w="849" w:type="dxa"/>
            <w:tcBorders>
              <w:top w:val="single" w:sz="4" w:space="0" w:color="auto"/>
              <w:left w:val="single" w:sz="4" w:space="0" w:color="auto"/>
              <w:bottom w:val="single" w:sz="4" w:space="0" w:color="auto"/>
              <w:right w:val="single" w:sz="4" w:space="0" w:color="auto"/>
            </w:tcBorders>
            <w:hideMark/>
          </w:tcPr>
          <w:p w14:paraId="48DFA90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36.6</w:t>
            </w:r>
          </w:p>
        </w:tc>
        <w:tc>
          <w:tcPr>
            <w:tcW w:w="849" w:type="dxa"/>
            <w:tcBorders>
              <w:top w:val="single" w:sz="4" w:space="0" w:color="auto"/>
              <w:left w:val="single" w:sz="4" w:space="0" w:color="auto"/>
              <w:bottom w:val="single" w:sz="4" w:space="0" w:color="auto"/>
              <w:right w:val="single" w:sz="4" w:space="0" w:color="auto"/>
            </w:tcBorders>
            <w:hideMark/>
          </w:tcPr>
          <w:p w14:paraId="47649D3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241.9</w:t>
            </w:r>
          </w:p>
        </w:tc>
        <w:tc>
          <w:tcPr>
            <w:tcW w:w="849" w:type="dxa"/>
            <w:tcBorders>
              <w:top w:val="single" w:sz="4" w:space="0" w:color="auto"/>
              <w:left w:val="single" w:sz="4" w:space="0" w:color="auto"/>
              <w:bottom w:val="single" w:sz="4" w:space="0" w:color="auto"/>
              <w:right w:val="single" w:sz="4" w:space="0" w:color="auto"/>
            </w:tcBorders>
            <w:hideMark/>
          </w:tcPr>
          <w:p w14:paraId="79EFB30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305.8</w:t>
            </w:r>
          </w:p>
        </w:tc>
      </w:tr>
      <w:tr w:rsidR="0078509A" w:rsidRPr="0078509A" w14:paraId="7B26078C"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1536202"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WWH</w:t>
            </w:r>
          </w:p>
        </w:tc>
        <w:tc>
          <w:tcPr>
            <w:tcW w:w="849" w:type="dxa"/>
            <w:tcBorders>
              <w:top w:val="single" w:sz="4" w:space="0" w:color="auto"/>
              <w:left w:val="single" w:sz="4" w:space="0" w:color="auto"/>
              <w:bottom w:val="single" w:sz="4" w:space="0" w:color="auto"/>
              <w:right w:val="single" w:sz="4" w:space="0" w:color="auto"/>
            </w:tcBorders>
            <w:hideMark/>
          </w:tcPr>
          <w:p w14:paraId="56E3D69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0.3</w:t>
            </w:r>
          </w:p>
        </w:tc>
        <w:tc>
          <w:tcPr>
            <w:tcW w:w="849" w:type="dxa"/>
            <w:tcBorders>
              <w:top w:val="single" w:sz="4" w:space="0" w:color="auto"/>
              <w:left w:val="single" w:sz="4" w:space="0" w:color="auto"/>
              <w:bottom w:val="single" w:sz="4" w:space="0" w:color="auto"/>
              <w:right w:val="single" w:sz="4" w:space="0" w:color="auto"/>
            </w:tcBorders>
            <w:hideMark/>
          </w:tcPr>
          <w:p w14:paraId="7DAC665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5.6</w:t>
            </w:r>
          </w:p>
        </w:tc>
        <w:tc>
          <w:tcPr>
            <w:tcW w:w="849" w:type="dxa"/>
            <w:tcBorders>
              <w:top w:val="single" w:sz="4" w:space="0" w:color="auto"/>
              <w:left w:val="single" w:sz="4" w:space="0" w:color="auto"/>
              <w:bottom w:val="single" w:sz="4" w:space="0" w:color="auto"/>
              <w:right w:val="single" w:sz="4" w:space="0" w:color="auto"/>
            </w:tcBorders>
            <w:hideMark/>
          </w:tcPr>
          <w:p w14:paraId="59DE679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27.2</w:t>
            </w:r>
          </w:p>
        </w:tc>
        <w:tc>
          <w:tcPr>
            <w:tcW w:w="849" w:type="dxa"/>
            <w:tcBorders>
              <w:top w:val="single" w:sz="4" w:space="0" w:color="auto"/>
              <w:left w:val="single" w:sz="4" w:space="0" w:color="auto"/>
              <w:bottom w:val="single" w:sz="4" w:space="0" w:color="auto"/>
              <w:right w:val="single" w:sz="4" w:space="0" w:color="auto"/>
            </w:tcBorders>
            <w:hideMark/>
          </w:tcPr>
          <w:p w14:paraId="4438621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0.6</w:t>
            </w:r>
          </w:p>
        </w:tc>
        <w:tc>
          <w:tcPr>
            <w:tcW w:w="849" w:type="dxa"/>
            <w:tcBorders>
              <w:top w:val="single" w:sz="4" w:space="0" w:color="auto"/>
              <w:left w:val="single" w:sz="4" w:space="0" w:color="auto"/>
              <w:bottom w:val="single" w:sz="4" w:space="0" w:color="auto"/>
              <w:right w:val="single" w:sz="4" w:space="0" w:color="auto"/>
            </w:tcBorders>
            <w:hideMark/>
          </w:tcPr>
          <w:p w14:paraId="4219126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26.5</w:t>
            </w:r>
          </w:p>
        </w:tc>
        <w:tc>
          <w:tcPr>
            <w:tcW w:w="849" w:type="dxa"/>
            <w:tcBorders>
              <w:top w:val="single" w:sz="4" w:space="0" w:color="auto"/>
              <w:left w:val="single" w:sz="4" w:space="0" w:color="auto"/>
              <w:bottom w:val="single" w:sz="4" w:space="0" w:color="auto"/>
              <w:right w:val="single" w:sz="4" w:space="0" w:color="auto"/>
            </w:tcBorders>
            <w:hideMark/>
          </w:tcPr>
          <w:p w14:paraId="56E4F7A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96.9</w:t>
            </w:r>
          </w:p>
        </w:tc>
        <w:tc>
          <w:tcPr>
            <w:tcW w:w="849" w:type="dxa"/>
            <w:tcBorders>
              <w:top w:val="single" w:sz="4" w:space="0" w:color="auto"/>
              <w:left w:val="single" w:sz="4" w:space="0" w:color="auto"/>
              <w:bottom w:val="single" w:sz="4" w:space="0" w:color="auto"/>
              <w:right w:val="single" w:sz="4" w:space="0" w:color="auto"/>
            </w:tcBorders>
            <w:hideMark/>
          </w:tcPr>
          <w:p w14:paraId="28FCA40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60.3</w:t>
            </w:r>
          </w:p>
        </w:tc>
        <w:tc>
          <w:tcPr>
            <w:tcW w:w="849" w:type="dxa"/>
            <w:tcBorders>
              <w:top w:val="single" w:sz="4" w:space="0" w:color="auto"/>
              <w:left w:val="single" w:sz="4" w:space="0" w:color="auto"/>
              <w:bottom w:val="single" w:sz="4" w:space="0" w:color="auto"/>
              <w:right w:val="single" w:sz="4" w:space="0" w:color="auto"/>
            </w:tcBorders>
            <w:hideMark/>
          </w:tcPr>
          <w:p w14:paraId="7F2D270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287.5</w:t>
            </w:r>
          </w:p>
        </w:tc>
        <w:tc>
          <w:tcPr>
            <w:tcW w:w="849" w:type="dxa"/>
            <w:tcBorders>
              <w:top w:val="single" w:sz="4" w:space="0" w:color="auto"/>
              <w:left w:val="single" w:sz="4" w:space="0" w:color="auto"/>
              <w:bottom w:val="single" w:sz="4" w:space="0" w:color="auto"/>
              <w:right w:val="single" w:sz="4" w:space="0" w:color="auto"/>
            </w:tcBorders>
            <w:hideMark/>
          </w:tcPr>
          <w:p w14:paraId="0240631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343.3</w:t>
            </w:r>
          </w:p>
        </w:tc>
      </w:tr>
      <w:tr w:rsidR="0078509A" w:rsidRPr="0078509A" w14:paraId="2A7EDC2E"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CFC8DC7"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WWL</w:t>
            </w:r>
          </w:p>
        </w:tc>
        <w:tc>
          <w:tcPr>
            <w:tcW w:w="849" w:type="dxa"/>
            <w:tcBorders>
              <w:top w:val="single" w:sz="4" w:space="0" w:color="auto"/>
              <w:left w:val="single" w:sz="4" w:space="0" w:color="auto"/>
              <w:bottom w:val="single" w:sz="4" w:space="0" w:color="auto"/>
              <w:right w:val="single" w:sz="4" w:space="0" w:color="auto"/>
            </w:tcBorders>
            <w:hideMark/>
          </w:tcPr>
          <w:p w14:paraId="7FD80F3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ECD926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0.5</w:t>
            </w:r>
          </w:p>
        </w:tc>
        <w:tc>
          <w:tcPr>
            <w:tcW w:w="849" w:type="dxa"/>
            <w:tcBorders>
              <w:top w:val="single" w:sz="4" w:space="0" w:color="auto"/>
              <w:left w:val="single" w:sz="4" w:space="0" w:color="auto"/>
              <w:bottom w:val="single" w:sz="4" w:space="0" w:color="auto"/>
              <w:right w:val="single" w:sz="4" w:space="0" w:color="auto"/>
            </w:tcBorders>
            <w:hideMark/>
          </w:tcPr>
          <w:p w14:paraId="4F76E51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3.2</w:t>
            </w:r>
          </w:p>
        </w:tc>
        <w:tc>
          <w:tcPr>
            <w:tcW w:w="849" w:type="dxa"/>
            <w:tcBorders>
              <w:top w:val="single" w:sz="4" w:space="0" w:color="auto"/>
              <w:left w:val="single" w:sz="4" w:space="0" w:color="auto"/>
              <w:bottom w:val="single" w:sz="4" w:space="0" w:color="auto"/>
              <w:right w:val="single" w:sz="4" w:space="0" w:color="auto"/>
            </w:tcBorders>
            <w:hideMark/>
          </w:tcPr>
          <w:p w14:paraId="1F3EA0FC"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0B294ED"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1.9</w:t>
            </w:r>
          </w:p>
        </w:tc>
        <w:tc>
          <w:tcPr>
            <w:tcW w:w="849" w:type="dxa"/>
            <w:tcBorders>
              <w:top w:val="single" w:sz="4" w:space="0" w:color="auto"/>
              <w:left w:val="single" w:sz="4" w:space="0" w:color="auto"/>
              <w:bottom w:val="single" w:sz="4" w:space="0" w:color="auto"/>
              <w:right w:val="single" w:sz="4" w:space="0" w:color="auto"/>
            </w:tcBorders>
            <w:hideMark/>
          </w:tcPr>
          <w:p w14:paraId="1E08167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15.2</w:t>
            </w:r>
          </w:p>
        </w:tc>
        <w:tc>
          <w:tcPr>
            <w:tcW w:w="849" w:type="dxa"/>
            <w:tcBorders>
              <w:top w:val="single" w:sz="4" w:space="0" w:color="auto"/>
              <w:left w:val="single" w:sz="4" w:space="0" w:color="auto"/>
              <w:bottom w:val="single" w:sz="4" w:space="0" w:color="auto"/>
              <w:right w:val="single" w:sz="4" w:space="0" w:color="auto"/>
            </w:tcBorders>
            <w:hideMark/>
          </w:tcPr>
          <w:p w14:paraId="3752F9A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7.9</w:t>
            </w:r>
          </w:p>
        </w:tc>
        <w:tc>
          <w:tcPr>
            <w:tcW w:w="849" w:type="dxa"/>
            <w:tcBorders>
              <w:top w:val="single" w:sz="4" w:space="0" w:color="auto"/>
              <w:left w:val="single" w:sz="4" w:space="0" w:color="auto"/>
              <w:bottom w:val="single" w:sz="4" w:space="0" w:color="auto"/>
              <w:right w:val="single" w:sz="4" w:space="0" w:color="auto"/>
            </w:tcBorders>
            <w:hideMark/>
          </w:tcPr>
          <w:p w14:paraId="0540190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88.6</w:t>
            </w:r>
          </w:p>
        </w:tc>
        <w:tc>
          <w:tcPr>
            <w:tcW w:w="849" w:type="dxa"/>
            <w:tcBorders>
              <w:top w:val="single" w:sz="4" w:space="0" w:color="auto"/>
              <w:left w:val="single" w:sz="4" w:space="0" w:color="auto"/>
              <w:bottom w:val="single" w:sz="4" w:space="0" w:color="auto"/>
              <w:right w:val="single" w:sz="4" w:space="0" w:color="auto"/>
            </w:tcBorders>
            <w:hideMark/>
          </w:tcPr>
          <w:p w14:paraId="070D764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243.0</w:t>
            </w:r>
          </w:p>
        </w:tc>
      </w:tr>
      <w:tr w:rsidR="0078509A" w:rsidRPr="0078509A" w14:paraId="20C9AA00"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5FD1A381"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WWLk</w:t>
            </w:r>
          </w:p>
        </w:tc>
        <w:tc>
          <w:tcPr>
            <w:tcW w:w="849" w:type="dxa"/>
            <w:tcBorders>
              <w:top w:val="single" w:sz="4" w:space="0" w:color="auto"/>
              <w:left w:val="single" w:sz="4" w:space="0" w:color="auto"/>
              <w:bottom w:val="single" w:sz="4" w:space="0" w:color="auto"/>
              <w:right w:val="single" w:sz="4" w:space="0" w:color="auto"/>
            </w:tcBorders>
            <w:hideMark/>
          </w:tcPr>
          <w:p w14:paraId="087A810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5EB5ACD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7AB5454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2.7</w:t>
            </w:r>
          </w:p>
        </w:tc>
        <w:tc>
          <w:tcPr>
            <w:tcW w:w="849" w:type="dxa"/>
            <w:tcBorders>
              <w:top w:val="single" w:sz="4" w:space="0" w:color="auto"/>
              <w:left w:val="single" w:sz="4" w:space="0" w:color="auto"/>
              <w:bottom w:val="single" w:sz="4" w:space="0" w:color="auto"/>
              <w:right w:val="single" w:sz="4" w:space="0" w:color="auto"/>
            </w:tcBorders>
            <w:hideMark/>
          </w:tcPr>
          <w:p w14:paraId="1730322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2EFFD46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2784915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13.2</w:t>
            </w:r>
          </w:p>
        </w:tc>
        <w:tc>
          <w:tcPr>
            <w:tcW w:w="849" w:type="dxa"/>
            <w:tcBorders>
              <w:top w:val="single" w:sz="4" w:space="0" w:color="auto"/>
              <w:left w:val="single" w:sz="4" w:space="0" w:color="auto"/>
              <w:bottom w:val="single" w:sz="4" w:space="0" w:color="auto"/>
              <w:right w:val="single" w:sz="4" w:space="0" w:color="auto"/>
            </w:tcBorders>
            <w:hideMark/>
          </w:tcPr>
          <w:p w14:paraId="23C9991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6.9</w:t>
            </w:r>
          </w:p>
        </w:tc>
        <w:tc>
          <w:tcPr>
            <w:tcW w:w="849" w:type="dxa"/>
            <w:tcBorders>
              <w:top w:val="single" w:sz="4" w:space="0" w:color="auto"/>
              <w:left w:val="single" w:sz="4" w:space="0" w:color="auto"/>
              <w:bottom w:val="single" w:sz="4" w:space="0" w:color="auto"/>
              <w:right w:val="single" w:sz="4" w:space="0" w:color="auto"/>
            </w:tcBorders>
            <w:hideMark/>
          </w:tcPr>
          <w:p w14:paraId="0802EE50"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83.0</w:t>
            </w:r>
          </w:p>
        </w:tc>
        <w:tc>
          <w:tcPr>
            <w:tcW w:w="849" w:type="dxa"/>
            <w:tcBorders>
              <w:top w:val="single" w:sz="4" w:space="0" w:color="auto"/>
              <w:left w:val="single" w:sz="4" w:space="0" w:color="auto"/>
              <w:bottom w:val="single" w:sz="4" w:space="0" w:color="auto"/>
              <w:right w:val="single" w:sz="4" w:space="0" w:color="auto"/>
            </w:tcBorders>
            <w:hideMark/>
          </w:tcPr>
          <w:p w14:paraId="737D163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234.3</w:t>
            </w:r>
          </w:p>
        </w:tc>
      </w:tr>
      <w:tr w:rsidR="0078509A" w:rsidRPr="0078509A" w14:paraId="2587B4F4"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738B850F"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WDL</w:t>
            </w:r>
          </w:p>
        </w:tc>
        <w:tc>
          <w:tcPr>
            <w:tcW w:w="849" w:type="dxa"/>
            <w:tcBorders>
              <w:top w:val="single" w:sz="4" w:space="0" w:color="auto"/>
              <w:left w:val="single" w:sz="4" w:space="0" w:color="auto"/>
              <w:bottom w:val="single" w:sz="4" w:space="0" w:color="auto"/>
              <w:right w:val="single" w:sz="4" w:space="0" w:color="auto"/>
            </w:tcBorders>
            <w:hideMark/>
          </w:tcPr>
          <w:p w14:paraId="4A7C801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254AE513"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4542C0E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2CEF1DD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0.1</w:t>
            </w:r>
          </w:p>
        </w:tc>
        <w:tc>
          <w:tcPr>
            <w:tcW w:w="849" w:type="dxa"/>
            <w:tcBorders>
              <w:top w:val="single" w:sz="4" w:space="0" w:color="auto"/>
              <w:left w:val="single" w:sz="4" w:space="0" w:color="auto"/>
              <w:bottom w:val="single" w:sz="4" w:space="0" w:color="auto"/>
              <w:right w:val="single" w:sz="4" w:space="0" w:color="auto"/>
            </w:tcBorders>
            <w:hideMark/>
          </w:tcPr>
          <w:p w14:paraId="6C584BE5"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2647007"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1.4</w:t>
            </w:r>
          </w:p>
        </w:tc>
        <w:tc>
          <w:tcPr>
            <w:tcW w:w="849" w:type="dxa"/>
            <w:tcBorders>
              <w:top w:val="single" w:sz="4" w:space="0" w:color="auto"/>
              <w:left w:val="single" w:sz="4" w:space="0" w:color="auto"/>
              <w:bottom w:val="single" w:sz="4" w:space="0" w:color="auto"/>
              <w:right w:val="single" w:sz="4" w:space="0" w:color="auto"/>
            </w:tcBorders>
            <w:hideMark/>
          </w:tcPr>
          <w:p w14:paraId="322A7C4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1.1</w:t>
            </w:r>
          </w:p>
        </w:tc>
        <w:tc>
          <w:tcPr>
            <w:tcW w:w="849" w:type="dxa"/>
            <w:tcBorders>
              <w:top w:val="single" w:sz="4" w:space="0" w:color="auto"/>
              <w:left w:val="single" w:sz="4" w:space="0" w:color="auto"/>
              <w:bottom w:val="single" w:sz="4" w:space="0" w:color="auto"/>
              <w:right w:val="single" w:sz="4" w:space="0" w:color="auto"/>
            </w:tcBorders>
            <w:hideMark/>
          </w:tcPr>
          <w:p w14:paraId="22EFAC48"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22.9</w:t>
            </w:r>
          </w:p>
        </w:tc>
        <w:tc>
          <w:tcPr>
            <w:tcW w:w="849" w:type="dxa"/>
            <w:tcBorders>
              <w:top w:val="single" w:sz="4" w:space="0" w:color="auto"/>
              <w:left w:val="single" w:sz="4" w:space="0" w:color="auto"/>
              <w:bottom w:val="single" w:sz="4" w:space="0" w:color="auto"/>
              <w:right w:val="single" w:sz="4" w:space="0" w:color="auto"/>
            </w:tcBorders>
            <w:hideMark/>
          </w:tcPr>
          <w:p w14:paraId="5FB107DE"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81.5</w:t>
            </w:r>
          </w:p>
        </w:tc>
      </w:tr>
      <w:tr w:rsidR="0078509A" w:rsidRPr="0078509A" w14:paraId="55FC9104" w14:textId="77777777" w:rsidTr="0078509A">
        <w:tc>
          <w:tcPr>
            <w:tcW w:w="865" w:type="dxa"/>
            <w:tcBorders>
              <w:top w:val="single" w:sz="4" w:space="0" w:color="auto"/>
              <w:left w:val="single" w:sz="4" w:space="0" w:color="auto"/>
              <w:bottom w:val="single" w:sz="4" w:space="0" w:color="auto"/>
              <w:right w:val="single" w:sz="4" w:space="0" w:color="auto"/>
            </w:tcBorders>
            <w:hideMark/>
          </w:tcPr>
          <w:p w14:paraId="6235BE4B" w14:textId="77777777" w:rsidR="0078509A" w:rsidRPr="0078509A" w:rsidRDefault="0078509A" w:rsidP="0078509A">
            <w:pPr>
              <w:spacing w:before="0" w:after="0" w:line="240" w:lineRule="auto"/>
              <w:jc w:val="left"/>
              <w:rPr>
                <w:rFonts w:eastAsia="Times New Roman"/>
                <w:b/>
                <w:bCs/>
                <w:lang w:eastAsia="en-US" w:bidi="hi-IN"/>
              </w:rPr>
            </w:pPr>
            <w:r w:rsidRPr="0078509A">
              <w:rPr>
                <w:rFonts w:eastAsia="Times New Roman"/>
                <w:b/>
                <w:bCs/>
                <w:lang w:eastAsia="en-US"/>
              </w:rPr>
              <w:t>WDLk</w:t>
            </w:r>
          </w:p>
        </w:tc>
        <w:tc>
          <w:tcPr>
            <w:tcW w:w="849" w:type="dxa"/>
            <w:tcBorders>
              <w:top w:val="single" w:sz="4" w:space="0" w:color="auto"/>
              <w:left w:val="single" w:sz="4" w:space="0" w:color="auto"/>
              <w:bottom w:val="single" w:sz="4" w:space="0" w:color="auto"/>
              <w:right w:val="single" w:sz="4" w:space="0" w:color="auto"/>
            </w:tcBorders>
            <w:hideMark/>
          </w:tcPr>
          <w:p w14:paraId="42D2324A"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14E02211"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0.4</w:t>
            </w:r>
          </w:p>
        </w:tc>
        <w:tc>
          <w:tcPr>
            <w:tcW w:w="849" w:type="dxa"/>
            <w:tcBorders>
              <w:top w:val="single" w:sz="4" w:space="0" w:color="auto"/>
              <w:left w:val="single" w:sz="4" w:space="0" w:color="auto"/>
              <w:bottom w:val="single" w:sz="4" w:space="0" w:color="auto"/>
              <w:right w:val="single" w:sz="4" w:space="0" w:color="auto"/>
            </w:tcBorders>
            <w:hideMark/>
          </w:tcPr>
          <w:p w14:paraId="7587B034"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2.9</w:t>
            </w:r>
          </w:p>
        </w:tc>
        <w:tc>
          <w:tcPr>
            <w:tcW w:w="849" w:type="dxa"/>
            <w:tcBorders>
              <w:top w:val="single" w:sz="4" w:space="0" w:color="auto"/>
              <w:left w:val="single" w:sz="4" w:space="0" w:color="auto"/>
              <w:bottom w:val="single" w:sz="4" w:space="0" w:color="auto"/>
              <w:right w:val="single" w:sz="4" w:space="0" w:color="auto"/>
            </w:tcBorders>
            <w:hideMark/>
          </w:tcPr>
          <w:p w14:paraId="717FA66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0.2</w:t>
            </w:r>
          </w:p>
        </w:tc>
        <w:tc>
          <w:tcPr>
            <w:tcW w:w="849" w:type="dxa"/>
            <w:tcBorders>
              <w:top w:val="single" w:sz="4" w:space="0" w:color="auto"/>
              <w:left w:val="single" w:sz="4" w:space="0" w:color="auto"/>
              <w:bottom w:val="single" w:sz="4" w:space="0" w:color="auto"/>
              <w:right w:val="single" w:sz="4" w:space="0" w:color="auto"/>
            </w:tcBorders>
            <w:hideMark/>
          </w:tcPr>
          <w:p w14:paraId="491FFD29"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w:t>
            </w:r>
          </w:p>
        </w:tc>
        <w:tc>
          <w:tcPr>
            <w:tcW w:w="849" w:type="dxa"/>
            <w:tcBorders>
              <w:top w:val="single" w:sz="4" w:space="0" w:color="auto"/>
              <w:left w:val="single" w:sz="4" w:space="0" w:color="auto"/>
              <w:bottom w:val="single" w:sz="4" w:space="0" w:color="auto"/>
              <w:right w:val="single" w:sz="4" w:space="0" w:color="auto"/>
            </w:tcBorders>
            <w:hideMark/>
          </w:tcPr>
          <w:p w14:paraId="6B3FE0D6"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13.9</w:t>
            </w:r>
          </w:p>
        </w:tc>
        <w:tc>
          <w:tcPr>
            <w:tcW w:w="849" w:type="dxa"/>
            <w:tcBorders>
              <w:top w:val="single" w:sz="4" w:space="0" w:color="auto"/>
              <w:left w:val="single" w:sz="4" w:space="0" w:color="auto"/>
              <w:bottom w:val="single" w:sz="4" w:space="0" w:color="auto"/>
              <w:right w:val="single" w:sz="4" w:space="0" w:color="auto"/>
            </w:tcBorders>
            <w:hideMark/>
          </w:tcPr>
          <w:p w14:paraId="0CA174DF"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7.0</w:t>
            </w:r>
          </w:p>
        </w:tc>
        <w:tc>
          <w:tcPr>
            <w:tcW w:w="849" w:type="dxa"/>
            <w:tcBorders>
              <w:top w:val="single" w:sz="4" w:space="0" w:color="auto"/>
              <w:left w:val="single" w:sz="4" w:space="0" w:color="auto"/>
              <w:bottom w:val="single" w:sz="4" w:space="0" w:color="auto"/>
              <w:right w:val="single" w:sz="4" w:space="0" w:color="auto"/>
            </w:tcBorders>
            <w:hideMark/>
          </w:tcPr>
          <w:p w14:paraId="290D3DB2"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84.3</w:t>
            </w:r>
          </w:p>
        </w:tc>
        <w:tc>
          <w:tcPr>
            <w:tcW w:w="849" w:type="dxa"/>
            <w:tcBorders>
              <w:top w:val="single" w:sz="4" w:space="0" w:color="auto"/>
              <w:left w:val="single" w:sz="4" w:space="0" w:color="auto"/>
              <w:bottom w:val="single" w:sz="4" w:space="0" w:color="auto"/>
              <w:right w:val="single" w:sz="4" w:space="0" w:color="auto"/>
            </w:tcBorders>
            <w:hideMark/>
          </w:tcPr>
          <w:p w14:paraId="7C048F5B" w14:textId="77777777" w:rsidR="0078509A" w:rsidRPr="0078509A" w:rsidRDefault="0078509A" w:rsidP="0078509A">
            <w:pPr>
              <w:spacing w:before="0" w:after="0" w:line="240" w:lineRule="auto"/>
              <w:jc w:val="center"/>
              <w:rPr>
                <w:rFonts w:eastAsia="Times New Roman"/>
                <w:lang w:eastAsia="en-US" w:bidi="hi-IN"/>
              </w:rPr>
            </w:pPr>
            <w:r w:rsidRPr="0078509A">
              <w:rPr>
                <w:rFonts w:eastAsia="Times New Roman"/>
                <w:lang w:eastAsia="en-US"/>
              </w:rPr>
              <w:t>235.1</w:t>
            </w:r>
          </w:p>
        </w:tc>
      </w:tr>
    </w:tbl>
    <w:p w14:paraId="55542323" w14:textId="77777777" w:rsidR="0078509A" w:rsidRPr="0078509A" w:rsidRDefault="0078509A" w:rsidP="0078509A">
      <w:pPr>
        <w:spacing w:before="0" w:after="200" w:line="276" w:lineRule="auto"/>
        <w:jc w:val="left"/>
        <w:rPr>
          <w:rFonts w:eastAsia="Times New Roman" w:cs="Times New Roman"/>
          <w:lang w:val="en-US" w:eastAsia="en-US" w:bidi="hi-IN"/>
        </w:rPr>
      </w:pPr>
    </w:p>
    <w:p w14:paraId="17D4EA02" w14:textId="77777777" w:rsidR="0078509A" w:rsidRPr="0078509A" w:rsidRDefault="0078509A" w:rsidP="0078509A">
      <w:pPr>
        <w:spacing w:before="480" w:after="0" w:line="276" w:lineRule="auto"/>
        <w:contextualSpacing/>
        <w:jc w:val="left"/>
        <w:outlineLvl w:val="0"/>
        <w:rPr>
          <w:rFonts w:ascii="Cambria" w:eastAsia="Times New Roman" w:hAnsi="Cambria" w:cs="Times New Roman"/>
          <w:b/>
          <w:bCs/>
          <w:sz w:val="28"/>
          <w:szCs w:val="28"/>
          <w:lang w:val="en-US" w:eastAsia="en-US" w:bidi="hi-IN"/>
        </w:rPr>
      </w:pPr>
      <w:bookmarkStart w:id="235" w:name="_Toc39145122"/>
      <w:bookmarkStart w:id="236" w:name="_Toc39145262"/>
      <w:bookmarkStart w:id="237" w:name="_Toc39145331"/>
      <w:r w:rsidRPr="0078509A">
        <w:rPr>
          <w:rFonts w:ascii="Cambria" w:eastAsia="Times New Roman" w:hAnsi="Cambria" w:cs="Times New Roman"/>
          <w:b/>
          <w:bCs/>
          <w:sz w:val="28"/>
          <w:szCs w:val="28"/>
          <w:lang w:val="en-US" w:eastAsia="en-US" w:bidi="hi-IN"/>
        </w:rPr>
        <w:t>References</w:t>
      </w:r>
      <w:bookmarkEnd w:id="235"/>
      <w:bookmarkEnd w:id="236"/>
      <w:bookmarkEnd w:id="237"/>
    </w:p>
    <w:p w14:paraId="5E21FE9B" w14:textId="08E88FD9" w:rsidR="0078509A" w:rsidRPr="0078509A" w:rsidRDefault="0078509A" w:rsidP="0078509A">
      <w:pPr>
        <w:spacing w:before="0" w:after="240" w:line="240" w:lineRule="auto"/>
        <w:ind w:left="720" w:hanging="720"/>
        <w:jc w:val="left"/>
        <w:rPr>
          <w:rFonts w:eastAsia="Times New Roman" w:cs="Calibri"/>
          <w:lang w:val="en-US" w:eastAsia="en-US"/>
        </w:rPr>
      </w:pPr>
      <w:r w:rsidRPr="0078509A">
        <w:rPr>
          <w:rFonts w:eastAsia="Times New Roman" w:cs="Times New Roman"/>
          <w:lang w:val="en-US" w:eastAsia="en-US" w:bidi="hi-IN"/>
        </w:rPr>
        <w:fldChar w:fldCharType="begin"/>
      </w:r>
      <w:r w:rsidRPr="0078509A">
        <w:rPr>
          <w:rFonts w:eastAsia="Times New Roman" w:cs="Times New Roman"/>
          <w:lang w:val="en-US" w:eastAsia="en-US" w:bidi="hi-IN"/>
        </w:rPr>
        <w:instrText xml:space="preserve"> ADDIN ZOTERO_BIBL {"uncited":[],"omitted":[],"custom":[]} CSL_BIBLIOGRAPHY </w:instrText>
      </w:r>
      <w:r w:rsidRPr="0078509A">
        <w:rPr>
          <w:rFonts w:eastAsia="Times New Roman" w:cs="Times New Roman"/>
          <w:lang w:val="en-US" w:eastAsia="en-US" w:bidi="hi-IN"/>
        </w:rPr>
        <w:fldChar w:fldCharType="separate"/>
      </w:r>
      <w:r w:rsidR="00D877B1">
        <w:rPr>
          <w:rFonts w:eastAsia="Times New Roman" w:cs="Calibri"/>
          <w:lang w:val="en-US" w:eastAsia="en-US"/>
        </w:rPr>
        <w:t>Ministry for the Environment</w:t>
      </w:r>
      <w:r w:rsidRPr="0078509A">
        <w:rPr>
          <w:rFonts w:eastAsia="Times New Roman" w:cs="Calibri"/>
          <w:lang w:val="en-US" w:eastAsia="en-US"/>
        </w:rPr>
        <w:t xml:space="preserve">, 2019. </w:t>
      </w:r>
      <w:r w:rsidRPr="00143BF5">
        <w:rPr>
          <w:rFonts w:eastAsia="Times New Roman" w:cs="Calibri"/>
          <w:i/>
          <w:iCs/>
          <w:lang w:val="en-US" w:eastAsia="en-US"/>
        </w:rPr>
        <w:t xml:space="preserve">Essential Freshwater: Impact of Existing Periphyton and Proposed Dissolved Inorganic Nitrogen </w:t>
      </w:r>
      <w:r w:rsidR="0067679D" w:rsidRPr="00143BF5">
        <w:rPr>
          <w:rFonts w:eastAsia="Times New Roman" w:cs="Calibri"/>
          <w:i/>
          <w:iCs/>
          <w:lang w:val="en-US" w:eastAsia="en-US"/>
        </w:rPr>
        <w:t>Bottom-line</w:t>
      </w:r>
      <w:r w:rsidRPr="00143BF5">
        <w:rPr>
          <w:rFonts w:eastAsia="Times New Roman" w:cs="Calibri"/>
          <w:i/>
          <w:iCs/>
          <w:lang w:val="en-US" w:eastAsia="en-US"/>
        </w:rPr>
        <w:t>s</w:t>
      </w:r>
      <w:r w:rsidRPr="0078509A">
        <w:rPr>
          <w:rFonts w:eastAsia="Times New Roman" w:cs="Calibri"/>
          <w:lang w:val="en-US" w:eastAsia="en-US"/>
        </w:rPr>
        <w:t>. Ministry for the Environment &amp; Statistics NZ, Wellington, New</w:t>
      </w:r>
      <w:r w:rsidR="008E40DC">
        <w:rPr>
          <w:rFonts w:eastAsia="Times New Roman" w:cs="Calibri"/>
          <w:lang w:val="en-US" w:eastAsia="en-US"/>
        </w:rPr>
        <w:t xml:space="preserve"> </w:t>
      </w:r>
      <w:r w:rsidRPr="0078509A">
        <w:rPr>
          <w:rFonts w:eastAsia="Times New Roman" w:cs="Calibri"/>
          <w:lang w:val="en-US" w:eastAsia="en-US"/>
        </w:rPr>
        <w:t>Zealand.</w:t>
      </w:r>
    </w:p>
    <w:p w14:paraId="59315CC5" w14:textId="1126D134" w:rsidR="0078509A" w:rsidRPr="0078509A" w:rsidRDefault="0078509A" w:rsidP="0078509A">
      <w:pPr>
        <w:spacing w:before="0" w:after="240" w:line="240" w:lineRule="auto"/>
        <w:ind w:left="720" w:hanging="720"/>
        <w:jc w:val="left"/>
        <w:rPr>
          <w:rFonts w:eastAsia="Times New Roman" w:cs="Calibri"/>
          <w:lang w:val="en-US" w:eastAsia="en-US"/>
        </w:rPr>
      </w:pPr>
      <w:r w:rsidRPr="0078509A">
        <w:rPr>
          <w:rFonts w:eastAsia="Times New Roman" w:cs="Calibri"/>
          <w:lang w:val="en-US" w:eastAsia="en-US"/>
        </w:rPr>
        <w:t xml:space="preserve">Snelder, T., 2018. </w:t>
      </w:r>
      <w:r w:rsidRPr="00143BF5">
        <w:rPr>
          <w:rFonts w:eastAsia="Times New Roman" w:cs="Calibri"/>
          <w:i/>
          <w:iCs/>
          <w:lang w:val="en-US" w:eastAsia="en-US"/>
        </w:rPr>
        <w:t>Nutrient Concentration Targets to Achieve Periphyton Biomass Objectives Incorporating Uncertainties</w:t>
      </w:r>
      <w:r w:rsidRPr="0078509A">
        <w:rPr>
          <w:rFonts w:eastAsia="Times New Roman" w:cs="Calibri"/>
          <w:lang w:val="en-US" w:eastAsia="en-US"/>
        </w:rPr>
        <w:t>. GNS Science Report, Geological and Nuclear Sciences, Wellington, New</w:t>
      </w:r>
      <w:r w:rsidR="008E40DC">
        <w:rPr>
          <w:rFonts w:eastAsia="Times New Roman" w:cs="Calibri"/>
          <w:lang w:val="en-US" w:eastAsia="en-US"/>
        </w:rPr>
        <w:t xml:space="preserve"> </w:t>
      </w:r>
      <w:r w:rsidRPr="0078509A">
        <w:rPr>
          <w:rFonts w:eastAsia="Times New Roman" w:cs="Calibri"/>
          <w:lang w:val="en-US" w:eastAsia="en-US"/>
        </w:rPr>
        <w:t>Zealand.</w:t>
      </w:r>
    </w:p>
    <w:p w14:paraId="55C0D0F3" w14:textId="77777777" w:rsidR="0078509A" w:rsidRPr="0078509A" w:rsidRDefault="0078509A" w:rsidP="0078509A">
      <w:pPr>
        <w:spacing w:before="0" w:after="240" w:line="240" w:lineRule="auto"/>
        <w:ind w:left="720" w:hanging="720"/>
        <w:jc w:val="left"/>
        <w:rPr>
          <w:rFonts w:eastAsia="Times New Roman" w:cs="Calibri"/>
          <w:lang w:val="en-US" w:eastAsia="en-US"/>
        </w:rPr>
      </w:pPr>
      <w:r w:rsidRPr="0078509A">
        <w:rPr>
          <w:rFonts w:eastAsia="Times New Roman" w:cs="Calibri"/>
          <w:lang w:val="en-US" w:eastAsia="en-US"/>
        </w:rPr>
        <w:t xml:space="preserve">Snelder, T.H., C. Moore, and C. Kilroy, 2019. Nutrient Concentration Targets to Achieve Periphyton Biomass Objectives Incorporating Uncertainties. </w:t>
      </w:r>
      <w:r w:rsidRPr="00143BF5">
        <w:rPr>
          <w:rFonts w:eastAsia="Times New Roman" w:cs="Calibri"/>
          <w:i/>
          <w:iCs/>
          <w:lang w:val="en-US" w:eastAsia="en-US"/>
        </w:rPr>
        <w:t>JAWRA Journal of the American Water Resources Association</w:t>
      </w:r>
      <w:r w:rsidRPr="0078509A">
        <w:rPr>
          <w:rFonts w:eastAsia="Times New Roman" w:cs="Calibri"/>
          <w:lang w:val="en-US" w:eastAsia="en-US"/>
        </w:rPr>
        <w:t xml:space="preserve"> 55:1443–1463.</w:t>
      </w:r>
    </w:p>
    <w:p w14:paraId="611CDCE2" w14:textId="77777777" w:rsidR="007B7636" w:rsidRDefault="0078509A" w:rsidP="00D37E53">
      <w:pPr>
        <w:spacing w:before="0" w:after="200" w:line="276" w:lineRule="auto"/>
        <w:jc w:val="left"/>
        <w:rPr>
          <w:rFonts w:eastAsia="Times New Roman" w:cs="Times New Roman"/>
          <w:lang w:val="en-US" w:eastAsia="en-US" w:bidi="hi-IN"/>
        </w:rPr>
      </w:pPr>
      <w:r w:rsidRPr="0078509A">
        <w:rPr>
          <w:rFonts w:eastAsia="Times New Roman" w:cs="Times New Roman"/>
          <w:lang w:val="en-US" w:eastAsia="en-US" w:bidi="hi-IN"/>
        </w:rPr>
        <w:fldChar w:fldCharType="end"/>
      </w:r>
    </w:p>
    <w:p w14:paraId="2B52A571" w14:textId="77777777" w:rsidR="007B7636" w:rsidRDefault="007B7636">
      <w:pPr>
        <w:spacing w:before="0" w:after="200" w:line="276" w:lineRule="auto"/>
        <w:jc w:val="left"/>
        <w:rPr>
          <w:rFonts w:eastAsia="Times New Roman" w:cs="Times New Roman"/>
          <w:lang w:val="en-US" w:eastAsia="en-US" w:bidi="hi-IN"/>
        </w:rPr>
      </w:pPr>
      <w:r>
        <w:rPr>
          <w:rFonts w:eastAsia="Times New Roman" w:cs="Times New Roman"/>
          <w:lang w:val="en-US" w:eastAsia="en-US" w:bidi="hi-IN"/>
        </w:rPr>
        <w:br w:type="page"/>
      </w:r>
    </w:p>
    <w:p w14:paraId="1CA1A3A3" w14:textId="0BE7FCBD" w:rsidR="00D37E53" w:rsidRPr="007B7636" w:rsidRDefault="00464AE1" w:rsidP="007B7636">
      <w:pPr>
        <w:pStyle w:val="Heading1"/>
        <w:rPr>
          <w:rStyle w:val="Heading1Char"/>
          <w:b/>
          <w:bCs/>
        </w:rPr>
      </w:pPr>
      <w:bookmarkStart w:id="238" w:name="_Toc40949877"/>
      <w:r w:rsidRPr="007B7636">
        <w:rPr>
          <w:rFonts w:ascii="Cambria" w:eastAsia="Times New Roman" w:hAnsi="Cambria" w:cs="Times New Roman"/>
          <w:noProof/>
          <w:color w:val="808080"/>
          <w:spacing w:val="5"/>
          <w:sz w:val="56"/>
          <w:szCs w:val="52"/>
        </w:rPr>
        <w:lastRenderedPageBreak/>
        <w:drawing>
          <wp:anchor distT="0" distB="0" distL="114300" distR="114300" simplePos="0" relativeHeight="251658241" behindDoc="0" locked="0" layoutInCell="1" allowOverlap="1" wp14:anchorId="5A79B092" wp14:editId="0977BC44">
            <wp:simplePos x="0" y="0"/>
            <wp:positionH relativeFrom="margin">
              <wp:align>right</wp:align>
            </wp:positionH>
            <wp:positionV relativeFrom="paragraph">
              <wp:posOffset>935355</wp:posOffset>
            </wp:positionV>
            <wp:extent cx="2209168" cy="9715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168" cy="971550"/>
                    </a:xfrm>
                    <a:prstGeom prst="rect">
                      <a:avLst/>
                    </a:prstGeom>
                    <a:noFill/>
                    <a:ln>
                      <a:noFill/>
                    </a:ln>
                  </pic:spPr>
                </pic:pic>
              </a:graphicData>
            </a:graphic>
          </wp:anchor>
        </w:drawing>
      </w:r>
      <w:r w:rsidR="007B7636" w:rsidRPr="007B7636">
        <w:rPr>
          <w:rStyle w:val="Heading1Char"/>
          <w:b/>
          <w:bCs/>
        </w:rPr>
        <w:t xml:space="preserve">Appendix 2: Differences in </w:t>
      </w:r>
      <w:r w:rsidR="006842B2">
        <w:rPr>
          <w:rStyle w:val="Heading1Char"/>
          <w:b/>
          <w:bCs/>
        </w:rPr>
        <w:t>total nitrogen</w:t>
      </w:r>
      <w:r w:rsidR="008E40DC">
        <w:rPr>
          <w:rStyle w:val="Heading1Char"/>
          <w:b/>
          <w:bCs/>
        </w:rPr>
        <w:t xml:space="preserve"> </w:t>
      </w:r>
      <w:r w:rsidR="007B7636" w:rsidRPr="007B7636">
        <w:rPr>
          <w:rStyle w:val="Heading1Char"/>
          <w:b/>
          <w:bCs/>
        </w:rPr>
        <w:t>concentration targets for periphyton</w:t>
      </w:r>
      <w:bookmarkEnd w:id="238"/>
      <w:r w:rsidR="007B7636" w:rsidRPr="007B7636">
        <w:rPr>
          <w:rStyle w:val="Heading1Char"/>
          <w:b/>
          <w:bCs/>
        </w:rPr>
        <w:t xml:space="preserve"> </w:t>
      </w:r>
    </w:p>
    <w:p w14:paraId="000F77EA" w14:textId="77777777" w:rsidR="007B7636" w:rsidRPr="00464AE1" w:rsidRDefault="007B7636" w:rsidP="00464AE1">
      <w:pPr>
        <w:pStyle w:val="BodyText"/>
        <w:rPr>
          <w:rStyle w:val="Heading1Char"/>
          <w:rFonts w:eastAsiaTheme="minorEastAsia" w:cstheme="minorBidi"/>
          <w:b w:val="0"/>
          <w:bCs w:val="0"/>
          <w:color w:val="auto"/>
          <w:sz w:val="22"/>
          <w:szCs w:val="22"/>
        </w:rPr>
      </w:pPr>
    </w:p>
    <w:p w14:paraId="6C77FB5C" w14:textId="77777777" w:rsidR="007B7636" w:rsidRPr="007B7636" w:rsidRDefault="007B7636" w:rsidP="007B7636">
      <w:pPr>
        <w:pBdr>
          <w:bottom w:val="single" w:sz="8" w:space="1" w:color="808080"/>
        </w:pBdr>
        <w:spacing w:before="0" w:after="200" w:line="240" w:lineRule="auto"/>
        <w:contextualSpacing/>
        <w:jc w:val="left"/>
        <w:rPr>
          <w:rFonts w:ascii="Cambria" w:eastAsia="Times New Roman" w:hAnsi="Cambria" w:cs="Times New Roman"/>
          <w:color w:val="808080"/>
          <w:spacing w:val="5"/>
          <w:sz w:val="56"/>
          <w:szCs w:val="52"/>
          <w:lang w:val="en-US" w:eastAsia="en-US"/>
        </w:rPr>
      </w:pPr>
      <w:r w:rsidRPr="007B7636">
        <w:rPr>
          <w:rFonts w:ascii="Cambria" w:eastAsia="Times New Roman" w:hAnsi="Cambria" w:cs="Times New Roman"/>
          <w:color w:val="808080"/>
          <w:spacing w:val="5"/>
          <w:sz w:val="56"/>
          <w:szCs w:val="52"/>
          <w:lang w:val="en-US" w:eastAsia="en-US"/>
        </w:rPr>
        <w:t>Memorandum</w:t>
      </w:r>
    </w:p>
    <w:p w14:paraId="51F2F0D5" w14:textId="77777777" w:rsidR="007B7636" w:rsidRPr="007B7636" w:rsidRDefault="007B7636" w:rsidP="007B7636">
      <w:pPr>
        <w:spacing w:before="200" w:after="0" w:line="276" w:lineRule="auto"/>
        <w:jc w:val="left"/>
        <w:outlineLvl w:val="1"/>
        <w:rPr>
          <w:rFonts w:ascii="Cambria" w:eastAsia="Times New Roman" w:hAnsi="Cambria" w:cs="Times New Roman"/>
          <w:b/>
          <w:bCs/>
          <w:sz w:val="26"/>
          <w:szCs w:val="26"/>
          <w:lang w:val="en-US" w:eastAsia="en-US"/>
        </w:rPr>
      </w:pPr>
      <w:r w:rsidRPr="007B7636">
        <w:rPr>
          <w:rFonts w:ascii="Cambria" w:eastAsia="Times New Roman" w:hAnsi="Cambria" w:cs="Times New Roman"/>
          <w:b/>
          <w:bCs/>
          <w:sz w:val="26"/>
          <w:szCs w:val="26"/>
          <w:lang w:val="en-US" w:eastAsia="en-US"/>
        </w:rPr>
        <w:t>To: Ministry for the Environment</w:t>
      </w:r>
    </w:p>
    <w:p w14:paraId="700DFEF5" w14:textId="77777777" w:rsidR="007B7636" w:rsidRPr="007B7636" w:rsidRDefault="007B7636" w:rsidP="007B7636">
      <w:pPr>
        <w:spacing w:before="200" w:after="0" w:line="276" w:lineRule="auto"/>
        <w:jc w:val="left"/>
        <w:outlineLvl w:val="1"/>
        <w:rPr>
          <w:rFonts w:ascii="Cambria" w:eastAsia="Times New Roman" w:hAnsi="Cambria" w:cs="Times New Roman"/>
          <w:b/>
          <w:bCs/>
          <w:sz w:val="26"/>
          <w:szCs w:val="26"/>
          <w:lang w:val="en-US" w:eastAsia="en-US"/>
        </w:rPr>
      </w:pPr>
      <w:r w:rsidRPr="007B7636">
        <w:rPr>
          <w:rFonts w:ascii="Cambria" w:eastAsia="Times New Roman" w:hAnsi="Cambria" w:cs="Times New Roman"/>
          <w:b/>
          <w:bCs/>
          <w:sz w:val="26"/>
          <w:szCs w:val="26"/>
          <w:lang w:val="en-US" w:eastAsia="en-US"/>
        </w:rPr>
        <w:t>From: Ton Snelder, LWP Ltd</w:t>
      </w:r>
    </w:p>
    <w:p w14:paraId="63FAE634" w14:textId="77777777" w:rsidR="007B7636" w:rsidRPr="007B7636" w:rsidRDefault="007B7636" w:rsidP="007B7636">
      <w:pPr>
        <w:spacing w:before="200" w:after="0" w:line="276" w:lineRule="auto"/>
        <w:jc w:val="left"/>
        <w:outlineLvl w:val="1"/>
        <w:rPr>
          <w:rFonts w:ascii="Cambria" w:eastAsia="Times New Roman" w:hAnsi="Cambria" w:cs="Times New Roman"/>
          <w:b/>
          <w:bCs/>
          <w:sz w:val="26"/>
          <w:szCs w:val="26"/>
          <w:lang w:val="en-US" w:eastAsia="en-US"/>
        </w:rPr>
      </w:pPr>
      <w:r w:rsidRPr="007B7636">
        <w:rPr>
          <w:rFonts w:ascii="Cambria" w:eastAsia="Times New Roman" w:hAnsi="Cambria" w:cs="Times New Roman"/>
          <w:b/>
          <w:bCs/>
          <w:sz w:val="26"/>
          <w:szCs w:val="26"/>
          <w:lang w:val="en-US" w:eastAsia="en-US"/>
        </w:rPr>
        <w:t>Date: 8</w:t>
      </w:r>
      <w:r w:rsidRPr="007B7636">
        <w:rPr>
          <w:rFonts w:ascii="Cambria" w:eastAsia="Times New Roman" w:hAnsi="Cambria" w:cs="Times New Roman"/>
          <w:b/>
          <w:bCs/>
          <w:sz w:val="26"/>
          <w:szCs w:val="26"/>
          <w:vertAlign w:val="superscript"/>
          <w:lang w:val="en-US" w:eastAsia="en-US"/>
        </w:rPr>
        <w:t>th</w:t>
      </w:r>
      <w:r w:rsidRPr="007B7636">
        <w:rPr>
          <w:rFonts w:ascii="Cambria" w:eastAsia="Times New Roman" w:hAnsi="Cambria" w:cs="Times New Roman"/>
          <w:b/>
          <w:bCs/>
          <w:sz w:val="26"/>
          <w:szCs w:val="26"/>
          <w:lang w:val="en-US" w:eastAsia="en-US"/>
        </w:rPr>
        <w:t xml:space="preserve"> May 2020</w:t>
      </w:r>
    </w:p>
    <w:p w14:paraId="2B5E33A1" w14:textId="77777777" w:rsidR="007B7636" w:rsidRPr="007B7636" w:rsidRDefault="007B7636" w:rsidP="007B7636">
      <w:pPr>
        <w:spacing w:before="200" w:after="0" w:line="276" w:lineRule="auto"/>
        <w:jc w:val="left"/>
        <w:outlineLvl w:val="1"/>
        <w:rPr>
          <w:rFonts w:ascii="Cambria" w:eastAsia="Times New Roman" w:hAnsi="Cambria" w:cs="Times New Roman"/>
          <w:b/>
          <w:bCs/>
          <w:sz w:val="26"/>
          <w:szCs w:val="26"/>
          <w:lang w:val="en-US" w:eastAsia="en-US"/>
        </w:rPr>
      </w:pPr>
      <w:r w:rsidRPr="007B7636">
        <w:rPr>
          <w:rFonts w:ascii="Cambria" w:eastAsia="Times New Roman" w:hAnsi="Cambria" w:cs="Times New Roman"/>
          <w:b/>
          <w:bCs/>
          <w:sz w:val="26"/>
          <w:szCs w:val="26"/>
          <w:lang w:val="en-US" w:eastAsia="en-US"/>
        </w:rPr>
        <w:t>Subject: Differences in TN concentration targets for periphyton objectives defined by the 2018 and 2020 analyses</w:t>
      </w:r>
    </w:p>
    <w:p w14:paraId="57EF800D" w14:textId="77777777" w:rsidR="007B7636" w:rsidRPr="007B7636" w:rsidRDefault="007B7636" w:rsidP="007B7636">
      <w:pPr>
        <w:spacing w:before="0" w:after="200" w:line="276" w:lineRule="auto"/>
        <w:jc w:val="left"/>
        <w:rPr>
          <w:rFonts w:eastAsia="Times New Roman" w:cs="Times New Roman"/>
          <w:lang w:val="en-US" w:eastAsia="en-US"/>
        </w:rPr>
      </w:pPr>
    </w:p>
    <w:p w14:paraId="1A106763" w14:textId="15C965C6" w:rsidR="007B7636" w:rsidRPr="007B7636" w:rsidRDefault="007B7636" w:rsidP="00464AE1">
      <w:pPr>
        <w:pStyle w:val="BodyText"/>
        <w:rPr>
          <w:lang w:val="en-US" w:eastAsia="en-US"/>
        </w:rPr>
      </w:pPr>
      <w:r w:rsidRPr="007B7636">
        <w:rPr>
          <w:lang w:val="en-US" w:eastAsia="en-US"/>
        </w:rPr>
        <w:t>In an email dated 17</w:t>
      </w:r>
      <w:r w:rsidRPr="007B7636">
        <w:rPr>
          <w:vertAlign w:val="superscript"/>
          <w:lang w:val="en-US" w:eastAsia="en-US"/>
        </w:rPr>
        <w:t>th</w:t>
      </w:r>
      <w:r w:rsidRPr="007B7636">
        <w:rPr>
          <w:lang w:val="en-US" w:eastAsia="en-US"/>
        </w:rPr>
        <w:t xml:space="preserve"> April 2020, </w:t>
      </w:r>
      <w:r w:rsidR="00A123D0">
        <w:rPr>
          <w:lang w:val="en-US" w:eastAsia="en-US"/>
        </w:rPr>
        <w:t>MfE officials</w:t>
      </w:r>
      <w:r w:rsidRPr="007B7636">
        <w:rPr>
          <w:lang w:val="en-US" w:eastAsia="en-US"/>
        </w:rPr>
        <w:t xml:space="preserve"> asked why the recalibrated TN criteria derived by LWP (2020) differed to those used in work carried out to describe the impact of the existing periphyton and proposed DIN regulations </w:t>
      </w:r>
      <w:r w:rsidRPr="007B7636">
        <w:rPr>
          <w:lang w:val="en-US" w:eastAsia="en-US"/>
        </w:rPr>
        <w:fldChar w:fldCharType="begin"/>
      </w:r>
      <w:r w:rsidRPr="007B7636">
        <w:rPr>
          <w:lang w:val="en-US" w:eastAsia="en-US"/>
        </w:rPr>
        <w:instrText xml:space="preserve"> ADDIN ZOTERO_ITEM CSL_CITATION {"citationID":"34kizudt","properties":{"formattedCitation":"(MFE, 2019)","plainCitation":"(MFE, 2019)","noteIndex":0},"citationItems":[{"id":3577,"uris":["http://zotero.org/groups/2329384/items/5EA46DW7"],"uri":["http://zotero.org/groups/2329384/items/5EA46DW7"],"itemData":{"id":3577,"type":"report","event-place":"Wellington, New  Zealand","number":"ME 1467","publisher":"Ministry for the Environment &amp; Statistics NZ","publisher-place":"Wellington, New  Zealand","title":"Essential Freshwater: Impact of existing periphyton and proposed dissolved inorganic nitrogen bottom lines","author":[{"family":"MFE","given":""}],"issued":{"date-parts":[["2019"]]}}}],"schema":"https://github.com/citation-style-language/schema/raw/master/csl-citation.json"} </w:instrText>
      </w:r>
      <w:r w:rsidRPr="007B7636">
        <w:rPr>
          <w:lang w:val="en-US" w:eastAsia="en-US"/>
        </w:rPr>
        <w:fldChar w:fldCharType="separate"/>
      </w:r>
      <w:r w:rsidRPr="007B7636">
        <w:rPr>
          <w:rFonts w:cs="Calibri"/>
          <w:lang w:val="en-US" w:eastAsia="en-US"/>
        </w:rPr>
        <w:t>(MFE, 2019)</w:t>
      </w:r>
      <w:r w:rsidRPr="007B7636">
        <w:rPr>
          <w:lang w:val="en-US" w:eastAsia="en-US"/>
        </w:rPr>
        <w:fldChar w:fldCharType="end"/>
      </w:r>
      <w:r w:rsidRPr="007B7636">
        <w:rPr>
          <w:lang w:val="en-US" w:eastAsia="en-US"/>
        </w:rPr>
        <w:t xml:space="preserve">. The targets used by MFE (2019) were a “recalibrated” version of the “original targets” provided by </w:t>
      </w:r>
      <w:r w:rsidRPr="007B7636">
        <w:rPr>
          <w:lang w:val="en-US" w:eastAsia="en-US"/>
        </w:rPr>
        <w:fldChar w:fldCharType="begin"/>
      </w:r>
      <w:r w:rsidRPr="007B7636">
        <w:rPr>
          <w:lang w:val="en-US" w:eastAsia="en-US"/>
        </w:rPr>
        <w:instrText xml:space="preserve"> ADDIN ZOTERO_ITEM CSL_CITATION {"citationID":"MuY4F4Tt","properties":{"formattedCitation":"(Snelder, 2018)","plainCitation":"(Snelder, 2018)","noteIndex":0},"citationItems":[{"id":1889,"uris":["http://zotero.org/users/1036959/items/EDGEGH99"],"uri":["http://zotero.org/users/1036959/items/EDGEGH99"],"itemData":{"id":1889,"type":"report","event-place":"Wellington, New  Zealand","genre":"GNS Science Report","page":"47","publisher":"Geological and Nuclear Sciences","publisher-place":"Wellington, New  Zealand","title":"Nutrient concentration targets to achieve periphyton biomass objectives incorporating uncertainties","author":[{"family":"Snelder","given":"T."}],"issued":{"date-parts":[["2018"]]}}}],"schema":"https://github.com/citation-style-language/schema/raw/master/csl-citation.json"} </w:instrText>
      </w:r>
      <w:r w:rsidRPr="007B7636">
        <w:rPr>
          <w:lang w:val="en-US" w:eastAsia="en-US"/>
        </w:rPr>
        <w:fldChar w:fldCharType="separate"/>
      </w:r>
      <w:r w:rsidRPr="007B7636">
        <w:rPr>
          <w:rFonts w:cs="Calibri"/>
          <w:lang w:val="en-US" w:eastAsia="en-US"/>
        </w:rPr>
        <w:t>Snelder (2018)</w:t>
      </w:r>
      <w:r w:rsidRPr="007B7636">
        <w:rPr>
          <w:lang w:val="en-US" w:eastAsia="en-US"/>
        </w:rPr>
        <w:fldChar w:fldCharType="end"/>
      </w:r>
      <w:r w:rsidRPr="007B7636">
        <w:rPr>
          <w:lang w:val="en-US" w:eastAsia="en-US"/>
        </w:rPr>
        <w:t xml:space="preserve">, which were also published in </w:t>
      </w:r>
      <w:r w:rsidRPr="007B7636">
        <w:rPr>
          <w:lang w:val="en-US" w:eastAsia="en-US"/>
        </w:rPr>
        <w:fldChar w:fldCharType="begin"/>
      </w:r>
      <w:r w:rsidRPr="007B7636">
        <w:rPr>
          <w:lang w:val="en-US" w:eastAsia="en-US"/>
        </w:rPr>
        <w:instrText xml:space="preserve"> ADDIN ZOTERO_ITEM CSL_CITATION {"citationID":"wYK4nuSe","properties":{"formattedCitation":"(Snelder {\\i{}et al.}, 2019)","plainCitation":"(Snelder et al., 2019)","noteIndex":0},"citationItems":[{"id":3608,"uris":["http://zotero.org/groups/2329384/items/SP3LJK3U"],"uri":["http://zotero.org/groups/2329384/items/SP3LJK3U"],"itemData":{"id":3608,"type":"article-journal","container-title":"JAWRA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B7636">
        <w:rPr>
          <w:lang w:val="en-US" w:eastAsia="en-US"/>
        </w:rPr>
        <w:fldChar w:fldCharType="separate"/>
      </w:r>
      <w:r w:rsidRPr="007B7636">
        <w:rPr>
          <w:rFonts w:cs="Calibri"/>
          <w:szCs w:val="24"/>
          <w:lang w:val="en-US" w:eastAsia="en-US"/>
        </w:rPr>
        <w:t xml:space="preserve">Snelder </w:t>
      </w:r>
      <w:r w:rsidR="008E40DC">
        <w:rPr>
          <w:rFonts w:cs="Calibri"/>
          <w:i/>
          <w:iCs/>
          <w:szCs w:val="24"/>
          <w:lang w:val="en-US" w:eastAsia="en-US"/>
        </w:rPr>
        <w:t>et al</w:t>
      </w:r>
      <w:r w:rsidRPr="007B7636">
        <w:rPr>
          <w:rFonts w:cs="Calibri"/>
          <w:szCs w:val="24"/>
          <w:lang w:val="en-US" w:eastAsia="en-US"/>
        </w:rPr>
        <w:t xml:space="preserve"> (2019)</w:t>
      </w:r>
      <w:r w:rsidRPr="007B7636">
        <w:rPr>
          <w:lang w:val="en-US" w:eastAsia="en-US"/>
        </w:rPr>
        <w:fldChar w:fldCharType="end"/>
      </w:r>
      <w:r w:rsidRPr="007B7636">
        <w:rPr>
          <w:lang w:val="en-US" w:eastAsia="en-US"/>
        </w:rPr>
        <w:t xml:space="preserve">. This memo explains the reasons for the differences between the LWP (2020) values and those appearing in MFE (2019). </w:t>
      </w:r>
    </w:p>
    <w:p w14:paraId="025B13B1" w14:textId="697475A4" w:rsidR="007B7636" w:rsidRPr="007B7636" w:rsidRDefault="007B7636" w:rsidP="00464AE1">
      <w:pPr>
        <w:pStyle w:val="BodyText"/>
        <w:rPr>
          <w:lang w:val="en-US" w:eastAsia="en-US"/>
        </w:rPr>
      </w:pPr>
      <w:r w:rsidRPr="007B7636">
        <w:rPr>
          <w:lang w:val="en-US" w:eastAsia="en-US"/>
        </w:rPr>
        <w:t>The reason for the differences between the two sets of nutrient targets is that the derivation of both sets of nutrient targets were based on a Monte Carlo statistical procedure. Monte Carlo analysis is a type of numerical analysis that relies on repeated random sampling of the data. Monte Carlo analysis is used when there is uncertainty associated with the input data that are used in the analysis, which then combine to cause uncertainty in the output. For example, when the 92</w:t>
      </w:r>
      <w:r w:rsidRPr="007B7636">
        <w:rPr>
          <w:vertAlign w:val="superscript"/>
          <w:lang w:val="en-US" w:eastAsia="en-US"/>
        </w:rPr>
        <w:t>nd</w:t>
      </w:r>
      <w:r w:rsidRPr="007B7636">
        <w:rPr>
          <w:lang w:val="en-US" w:eastAsia="en-US"/>
        </w:rPr>
        <w:t xml:space="preserve"> percentile of periphyton biomass is calculated from monthly samples at an individual site from (say) 3 years of data, the value is an estimate and is uncertain. There were several other sources of uncertainty in the analyses and all were taken into account in the derivation of the nutrient targets (described by </w:t>
      </w:r>
      <w:r w:rsidRPr="007B7636">
        <w:rPr>
          <w:lang w:val="en-US" w:eastAsia="en-US"/>
        </w:rPr>
        <w:fldChar w:fldCharType="begin"/>
      </w:r>
      <w:r w:rsidRPr="007B7636">
        <w:rPr>
          <w:lang w:val="en-US" w:eastAsia="en-US"/>
        </w:rPr>
        <w:instrText xml:space="preserve"> ADDIN ZOTERO_ITEM CSL_CITATION {"citationID":"MuY4F4Tt","properties":{"formattedCitation":"(Snelder, 2018)","plainCitation":"(Snelder, 2018)","noteIndex":0},"citationItems":[{"id":1889,"uris":["http://zotero.org/users/1036959/items/EDGEGH99"],"uri":["http://zotero.org/users/1036959/items/EDGEGH99"],"itemData":{"id":1889,"type":"report","event-place":"Wellington, New  Zealand","genre":"GNS Science Report","page":"47","publisher":"Geological and Nuclear Sciences","publisher-place":"Wellington, New  Zealand","title":"Nutrient concentration targets to achieve periphyton biomass objectives incorporating uncertainties","author":[{"family":"Snelder","given":"T."}],"issued":{"date-parts":[["2018"]]}}}],"schema":"https://github.com/citation-style-language/schema/raw/master/csl-citation.json"} </w:instrText>
      </w:r>
      <w:r w:rsidRPr="007B7636">
        <w:rPr>
          <w:lang w:val="en-US" w:eastAsia="en-US"/>
        </w:rPr>
        <w:fldChar w:fldCharType="separate"/>
      </w:r>
      <w:r w:rsidRPr="007B7636">
        <w:rPr>
          <w:rFonts w:cs="Calibri"/>
          <w:lang w:val="en-US" w:eastAsia="en-US"/>
        </w:rPr>
        <w:t>Snelder 2018</w:t>
      </w:r>
      <w:r w:rsidRPr="007B7636">
        <w:rPr>
          <w:lang w:val="en-US" w:eastAsia="en-US"/>
        </w:rPr>
        <w:fldChar w:fldCharType="end"/>
      </w:r>
      <w:r w:rsidRPr="007B7636">
        <w:rPr>
          <w:lang w:val="en-US" w:eastAsia="en-US"/>
        </w:rPr>
        <w:t xml:space="preserve"> and </w:t>
      </w:r>
      <w:r w:rsidRPr="007B7636">
        <w:rPr>
          <w:lang w:val="en-US" w:eastAsia="en-US"/>
        </w:rPr>
        <w:fldChar w:fldCharType="begin"/>
      </w:r>
      <w:r w:rsidRPr="007B7636">
        <w:rPr>
          <w:lang w:val="en-US" w:eastAsia="en-US"/>
        </w:rPr>
        <w:instrText xml:space="preserve"> ADDIN ZOTERO_ITEM CSL_CITATION {"citationID":"wYK4nuSe","properties":{"formattedCitation":"(Snelder {\\i{}et al.}, 2019)","plainCitation":"(Snelder et al., 2019)","noteIndex":0},"citationItems":[{"id":3608,"uris":["http://zotero.org/groups/2329384/items/SP3LJK3U"],"uri":["http://zotero.org/groups/2329384/items/SP3LJK3U"],"itemData":{"id":3608,"type":"article-journal","container-title":"JAWRA Journal of the American Water Resources Association","issue":"6","page":"1443–1463","source":"Google Scholar","title":"Nutrient Concentration Targets to Achieve Periphyton Biomass Objectives Incorporating Uncertainties","volume":"55","author":[{"family":"Snelder","given":"T. H."},{"family":"Moore","given":"C."},{"family":"Kilroy","given":"C."}],"issued":{"date-parts":[["2019"]]}}}],"schema":"https://github.com/citation-style-language/schema/raw/master/csl-citation.json"} </w:instrText>
      </w:r>
      <w:r w:rsidRPr="007B7636">
        <w:rPr>
          <w:lang w:val="en-US" w:eastAsia="en-US"/>
        </w:rPr>
        <w:fldChar w:fldCharType="separate"/>
      </w:r>
      <w:r w:rsidRPr="007B7636">
        <w:rPr>
          <w:rFonts w:cs="Calibri"/>
          <w:szCs w:val="24"/>
          <w:lang w:val="en-US" w:eastAsia="en-US"/>
        </w:rPr>
        <w:t xml:space="preserve">Snelder </w:t>
      </w:r>
      <w:r w:rsidR="008E40DC">
        <w:rPr>
          <w:rFonts w:cs="Calibri"/>
          <w:i/>
          <w:iCs/>
          <w:szCs w:val="24"/>
          <w:lang w:val="en-US" w:eastAsia="en-US"/>
        </w:rPr>
        <w:t>et al</w:t>
      </w:r>
      <w:r w:rsidRPr="007B7636">
        <w:rPr>
          <w:rFonts w:cs="Calibri"/>
          <w:szCs w:val="24"/>
          <w:lang w:val="en-US" w:eastAsia="en-US"/>
        </w:rPr>
        <w:t>, 2019)</w:t>
      </w:r>
      <w:r w:rsidRPr="007B7636">
        <w:rPr>
          <w:lang w:val="en-US" w:eastAsia="en-US"/>
        </w:rPr>
        <w:fldChar w:fldCharType="end"/>
      </w:r>
      <w:r w:rsidRPr="007B7636">
        <w:rPr>
          <w:lang w:val="en-US" w:eastAsia="en-US"/>
        </w:rPr>
        <w:t xml:space="preserve">. The Monte Carlo procedure provided a way of assessing the impact of the combined uncertainties on the uncertainty of the final output; the TN criteria. </w:t>
      </w:r>
    </w:p>
    <w:p w14:paraId="7B0F0ECA" w14:textId="7F329223" w:rsidR="007B7636" w:rsidRPr="007B7636" w:rsidRDefault="007B7636" w:rsidP="00464AE1">
      <w:pPr>
        <w:pStyle w:val="BodyText"/>
        <w:rPr>
          <w:lang w:val="en-US" w:eastAsia="en-US"/>
        </w:rPr>
      </w:pPr>
      <w:r w:rsidRPr="007B7636">
        <w:rPr>
          <w:lang w:val="en-US" w:eastAsia="en-US"/>
        </w:rPr>
        <w:t>The outcome of all analyses was a set of nutrient target concentrations plus their uncertainties expressed as standard errors (SE). A standard error can be understood to be the characteristic uncertainty of the derived nutrient concentration targets. More precisely, +/- the SE indicates the range over which we are 68</w:t>
      </w:r>
      <w:r w:rsidR="008E40DC">
        <w:rPr>
          <w:lang w:val="en-US" w:eastAsia="en-US"/>
        </w:rPr>
        <w:t xml:space="preserve"> per cent</w:t>
      </w:r>
      <w:r w:rsidRPr="007B7636">
        <w:rPr>
          <w:lang w:val="en-US" w:eastAsia="en-US"/>
        </w:rPr>
        <w:t xml:space="preserve"> certain that the “true” target concentration lies.</w:t>
      </w:r>
    </w:p>
    <w:p w14:paraId="0BB76302" w14:textId="189AA744" w:rsidR="007B7636" w:rsidRPr="007B7636" w:rsidRDefault="007B7636" w:rsidP="00464AE1">
      <w:pPr>
        <w:pStyle w:val="BodyText"/>
        <w:rPr>
          <w:lang w:val="en-US" w:eastAsia="en-US"/>
        </w:rPr>
      </w:pPr>
      <w:r w:rsidRPr="007B7636">
        <w:rPr>
          <w:lang w:val="en-US" w:eastAsia="en-US"/>
        </w:rPr>
        <w:t>Each time a Monte Carlo analysis is repeated, slightly different results are obtained each time due to the random components of the analysis. There are two sources of variation in the derived nutrient concentration targets because there are Monte Carlo analyses involved in the derivation procedure and the recalibration procedure (</w:t>
      </w:r>
      <w:r w:rsidR="008E40DC">
        <w:rPr>
          <w:lang w:val="en-US" w:eastAsia="en-US"/>
        </w:rPr>
        <w:t>ie,</w:t>
      </w:r>
      <w:r w:rsidRPr="007B7636">
        <w:rPr>
          <w:lang w:val="en-US" w:eastAsia="en-US"/>
        </w:rPr>
        <w:t xml:space="preserve"> two sets of Monte Carlo analyses). Therefore, the target values produced in LWP (2020) are not exactly the targets used by MFE (2019) despite the same input data. However, the two sets of results are close and well within the uncertainties of the respective analyses. </w:t>
      </w:r>
    </w:p>
    <w:p w14:paraId="155E0571" w14:textId="6768F70E" w:rsidR="007B7636" w:rsidRPr="007B7636" w:rsidRDefault="007B7636" w:rsidP="00464AE1">
      <w:pPr>
        <w:pStyle w:val="BodyText"/>
        <w:rPr>
          <w:lang w:val="en-US" w:eastAsia="en-US"/>
        </w:rPr>
      </w:pPr>
      <w:r w:rsidRPr="007B7636">
        <w:rPr>
          <w:lang w:val="en-US" w:eastAsia="en-US"/>
        </w:rPr>
        <w:lastRenderedPageBreak/>
        <w:t>To illustrate the closeness of the two sets of results, thresholds for the 10</w:t>
      </w:r>
      <w:r w:rsidR="008E40DC">
        <w:rPr>
          <w:lang w:val="en-US" w:eastAsia="en-US"/>
        </w:rPr>
        <w:t xml:space="preserve"> per cent</w:t>
      </w:r>
      <w:r w:rsidRPr="007B7636">
        <w:rPr>
          <w:lang w:val="en-US" w:eastAsia="en-US"/>
        </w:rPr>
        <w:t xml:space="preserve"> spatial exceedance are shown in the plots below. Figure 1 compares the 2018 and 2020 original (not recalibrated) TN targets. Figure 2 compares the recalibrated targets. The grey error bars shown in both figures indicate the standard errors for the targets. The red line indicates one to one (</w:t>
      </w:r>
      <w:r w:rsidR="008E40DC">
        <w:rPr>
          <w:lang w:val="en-US" w:eastAsia="en-US"/>
        </w:rPr>
        <w:t>ie,</w:t>
      </w:r>
      <w:r w:rsidRPr="007B7636">
        <w:rPr>
          <w:lang w:val="en-US" w:eastAsia="en-US"/>
        </w:rPr>
        <w:t xml:space="preserve"> perfect agreement). </w:t>
      </w:r>
    </w:p>
    <w:p w14:paraId="53037EFD" w14:textId="59BD5787" w:rsidR="007B7636" w:rsidRPr="007B7636" w:rsidRDefault="007B7636" w:rsidP="00464AE1">
      <w:pPr>
        <w:pStyle w:val="BodyText"/>
        <w:rPr>
          <w:lang w:val="en-US" w:eastAsia="en-US"/>
        </w:rPr>
      </w:pPr>
      <w:r w:rsidRPr="007B7636">
        <w:rPr>
          <w:lang w:val="en-US" w:eastAsia="en-US"/>
        </w:rPr>
        <w:t>Figure 1 indicates close agreement – note that it is difficult to see but there is not perfect agreement between the original 2018 and 2020 values. The second plot shows close agreement of the recalibrated values – but the disagreement is visible. However, note that for both sets of targets, the level of disagreement is small relative to the uncertainty of the targets (</w:t>
      </w:r>
      <w:r w:rsidR="008E40DC">
        <w:rPr>
          <w:lang w:val="en-US" w:eastAsia="en-US"/>
        </w:rPr>
        <w:t>ie,</w:t>
      </w:r>
      <w:r w:rsidRPr="007B7636">
        <w:rPr>
          <w:lang w:val="en-US" w:eastAsia="en-US"/>
        </w:rPr>
        <w:t xml:space="preserve"> the error bars showing the standard errors). Thus, although the target values differ in absolute terms, these differences are well within the characteristic uncertainties and therefore the two sets of targets are not significantly different. </w:t>
      </w:r>
    </w:p>
    <w:p w14:paraId="482B9FEE" w14:textId="25DFFD93" w:rsidR="007B7636" w:rsidRPr="007B7636" w:rsidRDefault="007B7636" w:rsidP="00464AE1">
      <w:pPr>
        <w:pStyle w:val="BodyText"/>
        <w:rPr>
          <w:lang w:val="en-US" w:eastAsia="en-US"/>
        </w:rPr>
      </w:pPr>
      <w:r w:rsidRPr="007B7636">
        <w:rPr>
          <w:lang w:val="en-US" w:eastAsia="en-US"/>
        </w:rPr>
        <w:t xml:space="preserve">A contribution to the divergence of the 2020 values from recalibrated 2018 values (reported in </w:t>
      </w:r>
      <w:r w:rsidRPr="007B7636">
        <w:rPr>
          <w:lang w:val="en-US" w:eastAsia="en-US"/>
        </w:rPr>
        <w:fldChar w:fldCharType="begin"/>
      </w:r>
      <w:r w:rsidRPr="007B7636">
        <w:rPr>
          <w:lang w:val="en-US" w:eastAsia="en-US"/>
        </w:rPr>
        <w:instrText xml:space="preserve"> ADDIN ZOTERO_ITEM CSL_CITATION {"citationID":"34kizudt","properties":{"formattedCitation":"(MFE, 2019)","plainCitation":"(MFE, 2019)","noteIndex":0},"citationItems":[{"id":3577,"uris":["http://zotero.org/groups/2329384/items/5EA46DW7"],"uri":["http://zotero.org/groups/2329384/items/5EA46DW7"],"itemData":{"id":3577,"type":"report","event-place":"Wellington, New  Zealand","number":"ME 1467","publisher":"Ministry for the Environment &amp; Statistics NZ","publisher-place":"Wellington, New  Zealand","title":"Essential Freshwater: Impact of existing periphyton and proposed dissolved inorganic nitrogen bottom lines","author":[{"family":"MFE","given":""}],"issued":{"date-parts":[["2019"]]}}}],"schema":"https://github.com/citation-style-language/schema/raw/master/csl-citation.json"} </w:instrText>
      </w:r>
      <w:r w:rsidRPr="007B7636">
        <w:rPr>
          <w:lang w:val="en-US" w:eastAsia="en-US"/>
        </w:rPr>
        <w:fldChar w:fldCharType="separate"/>
      </w:r>
      <w:r w:rsidRPr="007B7636">
        <w:rPr>
          <w:rFonts w:cs="Calibri"/>
          <w:lang w:val="en-US" w:eastAsia="en-US"/>
        </w:rPr>
        <w:t>MFE 2019)</w:t>
      </w:r>
      <w:r w:rsidRPr="007B7636">
        <w:rPr>
          <w:lang w:val="en-US" w:eastAsia="en-US"/>
        </w:rPr>
        <w:fldChar w:fldCharType="end"/>
      </w:r>
      <w:r w:rsidRPr="007B7636">
        <w:rPr>
          <w:lang w:val="en-US" w:eastAsia="en-US"/>
        </w:rPr>
        <w:t xml:space="preserve"> is slight differences in the results of the testing. These differences arose due the use of Monte Carlo analysis as part of the testing procedure and can be seen by comparing the 2018 test results (see Table 1) with the 2020 test results (Table 2). The columns headed “Mean proportion exceeding (</w:t>
      </w:r>
      <w:r w:rsidR="008E40DC">
        <w:rPr>
          <w:lang w:val="en-US" w:eastAsia="en-US"/>
        </w:rPr>
        <w:t>per cent</w:t>
      </w:r>
      <w:r w:rsidRPr="007B7636">
        <w:rPr>
          <w:lang w:val="en-US" w:eastAsia="en-US"/>
        </w:rPr>
        <w:t xml:space="preserve">)” are the key data that are used in the recalibration. Note two things here. First, the test results do not perfectly agree for reasons explained above. Second, the 2020 targets introduced a new exceedance criterion (30) which provided a new data point in the recalibration. This influences the outcome to a degree due to differences in the “distance” over which interpolation occurs in the recalibration process. </w:t>
      </w:r>
    </w:p>
    <w:p w14:paraId="4CA33624" w14:textId="2DBF8AC9" w:rsidR="007B7636" w:rsidRPr="007B7636" w:rsidRDefault="007B7636" w:rsidP="00464AE1">
      <w:pPr>
        <w:pStyle w:val="BodyText"/>
        <w:rPr>
          <w:lang w:val="en-US" w:eastAsia="en-US"/>
        </w:rPr>
      </w:pPr>
      <w:r w:rsidRPr="007B7636">
        <w:rPr>
          <w:lang w:val="en-US" w:eastAsia="en-US"/>
        </w:rPr>
        <w:t xml:space="preserve">The conclusion is that the two sets of targets, </w:t>
      </w:r>
      <w:r w:rsidR="008E40DC">
        <w:rPr>
          <w:lang w:val="en-US" w:eastAsia="en-US"/>
        </w:rPr>
        <w:t>ie,</w:t>
      </w:r>
      <w:r w:rsidRPr="007B7636">
        <w:rPr>
          <w:lang w:val="en-US" w:eastAsia="en-US"/>
        </w:rPr>
        <w:t xml:space="preserve"> the LWP (2020) targets and those used in MFE (2019) are not significantly different. The deviations between the two sets of targets are well within the uncertainties of the analyses. It is noted the targets were reported in LWP (2020) to the nearest one mg m</w:t>
      </w:r>
      <w:r w:rsidRPr="007B7636">
        <w:rPr>
          <w:vertAlign w:val="superscript"/>
          <w:lang w:val="en-US" w:eastAsia="en-US"/>
        </w:rPr>
        <w:t>-3</w:t>
      </w:r>
      <w:r w:rsidRPr="007B7636">
        <w:rPr>
          <w:lang w:val="en-US" w:eastAsia="en-US"/>
        </w:rPr>
        <w:t xml:space="preserve"> (</w:t>
      </w:r>
      <w:r w:rsidR="008E40DC">
        <w:rPr>
          <w:lang w:val="en-US" w:eastAsia="en-US"/>
        </w:rPr>
        <w:t>eg,</w:t>
      </w:r>
      <w:r w:rsidRPr="007B7636">
        <w:rPr>
          <w:lang w:val="en-US" w:eastAsia="en-US"/>
        </w:rPr>
        <w:t xml:space="preserve"> 3349 mg m</w:t>
      </w:r>
      <w:r w:rsidRPr="007B7636">
        <w:rPr>
          <w:vertAlign w:val="superscript"/>
          <w:lang w:val="en-US" w:eastAsia="en-US"/>
        </w:rPr>
        <w:t>-3</w:t>
      </w:r>
      <w:r w:rsidRPr="007B7636">
        <w:rPr>
          <w:lang w:val="en-US" w:eastAsia="en-US"/>
        </w:rPr>
        <w:t>). This level of precision is not justified by the uncertainty of the targets. In contrast, MFE (2019) reported targets to the equivalent of the nearest hundred mg m</w:t>
      </w:r>
      <w:r w:rsidRPr="007B7636">
        <w:rPr>
          <w:vertAlign w:val="superscript"/>
          <w:lang w:val="en-US" w:eastAsia="en-US"/>
        </w:rPr>
        <w:t>-3</w:t>
      </w:r>
      <w:r w:rsidRPr="007B7636">
        <w:rPr>
          <w:lang w:val="en-US" w:eastAsia="en-US"/>
        </w:rPr>
        <w:t xml:space="preserve"> (</w:t>
      </w:r>
      <w:r w:rsidR="008E40DC">
        <w:rPr>
          <w:lang w:val="en-US" w:eastAsia="en-US"/>
        </w:rPr>
        <w:t>eg,</w:t>
      </w:r>
      <w:r w:rsidRPr="007B7636">
        <w:rPr>
          <w:lang w:val="en-US" w:eastAsia="en-US"/>
        </w:rPr>
        <w:t xml:space="preserve"> 3300 mg m</w:t>
      </w:r>
      <w:r w:rsidRPr="007B7636">
        <w:rPr>
          <w:vertAlign w:val="superscript"/>
          <w:lang w:val="en-US" w:eastAsia="en-US"/>
        </w:rPr>
        <w:t>-3</w:t>
      </w:r>
      <w:r w:rsidRPr="007B7636">
        <w:rPr>
          <w:lang w:val="en-US" w:eastAsia="en-US"/>
        </w:rPr>
        <w:t>). Much of the confusion could have been avoided if the targets had been reported in LWP (2020) with a more appropriate level of precision.</w:t>
      </w:r>
    </w:p>
    <w:p w14:paraId="2C60E443" w14:textId="77777777" w:rsidR="007B7636" w:rsidRDefault="007B7636" w:rsidP="007B7636">
      <w:pPr>
        <w:spacing w:before="0" w:after="200" w:line="276" w:lineRule="auto"/>
        <w:jc w:val="left"/>
        <w:rPr>
          <w:rFonts w:eastAsia="Times New Roman" w:cs="Times New Roman"/>
          <w:lang w:val="en-US" w:eastAsia="en-US"/>
        </w:rPr>
      </w:pPr>
      <w:r w:rsidRPr="007B7636">
        <w:rPr>
          <w:rFonts w:eastAsia="Times New Roman" w:cs="Times New Roman"/>
          <w:noProof/>
        </w:rPr>
        <w:drawing>
          <wp:inline distT="0" distB="0" distL="0" distR="0" wp14:anchorId="517E2D68" wp14:editId="70A0CB2A">
            <wp:extent cx="5400000" cy="20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00" cy="2005200"/>
                    </a:xfrm>
                    <a:prstGeom prst="rect">
                      <a:avLst/>
                    </a:prstGeom>
                    <a:noFill/>
                    <a:ln>
                      <a:noFill/>
                    </a:ln>
                    <a:extLst>
                      <a:ext uri="{53640926-AAD7-44D8-BBD7-CCE9431645EC}">
                        <a14:shadowObscured xmlns:a14="http://schemas.microsoft.com/office/drawing/2010/main"/>
                      </a:ext>
                    </a:extLst>
                  </pic:spPr>
                </pic:pic>
              </a:graphicData>
            </a:graphic>
          </wp:inline>
        </w:drawing>
      </w:r>
    </w:p>
    <w:p w14:paraId="1C21A85F" w14:textId="4F28B078" w:rsidR="00555D93" w:rsidRPr="008A69C9" w:rsidRDefault="005B06F8" w:rsidP="008A69C9">
      <w:pPr>
        <w:spacing w:before="0" w:after="200" w:line="240" w:lineRule="auto"/>
        <w:jc w:val="left"/>
        <w:rPr>
          <w:rFonts w:eastAsia="Times New Roman" w:cs="Times New Roman"/>
          <w:b/>
          <w:bCs/>
          <w:smallCaps/>
          <w:color w:val="1F497D"/>
          <w:spacing w:val="6"/>
          <w:szCs w:val="18"/>
          <w:lang w:val="en-US" w:eastAsia="en-US" w:bidi="hi-IN"/>
        </w:rPr>
      </w:pPr>
      <w:r w:rsidRPr="008A69C9">
        <w:rPr>
          <w:rFonts w:eastAsia="Times New Roman" w:cs="Times New Roman"/>
          <w:b/>
          <w:bCs/>
          <w:smallCaps/>
          <w:color w:val="1F497D"/>
          <w:spacing w:val="6"/>
          <w:szCs w:val="18"/>
          <w:lang w:val="en-US" w:eastAsia="en-US" w:bidi="hi-IN"/>
        </w:rPr>
        <w:t>FIGURE 1. COMPARISON OF 2018 AND 2020 ORIGINAL (NOT RECALIBRATED) TN CONCENTRATION TARGETS FOR THE 10</w:t>
      </w:r>
      <w:r w:rsidR="008E40DC">
        <w:rPr>
          <w:rFonts w:eastAsia="Times New Roman" w:cs="Times New Roman"/>
          <w:b/>
          <w:bCs/>
          <w:smallCaps/>
          <w:color w:val="1F497D"/>
          <w:spacing w:val="6"/>
          <w:szCs w:val="18"/>
          <w:lang w:val="en-US" w:eastAsia="en-US" w:bidi="hi-IN"/>
        </w:rPr>
        <w:t xml:space="preserve"> per cent</w:t>
      </w:r>
      <w:r w:rsidRPr="008A69C9">
        <w:rPr>
          <w:rFonts w:eastAsia="Times New Roman" w:cs="Times New Roman"/>
          <w:b/>
          <w:bCs/>
          <w:smallCaps/>
          <w:color w:val="1F497D"/>
          <w:spacing w:val="6"/>
          <w:szCs w:val="18"/>
          <w:lang w:val="en-US" w:eastAsia="en-US" w:bidi="hi-IN"/>
        </w:rPr>
        <w:t xml:space="preserve"> SPATIAL EXCEEDANCE CRITERIA.</w:t>
      </w:r>
    </w:p>
    <w:p w14:paraId="524509AB" w14:textId="77777777" w:rsidR="007B7636" w:rsidRPr="007B7636" w:rsidRDefault="007B7636" w:rsidP="007B7636">
      <w:pPr>
        <w:spacing w:before="0" w:after="200" w:line="276" w:lineRule="auto"/>
        <w:jc w:val="left"/>
        <w:rPr>
          <w:rFonts w:eastAsia="Times New Roman" w:cs="Times New Roman"/>
          <w:lang w:val="en-US" w:eastAsia="en-US"/>
        </w:rPr>
      </w:pPr>
      <w:r w:rsidRPr="007B7636">
        <w:rPr>
          <w:rFonts w:eastAsia="Times New Roman" w:cs="Times New Roman"/>
          <w:noProof/>
        </w:rPr>
        <w:lastRenderedPageBreak/>
        <w:drawing>
          <wp:inline distT="0" distB="0" distL="0" distR="0" wp14:anchorId="639F0909" wp14:editId="672A84FF">
            <wp:extent cx="5400000" cy="200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400000"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3D90D810" w14:textId="6042F689" w:rsidR="007B7636" w:rsidRDefault="00D653FF" w:rsidP="008A69C9">
      <w:pPr>
        <w:spacing w:before="0" w:after="200" w:line="240" w:lineRule="auto"/>
        <w:jc w:val="left"/>
        <w:rPr>
          <w:rFonts w:eastAsia="Times New Roman" w:cs="Times New Roman"/>
          <w:b/>
          <w:bCs/>
          <w:smallCaps/>
          <w:color w:val="1F497D"/>
          <w:spacing w:val="6"/>
          <w:szCs w:val="18"/>
          <w:lang w:val="en-US" w:eastAsia="en-US" w:bidi="hi-IN"/>
        </w:rPr>
      </w:pPr>
      <w:r w:rsidRPr="008A69C9">
        <w:rPr>
          <w:rFonts w:eastAsia="Times New Roman" w:cs="Times New Roman"/>
          <w:b/>
          <w:bCs/>
          <w:smallCaps/>
          <w:color w:val="1F497D"/>
          <w:spacing w:val="6"/>
          <w:szCs w:val="18"/>
          <w:lang w:val="en-US" w:eastAsia="en-US" w:bidi="hi-IN"/>
        </w:rPr>
        <w:t>FIGURE 2. COMPARISON OF 2018 AND 2020 RECALIBRATED TN CONCENTRATION TARGETS FOR THE 10</w:t>
      </w:r>
      <w:r w:rsidR="008E40DC">
        <w:rPr>
          <w:rFonts w:eastAsia="Times New Roman" w:cs="Times New Roman"/>
          <w:b/>
          <w:bCs/>
          <w:smallCaps/>
          <w:color w:val="1F497D"/>
          <w:spacing w:val="6"/>
          <w:szCs w:val="18"/>
          <w:lang w:val="en-US" w:eastAsia="en-US" w:bidi="hi-IN"/>
        </w:rPr>
        <w:t xml:space="preserve"> per cent</w:t>
      </w:r>
      <w:r w:rsidRPr="008A69C9">
        <w:rPr>
          <w:rFonts w:eastAsia="Times New Roman" w:cs="Times New Roman"/>
          <w:b/>
          <w:bCs/>
          <w:smallCaps/>
          <w:color w:val="1F497D"/>
          <w:spacing w:val="6"/>
          <w:szCs w:val="18"/>
          <w:lang w:val="en-US" w:eastAsia="en-US" w:bidi="hi-IN"/>
        </w:rPr>
        <w:t xml:space="preserve"> SPATIAL EXCEEDANCE CRITERIA. NOTE THE RECALIBRATED 2018 TARGETS WERE REPORTED IN MFE (2019).</w:t>
      </w:r>
    </w:p>
    <w:p w14:paraId="78BDA9B6" w14:textId="77777777" w:rsidR="008A69C9" w:rsidRPr="008A69C9" w:rsidRDefault="008A69C9" w:rsidP="008A69C9">
      <w:pPr>
        <w:pStyle w:val="BodyText"/>
        <w:rPr>
          <w:lang w:val="en-US" w:eastAsia="en-US" w:bidi="hi-IN"/>
        </w:rPr>
      </w:pPr>
    </w:p>
    <w:p w14:paraId="1F24AB66" w14:textId="77777777" w:rsidR="006B6AC7" w:rsidRPr="000809E8" w:rsidRDefault="000809E8" w:rsidP="000809E8">
      <w:pPr>
        <w:spacing w:before="0" w:after="200" w:line="240" w:lineRule="auto"/>
        <w:jc w:val="left"/>
        <w:rPr>
          <w:rFonts w:eastAsia="Times New Roman" w:cs="Times New Roman"/>
          <w:b/>
          <w:bCs/>
          <w:smallCaps/>
          <w:color w:val="1F497D"/>
          <w:spacing w:val="6"/>
          <w:szCs w:val="18"/>
          <w:lang w:val="en-US" w:eastAsia="en-US" w:bidi="hi-IN"/>
        </w:rPr>
      </w:pPr>
      <w:r w:rsidRPr="000809E8">
        <w:rPr>
          <w:rFonts w:eastAsia="Times New Roman" w:cs="Times New Roman"/>
          <w:b/>
          <w:bCs/>
          <w:smallCaps/>
          <w:color w:val="1F497D"/>
          <w:spacing w:val="6"/>
          <w:szCs w:val="18"/>
          <w:lang w:val="en-US" w:eastAsia="en-US" w:bidi="hi-IN"/>
        </w:rPr>
        <w:t>Table 5. Test results for the 2018 analysis</w:t>
      </w:r>
    </w:p>
    <w:tbl>
      <w:tblPr>
        <w:tblStyle w:val="TableGrid21"/>
        <w:tblW w:w="8505" w:type="dxa"/>
        <w:tblInd w:w="-5" w:type="dxa"/>
        <w:tblLook w:val="04A0" w:firstRow="1" w:lastRow="0" w:firstColumn="1" w:lastColumn="0" w:noHBand="0" w:noVBand="1"/>
      </w:tblPr>
      <w:tblGrid>
        <w:gridCol w:w="1134"/>
        <w:gridCol w:w="1531"/>
        <w:gridCol w:w="2013"/>
        <w:gridCol w:w="1984"/>
        <w:gridCol w:w="1843"/>
      </w:tblGrid>
      <w:tr w:rsidR="007B7636" w:rsidRPr="007B7636" w14:paraId="56492368" w14:textId="77777777" w:rsidTr="001327D4">
        <w:trPr>
          <w:trHeight w:val="290"/>
        </w:trPr>
        <w:tc>
          <w:tcPr>
            <w:tcW w:w="113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CD01A55" w14:textId="77777777" w:rsidR="007B7636" w:rsidRPr="007B7636" w:rsidRDefault="007B7636" w:rsidP="007B7636">
            <w:pPr>
              <w:spacing w:before="0" w:after="0" w:line="240" w:lineRule="auto"/>
              <w:jc w:val="center"/>
              <w:rPr>
                <w:rFonts w:ascii="Arial" w:eastAsia="Times New Roman" w:hAnsi="Arial"/>
                <w:b/>
                <w:sz w:val="20"/>
                <w:szCs w:val="20"/>
                <w:lang w:eastAsia="ja-JP"/>
              </w:rPr>
            </w:pPr>
            <w:r w:rsidRPr="007B7636">
              <w:rPr>
                <w:rFonts w:ascii="Arial" w:eastAsia="Times New Roman" w:hAnsi="Arial"/>
                <w:b/>
                <w:bCs/>
                <w:color w:val="000000"/>
                <w:sz w:val="20"/>
                <w:szCs w:val="20"/>
                <w:lang w:eastAsia="en-AU"/>
              </w:rPr>
              <w:t>Variable</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68F0426" w14:textId="77777777" w:rsidR="007B7636" w:rsidRPr="007B7636" w:rsidRDefault="007B7636" w:rsidP="007B7636">
            <w:pPr>
              <w:spacing w:before="0" w:after="0" w:line="240" w:lineRule="auto"/>
              <w:jc w:val="center"/>
              <w:rPr>
                <w:rFonts w:ascii="Arial" w:eastAsia="Times New Roman" w:hAnsi="Arial"/>
                <w:b/>
                <w:sz w:val="20"/>
                <w:szCs w:val="20"/>
                <w:lang w:eastAsia="ja-JP"/>
              </w:rPr>
            </w:pPr>
            <w:r w:rsidRPr="007B7636">
              <w:rPr>
                <w:rFonts w:ascii="Arial" w:eastAsia="Times New Roman" w:hAnsi="Arial"/>
                <w:b/>
                <w:bCs/>
                <w:sz w:val="20"/>
                <w:szCs w:val="20"/>
                <w:lang w:eastAsia="en-AU"/>
              </w:rPr>
              <w:t>Spatial exceedance</w:t>
            </w:r>
          </w:p>
        </w:tc>
        <w:tc>
          <w:tcPr>
            <w:tcW w:w="201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79EF468" w14:textId="77777777" w:rsidR="007B7636" w:rsidRPr="007B7636" w:rsidRDefault="007B7636" w:rsidP="007B7636">
            <w:pPr>
              <w:spacing w:before="0" w:after="0" w:line="240" w:lineRule="auto"/>
              <w:jc w:val="center"/>
              <w:rPr>
                <w:rFonts w:ascii="Arial" w:eastAsia="Times New Roman" w:hAnsi="Arial"/>
                <w:b/>
                <w:sz w:val="20"/>
                <w:szCs w:val="20"/>
                <w:lang w:eastAsia="ja-JP"/>
              </w:rPr>
            </w:pPr>
            <w:r w:rsidRPr="007B7636">
              <w:rPr>
                <w:rFonts w:ascii="Arial" w:eastAsia="Times New Roman" w:hAnsi="Arial"/>
                <w:b/>
                <w:bCs/>
                <w:sz w:val="20"/>
                <w:szCs w:val="20"/>
                <w:lang w:eastAsia="en-AU"/>
              </w:rPr>
              <w:t>Mean proportion exceeding (%)</w:t>
            </w:r>
          </w:p>
        </w:tc>
        <w:tc>
          <w:tcPr>
            <w:tcW w:w="198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8130204" w14:textId="77777777" w:rsidR="007B7636" w:rsidRPr="007B7636" w:rsidRDefault="007B7636" w:rsidP="007B7636">
            <w:pPr>
              <w:spacing w:before="0" w:after="0" w:line="240" w:lineRule="auto"/>
              <w:jc w:val="center"/>
              <w:rPr>
                <w:rFonts w:ascii="Arial" w:eastAsia="Times New Roman" w:hAnsi="Arial"/>
                <w:b/>
                <w:sz w:val="20"/>
                <w:szCs w:val="20"/>
                <w:lang w:eastAsia="ja-JP"/>
              </w:rPr>
            </w:pPr>
            <w:r w:rsidRPr="007B7636">
              <w:rPr>
                <w:rFonts w:ascii="Arial" w:eastAsia="Times New Roman" w:hAnsi="Arial"/>
                <w:b/>
                <w:bCs/>
                <w:sz w:val="20"/>
                <w:szCs w:val="20"/>
                <w:lang w:eastAsia="en-AU"/>
              </w:rPr>
              <w:t>Standard error mean proportion exceeding (%)</w:t>
            </w:r>
          </w:p>
        </w:tc>
        <w:tc>
          <w:tcPr>
            <w:tcW w:w="184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410AD4" w14:textId="77777777" w:rsidR="007B7636" w:rsidRPr="007B7636" w:rsidRDefault="007B7636" w:rsidP="007B7636">
            <w:pPr>
              <w:spacing w:before="0" w:after="0" w:line="240" w:lineRule="auto"/>
              <w:jc w:val="center"/>
              <w:rPr>
                <w:rFonts w:ascii="Arial" w:eastAsia="Times New Roman" w:hAnsi="Arial"/>
                <w:b/>
                <w:sz w:val="20"/>
                <w:szCs w:val="20"/>
                <w:lang w:eastAsia="ja-JP"/>
              </w:rPr>
            </w:pPr>
            <w:r w:rsidRPr="007B7636">
              <w:rPr>
                <w:rFonts w:ascii="Arial" w:eastAsia="Times New Roman" w:hAnsi="Arial"/>
                <w:b/>
                <w:bCs/>
                <w:sz w:val="20"/>
                <w:szCs w:val="20"/>
                <w:lang w:eastAsia="en-AU"/>
              </w:rPr>
              <w:t>95% confidence intervals (%)</w:t>
            </w:r>
          </w:p>
        </w:tc>
      </w:tr>
      <w:tr w:rsidR="007B7636" w:rsidRPr="007B7636" w14:paraId="60985101" w14:textId="77777777" w:rsidTr="001327D4">
        <w:trPr>
          <w:trHeight w:val="290"/>
        </w:trPr>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EE0360E" w14:textId="77777777" w:rsidR="007B7636" w:rsidRPr="007B7636" w:rsidRDefault="007B7636" w:rsidP="007B7636">
            <w:pPr>
              <w:spacing w:before="0" w:after="0" w:line="240" w:lineRule="auto"/>
              <w:jc w:val="left"/>
              <w:rPr>
                <w:rFonts w:ascii="Arial" w:eastAsia="Times New Roman" w:hAnsi="Arial"/>
                <w:b/>
                <w:bCs/>
                <w:sz w:val="20"/>
                <w:szCs w:val="20"/>
                <w:lang w:eastAsia="en-AU"/>
              </w:rPr>
            </w:pPr>
            <w:r w:rsidRPr="007B7636">
              <w:rPr>
                <w:rFonts w:ascii="Arial" w:eastAsia="Times New Roman" w:hAnsi="Arial"/>
                <w:b/>
                <w:bCs/>
                <w:sz w:val="20"/>
                <w:szCs w:val="20"/>
                <w:lang w:eastAsia="en-AU"/>
              </w:rPr>
              <w:t>TN</w:t>
            </w:r>
          </w:p>
        </w:tc>
        <w:tc>
          <w:tcPr>
            <w:tcW w:w="1531" w:type="dxa"/>
            <w:tcBorders>
              <w:top w:val="single" w:sz="4" w:space="0" w:color="auto"/>
              <w:left w:val="single" w:sz="4" w:space="0" w:color="auto"/>
              <w:bottom w:val="single" w:sz="4" w:space="0" w:color="auto"/>
              <w:right w:val="single" w:sz="4" w:space="0" w:color="auto"/>
            </w:tcBorders>
            <w:noWrap/>
            <w:hideMark/>
          </w:tcPr>
          <w:p w14:paraId="0A8698CC"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10</w:t>
            </w:r>
          </w:p>
        </w:tc>
        <w:tc>
          <w:tcPr>
            <w:tcW w:w="2013" w:type="dxa"/>
            <w:tcBorders>
              <w:top w:val="single" w:sz="4" w:space="0" w:color="auto"/>
              <w:left w:val="single" w:sz="4" w:space="0" w:color="auto"/>
              <w:bottom w:val="single" w:sz="4" w:space="0" w:color="auto"/>
              <w:right w:val="single" w:sz="4" w:space="0" w:color="auto"/>
            </w:tcBorders>
            <w:noWrap/>
            <w:hideMark/>
          </w:tcPr>
          <w:p w14:paraId="68A07830"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2.3</w:t>
            </w:r>
          </w:p>
        </w:tc>
        <w:tc>
          <w:tcPr>
            <w:tcW w:w="1984" w:type="dxa"/>
            <w:tcBorders>
              <w:top w:val="single" w:sz="4" w:space="0" w:color="auto"/>
              <w:left w:val="single" w:sz="4" w:space="0" w:color="auto"/>
              <w:bottom w:val="single" w:sz="4" w:space="0" w:color="auto"/>
              <w:right w:val="single" w:sz="4" w:space="0" w:color="auto"/>
            </w:tcBorders>
            <w:noWrap/>
            <w:hideMark/>
          </w:tcPr>
          <w:p w14:paraId="6F2FBE79"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1.0</w:t>
            </w:r>
          </w:p>
        </w:tc>
        <w:tc>
          <w:tcPr>
            <w:tcW w:w="1843" w:type="dxa"/>
            <w:tcBorders>
              <w:top w:val="single" w:sz="4" w:space="0" w:color="auto"/>
              <w:left w:val="single" w:sz="4" w:space="0" w:color="auto"/>
              <w:bottom w:val="single" w:sz="4" w:space="0" w:color="auto"/>
              <w:right w:val="single" w:sz="4" w:space="0" w:color="auto"/>
            </w:tcBorders>
            <w:noWrap/>
            <w:hideMark/>
          </w:tcPr>
          <w:p w14:paraId="15AB1D86"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0.3 - 4.3</w:t>
            </w:r>
          </w:p>
        </w:tc>
      </w:tr>
      <w:tr w:rsidR="007B7636" w:rsidRPr="007B7636" w14:paraId="7044D4B6" w14:textId="77777777" w:rsidTr="001327D4">
        <w:trPr>
          <w:trHeight w:val="29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687D76" w14:textId="77777777" w:rsidR="007B7636" w:rsidRPr="007B7636" w:rsidRDefault="007B7636" w:rsidP="007B7636">
            <w:pPr>
              <w:spacing w:before="0" w:after="200" w:line="276" w:lineRule="auto"/>
              <w:jc w:val="left"/>
              <w:rPr>
                <w:rFonts w:ascii="Arial" w:eastAsia="Times New Roman" w:hAnsi="Arial" w:cs="Times New Roman"/>
                <w:b/>
                <w:bCs/>
                <w:sz w:val="20"/>
                <w:szCs w:val="20"/>
                <w:lang w:eastAsia="en-AU"/>
              </w:rPr>
            </w:pPr>
          </w:p>
        </w:tc>
        <w:tc>
          <w:tcPr>
            <w:tcW w:w="1531" w:type="dxa"/>
            <w:tcBorders>
              <w:top w:val="single" w:sz="4" w:space="0" w:color="auto"/>
              <w:left w:val="single" w:sz="4" w:space="0" w:color="auto"/>
              <w:bottom w:val="single" w:sz="4" w:space="0" w:color="auto"/>
              <w:right w:val="single" w:sz="4" w:space="0" w:color="auto"/>
            </w:tcBorders>
            <w:noWrap/>
            <w:hideMark/>
          </w:tcPr>
          <w:p w14:paraId="19A1F980"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20</w:t>
            </w:r>
          </w:p>
        </w:tc>
        <w:tc>
          <w:tcPr>
            <w:tcW w:w="2013" w:type="dxa"/>
            <w:tcBorders>
              <w:top w:val="single" w:sz="4" w:space="0" w:color="auto"/>
              <w:left w:val="single" w:sz="4" w:space="0" w:color="auto"/>
              <w:bottom w:val="single" w:sz="4" w:space="0" w:color="auto"/>
              <w:right w:val="single" w:sz="4" w:space="0" w:color="auto"/>
            </w:tcBorders>
            <w:noWrap/>
            <w:hideMark/>
          </w:tcPr>
          <w:p w14:paraId="75ED70F9"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8.8</w:t>
            </w:r>
          </w:p>
        </w:tc>
        <w:tc>
          <w:tcPr>
            <w:tcW w:w="1984" w:type="dxa"/>
            <w:tcBorders>
              <w:top w:val="single" w:sz="4" w:space="0" w:color="auto"/>
              <w:left w:val="single" w:sz="4" w:space="0" w:color="auto"/>
              <w:bottom w:val="single" w:sz="4" w:space="0" w:color="auto"/>
              <w:right w:val="single" w:sz="4" w:space="0" w:color="auto"/>
            </w:tcBorders>
            <w:noWrap/>
            <w:hideMark/>
          </w:tcPr>
          <w:p w14:paraId="3113F99E"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1.8</w:t>
            </w:r>
          </w:p>
        </w:tc>
        <w:tc>
          <w:tcPr>
            <w:tcW w:w="1843" w:type="dxa"/>
            <w:tcBorders>
              <w:top w:val="single" w:sz="4" w:space="0" w:color="auto"/>
              <w:left w:val="single" w:sz="4" w:space="0" w:color="auto"/>
              <w:bottom w:val="single" w:sz="4" w:space="0" w:color="auto"/>
              <w:right w:val="single" w:sz="4" w:space="0" w:color="auto"/>
            </w:tcBorders>
            <w:noWrap/>
            <w:hideMark/>
          </w:tcPr>
          <w:p w14:paraId="665BF14C"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5.3 - 12.3</w:t>
            </w:r>
          </w:p>
        </w:tc>
      </w:tr>
      <w:tr w:rsidR="007B7636" w:rsidRPr="007B7636" w14:paraId="3D82EA02" w14:textId="77777777" w:rsidTr="001327D4">
        <w:trPr>
          <w:trHeight w:val="29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BA13DBC" w14:textId="77777777" w:rsidR="007B7636" w:rsidRPr="007B7636" w:rsidRDefault="007B7636" w:rsidP="007B7636">
            <w:pPr>
              <w:spacing w:before="0" w:after="200" w:line="276" w:lineRule="auto"/>
              <w:jc w:val="left"/>
              <w:rPr>
                <w:rFonts w:ascii="Arial" w:eastAsia="Times New Roman" w:hAnsi="Arial" w:cs="Times New Roman"/>
                <w:b/>
                <w:bCs/>
                <w:sz w:val="20"/>
                <w:szCs w:val="20"/>
                <w:lang w:eastAsia="en-AU"/>
              </w:rPr>
            </w:pPr>
          </w:p>
        </w:tc>
        <w:tc>
          <w:tcPr>
            <w:tcW w:w="1531" w:type="dxa"/>
            <w:tcBorders>
              <w:top w:val="single" w:sz="4" w:space="0" w:color="auto"/>
              <w:left w:val="single" w:sz="4" w:space="0" w:color="auto"/>
              <w:bottom w:val="single" w:sz="4" w:space="0" w:color="auto"/>
              <w:right w:val="single" w:sz="4" w:space="0" w:color="auto"/>
            </w:tcBorders>
            <w:noWrap/>
            <w:hideMark/>
          </w:tcPr>
          <w:p w14:paraId="13CA1344"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50</w:t>
            </w:r>
          </w:p>
        </w:tc>
        <w:tc>
          <w:tcPr>
            <w:tcW w:w="2013" w:type="dxa"/>
            <w:tcBorders>
              <w:top w:val="single" w:sz="4" w:space="0" w:color="auto"/>
              <w:left w:val="single" w:sz="4" w:space="0" w:color="auto"/>
              <w:bottom w:val="single" w:sz="4" w:space="0" w:color="auto"/>
              <w:right w:val="single" w:sz="4" w:space="0" w:color="auto"/>
            </w:tcBorders>
            <w:noWrap/>
            <w:hideMark/>
          </w:tcPr>
          <w:p w14:paraId="4A51D37F"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42.2</w:t>
            </w:r>
          </w:p>
        </w:tc>
        <w:tc>
          <w:tcPr>
            <w:tcW w:w="1984" w:type="dxa"/>
            <w:tcBorders>
              <w:top w:val="single" w:sz="4" w:space="0" w:color="auto"/>
              <w:left w:val="single" w:sz="4" w:space="0" w:color="auto"/>
              <w:bottom w:val="single" w:sz="4" w:space="0" w:color="auto"/>
              <w:right w:val="single" w:sz="4" w:space="0" w:color="auto"/>
            </w:tcBorders>
            <w:noWrap/>
            <w:hideMark/>
          </w:tcPr>
          <w:p w14:paraId="402B8707"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3.2</w:t>
            </w:r>
          </w:p>
        </w:tc>
        <w:tc>
          <w:tcPr>
            <w:tcW w:w="1843" w:type="dxa"/>
            <w:tcBorders>
              <w:top w:val="single" w:sz="4" w:space="0" w:color="auto"/>
              <w:left w:val="single" w:sz="4" w:space="0" w:color="auto"/>
              <w:bottom w:val="single" w:sz="4" w:space="0" w:color="auto"/>
              <w:right w:val="single" w:sz="4" w:space="0" w:color="auto"/>
            </w:tcBorders>
            <w:noWrap/>
            <w:hideMark/>
          </w:tcPr>
          <w:p w14:paraId="60E7F3DA"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35.0 – 48.5</w:t>
            </w:r>
          </w:p>
        </w:tc>
      </w:tr>
      <w:tr w:rsidR="007B7636" w:rsidRPr="007B7636" w14:paraId="707C62C6" w14:textId="77777777" w:rsidTr="001327D4">
        <w:trPr>
          <w:trHeight w:val="290"/>
        </w:trPr>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62581336" w14:textId="77777777" w:rsidR="007B7636" w:rsidRPr="007B7636" w:rsidRDefault="007B7636" w:rsidP="007B7636">
            <w:pPr>
              <w:spacing w:before="0" w:after="0" w:line="240" w:lineRule="auto"/>
              <w:jc w:val="left"/>
              <w:rPr>
                <w:rFonts w:ascii="Arial" w:eastAsia="Times New Roman" w:hAnsi="Arial"/>
                <w:b/>
                <w:bCs/>
                <w:sz w:val="20"/>
                <w:szCs w:val="20"/>
                <w:lang w:eastAsia="en-AU"/>
              </w:rPr>
            </w:pPr>
            <w:r w:rsidRPr="007B7636">
              <w:rPr>
                <w:rFonts w:ascii="Arial" w:eastAsia="Times New Roman" w:hAnsi="Arial"/>
                <w:b/>
                <w:bCs/>
                <w:sz w:val="20"/>
                <w:szCs w:val="20"/>
                <w:lang w:eastAsia="en-AU"/>
              </w:rPr>
              <w:t>DRP</w:t>
            </w:r>
          </w:p>
        </w:tc>
        <w:tc>
          <w:tcPr>
            <w:tcW w:w="1531" w:type="dxa"/>
            <w:tcBorders>
              <w:top w:val="single" w:sz="4" w:space="0" w:color="auto"/>
              <w:left w:val="single" w:sz="4" w:space="0" w:color="auto"/>
              <w:bottom w:val="single" w:sz="4" w:space="0" w:color="auto"/>
              <w:right w:val="single" w:sz="4" w:space="0" w:color="auto"/>
            </w:tcBorders>
            <w:noWrap/>
            <w:hideMark/>
          </w:tcPr>
          <w:p w14:paraId="67E5D934"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10</w:t>
            </w:r>
          </w:p>
        </w:tc>
        <w:tc>
          <w:tcPr>
            <w:tcW w:w="2013" w:type="dxa"/>
            <w:tcBorders>
              <w:top w:val="single" w:sz="4" w:space="0" w:color="auto"/>
              <w:left w:val="single" w:sz="4" w:space="0" w:color="auto"/>
              <w:bottom w:val="single" w:sz="4" w:space="0" w:color="auto"/>
              <w:right w:val="single" w:sz="4" w:space="0" w:color="auto"/>
            </w:tcBorders>
            <w:noWrap/>
            <w:hideMark/>
          </w:tcPr>
          <w:p w14:paraId="77CA90E1"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7.8</w:t>
            </w:r>
          </w:p>
        </w:tc>
        <w:tc>
          <w:tcPr>
            <w:tcW w:w="1984" w:type="dxa"/>
            <w:tcBorders>
              <w:top w:val="single" w:sz="4" w:space="0" w:color="auto"/>
              <w:left w:val="single" w:sz="4" w:space="0" w:color="auto"/>
              <w:bottom w:val="single" w:sz="4" w:space="0" w:color="auto"/>
              <w:right w:val="single" w:sz="4" w:space="0" w:color="auto"/>
            </w:tcBorders>
            <w:noWrap/>
            <w:hideMark/>
          </w:tcPr>
          <w:p w14:paraId="312504A5"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1.8</w:t>
            </w:r>
          </w:p>
        </w:tc>
        <w:tc>
          <w:tcPr>
            <w:tcW w:w="1843" w:type="dxa"/>
            <w:tcBorders>
              <w:top w:val="single" w:sz="4" w:space="0" w:color="auto"/>
              <w:left w:val="single" w:sz="4" w:space="0" w:color="auto"/>
              <w:bottom w:val="single" w:sz="4" w:space="0" w:color="auto"/>
              <w:right w:val="single" w:sz="4" w:space="0" w:color="auto"/>
            </w:tcBorders>
            <w:noWrap/>
            <w:hideMark/>
          </w:tcPr>
          <w:p w14:paraId="742FFFFC"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4.3 - 11.3</w:t>
            </w:r>
          </w:p>
        </w:tc>
      </w:tr>
      <w:tr w:rsidR="007B7636" w:rsidRPr="007B7636" w14:paraId="3CA2F632" w14:textId="77777777" w:rsidTr="001327D4">
        <w:trPr>
          <w:trHeight w:val="29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EE64C6C" w14:textId="77777777" w:rsidR="007B7636" w:rsidRPr="007B7636" w:rsidRDefault="007B7636" w:rsidP="007B7636">
            <w:pPr>
              <w:spacing w:before="0" w:after="200" w:line="276" w:lineRule="auto"/>
              <w:jc w:val="left"/>
              <w:rPr>
                <w:rFonts w:ascii="Arial" w:eastAsia="Times New Roman" w:hAnsi="Arial" w:cs="Times New Roman"/>
                <w:sz w:val="20"/>
                <w:szCs w:val="20"/>
                <w:lang w:eastAsia="en-AU"/>
              </w:rPr>
            </w:pPr>
          </w:p>
        </w:tc>
        <w:tc>
          <w:tcPr>
            <w:tcW w:w="1531" w:type="dxa"/>
            <w:tcBorders>
              <w:top w:val="single" w:sz="4" w:space="0" w:color="auto"/>
              <w:left w:val="single" w:sz="4" w:space="0" w:color="auto"/>
              <w:bottom w:val="single" w:sz="4" w:space="0" w:color="auto"/>
              <w:right w:val="single" w:sz="4" w:space="0" w:color="auto"/>
            </w:tcBorders>
            <w:noWrap/>
            <w:hideMark/>
          </w:tcPr>
          <w:p w14:paraId="140ECD3D"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20</w:t>
            </w:r>
          </w:p>
        </w:tc>
        <w:tc>
          <w:tcPr>
            <w:tcW w:w="2013" w:type="dxa"/>
            <w:tcBorders>
              <w:top w:val="single" w:sz="4" w:space="0" w:color="auto"/>
              <w:left w:val="single" w:sz="4" w:space="0" w:color="auto"/>
              <w:bottom w:val="single" w:sz="4" w:space="0" w:color="auto"/>
              <w:right w:val="single" w:sz="4" w:space="0" w:color="auto"/>
            </w:tcBorders>
            <w:noWrap/>
            <w:hideMark/>
          </w:tcPr>
          <w:p w14:paraId="16E45655"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19.9</w:t>
            </w:r>
          </w:p>
        </w:tc>
        <w:tc>
          <w:tcPr>
            <w:tcW w:w="1984" w:type="dxa"/>
            <w:tcBorders>
              <w:top w:val="single" w:sz="4" w:space="0" w:color="auto"/>
              <w:left w:val="single" w:sz="4" w:space="0" w:color="auto"/>
              <w:bottom w:val="single" w:sz="4" w:space="0" w:color="auto"/>
              <w:right w:val="single" w:sz="4" w:space="0" w:color="auto"/>
            </w:tcBorders>
            <w:noWrap/>
            <w:hideMark/>
          </w:tcPr>
          <w:p w14:paraId="50D0C50F"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2.5</w:t>
            </w:r>
          </w:p>
        </w:tc>
        <w:tc>
          <w:tcPr>
            <w:tcW w:w="1843" w:type="dxa"/>
            <w:tcBorders>
              <w:top w:val="single" w:sz="4" w:space="0" w:color="auto"/>
              <w:left w:val="single" w:sz="4" w:space="0" w:color="auto"/>
              <w:bottom w:val="single" w:sz="4" w:space="0" w:color="auto"/>
              <w:right w:val="single" w:sz="4" w:space="0" w:color="auto"/>
            </w:tcBorders>
            <w:noWrap/>
            <w:hideMark/>
          </w:tcPr>
          <w:p w14:paraId="7424A38B"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15.0 - 24.8</w:t>
            </w:r>
          </w:p>
        </w:tc>
      </w:tr>
      <w:tr w:rsidR="007B7636" w:rsidRPr="007B7636" w14:paraId="4CFC3065" w14:textId="77777777" w:rsidTr="001327D4">
        <w:trPr>
          <w:trHeight w:val="29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2CBA8D1" w14:textId="77777777" w:rsidR="007B7636" w:rsidRPr="007B7636" w:rsidRDefault="007B7636" w:rsidP="007B7636">
            <w:pPr>
              <w:spacing w:before="0" w:after="200" w:line="276" w:lineRule="auto"/>
              <w:jc w:val="left"/>
              <w:rPr>
                <w:rFonts w:ascii="Arial" w:eastAsia="Times New Roman" w:hAnsi="Arial" w:cs="Times New Roman"/>
                <w:sz w:val="20"/>
                <w:szCs w:val="20"/>
                <w:lang w:eastAsia="en-AU"/>
              </w:rPr>
            </w:pPr>
          </w:p>
        </w:tc>
        <w:tc>
          <w:tcPr>
            <w:tcW w:w="1531" w:type="dxa"/>
            <w:tcBorders>
              <w:top w:val="single" w:sz="4" w:space="0" w:color="auto"/>
              <w:left w:val="single" w:sz="4" w:space="0" w:color="auto"/>
              <w:bottom w:val="single" w:sz="4" w:space="0" w:color="auto"/>
              <w:right w:val="single" w:sz="4" w:space="0" w:color="auto"/>
            </w:tcBorders>
            <w:noWrap/>
            <w:hideMark/>
          </w:tcPr>
          <w:p w14:paraId="6A182CCB"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50</w:t>
            </w:r>
          </w:p>
        </w:tc>
        <w:tc>
          <w:tcPr>
            <w:tcW w:w="2013" w:type="dxa"/>
            <w:tcBorders>
              <w:top w:val="single" w:sz="4" w:space="0" w:color="auto"/>
              <w:left w:val="single" w:sz="4" w:space="0" w:color="auto"/>
              <w:bottom w:val="single" w:sz="4" w:space="0" w:color="auto"/>
              <w:right w:val="single" w:sz="4" w:space="0" w:color="auto"/>
            </w:tcBorders>
            <w:noWrap/>
            <w:hideMark/>
          </w:tcPr>
          <w:p w14:paraId="3C7B63E7"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58.7</w:t>
            </w:r>
          </w:p>
        </w:tc>
        <w:tc>
          <w:tcPr>
            <w:tcW w:w="1984" w:type="dxa"/>
            <w:tcBorders>
              <w:top w:val="single" w:sz="4" w:space="0" w:color="auto"/>
              <w:left w:val="single" w:sz="4" w:space="0" w:color="auto"/>
              <w:bottom w:val="single" w:sz="4" w:space="0" w:color="auto"/>
              <w:right w:val="single" w:sz="4" w:space="0" w:color="auto"/>
            </w:tcBorders>
            <w:noWrap/>
            <w:hideMark/>
          </w:tcPr>
          <w:p w14:paraId="64B46DEE"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3.5</w:t>
            </w:r>
          </w:p>
        </w:tc>
        <w:tc>
          <w:tcPr>
            <w:tcW w:w="1843" w:type="dxa"/>
            <w:tcBorders>
              <w:top w:val="single" w:sz="4" w:space="0" w:color="auto"/>
              <w:left w:val="single" w:sz="4" w:space="0" w:color="auto"/>
              <w:bottom w:val="single" w:sz="4" w:space="0" w:color="auto"/>
              <w:right w:val="single" w:sz="4" w:space="0" w:color="auto"/>
            </w:tcBorders>
            <w:noWrap/>
            <w:hideMark/>
          </w:tcPr>
          <w:p w14:paraId="78EA3B91" w14:textId="77777777" w:rsidR="007B7636" w:rsidRPr="007B7636" w:rsidRDefault="007B7636" w:rsidP="007B7636">
            <w:pPr>
              <w:spacing w:before="0" w:after="0" w:line="240" w:lineRule="auto"/>
              <w:jc w:val="center"/>
              <w:rPr>
                <w:rFonts w:ascii="Arial" w:eastAsia="Times New Roman" w:hAnsi="Arial"/>
                <w:sz w:val="20"/>
                <w:szCs w:val="20"/>
                <w:lang w:eastAsia="en-AU"/>
              </w:rPr>
            </w:pPr>
            <w:r w:rsidRPr="007B7636">
              <w:rPr>
                <w:rFonts w:ascii="Arial" w:eastAsia="Times New Roman" w:hAnsi="Arial"/>
                <w:sz w:val="20"/>
                <w:szCs w:val="20"/>
                <w:lang w:eastAsia="en-AU"/>
              </w:rPr>
              <w:t>51.8 - 65.6</w:t>
            </w:r>
          </w:p>
        </w:tc>
      </w:tr>
    </w:tbl>
    <w:p w14:paraId="01D98350" w14:textId="77777777" w:rsidR="007B7636" w:rsidRDefault="007B7636" w:rsidP="007B7636">
      <w:pPr>
        <w:spacing w:before="0" w:after="200" w:line="276" w:lineRule="auto"/>
        <w:jc w:val="left"/>
        <w:rPr>
          <w:rFonts w:eastAsia="Calibri" w:cs="Times New Roman"/>
          <w:lang w:val="en-US" w:eastAsia="en-US"/>
        </w:rPr>
      </w:pPr>
    </w:p>
    <w:p w14:paraId="108F47C4" w14:textId="77777777" w:rsidR="00580062" w:rsidRPr="00580062" w:rsidRDefault="00580062" w:rsidP="00580062">
      <w:pPr>
        <w:spacing w:before="0" w:after="200" w:line="240" w:lineRule="auto"/>
        <w:jc w:val="left"/>
        <w:rPr>
          <w:rFonts w:eastAsia="Times New Roman" w:cs="Times New Roman"/>
          <w:b/>
          <w:bCs/>
          <w:smallCaps/>
          <w:color w:val="1F497D"/>
          <w:spacing w:val="6"/>
          <w:szCs w:val="18"/>
          <w:lang w:val="en-US" w:eastAsia="en-US" w:bidi="hi-IN"/>
        </w:rPr>
      </w:pPr>
      <w:r w:rsidRPr="00580062">
        <w:rPr>
          <w:rFonts w:eastAsia="Times New Roman" w:cs="Times New Roman"/>
          <w:b/>
          <w:bCs/>
          <w:smallCaps/>
          <w:color w:val="1F497D"/>
          <w:spacing w:val="6"/>
          <w:szCs w:val="18"/>
          <w:lang w:val="en-US" w:eastAsia="en-US" w:bidi="hi-IN"/>
        </w:rPr>
        <w:t>Table 6. Test results for the 2020 analysis.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31"/>
        <w:gridCol w:w="2008"/>
        <w:gridCol w:w="1984"/>
        <w:gridCol w:w="1843"/>
      </w:tblGrid>
      <w:tr w:rsidR="007B7636" w:rsidRPr="007B7636" w14:paraId="17507F40" w14:textId="77777777" w:rsidTr="001327D4">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3C0EA6B"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r w:rsidRPr="007B7636">
              <w:rPr>
                <w:rFonts w:ascii="Arial" w:eastAsia="Times New Roman" w:hAnsi="Arial" w:cs="Arial"/>
                <w:b/>
                <w:bCs/>
                <w:color w:val="000000"/>
                <w:sz w:val="20"/>
                <w:szCs w:val="20"/>
                <w:lang w:val="en-US" w:eastAsia="en-US"/>
              </w:rPr>
              <w:t>Variable</w:t>
            </w:r>
          </w:p>
        </w:tc>
        <w:tc>
          <w:tcPr>
            <w:tcW w:w="15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EDEEE6" w14:textId="77777777" w:rsidR="007B7636" w:rsidRPr="007B7636" w:rsidRDefault="007B7636" w:rsidP="007B7636">
            <w:pPr>
              <w:spacing w:before="0" w:after="0" w:line="240" w:lineRule="auto"/>
              <w:jc w:val="center"/>
              <w:rPr>
                <w:rFonts w:ascii="Arial" w:eastAsia="Times New Roman" w:hAnsi="Arial" w:cs="Arial"/>
                <w:b/>
                <w:bCs/>
                <w:color w:val="000000"/>
                <w:sz w:val="20"/>
                <w:szCs w:val="20"/>
                <w:lang w:val="en-US" w:eastAsia="en-US"/>
              </w:rPr>
            </w:pPr>
            <w:r w:rsidRPr="007B7636">
              <w:rPr>
                <w:rFonts w:ascii="Arial" w:eastAsia="Times New Roman" w:hAnsi="Arial" w:cs="Arial"/>
                <w:b/>
                <w:bCs/>
                <w:color w:val="000000"/>
                <w:sz w:val="20"/>
                <w:szCs w:val="20"/>
                <w:lang w:val="en-US" w:eastAsia="en-US"/>
              </w:rPr>
              <w:t>Spatial exceedance</w:t>
            </w:r>
          </w:p>
        </w:tc>
        <w:tc>
          <w:tcPr>
            <w:tcW w:w="200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4F2DA34" w14:textId="77777777" w:rsidR="007B7636" w:rsidRPr="007B7636" w:rsidRDefault="007B7636" w:rsidP="007B7636">
            <w:pPr>
              <w:spacing w:before="0" w:after="0" w:line="240" w:lineRule="auto"/>
              <w:jc w:val="center"/>
              <w:rPr>
                <w:rFonts w:ascii="Arial" w:eastAsia="Times New Roman" w:hAnsi="Arial" w:cs="Arial"/>
                <w:b/>
                <w:bCs/>
                <w:color w:val="000000"/>
                <w:sz w:val="20"/>
                <w:szCs w:val="20"/>
                <w:lang w:eastAsia="en-US"/>
              </w:rPr>
            </w:pPr>
            <w:r w:rsidRPr="007B7636">
              <w:rPr>
                <w:rFonts w:ascii="Arial" w:eastAsia="Times New Roman" w:hAnsi="Arial" w:cs="Arial"/>
                <w:b/>
                <w:bCs/>
                <w:sz w:val="20"/>
                <w:szCs w:val="20"/>
                <w:lang w:val="en-US" w:eastAsia="en-US"/>
              </w:rPr>
              <w:t>Mean proportion exceeding (%)</w:t>
            </w:r>
          </w:p>
        </w:tc>
        <w:tc>
          <w:tcPr>
            <w:tcW w:w="198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3A9BF0D" w14:textId="77777777" w:rsidR="007B7636" w:rsidRPr="007B7636" w:rsidRDefault="007B7636" w:rsidP="007B7636">
            <w:pPr>
              <w:spacing w:before="0" w:after="0" w:line="240" w:lineRule="auto"/>
              <w:jc w:val="center"/>
              <w:rPr>
                <w:rFonts w:ascii="Arial" w:eastAsia="Times New Roman" w:hAnsi="Arial" w:cs="Arial"/>
                <w:b/>
                <w:bCs/>
                <w:color w:val="000000"/>
                <w:sz w:val="20"/>
                <w:szCs w:val="20"/>
                <w:lang w:val="en-US" w:eastAsia="en-US"/>
              </w:rPr>
            </w:pPr>
            <w:r w:rsidRPr="007B7636">
              <w:rPr>
                <w:rFonts w:ascii="Arial" w:eastAsia="Times New Roman" w:hAnsi="Arial" w:cs="Arial"/>
                <w:b/>
                <w:bCs/>
                <w:sz w:val="20"/>
                <w:szCs w:val="20"/>
                <w:lang w:val="en-US" w:eastAsia="en-US"/>
              </w:rPr>
              <w:t>Standard error mean proportion exceeding (%)</w:t>
            </w:r>
          </w:p>
        </w:tc>
        <w:tc>
          <w:tcPr>
            <w:tcW w:w="184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2133E78" w14:textId="77777777" w:rsidR="007B7636" w:rsidRPr="007B7636" w:rsidRDefault="007B7636" w:rsidP="007B7636">
            <w:pPr>
              <w:spacing w:before="0" w:after="0" w:line="240" w:lineRule="auto"/>
              <w:jc w:val="center"/>
              <w:rPr>
                <w:rFonts w:ascii="Arial" w:eastAsia="Times New Roman" w:hAnsi="Arial" w:cs="Arial"/>
                <w:b/>
                <w:bCs/>
                <w:color w:val="000000"/>
                <w:sz w:val="20"/>
                <w:szCs w:val="20"/>
                <w:lang w:val="en-US" w:eastAsia="en-US"/>
              </w:rPr>
            </w:pPr>
            <w:r w:rsidRPr="007B7636">
              <w:rPr>
                <w:rFonts w:ascii="Arial" w:eastAsia="Times New Roman" w:hAnsi="Arial" w:cs="Arial"/>
                <w:b/>
                <w:bCs/>
                <w:sz w:val="20"/>
                <w:szCs w:val="20"/>
                <w:lang w:val="en-US" w:eastAsia="en-US"/>
              </w:rPr>
              <w:t>95% confidence intervals (%)</w:t>
            </w:r>
          </w:p>
        </w:tc>
      </w:tr>
      <w:tr w:rsidR="007B7636" w:rsidRPr="007B7636" w14:paraId="025FEFEC" w14:textId="77777777" w:rsidTr="001327D4">
        <w:trPr>
          <w:trHeight w:val="300"/>
        </w:trPr>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062E852F"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r w:rsidRPr="007B7636">
              <w:rPr>
                <w:rFonts w:ascii="Arial" w:eastAsia="Times New Roman" w:hAnsi="Arial" w:cs="Arial"/>
                <w:b/>
                <w:bCs/>
                <w:color w:val="000000"/>
                <w:sz w:val="20"/>
                <w:szCs w:val="20"/>
                <w:lang w:val="en-US" w:eastAsia="en-US"/>
              </w:rPr>
              <w:t>TN</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1B801C3"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4B287DB1"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B6ABFB2"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490C0B"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0.3 - 4.3</w:t>
            </w:r>
          </w:p>
        </w:tc>
      </w:tr>
      <w:tr w:rsidR="007B7636" w:rsidRPr="007B7636" w14:paraId="1E9EFAB2"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583CFD5"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1CC8E078"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61582E03"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9.2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EEA21CD"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71F80DA"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5.5 - 12.9</w:t>
            </w:r>
          </w:p>
        </w:tc>
      </w:tr>
      <w:tr w:rsidR="007B7636" w:rsidRPr="007B7636" w14:paraId="4DF220AE"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4044DCA"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4291107"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767F20CB"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19.1</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619F121"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C442953"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14.2 - 24</w:t>
            </w:r>
          </w:p>
        </w:tc>
      </w:tr>
      <w:tr w:rsidR="007B7636" w:rsidRPr="007B7636" w14:paraId="0C22A1A1"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CDC90A5"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14A5F731"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50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3E08BFD5"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38.6</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0B42E96"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B6C1306"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31.9 - 45.3</w:t>
            </w:r>
          </w:p>
        </w:tc>
      </w:tr>
      <w:tr w:rsidR="007B7636" w:rsidRPr="007B7636" w14:paraId="26AC5CC4" w14:textId="77777777" w:rsidTr="001327D4">
        <w:trPr>
          <w:trHeight w:val="300"/>
        </w:trPr>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9F45CD"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r w:rsidRPr="007B7636">
              <w:rPr>
                <w:rFonts w:ascii="Arial" w:eastAsia="Times New Roman" w:hAnsi="Arial" w:cs="Arial"/>
                <w:b/>
                <w:bCs/>
                <w:color w:val="000000"/>
                <w:sz w:val="20"/>
                <w:szCs w:val="20"/>
                <w:lang w:val="en-US" w:eastAsia="en-US"/>
              </w:rPr>
              <w:t>DRP</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44598AD"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1CFED81A"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8.1</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7B51A36"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BB6F5E"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4.6 - 11.6</w:t>
            </w:r>
          </w:p>
        </w:tc>
      </w:tr>
      <w:tr w:rsidR="007B7636" w:rsidRPr="007B7636" w14:paraId="6D1304E1"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D6F892B"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7AEE18C6"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1B396230"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20.1</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3788177"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10B6448"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15.2 - 25</w:t>
            </w:r>
          </w:p>
        </w:tc>
      </w:tr>
      <w:tr w:rsidR="007B7636" w:rsidRPr="007B7636" w14:paraId="06DA3975"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DAF2D11"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1460AC70"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5BC3EE32"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32.8</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695E622"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AA6464"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26.7 - 38.9</w:t>
            </w:r>
          </w:p>
        </w:tc>
      </w:tr>
      <w:tr w:rsidR="007B7636" w:rsidRPr="007B7636" w14:paraId="4BD6F00C" w14:textId="77777777" w:rsidTr="001327D4">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CDAEAE8" w14:textId="77777777" w:rsidR="007B7636" w:rsidRPr="007B7636" w:rsidRDefault="007B7636" w:rsidP="007B7636">
            <w:pPr>
              <w:spacing w:before="0" w:after="0" w:line="240" w:lineRule="auto"/>
              <w:jc w:val="left"/>
              <w:rPr>
                <w:rFonts w:ascii="Arial" w:eastAsia="Times New Roman" w:hAnsi="Arial" w:cs="Arial"/>
                <w:b/>
                <w:bCs/>
                <w:color w:val="000000"/>
                <w:sz w:val="20"/>
                <w:szCs w:val="20"/>
                <w:lang w:val="en-US" w:eastAsia="en-US"/>
              </w:rPr>
            </w:pP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7572C954"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50</w:t>
            </w:r>
          </w:p>
        </w:tc>
        <w:tc>
          <w:tcPr>
            <w:tcW w:w="2008" w:type="dxa"/>
            <w:tcBorders>
              <w:top w:val="single" w:sz="4" w:space="0" w:color="auto"/>
              <w:left w:val="single" w:sz="4" w:space="0" w:color="auto"/>
              <w:bottom w:val="single" w:sz="4" w:space="0" w:color="auto"/>
              <w:right w:val="single" w:sz="4" w:space="0" w:color="auto"/>
            </w:tcBorders>
            <w:noWrap/>
            <w:vAlign w:val="bottom"/>
            <w:hideMark/>
          </w:tcPr>
          <w:p w14:paraId="4FA28FE1"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59.2</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A768807"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3.5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04D2D7E" w14:textId="77777777" w:rsidR="007B7636" w:rsidRPr="007B7636" w:rsidRDefault="007B7636" w:rsidP="007B7636">
            <w:pPr>
              <w:spacing w:before="0" w:after="0" w:line="240" w:lineRule="auto"/>
              <w:jc w:val="center"/>
              <w:rPr>
                <w:rFonts w:ascii="Arial" w:eastAsia="Times New Roman" w:hAnsi="Arial" w:cs="Arial"/>
                <w:color w:val="000000"/>
                <w:sz w:val="20"/>
                <w:szCs w:val="20"/>
                <w:lang w:val="en-US" w:eastAsia="en-US"/>
              </w:rPr>
            </w:pPr>
            <w:r w:rsidRPr="007B7636">
              <w:rPr>
                <w:rFonts w:ascii="Arial" w:eastAsia="Times New Roman" w:hAnsi="Arial" w:cs="Arial"/>
                <w:color w:val="000000"/>
                <w:sz w:val="20"/>
                <w:szCs w:val="20"/>
                <w:lang w:val="en-US" w:eastAsia="en-US"/>
              </w:rPr>
              <w:t>52.3 - 66.1</w:t>
            </w:r>
          </w:p>
        </w:tc>
      </w:tr>
    </w:tbl>
    <w:p w14:paraId="0FC3DBD2" w14:textId="77777777" w:rsidR="008A69C9" w:rsidRDefault="008A69C9" w:rsidP="008A69C9">
      <w:pPr>
        <w:pStyle w:val="BodyText"/>
        <w:rPr>
          <w:lang w:val="en-US" w:eastAsia="en-US"/>
        </w:rPr>
      </w:pPr>
    </w:p>
    <w:p w14:paraId="67D4CA7F" w14:textId="77777777" w:rsidR="007B7636" w:rsidRPr="007B7636" w:rsidRDefault="007B7636" w:rsidP="008A69C9">
      <w:pPr>
        <w:pStyle w:val="BodyText"/>
        <w:rPr>
          <w:rFonts w:ascii="Cambria" w:hAnsi="Cambria"/>
          <w:sz w:val="28"/>
          <w:szCs w:val="28"/>
          <w:lang w:val="en-US" w:eastAsia="en-US"/>
        </w:rPr>
      </w:pPr>
      <w:r w:rsidRPr="007B7636">
        <w:rPr>
          <w:lang w:val="en-US" w:eastAsia="en-US"/>
        </w:rPr>
        <w:br w:type="page"/>
      </w:r>
    </w:p>
    <w:p w14:paraId="696967B7" w14:textId="77777777" w:rsidR="007B7636" w:rsidRPr="007B7636" w:rsidRDefault="007B7636" w:rsidP="007B7636">
      <w:pPr>
        <w:spacing w:before="480" w:after="0" w:line="276" w:lineRule="auto"/>
        <w:contextualSpacing/>
        <w:jc w:val="left"/>
        <w:outlineLvl w:val="0"/>
        <w:rPr>
          <w:rFonts w:ascii="Cambria" w:eastAsia="Times New Roman" w:hAnsi="Cambria" w:cs="Times New Roman"/>
          <w:b/>
          <w:bCs/>
          <w:sz w:val="28"/>
          <w:szCs w:val="28"/>
          <w:lang w:val="en-US" w:eastAsia="en-US"/>
        </w:rPr>
      </w:pPr>
      <w:r w:rsidRPr="007B7636">
        <w:rPr>
          <w:rFonts w:ascii="Cambria" w:eastAsia="Times New Roman" w:hAnsi="Cambria" w:cs="Times New Roman"/>
          <w:b/>
          <w:bCs/>
          <w:sz w:val="28"/>
          <w:szCs w:val="28"/>
          <w:lang w:val="en-US" w:eastAsia="en-US"/>
        </w:rPr>
        <w:lastRenderedPageBreak/>
        <w:t>References</w:t>
      </w:r>
    </w:p>
    <w:p w14:paraId="0BBCC1CF" w14:textId="393A3D53" w:rsidR="007B7636" w:rsidRPr="007B7636" w:rsidRDefault="007B7636" w:rsidP="00143BF5">
      <w:pPr>
        <w:pStyle w:val="BodyText"/>
        <w:rPr>
          <w:lang w:val="en-US" w:eastAsia="en-US"/>
        </w:rPr>
      </w:pPr>
      <w:r w:rsidRPr="007B7636">
        <w:rPr>
          <w:lang w:val="en-US" w:eastAsia="en-US"/>
        </w:rPr>
        <w:t>LWP, 2020. Definition of nutrient concentration targets for periphyton objectives including 30</w:t>
      </w:r>
      <w:r w:rsidR="008E40DC">
        <w:rPr>
          <w:lang w:val="en-US" w:eastAsia="en-US"/>
        </w:rPr>
        <w:t xml:space="preserve"> per cent</w:t>
      </w:r>
      <w:r w:rsidRPr="007B7636">
        <w:rPr>
          <w:lang w:val="en-US" w:eastAsia="en-US"/>
        </w:rPr>
        <w:t xml:space="preserve"> spatial exceedance criteria. Memo to MFE. 4</w:t>
      </w:r>
      <w:r w:rsidRPr="007B7636">
        <w:rPr>
          <w:vertAlign w:val="superscript"/>
          <w:lang w:val="en-US" w:eastAsia="en-US"/>
        </w:rPr>
        <w:t>th</w:t>
      </w:r>
      <w:r w:rsidRPr="007B7636">
        <w:rPr>
          <w:lang w:val="en-US" w:eastAsia="en-US"/>
        </w:rPr>
        <w:t xml:space="preserve"> March 2020</w:t>
      </w:r>
      <w:r w:rsidR="008E228F">
        <w:rPr>
          <w:lang w:val="en-US" w:eastAsia="en-US"/>
        </w:rPr>
        <w:t>.</w:t>
      </w:r>
    </w:p>
    <w:p w14:paraId="6363CC02" w14:textId="77777777" w:rsidR="007B7636" w:rsidRPr="007B7636" w:rsidRDefault="007B7636" w:rsidP="00143BF5">
      <w:pPr>
        <w:pStyle w:val="BodyText"/>
        <w:rPr>
          <w:rFonts w:cs="Calibri"/>
          <w:lang w:val="en-US" w:eastAsia="en-US"/>
        </w:rPr>
      </w:pPr>
      <w:r w:rsidRPr="007B7636">
        <w:rPr>
          <w:lang w:val="en-US" w:eastAsia="en-US"/>
        </w:rPr>
        <w:fldChar w:fldCharType="begin"/>
      </w:r>
      <w:r w:rsidRPr="007B7636">
        <w:rPr>
          <w:lang w:val="en-US" w:eastAsia="en-US"/>
        </w:rPr>
        <w:instrText xml:space="preserve"> ADDIN ZOTERO_BIBL {"uncited":[],"omitted":[],"custom":[]} CSL_BIBLIOGRAPHY </w:instrText>
      </w:r>
      <w:r w:rsidRPr="007B7636">
        <w:rPr>
          <w:lang w:val="en-US" w:eastAsia="en-US"/>
        </w:rPr>
        <w:fldChar w:fldCharType="separate"/>
      </w:r>
      <w:r w:rsidRPr="007B7636">
        <w:rPr>
          <w:rFonts w:cs="Calibri"/>
          <w:lang w:val="en-US" w:eastAsia="en-US"/>
        </w:rPr>
        <w:t xml:space="preserve">MFE, 2019. </w:t>
      </w:r>
      <w:r w:rsidRPr="008E228F">
        <w:rPr>
          <w:rFonts w:cs="Calibri"/>
          <w:i/>
          <w:iCs/>
          <w:lang w:val="en-US" w:eastAsia="en-US"/>
        </w:rPr>
        <w:t xml:space="preserve">Essential Freshwater: Impact of Existing Periphyton and Proposed Dissolved Inorganic Nitrogen </w:t>
      </w:r>
      <w:r w:rsidR="0067679D" w:rsidRPr="008E228F">
        <w:rPr>
          <w:rFonts w:cs="Calibri"/>
          <w:i/>
          <w:iCs/>
          <w:lang w:val="en-US" w:eastAsia="en-US"/>
        </w:rPr>
        <w:t>Bottom-line</w:t>
      </w:r>
      <w:r w:rsidRPr="008E228F">
        <w:rPr>
          <w:rFonts w:cs="Calibri"/>
          <w:i/>
          <w:iCs/>
          <w:lang w:val="en-US" w:eastAsia="en-US"/>
        </w:rPr>
        <w:t>s</w:t>
      </w:r>
      <w:r w:rsidRPr="007B7636">
        <w:rPr>
          <w:rFonts w:cs="Calibri"/>
          <w:lang w:val="en-US" w:eastAsia="en-US"/>
        </w:rPr>
        <w:t>. Ministry for the Environment &amp; Statistics NZ, Wellington, New Zealand.</w:t>
      </w:r>
    </w:p>
    <w:p w14:paraId="06965035" w14:textId="77777777" w:rsidR="007B7636" w:rsidRPr="007B7636" w:rsidRDefault="007B7636" w:rsidP="00143BF5">
      <w:pPr>
        <w:pStyle w:val="BodyText"/>
        <w:rPr>
          <w:rFonts w:cs="Calibri"/>
          <w:lang w:val="en-US" w:eastAsia="en-US"/>
        </w:rPr>
      </w:pPr>
      <w:r w:rsidRPr="007B7636">
        <w:rPr>
          <w:rFonts w:cs="Calibri"/>
          <w:lang w:val="en-US" w:eastAsia="en-US"/>
        </w:rPr>
        <w:t xml:space="preserve">Snelder, T., 2018. </w:t>
      </w:r>
      <w:r w:rsidRPr="008E228F">
        <w:rPr>
          <w:rFonts w:cs="Calibri"/>
          <w:i/>
          <w:iCs/>
          <w:lang w:val="en-US" w:eastAsia="en-US"/>
        </w:rPr>
        <w:t>Nutrient Concentration Targets to Achieve Periphyton Biomass Objectives Incorporating Uncertainties</w:t>
      </w:r>
      <w:r w:rsidRPr="007B7636">
        <w:rPr>
          <w:rFonts w:cs="Calibri"/>
          <w:lang w:val="en-US" w:eastAsia="en-US"/>
        </w:rPr>
        <w:t>. GNS Science Report, Geological and Nuclear Sciences, Wellington, New Zealand.</w:t>
      </w:r>
    </w:p>
    <w:p w14:paraId="4F8FAECF" w14:textId="77777777" w:rsidR="007B7636" w:rsidRPr="007B7636" w:rsidRDefault="007B7636" w:rsidP="00143BF5">
      <w:pPr>
        <w:pStyle w:val="BodyText"/>
        <w:rPr>
          <w:rFonts w:cs="Calibri"/>
          <w:lang w:val="en-US" w:eastAsia="en-US"/>
        </w:rPr>
      </w:pPr>
      <w:r w:rsidRPr="007B7636">
        <w:rPr>
          <w:rFonts w:cs="Calibri"/>
          <w:lang w:val="en-US" w:eastAsia="en-US"/>
        </w:rPr>
        <w:t xml:space="preserve">Snelder, T.H., C. Moore, and C. Kilroy, 2019. Nutrient Concentration Targets to Achieve Periphyton Biomass Objectives Incorporating Uncertainties. </w:t>
      </w:r>
      <w:r w:rsidRPr="008E228F">
        <w:rPr>
          <w:rFonts w:cs="Calibri"/>
          <w:i/>
          <w:iCs/>
          <w:lang w:val="en-US" w:eastAsia="en-US"/>
        </w:rPr>
        <w:t>JAWRA Journal of the American Water Resources Association</w:t>
      </w:r>
      <w:r w:rsidRPr="007B7636">
        <w:rPr>
          <w:rFonts w:cs="Calibri"/>
          <w:lang w:val="en-US" w:eastAsia="en-US"/>
        </w:rPr>
        <w:t xml:space="preserve"> 55:1443–1463.</w:t>
      </w:r>
    </w:p>
    <w:p w14:paraId="563225D2" w14:textId="77777777" w:rsidR="0062560D" w:rsidRDefault="007B7636" w:rsidP="00143BF5">
      <w:pPr>
        <w:pStyle w:val="BodyText"/>
        <w:rPr>
          <w:lang w:val="en-US" w:eastAsia="en-US"/>
        </w:rPr>
        <w:sectPr w:rsidR="0062560D" w:rsidSect="008D78FF">
          <w:footerReference w:type="even" r:id="rId40"/>
          <w:footerReference w:type="default" r:id="rId41"/>
          <w:pgSz w:w="11907" w:h="16840" w:code="9"/>
          <w:pgMar w:top="1134" w:right="1418" w:bottom="1134" w:left="1418" w:header="567" w:footer="567" w:gutter="567"/>
          <w:cols w:space="720"/>
          <w:docGrid w:linePitch="299"/>
        </w:sectPr>
      </w:pPr>
      <w:r w:rsidRPr="007B7636">
        <w:rPr>
          <w:lang w:val="en-US" w:eastAsia="en-US"/>
        </w:rPr>
        <w:fldChar w:fldCharType="end"/>
      </w:r>
    </w:p>
    <w:p w14:paraId="5CE1D556" w14:textId="77777777" w:rsidR="0062560D" w:rsidRDefault="0062560D" w:rsidP="009C00F7">
      <w:pPr>
        <w:pStyle w:val="Heading1"/>
        <w:rPr>
          <w:lang w:val="en-US" w:eastAsia="en-US"/>
        </w:rPr>
      </w:pPr>
      <w:bookmarkStart w:id="239" w:name="_Toc40949878"/>
      <w:r>
        <w:rPr>
          <w:lang w:val="en-US" w:eastAsia="en-US"/>
        </w:rPr>
        <w:lastRenderedPageBreak/>
        <w:t>Appendix 3</w:t>
      </w:r>
      <w:r w:rsidR="009C00F7">
        <w:rPr>
          <w:lang w:val="en-US" w:eastAsia="en-US"/>
        </w:rPr>
        <w:t>:</w:t>
      </w:r>
      <w:r>
        <w:rPr>
          <w:lang w:val="en-US" w:eastAsia="en-US"/>
        </w:rPr>
        <w:t xml:space="preserve"> </w:t>
      </w:r>
      <w:r w:rsidR="009C00F7">
        <w:rPr>
          <w:lang w:val="en-US" w:eastAsia="en-US"/>
        </w:rPr>
        <w:t>Model r</w:t>
      </w:r>
      <w:r>
        <w:rPr>
          <w:lang w:val="en-US" w:eastAsia="en-US"/>
        </w:rPr>
        <w:t>esults</w:t>
      </w:r>
      <w:r w:rsidR="009C00F7">
        <w:rPr>
          <w:lang w:val="en-US" w:eastAsia="en-US"/>
        </w:rPr>
        <w:t xml:space="preserve"> by scenario and region</w:t>
      </w:r>
      <w:bookmarkEnd w:id="239"/>
    </w:p>
    <w:p w14:paraId="5EC21B3B" w14:textId="58CFF774" w:rsidR="0062560D" w:rsidRPr="000C77E1" w:rsidRDefault="0062560D" w:rsidP="009B00A0">
      <w:pPr>
        <w:pStyle w:val="Tableheading"/>
        <w:spacing w:before="0"/>
      </w:pPr>
      <w:r>
        <w:rPr>
          <w:lang w:val="en-US"/>
        </w:rPr>
        <w:t xml:space="preserve">Table </w:t>
      </w:r>
      <w:r w:rsidR="009C00F7">
        <w:rPr>
          <w:lang w:val="en-US"/>
        </w:rPr>
        <w:t>A3-1</w:t>
      </w:r>
      <w:r w:rsidR="00DC4FED">
        <w:rPr>
          <w:lang w:val="en-US"/>
        </w:rPr>
        <w:t>:</w:t>
      </w:r>
      <w:r>
        <w:rPr>
          <w:lang w:val="en-US"/>
        </w:rPr>
        <w:t xml:space="preserve"> </w:t>
      </w:r>
      <w:r w:rsidR="00DC4FED">
        <w:rPr>
          <w:lang w:val="en-US"/>
        </w:rPr>
        <w:tab/>
      </w:r>
      <w:r w:rsidRPr="009C00F7">
        <w:rPr>
          <w:lang w:val="en-US"/>
        </w:rPr>
        <w:t>Phosphorus load reduction</w:t>
      </w:r>
      <w:r>
        <w:rPr>
          <w:lang w:val="en-US"/>
        </w:rPr>
        <w:t xml:space="preserve"> target for different regions and proportion to the current load</w:t>
      </w:r>
      <w:r w:rsidR="009C17BC">
        <w:rPr>
          <w:lang w:val="en-US"/>
        </w:rPr>
        <w:t>, including</w:t>
      </w:r>
      <w:r>
        <w:rPr>
          <w:lang w:val="en-US"/>
        </w:rPr>
        <w:t xml:space="preserve"> different scenarios with three periphyton </w:t>
      </w:r>
      <w:r w:rsidR="00B856A6">
        <w:rPr>
          <w:lang w:val="en-US"/>
        </w:rPr>
        <w:t>spatial</w:t>
      </w:r>
      <w:r w:rsidR="00DC4FED">
        <w:rPr>
          <w:lang w:val="en-US"/>
        </w:rPr>
        <w:t> </w:t>
      </w:r>
      <w:r w:rsidR="00B856A6">
        <w:rPr>
          <w:lang w:val="en-US"/>
        </w:rPr>
        <w:t xml:space="preserve">exceedance </w:t>
      </w:r>
      <w:r>
        <w:rPr>
          <w:lang w:val="en-US"/>
        </w:rPr>
        <w:t>criteria</w:t>
      </w:r>
      <w:r w:rsidR="00B856A6">
        <w:rPr>
          <w:lang w:val="en-US"/>
        </w:rPr>
        <w:t xml:space="preserve"> (10</w:t>
      </w:r>
      <w:r w:rsidR="008E40DC">
        <w:rPr>
          <w:lang w:val="en-US"/>
        </w:rPr>
        <w:t xml:space="preserve"> per cent</w:t>
      </w:r>
      <w:r w:rsidR="00B856A6">
        <w:rPr>
          <w:lang w:val="en-US"/>
        </w:rPr>
        <w:t>, 20</w:t>
      </w:r>
      <w:r w:rsidR="008E40DC">
        <w:rPr>
          <w:lang w:val="en-US"/>
        </w:rPr>
        <w:t xml:space="preserve"> per cent</w:t>
      </w:r>
      <w:r w:rsidR="00B856A6">
        <w:rPr>
          <w:lang w:val="en-US"/>
        </w:rPr>
        <w:t xml:space="preserve"> and 30</w:t>
      </w:r>
      <w:r w:rsidR="008E40DC">
        <w:rPr>
          <w:lang w:val="en-US"/>
        </w:rPr>
        <w:t xml:space="preserve"> per cent</w:t>
      </w:r>
      <w:r w:rsidR="00B856A6">
        <w:rPr>
          <w:lang w:val="en-US"/>
        </w:rPr>
        <w:t>)</w:t>
      </w:r>
      <w:r>
        <w:rPr>
          <w:lang w:val="en-US"/>
        </w:rPr>
        <w:t>.</w:t>
      </w:r>
    </w:p>
    <w:tbl>
      <w:tblPr>
        <w:tblStyle w:val="LightList-Accent11"/>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tblBorders>
        <w:tblLook w:val="04A0" w:firstRow="1" w:lastRow="0" w:firstColumn="1" w:lastColumn="0" w:noHBand="0" w:noVBand="1"/>
      </w:tblPr>
      <w:tblGrid>
        <w:gridCol w:w="2701"/>
        <w:gridCol w:w="1851"/>
        <w:gridCol w:w="1921"/>
        <w:gridCol w:w="1921"/>
        <w:gridCol w:w="1921"/>
        <w:gridCol w:w="1419"/>
        <w:gridCol w:w="1419"/>
        <w:gridCol w:w="1419"/>
      </w:tblGrid>
      <w:tr w:rsidR="00C92B6F" w:rsidRPr="00C92B6F" w14:paraId="69CA22DD" w14:textId="77777777" w:rsidTr="000953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579BA237" w14:textId="77777777" w:rsidR="0062560D" w:rsidRPr="00C92B6F" w:rsidRDefault="0062560D" w:rsidP="0009539C">
            <w:pPr>
              <w:pStyle w:val="TableText"/>
              <w:spacing w:after="0"/>
            </w:pPr>
            <w:r w:rsidRPr="00C92B6F">
              <w:t>Scenario</w:t>
            </w:r>
          </w:p>
        </w:tc>
        <w:tc>
          <w:tcPr>
            <w:tcW w:w="635" w:type="pct"/>
            <w:vAlign w:val="center"/>
            <w:hideMark/>
          </w:tcPr>
          <w:p w14:paraId="08AAF485"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Current load</w:t>
            </w:r>
          </w:p>
        </w:tc>
        <w:tc>
          <w:tcPr>
            <w:tcW w:w="659" w:type="pct"/>
            <w:noWrap/>
            <w:vAlign w:val="center"/>
            <w:hideMark/>
          </w:tcPr>
          <w:p w14:paraId="2173524F"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 xml:space="preserve">2017 NPS-FM </w:t>
            </w:r>
          </w:p>
        </w:tc>
        <w:tc>
          <w:tcPr>
            <w:tcW w:w="659" w:type="pct"/>
            <w:noWrap/>
            <w:hideMark/>
          </w:tcPr>
          <w:p w14:paraId="602958D2"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 xml:space="preserve">2017 NPS-FM </w:t>
            </w:r>
          </w:p>
        </w:tc>
        <w:tc>
          <w:tcPr>
            <w:tcW w:w="659" w:type="pct"/>
            <w:noWrap/>
            <w:hideMark/>
          </w:tcPr>
          <w:p w14:paraId="2D414C01"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 xml:space="preserve">2017 NPS-FM </w:t>
            </w:r>
          </w:p>
        </w:tc>
        <w:tc>
          <w:tcPr>
            <w:tcW w:w="487" w:type="pct"/>
            <w:noWrap/>
            <w:vAlign w:val="center"/>
            <w:hideMark/>
          </w:tcPr>
          <w:p w14:paraId="3D0D826D"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DRP18</w:t>
            </w:r>
          </w:p>
        </w:tc>
        <w:tc>
          <w:tcPr>
            <w:tcW w:w="487" w:type="pct"/>
            <w:noWrap/>
            <w:vAlign w:val="center"/>
            <w:hideMark/>
          </w:tcPr>
          <w:p w14:paraId="4A51750D"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DRP18</w:t>
            </w:r>
          </w:p>
        </w:tc>
        <w:tc>
          <w:tcPr>
            <w:tcW w:w="487" w:type="pct"/>
            <w:noWrap/>
            <w:vAlign w:val="center"/>
            <w:hideMark/>
          </w:tcPr>
          <w:p w14:paraId="32044B51" w14:textId="77777777" w:rsidR="0062560D" w:rsidRPr="00C92B6F" w:rsidRDefault="0062560D" w:rsidP="0009539C">
            <w:pPr>
              <w:pStyle w:val="TableText"/>
              <w:spacing w:after="0"/>
              <w:jc w:val="right"/>
              <w:cnfStyle w:val="100000000000" w:firstRow="1" w:lastRow="0" w:firstColumn="0" w:lastColumn="0" w:oddVBand="0" w:evenVBand="0" w:oddHBand="0" w:evenHBand="0" w:firstRowFirstColumn="0" w:firstRowLastColumn="0" w:lastRowFirstColumn="0" w:lastRowLastColumn="0"/>
            </w:pPr>
            <w:r w:rsidRPr="00C92B6F">
              <w:t>DRP18</w:t>
            </w:r>
          </w:p>
        </w:tc>
      </w:tr>
      <w:tr w:rsidR="00C92B6F" w:rsidRPr="00C92B6F" w14:paraId="23E89FA0"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shd w:val="clear" w:color="auto" w:fill="1C556C" w:themeFill="accent1"/>
            <w:noWrap/>
            <w:vAlign w:val="center"/>
            <w:hideMark/>
          </w:tcPr>
          <w:p w14:paraId="0AA85A38" w14:textId="77777777" w:rsidR="0062560D" w:rsidRPr="00C92B6F" w:rsidRDefault="0062560D" w:rsidP="0009539C">
            <w:pPr>
              <w:pStyle w:val="TableText"/>
              <w:spacing w:before="0" w:after="0"/>
              <w:rPr>
                <w:color w:val="FFFFFF" w:themeColor="background1"/>
              </w:rPr>
            </w:pPr>
            <w:r w:rsidRPr="00C92B6F">
              <w:rPr>
                <w:color w:val="FFFFFF" w:themeColor="background1"/>
              </w:rPr>
              <w:t>Periphyton criteria</w:t>
            </w:r>
          </w:p>
        </w:tc>
        <w:tc>
          <w:tcPr>
            <w:tcW w:w="635" w:type="pct"/>
            <w:tcBorders>
              <w:top w:val="none" w:sz="0" w:space="0" w:color="auto"/>
              <w:bottom w:val="none" w:sz="0" w:space="0" w:color="auto"/>
            </w:tcBorders>
            <w:shd w:val="clear" w:color="auto" w:fill="1C556C" w:themeFill="accent1"/>
            <w:noWrap/>
            <w:vAlign w:val="center"/>
            <w:hideMark/>
          </w:tcPr>
          <w:p w14:paraId="7799D954" w14:textId="77777777" w:rsidR="0062560D" w:rsidRPr="00C92B6F" w:rsidRDefault="00DC4FE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w:t>
            </w:r>
          </w:p>
        </w:tc>
        <w:tc>
          <w:tcPr>
            <w:tcW w:w="659" w:type="pct"/>
            <w:tcBorders>
              <w:top w:val="none" w:sz="0" w:space="0" w:color="auto"/>
              <w:bottom w:val="none" w:sz="0" w:space="0" w:color="auto"/>
            </w:tcBorders>
            <w:shd w:val="clear" w:color="auto" w:fill="1C556C" w:themeFill="accent1"/>
            <w:vAlign w:val="center"/>
            <w:hideMark/>
          </w:tcPr>
          <w:p w14:paraId="64335430"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10%</w:t>
            </w:r>
          </w:p>
        </w:tc>
        <w:tc>
          <w:tcPr>
            <w:tcW w:w="659" w:type="pct"/>
            <w:tcBorders>
              <w:top w:val="none" w:sz="0" w:space="0" w:color="auto"/>
              <w:bottom w:val="none" w:sz="0" w:space="0" w:color="auto"/>
            </w:tcBorders>
            <w:shd w:val="clear" w:color="auto" w:fill="1C556C" w:themeFill="accent1"/>
            <w:vAlign w:val="center"/>
            <w:hideMark/>
          </w:tcPr>
          <w:p w14:paraId="2031AC33"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20%</w:t>
            </w:r>
          </w:p>
        </w:tc>
        <w:tc>
          <w:tcPr>
            <w:tcW w:w="659" w:type="pct"/>
            <w:tcBorders>
              <w:top w:val="none" w:sz="0" w:space="0" w:color="auto"/>
              <w:bottom w:val="none" w:sz="0" w:space="0" w:color="auto"/>
            </w:tcBorders>
            <w:shd w:val="clear" w:color="auto" w:fill="1C556C" w:themeFill="accent1"/>
            <w:vAlign w:val="center"/>
            <w:hideMark/>
          </w:tcPr>
          <w:p w14:paraId="2CA7F68C"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30%</w:t>
            </w:r>
          </w:p>
        </w:tc>
        <w:tc>
          <w:tcPr>
            <w:tcW w:w="487" w:type="pct"/>
            <w:tcBorders>
              <w:top w:val="none" w:sz="0" w:space="0" w:color="auto"/>
              <w:bottom w:val="none" w:sz="0" w:space="0" w:color="auto"/>
            </w:tcBorders>
            <w:shd w:val="clear" w:color="auto" w:fill="1C556C" w:themeFill="accent1"/>
            <w:vAlign w:val="center"/>
            <w:hideMark/>
          </w:tcPr>
          <w:p w14:paraId="42AA206B"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10%</w:t>
            </w:r>
          </w:p>
        </w:tc>
        <w:tc>
          <w:tcPr>
            <w:tcW w:w="487" w:type="pct"/>
            <w:tcBorders>
              <w:top w:val="none" w:sz="0" w:space="0" w:color="auto"/>
              <w:bottom w:val="none" w:sz="0" w:space="0" w:color="auto"/>
            </w:tcBorders>
            <w:shd w:val="clear" w:color="auto" w:fill="1C556C" w:themeFill="accent1"/>
            <w:vAlign w:val="center"/>
            <w:hideMark/>
          </w:tcPr>
          <w:p w14:paraId="13AA6E42"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20%</w:t>
            </w:r>
          </w:p>
        </w:tc>
        <w:tc>
          <w:tcPr>
            <w:tcW w:w="487" w:type="pct"/>
            <w:tcBorders>
              <w:top w:val="none" w:sz="0" w:space="0" w:color="auto"/>
              <w:bottom w:val="none" w:sz="0" w:space="0" w:color="auto"/>
              <w:right w:val="none" w:sz="0" w:space="0" w:color="auto"/>
            </w:tcBorders>
            <w:shd w:val="clear" w:color="auto" w:fill="1C556C" w:themeFill="accent1"/>
            <w:vAlign w:val="center"/>
            <w:hideMark/>
          </w:tcPr>
          <w:p w14:paraId="0C549519" w14:textId="77777777" w:rsidR="0062560D" w:rsidRPr="00C92B6F" w:rsidRDefault="0062560D" w:rsidP="0009539C">
            <w:pPr>
              <w:pStyle w:val="TableText"/>
              <w:spacing w:before="0" w:after="0"/>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92B6F">
              <w:rPr>
                <w:b/>
                <w:bCs/>
                <w:color w:val="FFFFFF" w:themeColor="background1"/>
              </w:rPr>
              <w:t>30%</w:t>
            </w:r>
          </w:p>
        </w:tc>
      </w:tr>
      <w:tr w:rsidR="00C92B6F" w:rsidRPr="00C92B6F" w14:paraId="7D522505"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shd w:val="clear" w:color="auto" w:fill="1C556C" w:themeFill="accent1"/>
            <w:noWrap/>
            <w:vAlign w:val="bottom"/>
            <w:hideMark/>
          </w:tcPr>
          <w:p w14:paraId="2E4071CD" w14:textId="77777777" w:rsidR="0062560D" w:rsidRPr="00C92B6F" w:rsidRDefault="0062560D" w:rsidP="0009539C">
            <w:pPr>
              <w:pStyle w:val="TableText"/>
              <w:spacing w:before="0"/>
              <w:rPr>
                <w:color w:val="FFFFFF" w:themeColor="background1"/>
              </w:rPr>
            </w:pPr>
          </w:p>
        </w:tc>
        <w:tc>
          <w:tcPr>
            <w:tcW w:w="635" w:type="pct"/>
            <w:shd w:val="clear" w:color="auto" w:fill="1C556C" w:themeFill="accent1"/>
            <w:vAlign w:val="center"/>
            <w:hideMark/>
          </w:tcPr>
          <w:p w14:paraId="795A938B"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w:t>
            </w:r>
          </w:p>
        </w:tc>
        <w:tc>
          <w:tcPr>
            <w:tcW w:w="659" w:type="pct"/>
            <w:shd w:val="clear" w:color="auto" w:fill="1C556C" w:themeFill="accent1"/>
            <w:vAlign w:val="center"/>
            <w:hideMark/>
          </w:tcPr>
          <w:p w14:paraId="22DB460A"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c>
          <w:tcPr>
            <w:tcW w:w="659" w:type="pct"/>
            <w:shd w:val="clear" w:color="auto" w:fill="1C556C" w:themeFill="accent1"/>
            <w:vAlign w:val="center"/>
            <w:hideMark/>
          </w:tcPr>
          <w:p w14:paraId="511AC1ED"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c>
          <w:tcPr>
            <w:tcW w:w="659" w:type="pct"/>
            <w:shd w:val="clear" w:color="auto" w:fill="1C556C" w:themeFill="accent1"/>
            <w:vAlign w:val="center"/>
            <w:hideMark/>
          </w:tcPr>
          <w:p w14:paraId="0A8E8834"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c>
          <w:tcPr>
            <w:tcW w:w="487" w:type="pct"/>
            <w:shd w:val="clear" w:color="auto" w:fill="1C556C" w:themeFill="accent1"/>
            <w:vAlign w:val="center"/>
            <w:hideMark/>
          </w:tcPr>
          <w:p w14:paraId="190BE3F9"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c>
          <w:tcPr>
            <w:tcW w:w="487" w:type="pct"/>
            <w:shd w:val="clear" w:color="auto" w:fill="1C556C" w:themeFill="accent1"/>
            <w:vAlign w:val="center"/>
            <w:hideMark/>
          </w:tcPr>
          <w:p w14:paraId="783579F5"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c>
          <w:tcPr>
            <w:tcW w:w="487" w:type="pct"/>
            <w:shd w:val="clear" w:color="auto" w:fill="1C556C" w:themeFill="accent1"/>
            <w:vAlign w:val="center"/>
            <w:hideMark/>
          </w:tcPr>
          <w:p w14:paraId="3694962E" w14:textId="77777777" w:rsidR="0062560D" w:rsidRPr="00C92B6F" w:rsidRDefault="0062560D" w:rsidP="0009539C">
            <w:pPr>
              <w:pStyle w:val="TableText"/>
              <w:spacing w:before="0"/>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92B6F">
              <w:rPr>
                <w:b/>
                <w:bCs/>
                <w:color w:val="FFFFFF" w:themeColor="background1"/>
              </w:rPr>
              <w:t>t/yr (%)</w:t>
            </w:r>
          </w:p>
        </w:tc>
      </w:tr>
      <w:tr w:rsidR="0062560D" w:rsidRPr="0062560D" w14:paraId="0A9E795D"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53632781" w14:textId="77777777" w:rsidR="0062560D" w:rsidRPr="00C92B6F" w:rsidRDefault="0062560D" w:rsidP="009B00A0">
            <w:pPr>
              <w:pStyle w:val="TableTextbold"/>
              <w:spacing w:before="40" w:after="40"/>
              <w:rPr>
                <w:rFonts w:eastAsia="Times New Roman"/>
                <w:b/>
                <w:bCs w:val="0"/>
                <w:lang w:eastAsia="ja-JP"/>
              </w:rPr>
            </w:pPr>
            <w:r w:rsidRPr="00C92B6F">
              <w:rPr>
                <w:b/>
                <w:bCs w:val="0"/>
              </w:rPr>
              <w:t>Auckland</w:t>
            </w:r>
          </w:p>
        </w:tc>
        <w:tc>
          <w:tcPr>
            <w:tcW w:w="635" w:type="pct"/>
            <w:tcBorders>
              <w:top w:val="none" w:sz="0" w:space="0" w:color="auto"/>
              <w:bottom w:val="none" w:sz="0" w:space="0" w:color="auto"/>
            </w:tcBorders>
            <w:noWrap/>
            <w:vAlign w:val="bottom"/>
            <w:hideMark/>
          </w:tcPr>
          <w:p w14:paraId="1DEF4EEA"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565 </w:t>
            </w:r>
          </w:p>
        </w:tc>
        <w:tc>
          <w:tcPr>
            <w:tcW w:w="659" w:type="pct"/>
            <w:tcBorders>
              <w:top w:val="none" w:sz="0" w:space="0" w:color="auto"/>
              <w:bottom w:val="none" w:sz="0" w:space="0" w:color="auto"/>
            </w:tcBorders>
            <w:noWrap/>
            <w:vAlign w:val="bottom"/>
            <w:hideMark/>
          </w:tcPr>
          <w:p w14:paraId="00B332B1"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73 (13) </w:t>
            </w:r>
          </w:p>
        </w:tc>
        <w:tc>
          <w:tcPr>
            <w:tcW w:w="659" w:type="pct"/>
            <w:tcBorders>
              <w:top w:val="none" w:sz="0" w:space="0" w:color="auto"/>
              <w:bottom w:val="none" w:sz="0" w:space="0" w:color="auto"/>
            </w:tcBorders>
            <w:noWrap/>
            <w:vAlign w:val="bottom"/>
            <w:hideMark/>
          </w:tcPr>
          <w:p w14:paraId="75AC4EF2"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26 (5) </w:t>
            </w:r>
          </w:p>
        </w:tc>
        <w:tc>
          <w:tcPr>
            <w:tcW w:w="659" w:type="pct"/>
            <w:tcBorders>
              <w:top w:val="none" w:sz="0" w:space="0" w:color="auto"/>
              <w:bottom w:val="none" w:sz="0" w:space="0" w:color="auto"/>
            </w:tcBorders>
            <w:noWrap/>
            <w:vAlign w:val="bottom"/>
            <w:hideMark/>
          </w:tcPr>
          <w:p w14:paraId="6E5D7EE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6 (1) </w:t>
            </w:r>
          </w:p>
        </w:tc>
        <w:tc>
          <w:tcPr>
            <w:tcW w:w="487" w:type="pct"/>
            <w:tcBorders>
              <w:top w:val="none" w:sz="0" w:space="0" w:color="auto"/>
              <w:bottom w:val="none" w:sz="0" w:space="0" w:color="auto"/>
            </w:tcBorders>
            <w:noWrap/>
            <w:vAlign w:val="bottom"/>
            <w:hideMark/>
          </w:tcPr>
          <w:p w14:paraId="13DADD0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83 (15) </w:t>
            </w:r>
          </w:p>
        </w:tc>
        <w:tc>
          <w:tcPr>
            <w:tcW w:w="487" w:type="pct"/>
            <w:tcBorders>
              <w:top w:val="none" w:sz="0" w:space="0" w:color="auto"/>
              <w:bottom w:val="none" w:sz="0" w:space="0" w:color="auto"/>
            </w:tcBorders>
            <w:noWrap/>
            <w:vAlign w:val="bottom"/>
            <w:hideMark/>
          </w:tcPr>
          <w:p w14:paraId="4E5F3A47"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36 (6) </w:t>
            </w:r>
          </w:p>
        </w:tc>
        <w:tc>
          <w:tcPr>
            <w:tcW w:w="487" w:type="pct"/>
            <w:tcBorders>
              <w:top w:val="none" w:sz="0" w:space="0" w:color="auto"/>
              <w:bottom w:val="none" w:sz="0" w:space="0" w:color="auto"/>
              <w:right w:val="none" w:sz="0" w:space="0" w:color="auto"/>
            </w:tcBorders>
            <w:noWrap/>
            <w:vAlign w:val="bottom"/>
            <w:hideMark/>
          </w:tcPr>
          <w:p w14:paraId="364B879E"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22 (4) </w:t>
            </w:r>
          </w:p>
        </w:tc>
      </w:tr>
      <w:tr w:rsidR="0062560D" w:rsidRPr="0062560D" w14:paraId="09C686C8"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7CA2AAC4" w14:textId="77777777" w:rsidR="0062560D" w:rsidRPr="00C92B6F" w:rsidRDefault="0062560D" w:rsidP="009B00A0">
            <w:pPr>
              <w:pStyle w:val="TableTextbold"/>
              <w:spacing w:before="40" w:after="40"/>
              <w:rPr>
                <w:rFonts w:eastAsia="Times New Roman"/>
                <w:b/>
                <w:bCs w:val="0"/>
                <w:lang w:eastAsia="ja-JP"/>
              </w:rPr>
            </w:pPr>
            <w:r w:rsidRPr="00C92B6F">
              <w:rPr>
                <w:b/>
                <w:bCs w:val="0"/>
              </w:rPr>
              <w:t>Bay of Plenty</w:t>
            </w:r>
          </w:p>
        </w:tc>
        <w:tc>
          <w:tcPr>
            <w:tcW w:w="635" w:type="pct"/>
            <w:noWrap/>
            <w:vAlign w:val="bottom"/>
            <w:hideMark/>
          </w:tcPr>
          <w:p w14:paraId="077E1412"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2,990 </w:t>
            </w:r>
          </w:p>
        </w:tc>
        <w:tc>
          <w:tcPr>
            <w:tcW w:w="659" w:type="pct"/>
            <w:noWrap/>
            <w:vAlign w:val="bottom"/>
            <w:hideMark/>
          </w:tcPr>
          <w:p w14:paraId="0AD4BB8D"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406 (14) </w:t>
            </w:r>
          </w:p>
        </w:tc>
        <w:tc>
          <w:tcPr>
            <w:tcW w:w="659" w:type="pct"/>
            <w:noWrap/>
            <w:vAlign w:val="bottom"/>
            <w:hideMark/>
          </w:tcPr>
          <w:p w14:paraId="1E2BCEDD"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38 (1) </w:t>
            </w:r>
          </w:p>
        </w:tc>
        <w:tc>
          <w:tcPr>
            <w:tcW w:w="659" w:type="pct"/>
            <w:noWrap/>
            <w:vAlign w:val="bottom"/>
            <w:hideMark/>
          </w:tcPr>
          <w:p w14:paraId="11ABC86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0 (0) </w:t>
            </w:r>
          </w:p>
        </w:tc>
        <w:tc>
          <w:tcPr>
            <w:tcW w:w="487" w:type="pct"/>
            <w:noWrap/>
            <w:vAlign w:val="bottom"/>
            <w:hideMark/>
          </w:tcPr>
          <w:p w14:paraId="0634FD21"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438 (15) </w:t>
            </w:r>
          </w:p>
        </w:tc>
        <w:tc>
          <w:tcPr>
            <w:tcW w:w="487" w:type="pct"/>
            <w:noWrap/>
            <w:vAlign w:val="bottom"/>
            <w:hideMark/>
          </w:tcPr>
          <w:p w14:paraId="39DF944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124 (4) </w:t>
            </w:r>
          </w:p>
        </w:tc>
        <w:tc>
          <w:tcPr>
            <w:tcW w:w="487" w:type="pct"/>
            <w:noWrap/>
            <w:vAlign w:val="bottom"/>
            <w:hideMark/>
          </w:tcPr>
          <w:p w14:paraId="514972D0"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122 (4) </w:t>
            </w:r>
          </w:p>
        </w:tc>
      </w:tr>
      <w:tr w:rsidR="0062560D" w:rsidRPr="0062560D" w14:paraId="3FB6164C"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202D6BBE" w14:textId="77777777" w:rsidR="0062560D" w:rsidRPr="00C92B6F" w:rsidRDefault="0062560D" w:rsidP="009B00A0">
            <w:pPr>
              <w:pStyle w:val="TableTextbold"/>
              <w:spacing w:before="40" w:after="40"/>
              <w:rPr>
                <w:rFonts w:eastAsia="Times New Roman"/>
                <w:b/>
                <w:bCs w:val="0"/>
                <w:lang w:eastAsia="ja-JP"/>
              </w:rPr>
            </w:pPr>
            <w:r w:rsidRPr="00C92B6F">
              <w:rPr>
                <w:b/>
                <w:bCs w:val="0"/>
              </w:rPr>
              <w:t>Canterbury</w:t>
            </w:r>
          </w:p>
        </w:tc>
        <w:tc>
          <w:tcPr>
            <w:tcW w:w="635" w:type="pct"/>
            <w:tcBorders>
              <w:top w:val="none" w:sz="0" w:space="0" w:color="auto"/>
              <w:bottom w:val="none" w:sz="0" w:space="0" w:color="auto"/>
            </w:tcBorders>
            <w:noWrap/>
            <w:vAlign w:val="bottom"/>
            <w:hideMark/>
          </w:tcPr>
          <w:p w14:paraId="098B1DA3"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3,262 </w:t>
            </w:r>
          </w:p>
        </w:tc>
        <w:tc>
          <w:tcPr>
            <w:tcW w:w="659" w:type="pct"/>
            <w:tcBorders>
              <w:top w:val="none" w:sz="0" w:space="0" w:color="auto"/>
              <w:bottom w:val="none" w:sz="0" w:space="0" w:color="auto"/>
            </w:tcBorders>
            <w:noWrap/>
            <w:vAlign w:val="bottom"/>
            <w:hideMark/>
          </w:tcPr>
          <w:p w14:paraId="38FC9FE0"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108 (3) </w:t>
            </w:r>
          </w:p>
        </w:tc>
        <w:tc>
          <w:tcPr>
            <w:tcW w:w="659" w:type="pct"/>
            <w:tcBorders>
              <w:top w:val="none" w:sz="0" w:space="0" w:color="auto"/>
              <w:bottom w:val="none" w:sz="0" w:space="0" w:color="auto"/>
            </w:tcBorders>
            <w:noWrap/>
            <w:vAlign w:val="bottom"/>
            <w:hideMark/>
          </w:tcPr>
          <w:p w14:paraId="4E8E2DEA"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15 (0) </w:t>
            </w:r>
          </w:p>
        </w:tc>
        <w:tc>
          <w:tcPr>
            <w:tcW w:w="659" w:type="pct"/>
            <w:tcBorders>
              <w:top w:val="none" w:sz="0" w:space="0" w:color="auto"/>
              <w:bottom w:val="none" w:sz="0" w:space="0" w:color="auto"/>
            </w:tcBorders>
            <w:noWrap/>
            <w:vAlign w:val="bottom"/>
            <w:hideMark/>
          </w:tcPr>
          <w:p w14:paraId="3F84462C"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 (0) </w:t>
            </w:r>
          </w:p>
        </w:tc>
        <w:tc>
          <w:tcPr>
            <w:tcW w:w="487" w:type="pct"/>
            <w:tcBorders>
              <w:top w:val="none" w:sz="0" w:space="0" w:color="auto"/>
              <w:bottom w:val="none" w:sz="0" w:space="0" w:color="auto"/>
            </w:tcBorders>
            <w:noWrap/>
            <w:vAlign w:val="bottom"/>
            <w:hideMark/>
          </w:tcPr>
          <w:p w14:paraId="5084C97E"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112 (3) </w:t>
            </w:r>
          </w:p>
        </w:tc>
        <w:tc>
          <w:tcPr>
            <w:tcW w:w="487" w:type="pct"/>
            <w:tcBorders>
              <w:top w:val="none" w:sz="0" w:space="0" w:color="auto"/>
              <w:bottom w:val="none" w:sz="0" w:space="0" w:color="auto"/>
            </w:tcBorders>
            <w:noWrap/>
            <w:vAlign w:val="bottom"/>
            <w:hideMark/>
          </w:tcPr>
          <w:p w14:paraId="1132D9DE"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22 (1) </w:t>
            </w:r>
          </w:p>
        </w:tc>
        <w:tc>
          <w:tcPr>
            <w:tcW w:w="487" w:type="pct"/>
            <w:tcBorders>
              <w:top w:val="none" w:sz="0" w:space="0" w:color="auto"/>
              <w:bottom w:val="none" w:sz="0" w:space="0" w:color="auto"/>
              <w:right w:val="none" w:sz="0" w:space="0" w:color="auto"/>
            </w:tcBorders>
            <w:noWrap/>
            <w:vAlign w:val="bottom"/>
            <w:hideMark/>
          </w:tcPr>
          <w:p w14:paraId="66DCCD1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14 (0) </w:t>
            </w:r>
          </w:p>
        </w:tc>
      </w:tr>
      <w:tr w:rsidR="0062560D" w:rsidRPr="0062560D" w14:paraId="4EE8CCF6"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47823B00" w14:textId="77777777" w:rsidR="0062560D" w:rsidRPr="00C92B6F" w:rsidRDefault="0062560D" w:rsidP="009B00A0">
            <w:pPr>
              <w:pStyle w:val="TableTextbold"/>
              <w:spacing w:before="40" w:after="40"/>
              <w:rPr>
                <w:rFonts w:eastAsia="Times New Roman"/>
                <w:b/>
                <w:bCs w:val="0"/>
                <w:lang w:eastAsia="ja-JP"/>
              </w:rPr>
            </w:pPr>
            <w:r w:rsidRPr="00C92B6F">
              <w:rPr>
                <w:b/>
                <w:bCs w:val="0"/>
              </w:rPr>
              <w:t>Gisborne</w:t>
            </w:r>
          </w:p>
        </w:tc>
        <w:tc>
          <w:tcPr>
            <w:tcW w:w="635" w:type="pct"/>
            <w:noWrap/>
            <w:vAlign w:val="bottom"/>
            <w:hideMark/>
          </w:tcPr>
          <w:p w14:paraId="6A1E3D39"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10,233 </w:t>
            </w:r>
          </w:p>
        </w:tc>
        <w:tc>
          <w:tcPr>
            <w:tcW w:w="659" w:type="pct"/>
            <w:noWrap/>
            <w:vAlign w:val="bottom"/>
            <w:hideMark/>
          </w:tcPr>
          <w:p w14:paraId="251FA5D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459 (4) </w:t>
            </w:r>
          </w:p>
        </w:tc>
        <w:tc>
          <w:tcPr>
            <w:tcW w:w="659" w:type="pct"/>
            <w:noWrap/>
            <w:vAlign w:val="bottom"/>
            <w:hideMark/>
          </w:tcPr>
          <w:p w14:paraId="4A295BA1"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19 (0) </w:t>
            </w:r>
          </w:p>
        </w:tc>
        <w:tc>
          <w:tcPr>
            <w:tcW w:w="659" w:type="pct"/>
            <w:noWrap/>
            <w:vAlign w:val="bottom"/>
            <w:hideMark/>
          </w:tcPr>
          <w:p w14:paraId="2FAD105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9 (0) </w:t>
            </w:r>
          </w:p>
        </w:tc>
        <w:tc>
          <w:tcPr>
            <w:tcW w:w="487" w:type="pct"/>
            <w:noWrap/>
            <w:vAlign w:val="bottom"/>
            <w:hideMark/>
          </w:tcPr>
          <w:p w14:paraId="1D59E109"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461 (5) </w:t>
            </w:r>
          </w:p>
        </w:tc>
        <w:tc>
          <w:tcPr>
            <w:tcW w:w="487" w:type="pct"/>
            <w:noWrap/>
            <w:vAlign w:val="bottom"/>
            <w:hideMark/>
          </w:tcPr>
          <w:p w14:paraId="1C1AC58D"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21 (0) </w:t>
            </w:r>
          </w:p>
        </w:tc>
        <w:tc>
          <w:tcPr>
            <w:tcW w:w="487" w:type="pct"/>
            <w:noWrap/>
            <w:vAlign w:val="bottom"/>
            <w:hideMark/>
          </w:tcPr>
          <w:p w14:paraId="4A197D4D"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11 (0) </w:t>
            </w:r>
          </w:p>
        </w:tc>
      </w:tr>
      <w:tr w:rsidR="0062560D" w:rsidRPr="0062560D" w14:paraId="5E53D93A"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540BD8FA" w14:textId="77777777" w:rsidR="0062560D" w:rsidRPr="00C92B6F" w:rsidRDefault="0062560D" w:rsidP="009B00A0">
            <w:pPr>
              <w:pStyle w:val="TableTextbold"/>
              <w:spacing w:before="40" w:after="40"/>
              <w:rPr>
                <w:rFonts w:eastAsia="Times New Roman"/>
                <w:b/>
                <w:bCs w:val="0"/>
                <w:lang w:eastAsia="ja-JP"/>
              </w:rPr>
            </w:pPr>
            <w:r w:rsidRPr="00C92B6F">
              <w:rPr>
                <w:b/>
                <w:bCs w:val="0"/>
              </w:rPr>
              <w:t>Hawke's Bay</w:t>
            </w:r>
          </w:p>
        </w:tc>
        <w:tc>
          <w:tcPr>
            <w:tcW w:w="635" w:type="pct"/>
            <w:tcBorders>
              <w:top w:val="none" w:sz="0" w:space="0" w:color="auto"/>
              <w:bottom w:val="none" w:sz="0" w:space="0" w:color="auto"/>
            </w:tcBorders>
            <w:noWrap/>
            <w:vAlign w:val="bottom"/>
            <w:hideMark/>
          </w:tcPr>
          <w:p w14:paraId="658FBFF7"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2,956 </w:t>
            </w:r>
          </w:p>
        </w:tc>
        <w:tc>
          <w:tcPr>
            <w:tcW w:w="659" w:type="pct"/>
            <w:tcBorders>
              <w:top w:val="none" w:sz="0" w:space="0" w:color="auto"/>
              <w:bottom w:val="none" w:sz="0" w:space="0" w:color="auto"/>
            </w:tcBorders>
            <w:noWrap/>
            <w:vAlign w:val="bottom"/>
            <w:hideMark/>
          </w:tcPr>
          <w:p w14:paraId="56C45C11"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655 (22) </w:t>
            </w:r>
          </w:p>
        </w:tc>
        <w:tc>
          <w:tcPr>
            <w:tcW w:w="659" w:type="pct"/>
            <w:tcBorders>
              <w:top w:val="none" w:sz="0" w:space="0" w:color="auto"/>
              <w:bottom w:val="none" w:sz="0" w:space="0" w:color="auto"/>
            </w:tcBorders>
            <w:noWrap/>
            <w:vAlign w:val="bottom"/>
            <w:hideMark/>
          </w:tcPr>
          <w:p w14:paraId="460CE340"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79 (3) </w:t>
            </w:r>
          </w:p>
        </w:tc>
        <w:tc>
          <w:tcPr>
            <w:tcW w:w="659" w:type="pct"/>
            <w:tcBorders>
              <w:top w:val="none" w:sz="0" w:space="0" w:color="auto"/>
              <w:bottom w:val="none" w:sz="0" w:space="0" w:color="auto"/>
            </w:tcBorders>
            <w:noWrap/>
            <w:vAlign w:val="bottom"/>
            <w:hideMark/>
          </w:tcPr>
          <w:p w14:paraId="7776D761"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 (0) </w:t>
            </w:r>
          </w:p>
        </w:tc>
        <w:tc>
          <w:tcPr>
            <w:tcW w:w="487" w:type="pct"/>
            <w:tcBorders>
              <w:top w:val="none" w:sz="0" w:space="0" w:color="auto"/>
              <w:bottom w:val="none" w:sz="0" w:space="0" w:color="auto"/>
            </w:tcBorders>
            <w:noWrap/>
            <w:vAlign w:val="bottom"/>
            <w:hideMark/>
          </w:tcPr>
          <w:p w14:paraId="253188DE"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656 (22) </w:t>
            </w:r>
          </w:p>
        </w:tc>
        <w:tc>
          <w:tcPr>
            <w:tcW w:w="487" w:type="pct"/>
            <w:tcBorders>
              <w:top w:val="none" w:sz="0" w:space="0" w:color="auto"/>
              <w:bottom w:val="none" w:sz="0" w:space="0" w:color="auto"/>
            </w:tcBorders>
            <w:noWrap/>
            <w:vAlign w:val="bottom"/>
            <w:hideMark/>
          </w:tcPr>
          <w:p w14:paraId="785C8463"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104 (4) </w:t>
            </w:r>
          </w:p>
        </w:tc>
        <w:tc>
          <w:tcPr>
            <w:tcW w:w="487" w:type="pct"/>
            <w:tcBorders>
              <w:top w:val="none" w:sz="0" w:space="0" w:color="auto"/>
              <w:bottom w:val="none" w:sz="0" w:space="0" w:color="auto"/>
              <w:right w:val="none" w:sz="0" w:space="0" w:color="auto"/>
            </w:tcBorders>
            <w:noWrap/>
            <w:vAlign w:val="bottom"/>
            <w:hideMark/>
          </w:tcPr>
          <w:p w14:paraId="104FBEB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81 (3) </w:t>
            </w:r>
          </w:p>
        </w:tc>
      </w:tr>
      <w:tr w:rsidR="0062560D" w:rsidRPr="0062560D" w14:paraId="717445DA"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51C17E1B" w14:textId="77777777" w:rsidR="0062560D" w:rsidRPr="00C92B6F" w:rsidRDefault="0062560D" w:rsidP="009B00A0">
            <w:pPr>
              <w:pStyle w:val="TableTextbold"/>
              <w:spacing w:before="40" w:after="40"/>
              <w:rPr>
                <w:rFonts w:eastAsia="Times New Roman"/>
                <w:b/>
                <w:bCs w:val="0"/>
                <w:lang w:eastAsia="ja-JP"/>
              </w:rPr>
            </w:pPr>
            <w:r w:rsidRPr="00C92B6F">
              <w:rPr>
                <w:b/>
                <w:bCs w:val="0"/>
              </w:rPr>
              <w:t>Manawatu-Wanganui</w:t>
            </w:r>
          </w:p>
        </w:tc>
        <w:tc>
          <w:tcPr>
            <w:tcW w:w="635" w:type="pct"/>
            <w:noWrap/>
            <w:vAlign w:val="bottom"/>
            <w:hideMark/>
          </w:tcPr>
          <w:p w14:paraId="070FAB3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3,640 </w:t>
            </w:r>
          </w:p>
        </w:tc>
        <w:tc>
          <w:tcPr>
            <w:tcW w:w="659" w:type="pct"/>
            <w:noWrap/>
            <w:vAlign w:val="bottom"/>
            <w:hideMark/>
          </w:tcPr>
          <w:p w14:paraId="7F2791C0"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1,400 (38) </w:t>
            </w:r>
          </w:p>
        </w:tc>
        <w:tc>
          <w:tcPr>
            <w:tcW w:w="659" w:type="pct"/>
            <w:noWrap/>
            <w:vAlign w:val="bottom"/>
            <w:hideMark/>
          </w:tcPr>
          <w:p w14:paraId="2C0F64D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92 (3) </w:t>
            </w:r>
          </w:p>
        </w:tc>
        <w:tc>
          <w:tcPr>
            <w:tcW w:w="659" w:type="pct"/>
            <w:noWrap/>
            <w:vAlign w:val="bottom"/>
            <w:hideMark/>
          </w:tcPr>
          <w:p w14:paraId="659D64B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17 (0) </w:t>
            </w:r>
          </w:p>
        </w:tc>
        <w:tc>
          <w:tcPr>
            <w:tcW w:w="487" w:type="pct"/>
            <w:noWrap/>
            <w:vAlign w:val="bottom"/>
            <w:hideMark/>
          </w:tcPr>
          <w:p w14:paraId="622D0EE0"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1,403 (39) </w:t>
            </w:r>
          </w:p>
        </w:tc>
        <w:tc>
          <w:tcPr>
            <w:tcW w:w="487" w:type="pct"/>
            <w:noWrap/>
            <w:vAlign w:val="bottom"/>
            <w:hideMark/>
          </w:tcPr>
          <w:p w14:paraId="75A09E22"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372 (10) </w:t>
            </w:r>
          </w:p>
        </w:tc>
        <w:tc>
          <w:tcPr>
            <w:tcW w:w="487" w:type="pct"/>
            <w:noWrap/>
            <w:vAlign w:val="bottom"/>
            <w:hideMark/>
          </w:tcPr>
          <w:p w14:paraId="2DDF7ABC"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364 (10) </w:t>
            </w:r>
          </w:p>
        </w:tc>
      </w:tr>
      <w:tr w:rsidR="0062560D" w:rsidRPr="0062560D" w14:paraId="3FA39B9D"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14A8A7F2" w14:textId="77777777" w:rsidR="0062560D" w:rsidRPr="00C92B6F" w:rsidRDefault="0062560D" w:rsidP="009B00A0">
            <w:pPr>
              <w:pStyle w:val="TableTextbold"/>
              <w:spacing w:before="40" w:after="40"/>
              <w:rPr>
                <w:rFonts w:eastAsia="Times New Roman"/>
                <w:b/>
                <w:bCs w:val="0"/>
                <w:lang w:eastAsia="ja-JP"/>
              </w:rPr>
            </w:pPr>
            <w:r w:rsidRPr="00C92B6F">
              <w:rPr>
                <w:b/>
                <w:bCs w:val="0"/>
              </w:rPr>
              <w:t>Marlborough</w:t>
            </w:r>
          </w:p>
        </w:tc>
        <w:tc>
          <w:tcPr>
            <w:tcW w:w="635" w:type="pct"/>
            <w:tcBorders>
              <w:top w:val="none" w:sz="0" w:space="0" w:color="auto"/>
              <w:bottom w:val="none" w:sz="0" w:space="0" w:color="auto"/>
            </w:tcBorders>
            <w:noWrap/>
            <w:vAlign w:val="bottom"/>
            <w:hideMark/>
          </w:tcPr>
          <w:p w14:paraId="253FAA2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616 </w:t>
            </w:r>
          </w:p>
        </w:tc>
        <w:tc>
          <w:tcPr>
            <w:tcW w:w="659" w:type="pct"/>
            <w:tcBorders>
              <w:top w:val="none" w:sz="0" w:space="0" w:color="auto"/>
              <w:bottom w:val="none" w:sz="0" w:space="0" w:color="auto"/>
            </w:tcBorders>
            <w:noWrap/>
            <w:vAlign w:val="bottom"/>
            <w:hideMark/>
          </w:tcPr>
          <w:p w14:paraId="16709A8E"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146 (24) </w:t>
            </w:r>
          </w:p>
        </w:tc>
        <w:tc>
          <w:tcPr>
            <w:tcW w:w="659" w:type="pct"/>
            <w:tcBorders>
              <w:top w:val="none" w:sz="0" w:space="0" w:color="auto"/>
              <w:bottom w:val="none" w:sz="0" w:space="0" w:color="auto"/>
            </w:tcBorders>
            <w:noWrap/>
            <w:vAlign w:val="bottom"/>
            <w:hideMark/>
          </w:tcPr>
          <w:p w14:paraId="78E5E60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 (0) </w:t>
            </w:r>
          </w:p>
        </w:tc>
        <w:tc>
          <w:tcPr>
            <w:tcW w:w="659" w:type="pct"/>
            <w:tcBorders>
              <w:top w:val="none" w:sz="0" w:space="0" w:color="auto"/>
              <w:bottom w:val="none" w:sz="0" w:space="0" w:color="auto"/>
            </w:tcBorders>
            <w:noWrap/>
            <w:vAlign w:val="bottom"/>
            <w:hideMark/>
          </w:tcPr>
          <w:p w14:paraId="26B61CA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0 (0) </w:t>
            </w:r>
          </w:p>
        </w:tc>
        <w:tc>
          <w:tcPr>
            <w:tcW w:w="487" w:type="pct"/>
            <w:tcBorders>
              <w:top w:val="none" w:sz="0" w:space="0" w:color="auto"/>
              <w:bottom w:val="none" w:sz="0" w:space="0" w:color="auto"/>
            </w:tcBorders>
            <w:noWrap/>
            <w:vAlign w:val="bottom"/>
            <w:hideMark/>
          </w:tcPr>
          <w:p w14:paraId="33759CB7"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146 (24) </w:t>
            </w:r>
          </w:p>
        </w:tc>
        <w:tc>
          <w:tcPr>
            <w:tcW w:w="487" w:type="pct"/>
            <w:tcBorders>
              <w:top w:val="none" w:sz="0" w:space="0" w:color="auto"/>
              <w:bottom w:val="none" w:sz="0" w:space="0" w:color="auto"/>
            </w:tcBorders>
            <w:noWrap/>
            <w:vAlign w:val="bottom"/>
            <w:hideMark/>
          </w:tcPr>
          <w:p w14:paraId="4209E9DA"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21 (3) </w:t>
            </w:r>
          </w:p>
        </w:tc>
        <w:tc>
          <w:tcPr>
            <w:tcW w:w="487" w:type="pct"/>
            <w:tcBorders>
              <w:top w:val="none" w:sz="0" w:space="0" w:color="auto"/>
              <w:bottom w:val="none" w:sz="0" w:space="0" w:color="auto"/>
              <w:right w:val="none" w:sz="0" w:space="0" w:color="auto"/>
            </w:tcBorders>
            <w:noWrap/>
            <w:vAlign w:val="bottom"/>
            <w:hideMark/>
          </w:tcPr>
          <w:p w14:paraId="115D341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21 (3) </w:t>
            </w:r>
          </w:p>
        </w:tc>
      </w:tr>
      <w:tr w:rsidR="0062560D" w:rsidRPr="0062560D" w14:paraId="2A0D02EA"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0295A04B" w14:textId="77777777" w:rsidR="0062560D" w:rsidRPr="00C92B6F" w:rsidRDefault="0062560D" w:rsidP="009B00A0">
            <w:pPr>
              <w:pStyle w:val="TableTextbold"/>
              <w:spacing w:before="40" w:after="40"/>
              <w:rPr>
                <w:rFonts w:eastAsia="Times New Roman"/>
                <w:b/>
                <w:bCs w:val="0"/>
                <w:lang w:eastAsia="ja-JP"/>
              </w:rPr>
            </w:pPr>
            <w:r w:rsidRPr="00C92B6F">
              <w:rPr>
                <w:b/>
                <w:bCs w:val="0"/>
              </w:rPr>
              <w:t>Nelson</w:t>
            </w:r>
          </w:p>
        </w:tc>
        <w:tc>
          <w:tcPr>
            <w:tcW w:w="635" w:type="pct"/>
            <w:noWrap/>
            <w:vAlign w:val="bottom"/>
            <w:hideMark/>
          </w:tcPr>
          <w:p w14:paraId="413310F2"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22 </w:t>
            </w:r>
          </w:p>
        </w:tc>
        <w:tc>
          <w:tcPr>
            <w:tcW w:w="659" w:type="pct"/>
            <w:noWrap/>
            <w:vAlign w:val="bottom"/>
            <w:hideMark/>
          </w:tcPr>
          <w:p w14:paraId="5F1DFA7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 (23) </w:t>
            </w:r>
          </w:p>
        </w:tc>
        <w:tc>
          <w:tcPr>
            <w:tcW w:w="659" w:type="pct"/>
            <w:noWrap/>
            <w:vAlign w:val="bottom"/>
            <w:hideMark/>
          </w:tcPr>
          <w:p w14:paraId="1C1F97C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(1) </w:t>
            </w:r>
          </w:p>
        </w:tc>
        <w:tc>
          <w:tcPr>
            <w:tcW w:w="659" w:type="pct"/>
            <w:noWrap/>
            <w:vAlign w:val="bottom"/>
            <w:hideMark/>
          </w:tcPr>
          <w:p w14:paraId="030F801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0 (0) </w:t>
            </w:r>
          </w:p>
        </w:tc>
        <w:tc>
          <w:tcPr>
            <w:tcW w:w="487" w:type="pct"/>
            <w:noWrap/>
            <w:vAlign w:val="bottom"/>
            <w:hideMark/>
          </w:tcPr>
          <w:p w14:paraId="04B2E747"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 (23) </w:t>
            </w:r>
          </w:p>
        </w:tc>
        <w:tc>
          <w:tcPr>
            <w:tcW w:w="487" w:type="pct"/>
            <w:noWrap/>
            <w:vAlign w:val="bottom"/>
            <w:hideMark/>
          </w:tcPr>
          <w:p w14:paraId="5E5F433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 (2) </w:t>
            </w:r>
          </w:p>
        </w:tc>
        <w:tc>
          <w:tcPr>
            <w:tcW w:w="487" w:type="pct"/>
            <w:noWrap/>
            <w:vAlign w:val="bottom"/>
            <w:hideMark/>
          </w:tcPr>
          <w:p w14:paraId="07A3980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(2) </w:t>
            </w:r>
          </w:p>
        </w:tc>
      </w:tr>
      <w:tr w:rsidR="0062560D" w:rsidRPr="0062560D" w14:paraId="0A7B7C88"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50359CD4" w14:textId="77777777" w:rsidR="0062560D" w:rsidRPr="00C92B6F" w:rsidRDefault="0062560D" w:rsidP="009B00A0">
            <w:pPr>
              <w:pStyle w:val="TableTextbold"/>
              <w:spacing w:before="40" w:after="40"/>
              <w:rPr>
                <w:rFonts w:eastAsia="Times New Roman"/>
                <w:b/>
                <w:bCs w:val="0"/>
                <w:lang w:eastAsia="ja-JP"/>
              </w:rPr>
            </w:pPr>
            <w:r w:rsidRPr="00C92B6F">
              <w:rPr>
                <w:b/>
                <w:bCs w:val="0"/>
              </w:rPr>
              <w:t>Northland</w:t>
            </w:r>
          </w:p>
        </w:tc>
        <w:tc>
          <w:tcPr>
            <w:tcW w:w="635" w:type="pct"/>
            <w:tcBorders>
              <w:top w:val="none" w:sz="0" w:space="0" w:color="auto"/>
              <w:bottom w:val="none" w:sz="0" w:space="0" w:color="auto"/>
            </w:tcBorders>
            <w:noWrap/>
            <w:vAlign w:val="bottom"/>
            <w:hideMark/>
          </w:tcPr>
          <w:p w14:paraId="33CE5858"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1,865 </w:t>
            </w:r>
          </w:p>
        </w:tc>
        <w:tc>
          <w:tcPr>
            <w:tcW w:w="659" w:type="pct"/>
            <w:tcBorders>
              <w:top w:val="none" w:sz="0" w:space="0" w:color="auto"/>
              <w:bottom w:val="none" w:sz="0" w:space="0" w:color="auto"/>
            </w:tcBorders>
            <w:noWrap/>
            <w:vAlign w:val="bottom"/>
            <w:hideMark/>
          </w:tcPr>
          <w:p w14:paraId="0E1FEDF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287 (15) </w:t>
            </w:r>
          </w:p>
        </w:tc>
        <w:tc>
          <w:tcPr>
            <w:tcW w:w="659" w:type="pct"/>
            <w:tcBorders>
              <w:top w:val="none" w:sz="0" w:space="0" w:color="auto"/>
              <w:bottom w:val="none" w:sz="0" w:space="0" w:color="auto"/>
            </w:tcBorders>
            <w:noWrap/>
            <w:vAlign w:val="bottom"/>
            <w:hideMark/>
          </w:tcPr>
          <w:p w14:paraId="79F8762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36 (2) </w:t>
            </w:r>
          </w:p>
        </w:tc>
        <w:tc>
          <w:tcPr>
            <w:tcW w:w="659" w:type="pct"/>
            <w:tcBorders>
              <w:top w:val="none" w:sz="0" w:space="0" w:color="auto"/>
              <w:bottom w:val="none" w:sz="0" w:space="0" w:color="auto"/>
            </w:tcBorders>
            <w:noWrap/>
            <w:vAlign w:val="bottom"/>
            <w:hideMark/>
          </w:tcPr>
          <w:p w14:paraId="4BD92E60"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 (0) </w:t>
            </w:r>
          </w:p>
        </w:tc>
        <w:tc>
          <w:tcPr>
            <w:tcW w:w="487" w:type="pct"/>
            <w:tcBorders>
              <w:top w:val="none" w:sz="0" w:space="0" w:color="auto"/>
              <w:bottom w:val="none" w:sz="0" w:space="0" w:color="auto"/>
            </w:tcBorders>
            <w:noWrap/>
            <w:vAlign w:val="bottom"/>
            <w:hideMark/>
          </w:tcPr>
          <w:p w14:paraId="65D4F6E8"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407 (22) </w:t>
            </w:r>
          </w:p>
        </w:tc>
        <w:tc>
          <w:tcPr>
            <w:tcW w:w="487" w:type="pct"/>
            <w:tcBorders>
              <w:top w:val="none" w:sz="0" w:space="0" w:color="auto"/>
              <w:bottom w:val="none" w:sz="0" w:space="0" w:color="auto"/>
            </w:tcBorders>
            <w:noWrap/>
            <w:vAlign w:val="bottom"/>
            <w:hideMark/>
          </w:tcPr>
          <w:p w14:paraId="361120E9"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156 (8) </w:t>
            </w:r>
          </w:p>
        </w:tc>
        <w:tc>
          <w:tcPr>
            <w:tcW w:w="487" w:type="pct"/>
            <w:tcBorders>
              <w:top w:val="none" w:sz="0" w:space="0" w:color="auto"/>
              <w:bottom w:val="none" w:sz="0" w:space="0" w:color="auto"/>
              <w:right w:val="none" w:sz="0" w:space="0" w:color="auto"/>
            </w:tcBorders>
            <w:noWrap/>
            <w:vAlign w:val="bottom"/>
            <w:hideMark/>
          </w:tcPr>
          <w:p w14:paraId="4A28636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138 (7) </w:t>
            </w:r>
          </w:p>
        </w:tc>
      </w:tr>
      <w:tr w:rsidR="0062560D" w:rsidRPr="0062560D" w14:paraId="5FBC552B"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3E6533C4" w14:textId="77777777" w:rsidR="0062560D" w:rsidRPr="00C92B6F" w:rsidRDefault="0062560D" w:rsidP="009B00A0">
            <w:pPr>
              <w:pStyle w:val="TableTextbold"/>
              <w:spacing w:before="40" w:after="40"/>
              <w:rPr>
                <w:rFonts w:eastAsia="Times New Roman"/>
                <w:b/>
                <w:bCs w:val="0"/>
                <w:lang w:eastAsia="ja-JP"/>
              </w:rPr>
            </w:pPr>
            <w:r w:rsidRPr="00C92B6F">
              <w:rPr>
                <w:b/>
                <w:bCs w:val="0"/>
              </w:rPr>
              <w:t>Otago</w:t>
            </w:r>
          </w:p>
        </w:tc>
        <w:tc>
          <w:tcPr>
            <w:tcW w:w="635" w:type="pct"/>
            <w:noWrap/>
            <w:vAlign w:val="bottom"/>
            <w:hideMark/>
          </w:tcPr>
          <w:p w14:paraId="4B7FAF2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3,744 </w:t>
            </w:r>
          </w:p>
        </w:tc>
        <w:tc>
          <w:tcPr>
            <w:tcW w:w="659" w:type="pct"/>
            <w:noWrap/>
            <w:vAlign w:val="bottom"/>
            <w:hideMark/>
          </w:tcPr>
          <w:p w14:paraId="7C7074C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586 (16) </w:t>
            </w:r>
          </w:p>
        </w:tc>
        <w:tc>
          <w:tcPr>
            <w:tcW w:w="659" w:type="pct"/>
            <w:noWrap/>
            <w:vAlign w:val="bottom"/>
            <w:hideMark/>
          </w:tcPr>
          <w:p w14:paraId="013C631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31 (1) </w:t>
            </w:r>
          </w:p>
        </w:tc>
        <w:tc>
          <w:tcPr>
            <w:tcW w:w="659" w:type="pct"/>
            <w:noWrap/>
            <w:vAlign w:val="bottom"/>
            <w:hideMark/>
          </w:tcPr>
          <w:p w14:paraId="04B31632"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2 (0) </w:t>
            </w:r>
          </w:p>
        </w:tc>
        <w:tc>
          <w:tcPr>
            <w:tcW w:w="487" w:type="pct"/>
            <w:noWrap/>
            <w:vAlign w:val="bottom"/>
            <w:hideMark/>
          </w:tcPr>
          <w:p w14:paraId="65673AA7"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592 (16) </w:t>
            </w:r>
          </w:p>
        </w:tc>
        <w:tc>
          <w:tcPr>
            <w:tcW w:w="487" w:type="pct"/>
            <w:noWrap/>
            <w:vAlign w:val="bottom"/>
            <w:hideMark/>
          </w:tcPr>
          <w:p w14:paraId="444210BC"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39 (1) </w:t>
            </w:r>
          </w:p>
        </w:tc>
        <w:tc>
          <w:tcPr>
            <w:tcW w:w="487" w:type="pct"/>
            <w:noWrap/>
            <w:vAlign w:val="bottom"/>
            <w:hideMark/>
          </w:tcPr>
          <w:p w14:paraId="3588E4B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19 (1) </w:t>
            </w:r>
          </w:p>
        </w:tc>
      </w:tr>
      <w:tr w:rsidR="0062560D" w:rsidRPr="0062560D" w14:paraId="4096B480"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571C2E08" w14:textId="77777777" w:rsidR="0062560D" w:rsidRPr="00C92B6F" w:rsidRDefault="0062560D" w:rsidP="009B00A0">
            <w:pPr>
              <w:pStyle w:val="TableTextbold"/>
              <w:spacing w:before="40" w:after="40"/>
              <w:rPr>
                <w:rFonts w:eastAsia="Times New Roman"/>
                <w:b/>
                <w:bCs w:val="0"/>
                <w:lang w:eastAsia="ja-JP"/>
              </w:rPr>
            </w:pPr>
            <w:r w:rsidRPr="00C92B6F">
              <w:rPr>
                <w:b/>
                <w:bCs w:val="0"/>
              </w:rPr>
              <w:t>Southland</w:t>
            </w:r>
          </w:p>
        </w:tc>
        <w:tc>
          <w:tcPr>
            <w:tcW w:w="635" w:type="pct"/>
            <w:tcBorders>
              <w:top w:val="none" w:sz="0" w:space="0" w:color="auto"/>
              <w:bottom w:val="none" w:sz="0" w:space="0" w:color="auto"/>
            </w:tcBorders>
            <w:noWrap/>
            <w:vAlign w:val="bottom"/>
            <w:hideMark/>
          </w:tcPr>
          <w:p w14:paraId="6F1ED9D2"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4,106 </w:t>
            </w:r>
          </w:p>
        </w:tc>
        <w:tc>
          <w:tcPr>
            <w:tcW w:w="659" w:type="pct"/>
            <w:tcBorders>
              <w:top w:val="none" w:sz="0" w:space="0" w:color="auto"/>
              <w:bottom w:val="none" w:sz="0" w:space="0" w:color="auto"/>
            </w:tcBorders>
            <w:noWrap/>
            <w:vAlign w:val="bottom"/>
            <w:hideMark/>
          </w:tcPr>
          <w:p w14:paraId="0D97433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370 (9) </w:t>
            </w:r>
          </w:p>
        </w:tc>
        <w:tc>
          <w:tcPr>
            <w:tcW w:w="659" w:type="pct"/>
            <w:tcBorders>
              <w:top w:val="none" w:sz="0" w:space="0" w:color="auto"/>
              <w:bottom w:val="none" w:sz="0" w:space="0" w:color="auto"/>
            </w:tcBorders>
            <w:noWrap/>
            <w:vAlign w:val="bottom"/>
            <w:hideMark/>
          </w:tcPr>
          <w:p w14:paraId="7EFADE4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50 (1) </w:t>
            </w:r>
          </w:p>
        </w:tc>
        <w:tc>
          <w:tcPr>
            <w:tcW w:w="659" w:type="pct"/>
            <w:tcBorders>
              <w:top w:val="none" w:sz="0" w:space="0" w:color="auto"/>
              <w:bottom w:val="none" w:sz="0" w:space="0" w:color="auto"/>
            </w:tcBorders>
            <w:noWrap/>
            <w:vAlign w:val="bottom"/>
            <w:hideMark/>
          </w:tcPr>
          <w:p w14:paraId="792F7F8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 (0) </w:t>
            </w:r>
          </w:p>
        </w:tc>
        <w:tc>
          <w:tcPr>
            <w:tcW w:w="487" w:type="pct"/>
            <w:tcBorders>
              <w:top w:val="none" w:sz="0" w:space="0" w:color="auto"/>
              <w:bottom w:val="none" w:sz="0" w:space="0" w:color="auto"/>
            </w:tcBorders>
            <w:noWrap/>
            <w:vAlign w:val="bottom"/>
            <w:hideMark/>
          </w:tcPr>
          <w:p w14:paraId="2E3C1737"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372 (9) </w:t>
            </w:r>
          </w:p>
        </w:tc>
        <w:tc>
          <w:tcPr>
            <w:tcW w:w="487" w:type="pct"/>
            <w:tcBorders>
              <w:top w:val="none" w:sz="0" w:space="0" w:color="auto"/>
              <w:bottom w:val="none" w:sz="0" w:space="0" w:color="auto"/>
            </w:tcBorders>
            <w:noWrap/>
            <w:vAlign w:val="bottom"/>
            <w:hideMark/>
          </w:tcPr>
          <w:p w14:paraId="5253633C"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60 (1) </w:t>
            </w:r>
          </w:p>
        </w:tc>
        <w:tc>
          <w:tcPr>
            <w:tcW w:w="487" w:type="pct"/>
            <w:tcBorders>
              <w:top w:val="none" w:sz="0" w:space="0" w:color="auto"/>
              <w:bottom w:val="none" w:sz="0" w:space="0" w:color="auto"/>
              <w:right w:val="none" w:sz="0" w:space="0" w:color="auto"/>
            </w:tcBorders>
            <w:noWrap/>
            <w:vAlign w:val="bottom"/>
            <w:hideMark/>
          </w:tcPr>
          <w:p w14:paraId="6412CEDC"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27 (1) </w:t>
            </w:r>
          </w:p>
        </w:tc>
      </w:tr>
      <w:tr w:rsidR="0062560D" w:rsidRPr="0062560D" w14:paraId="19711C0C"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70975F86" w14:textId="77777777" w:rsidR="0062560D" w:rsidRPr="00C92B6F" w:rsidRDefault="0062560D" w:rsidP="009B00A0">
            <w:pPr>
              <w:pStyle w:val="TableTextbold"/>
              <w:spacing w:before="40" w:after="40"/>
              <w:rPr>
                <w:rFonts w:eastAsia="Times New Roman"/>
                <w:b/>
                <w:bCs w:val="0"/>
                <w:lang w:eastAsia="ja-JP"/>
              </w:rPr>
            </w:pPr>
            <w:r w:rsidRPr="00C92B6F">
              <w:rPr>
                <w:b/>
                <w:bCs w:val="0"/>
              </w:rPr>
              <w:t>Taranaki</w:t>
            </w:r>
          </w:p>
        </w:tc>
        <w:tc>
          <w:tcPr>
            <w:tcW w:w="635" w:type="pct"/>
            <w:noWrap/>
            <w:vAlign w:val="bottom"/>
            <w:hideMark/>
          </w:tcPr>
          <w:p w14:paraId="7A388D6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1,155 </w:t>
            </w:r>
          </w:p>
        </w:tc>
        <w:tc>
          <w:tcPr>
            <w:tcW w:w="659" w:type="pct"/>
            <w:noWrap/>
            <w:vAlign w:val="bottom"/>
            <w:hideMark/>
          </w:tcPr>
          <w:p w14:paraId="66951CF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387 (34) </w:t>
            </w:r>
          </w:p>
        </w:tc>
        <w:tc>
          <w:tcPr>
            <w:tcW w:w="659" w:type="pct"/>
            <w:noWrap/>
            <w:vAlign w:val="bottom"/>
            <w:hideMark/>
          </w:tcPr>
          <w:p w14:paraId="01849E9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18 (2) </w:t>
            </w:r>
          </w:p>
        </w:tc>
        <w:tc>
          <w:tcPr>
            <w:tcW w:w="659" w:type="pct"/>
            <w:noWrap/>
            <w:vAlign w:val="bottom"/>
            <w:hideMark/>
          </w:tcPr>
          <w:p w14:paraId="57C4306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 (0) </w:t>
            </w:r>
          </w:p>
        </w:tc>
        <w:tc>
          <w:tcPr>
            <w:tcW w:w="487" w:type="pct"/>
            <w:noWrap/>
            <w:vAlign w:val="bottom"/>
            <w:hideMark/>
          </w:tcPr>
          <w:p w14:paraId="1C812EA5"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394 (34) </w:t>
            </w:r>
          </w:p>
        </w:tc>
        <w:tc>
          <w:tcPr>
            <w:tcW w:w="487" w:type="pct"/>
            <w:noWrap/>
            <w:vAlign w:val="bottom"/>
            <w:hideMark/>
          </w:tcPr>
          <w:p w14:paraId="22E7255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51 (4) </w:t>
            </w:r>
          </w:p>
        </w:tc>
        <w:tc>
          <w:tcPr>
            <w:tcW w:w="487" w:type="pct"/>
            <w:noWrap/>
            <w:vAlign w:val="bottom"/>
            <w:hideMark/>
          </w:tcPr>
          <w:p w14:paraId="18914E2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45 (4) </w:t>
            </w:r>
          </w:p>
        </w:tc>
      </w:tr>
      <w:tr w:rsidR="0062560D" w:rsidRPr="0062560D" w14:paraId="74A66D5C"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234DA9F7" w14:textId="77777777" w:rsidR="0062560D" w:rsidRPr="00C92B6F" w:rsidRDefault="0062560D" w:rsidP="009B00A0">
            <w:pPr>
              <w:pStyle w:val="TableTextbold"/>
              <w:spacing w:before="40" w:after="40"/>
              <w:rPr>
                <w:rFonts w:eastAsia="Times New Roman"/>
                <w:b/>
                <w:bCs w:val="0"/>
                <w:lang w:eastAsia="ja-JP"/>
              </w:rPr>
            </w:pPr>
            <w:r w:rsidRPr="00C92B6F">
              <w:rPr>
                <w:b/>
                <w:bCs w:val="0"/>
              </w:rPr>
              <w:t>Tasman</w:t>
            </w:r>
          </w:p>
        </w:tc>
        <w:tc>
          <w:tcPr>
            <w:tcW w:w="635" w:type="pct"/>
            <w:tcBorders>
              <w:top w:val="none" w:sz="0" w:space="0" w:color="auto"/>
              <w:bottom w:val="none" w:sz="0" w:space="0" w:color="auto"/>
            </w:tcBorders>
            <w:noWrap/>
            <w:vAlign w:val="bottom"/>
            <w:hideMark/>
          </w:tcPr>
          <w:p w14:paraId="757E25A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603 </w:t>
            </w:r>
          </w:p>
        </w:tc>
        <w:tc>
          <w:tcPr>
            <w:tcW w:w="659" w:type="pct"/>
            <w:tcBorders>
              <w:top w:val="none" w:sz="0" w:space="0" w:color="auto"/>
              <w:bottom w:val="none" w:sz="0" w:space="0" w:color="auto"/>
            </w:tcBorders>
            <w:noWrap/>
            <w:vAlign w:val="bottom"/>
            <w:hideMark/>
          </w:tcPr>
          <w:p w14:paraId="03771EA2"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30 (5) </w:t>
            </w:r>
          </w:p>
        </w:tc>
        <w:tc>
          <w:tcPr>
            <w:tcW w:w="659" w:type="pct"/>
            <w:tcBorders>
              <w:top w:val="none" w:sz="0" w:space="0" w:color="auto"/>
              <w:bottom w:val="none" w:sz="0" w:space="0" w:color="auto"/>
            </w:tcBorders>
            <w:noWrap/>
            <w:vAlign w:val="bottom"/>
            <w:hideMark/>
          </w:tcPr>
          <w:p w14:paraId="0BDEF1B7"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 (0) </w:t>
            </w:r>
          </w:p>
        </w:tc>
        <w:tc>
          <w:tcPr>
            <w:tcW w:w="659" w:type="pct"/>
            <w:tcBorders>
              <w:top w:val="none" w:sz="0" w:space="0" w:color="auto"/>
              <w:bottom w:val="none" w:sz="0" w:space="0" w:color="auto"/>
            </w:tcBorders>
            <w:noWrap/>
            <w:vAlign w:val="bottom"/>
            <w:hideMark/>
          </w:tcPr>
          <w:p w14:paraId="02EBAA30"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 (0) </w:t>
            </w:r>
          </w:p>
        </w:tc>
        <w:tc>
          <w:tcPr>
            <w:tcW w:w="487" w:type="pct"/>
            <w:tcBorders>
              <w:top w:val="none" w:sz="0" w:space="0" w:color="auto"/>
              <w:bottom w:val="none" w:sz="0" w:space="0" w:color="auto"/>
            </w:tcBorders>
            <w:noWrap/>
            <w:vAlign w:val="bottom"/>
            <w:hideMark/>
          </w:tcPr>
          <w:p w14:paraId="25ECA976"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35 (6) </w:t>
            </w:r>
          </w:p>
        </w:tc>
        <w:tc>
          <w:tcPr>
            <w:tcW w:w="487" w:type="pct"/>
            <w:tcBorders>
              <w:top w:val="none" w:sz="0" w:space="0" w:color="auto"/>
              <w:bottom w:val="none" w:sz="0" w:space="0" w:color="auto"/>
            </w:tcBorders>
            <w:noWrap/>
            <w:vAlign w:val="bottom"/>
            <w:hideMark/>
          </w:tcPr>
          <w:p w14:paraId="032DEC4A"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5 (1) </w:t>
            </w:r>
          </w:p>
        </w:tc>
        <w:tc>
          <w:tcPr>
            <w:tcW w:w="487" w:type="pct"/>
            <w:tcBorders>
              <w:top w:val="none" w:sz="0" w:space="0" w:color="auto"/>
              <w:bottom w:val="none" w:sz="0" w:space="0" w:color="auto"/>
              <w:right w:val="none" w:sz="0" w:space="0" w:color="auto"/>
            </w:tcBorders>
            <w:noWrap/>
            <w:vAlign w:val="bottom"/>
            <w:hideMark/>
          </w:tcPr>
          <w:p w14:paraId="13CE83E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5 (1) </w:t>
            </w:r>
          </w:p>
        </w:tc>
      </w:tr>
      <w:tr w:rsidR="0062560D" w:rsidRPr="0062560D" w14:paraId="055A823B"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2FBE67B8" w14:textId="77777777" w:rsidR="0062560D" w:rsidRPr="00C92B6F" w:rsidRDefault="0062560D" w:rsidP="009B00A0">
            <w:pPr>
              <w:pStyle w:val="TableTextbold"/>
              <w:spacing w:before="40" w:after="40"/>
              <w:rPr>
                <w:rFonts w:eastAsia="Times New Roman"/>
                <w:b/>
                <w:bCs w:val="0"/>
                <w:lang w:eastAsia="ja-JP"/>
              </w:rPr>
            </w:pPr>
            <w:r w:rsidRPr="00C92B6F">
              <w:rPr>
                <w:b/>
                <w:bCs w:val="0"/>
              </w:rPr>
              <w:t>Waikato</w:t>
            </w:r>
          </w:p>
        </w:tc>
        <w:tc>
          <w:tcPr>
            <w:tcW w:w="635" w:type="pct"/>
            <w:noWrap/>
            <w:vAlign w:val="bottom"/>
            <w:hideMark/>
          </w:tcPr>
          <w:p w14:paraId="369DDD1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2,569 </w:t>
            </w:r>
          </w:p>
        </w:tc>
        <w:tc>
          <w:tcPr>
            <w:tcW w:w="659" w:type="pct"/>
            <w:noWrap/>
            <w:vAlign w:val="bottom"/>
            <w:hideMark/>
          </w:tcPr>
          <w:p w14:paraId="61371CE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510 (20) </w:t>
            </w:r>
          </w:p>
        </w:tc>
        <w:tc>
          <w:tcPr>
            <w:tcW w:w="659" w:type="pct"/>
            <w:noWrap/>
            <w:vAlign w:val="bottom"/>
            <w:hideMark/>
          </w:tcPr>
          <w:p w14:paraId="1A5DE068"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70 (3) </w:t>
            </w:r>
          </w:p>
        </w:tc>
        <w:tc>
          <w:tcPr>
            <w:tcW w:w="659" w:type="pct"/>
            <w:noWrap/>
            <w:vAlign w:val="bottom"/>
            <w:hideMark/>
          </w:tcPr>
          <w:p w14:paraId="1E76B89F"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52 (2) </w:t>
            </w:r>
          </w:p>
        </w:tc>
        <w:tc>
          <w:tcPr>
            <w:tcW w:w="487" w:type="pct"/>
            <w:noWrap/>
            <w:vAlign w:val="bottom"/>
            <w:hideMark/>
          </w:tcPr>
          <w:p w14:paraId="4B956023"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767 (30) </w:t>
            </w:r>
          </w:p>
        </w:tc>
        <w:tc>
          <w:tcPr>
            <w:tcW w:w="487" w:type="pct"/>
            <w:noWrap/>
            <w:vAlign w:val="bottom"/>
            <w:hideMark/>
          </w:tcPr>
          <w:p w14:paraId="3C95F748"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367 (14) </w:t>
            </w:r>
          </w:p>
        </w:tc>
        <w:tc>
          <w:tcPr>
            <w:tcW w:w="487" w:type="pct"/>
            <w:noWrap/>
            <w:vAlign w:val="bottom"/>
            <w:hideMark/>
          </w:tcPr>
          <w:p w14:paraId="603C537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358 (14) </w:t>
            </w:r>
          </w:p>
        </w:tc>
      </w:tr>
      <w:tr w:rsidR="0062560D" w:rsidRPr="0062560D" w14:paraId="354043CA"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7C42B2EC" w14:textId="77777777" w:rsidR="0062560D" w:rsidRPr="00C92B6F" w:rsidRDefault="0062560D" w:rsidP="009B00A0">
            <w:pPr>
              <w:pStyle w:val="TableTextbold"/>
              <w:spacing w:before="40" w:after="40"/>
              <w:rPr>
                <w:rFonts w:eastAsia="Times New Roman"/>
                <w:b/>
                <w:bCs w:val="0"/>
                <w:lang w:eastAsia="ja-JP"/>
              </w:rPr>
            </w:pPr>
            <w:r w:rsidRPr="00C92B6F">
              <w:rPr>
                <w:b/>
                <w:bCs w:val="0"/>
              </w:rPr>
              <w:t>Wellington</w:t>
            </w:r>
          </w:p>
        </w:tc>
        <w:tc>
          <w:tcPr>
            <w:tcW w:w="635" w:type="pct"/>
            <w:tcBorders>
              <w:top w:val="none" w:sz="0" w:space="0" w:color="auto"/>
              <w:bottom w:val="none" w:sz="0" w:space="0" w:color="auto"/>
            </w:tcBorders>
            <w:noWrap/>
            <w:vAlign w:val="bottom"/>
            <w:hideMark/>
          </w:tcPr>
          <w:p w14:paraId="25D70F5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1,060 </w:t>
            </w:r>
          </w:p>
        </w:tc>
        <w:tc>
          <w:tcPr>
            <w:tcW w:w="659" w:type="pct"/>
            <w:tcBorders>
              <w:top w:val="none" w:sz="0" w:space="0" w:color="auto"/>
              <w:bottom w:val="none" w:sz="0" w:space="0" w:color="auto"/>
            </w:tcBorders>
            <w:noWrap/>
            <w:vAlign w:val="bottom"/>
            <w:hideMark/>
          </w:tcPr>
          <w:p w14:paraId="4674E735"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344 (32) </w:t>
            </w:r>
          </w:p>
        </w:tc>
        <w:tc>
          <w:tcPr>
            <w:tcW w:w="659" w:type="pct"/>
            <w:tcBorders>
              <w:top w:val="none" w:sz="0" w:space="0" w:color="auto"/>
              <w:bottom w:val="none" w:sz="0" w:space="0" w:color="auto"/>
            </w:tcBorders>
            <w:noWrap/>
            <w:vAlign w:val="bottom"/>
            <w:hideMark/>
          </w:tcPr>
          <w:p w14:paraId="0DD6AB3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14 (1) </w:t>
            </w:r>
          </w:p>
        </w:tc>
        <w:tc>
          <w:tcPr>
            <w:tcW w:w="659" w:type="pct"/>
            <w:tcBorders>
              <w:top w:val="none" w:sz="0" w:space="0" w:color="auto"/>
              <w:bottom w:val="none" w:sz="0" w:space="0" w:color="auto"/>
            </w:tcBorders>
            <w:noWrap/>
            <w:vAlign w:val="bottom"/>
            <w:hideMark/>
          </w:tcPr>
          <w:p w14:paraId="7F73BB2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 (0) </w:t>
            </w:r>
          </w:p>
        </w:tc>
        <w:tc>
          <w:tcPr>
            <w:tcW w:w="487" w:type="pct"/>
            <w:tcBorders>
              <w:top w:val="none" w:sz="0" w:space="0" w:color="auto"/>
              <w:bottom w:val="none" w:sz="0" w:space="0" w:color="auto"/>
            </w:tcBorders>
            <w:noWrap/>
            <w:vAlign w:val="bottom"/>
            <w:hideMark/>
          </w:tcPr>
          <w:p w14:paraId="15DF4393"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344 (32) </w:t>
            </w:r>
          </w:p>
        </w:tc>
        <w:tc>
          <w:tcPr>
            <w:tcW w:w="487" w:type="pct"/>
            <w:tcBorders>
              <w:top w:val="none" w:sz="0" w:space="0" w:color="auto"/>
              <w:bottom w:val="none" w:sz="0" w:space="0" w:color="auto"/>
            </w:tcBorders>
            <w:noWrap/>
            <w:vAlign w:val="bottom"/>
            <w:hideMark/>
          </w:tcPr>
          <w:p w14:paraId="31301CA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36 (3) </w:t>
            </w:r>
          </w:p>
        </w:tc>
        <w:tc>
          <w:tcPr>
            <w:tcW w:w="487" w:type="pct"/>
            <w:tcBorders>
              <w:top w:val="none" w:sz="0" w:space="0" w:color="auto"/>
              <w:bottom w:val="none" w:sz="0" w:space="0" w:color="auto"/>
              <w:right w:val="none" w:sz="0" w:space="0" w:color="auto"/>
            </w:tcBorders>
            <w:noWrap/>
            <w:vAlign w:val="bottom"/>
            <w:hideMark/>
          </w:tcPr>
          <w:p w14:paraId="1DC8A3CA"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27 (3) </w:t>
            </w:r>
          </w:p>
        </w:tc>
      </w:tr>
      <w:tr w:rsidR="0062560D" w:rsidRPr="0062560D" w14:paraId="77CB89B5" w14:textId="77777777" w:rsidTr="0009539C">
        <w:trPr>
          <w:trHeight w:val="300"/>
        </w:trPr>
        <w:tc>
          <w:tcPr>
            <w:cnfStyle w:val="001000000000" w:firstRow="0" w:lastRow="0" w:firstColumn="1" w:lastColumn="0" w:oddVBand="0" w:evenVBand="0" w:oddHBand="0" w:evenHBand="0" w:firstRowFirstColumn="0" w:firstRowLastColumn="0" w:lastRowFirstColumn="0" w:lastRowLastColumn="0"/>
            <w:tcW w:w="927" w:type="pct"/>
            <w:noWrap/>
            <w:vAlign w:val="bottom"/>
            <w:hideMark/>
          </w:tcPr>
          <w:p w14:paraId="7D757A31" w14:textId="77777777" w:rsidR="0062560D" w:rsidRPr="00C92B6F" w:rsidRDefault="0062560D" w:rsidP="009B00A0">
            <w:pPr>
              <w:pStyle w:val="TableTextbold"/>
              <w:spacing w:before="40" w:after="40"/>
              <w:rPr>
                <w:rFonts w:eastAsia="Times New Roman"/>
                <w:b/>
                <w:bCs w:val="0"/>
                <w:lang w:eastAsia="ja-JP"/>
              </w:rPr>
            </w:pPr>
            <w:r w:rsidRPr="00C92B6F">
              <w:rPr>
                <w:b/>
                <w:bCs w:val="0"/>
              </w:rPr>
              <w:t>West Coast</w:t>
            </w:r>
          </w:p>
        </w:tc>
        <w:tc>
          <w:tcPr>
            <w:tcW w:w="635" w:type="pct"/>
            <w:noWrap/>
            <w:vAlign w:val="bottom"/>
            <w:hideMark/>
          </w:tcPr>
          <w:p w14:paraId="1EDD9387"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15,579 </w:t>
            </w:r>
          </w:p>
        </w:tc>
        <w:tc>
          <w:tcPr>
            <w:tcW w:w="659" w:type="pct"/>
            <w:noWrap/>
            <w:vAlign w:val="bottom"/>
            <w:hideMark/>
          </w:tcPr>
          <w:p w14:paraId="357160E9"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13 (0) </w:t>
            </w:r>
          </w:p>
        </w:tc>
        <w:tc>
          <w:tcPr>
            <w:tcW w:w="659" w:type="pct"/>
            <w:noWrap/>
            <w:vAlign w:val="bottom"/>
            <w:hideMark/>
          </w:tcPr>
          <w:p w14:paraId="599F8D54"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(0) </w:t>
            </w:r>
          </w:p>
        </w:tc>
        <w:tc>
          <w:tcPr>
            <w:tcW w:w="659" w:type="pct"/>
            <w:noWrap/>
            <w:vAlign w:val="bottom"/>
            <w:hideMark/>
          </w:tcPr>
          <w:p w14:paraId="58FDC2A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(0) </w:t>
            </w:r>
          </w:p>
        </w:tc>
        <w:tc>
          <w:tcPr>
            <w:tcW w:w="487" w:type="pct"/>
            <w:noWrap/>
            <w:vAlign w:val="bottom"/>
            <w:hideMark/>
          </w:tcPr>
          <w:p w14:paraId="1A226E05"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13 (0) </w:t>
            </w:r>
          </w:p>
        </w:tc>
        <w:tc>
          <w:tcPr>
            <w:tcW w:w="487" w:type="pct"/>
            <w:noWrap/>
            <w:vAlign w:val="bottom"/>
            <w:hideMark/>
          </w:tcPr>
          <w:p w14:paraId="35E3835E"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(0) </w:t>
            </w:r>
          </w:p>
        </w:tc>
        <w:tc>
          <w:tcPr>
            <w:tcW w:w="487" w:type="pct"/>
            <w:noWrap/>
            <w:vAlign w:val="bottom"/>
            <w:hideMark/>
          </w:tcPr>
          <w:p w14:paraId="743386E9" w14:textId="77777777" w:rsidR="0062560D" w:rsidRPr="0062560D" w:rsidRDefault="0062560D" w:rsidP="009B00A0">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lang w:eastAsia="ja-JP"/>
              </w:rPr>
            </w:pPr>
            <w:r w:rsidRPr="0062560D">
              <w:t xml:space="preserve"> - (0) </w:t>
            </w:r>
          </w:p>
        </w:tc>
      </w:tr>
      <w:tr w:rsidR="0062560D" w:rsidRPr="0062560D" w14:paraId="32F1A9BA" w14:textId="77777777" w:rsidTr="000953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tcBorders>
              <w:top w:val="none" w:sz="0" w:space="0" w:color="auto"/>
              <w:left w:val="none" w:sz="0" w:space="0" w:color="auto"/>
              <w:bottom w:val="none" w:sz="0" w:space="0" w:color="auto"/>
            </w:tcBorders>
            <w:noWrap/>
            <w:vAlign w:val="bottom"/>
            <w:hideMark/>
          </w:tcPr>
          <w:p w14:paraId="566EE8B4" w14:textId="77777777" w:rsidR="0062560D" w:rsidRPr="00C92B6F" w:rsidRDefault="0062560D" w:rsidP="009B00A0">
            <w:pPr>
              <w:pStyle w:val="TableTextbold"/>
              <w:spacing w:before="40" w:after="40"/>
              <w:rPr>
                <w:rFonts w:eastAsia="Times New Roman"/>
                <w:b/>
                <w:bCs w:val="0"/>
                <w:lang w:eastAsia="ja-JP"/>
              </w:rPr>
            </w:pPr>
            <w:r w:rsidRPr="00C92B6F">
              <w:rPr>
                <w:b/>
                <w:bCs w:val="0"/>
              </w:rPr>
              <w:t>New Zealand</w:t>
            </w:r>
          </w:p>
        </w:tc>
        <w:tc>
          <w:tcPr>
            <w:tcW w:w="635" w:type="pct"/>
            <w:tcBorders>
              <w:top w:val="none" w:sz="0" w:space="0" w:color="auto"/>
              <w:bottom w:val="none" w:sz="0" w:space="0" w:color="auto"/>
            </w:tcBorders>
            <w:noWrap/>
            <w:vAlign w:val="bottom"/>
            <w:hideMark/>
          </w:tcPr>
          <w:p w14:paraId="77E21648"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54,964 </w:t>
            </w:r>
          </w:p>
        </w:tc>
        <w:tc>
          <w:tcPr>
            <w:tcW w:w="659" w:type="pct"/>
            <w:tcBorders>
              <w:top w:val="none" w:sz="0" w:space="0" w:color="auto"/>
              <w:bottom w:val="none" w:sz="0" w:space="0" w:color="auto"/>
            </w:tcBorders>
            <w:noWrap/>
            <w:vAlign w:val="bottom"/>
            <w:hideMark/>
          </w:tcPr>
          <w:p w14:paraId="377DC0A4"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5,779 (11) </w:t>
            </w:r>
          </w:p>
        </w:tc>
        <w:tc>
          <w:tcPr>
            <w:tcW w:w="659" w:type="pct"/>
            <w:tcBorders>
              <w:top w:val="none" w:sz="0" w:space="0" w:color="auto"/>
              <w:bottom w:val="none" w:sz="0" w:space="0" w:color="auto"/>
            </w:tcBorders>
            <w:noWrap/>
            <w:vAlign w:val="bottom"/>
            <w:hideMark/>
          </w:tcPr>
          <w:p w14:paraId="6E543069"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488 (1) </w:t>
            </w:r>
          </w:p>
        </w:tc>
        <w:tc>
          <w:tcPr>
            <w:tcW w:w="659" w:type="pct"/>
            <w:tcBorders>
              <w:top w:val="none" w:sz="0" w:space="0" w:color="auto"/>
              <w:bottom w:val="none" w:sz="0" w:space="0" w:color="auto"/>
            </w:tcBorders>
            <w:noWrap/>
            <w:vAlign w:val="bottom"/>
            <w:hideMark/>
          </w:tcPr>
          <w:p w14:paraId="2ED22E5F"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101 (0) </w:t>
            </w:r>
          </w:p>
        </w:tc>
        <w:tc>
          <w:tcPr>
            <w:tcW w:w="487" w:type="pct"/>
            <w:tcBorders>
              <w:top w:val="none" w:sz="0" w:space="0" w:color="auto"/>
              <w:bottom w:val="none" w:sz="0" w:space="0" w:color="auto"/>
            </w:tcBorders>
            <w:noWrap/>
            <w:vAlign w:val="bottom"/>
            <w:hideMark/>
          </w:tcPr>
          <w:p w14:paraId="5049C0A9"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6,228 (11) </w:t>
            </w:r>
          </w:p>
        </w:tc>
        <w:tc>
          <w:tcPr>
            <w:tcW w:w="487" w:type="pct"/>
            <w:tcBorders>
              <w:top w:val="none" w:sz="0" w:space="0" w:color="auto"/>
              <w:bottom w:val="none" w:sz="0" w:space="0" w:color="auto"/>
            </w:tcBorders>
            <w:noWrap/>
            <w:vAlign w:val="bottom"/>
            <w:hideMark/>
          </w:tcPr>
          <w:p w14:paraId="3870FE8B"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1,414 (3) </w:t>
            </w:r>
          </w:p>
        </w:tc>
        <w:tc>
          <w:tcPr>
            <w:tcW w:w="487" w:type="pct"/>
            <w:tcBorders>
              <w:top w:val="none" w:sz="0" w:space="0" w:color="auto"/>
              <w:bottom w:val="none" w:sz="0" w:space="0" w:color="auto"/>
              <w:right w:val="none" w:sz="0" w:space="0" w:color="auto"/>
            </w:tcBorders>
            <w:noWrap/>
            <w:vAlign w:val="bottom"/>
            <w:hideMark/>
          </w:tcPr>
          <w:p w14:paraId="61E1EA98" w14:textId="77777777" w:rsidR="0062560D" w:rsidRPr="0062560D" w:rsidRDefault="0062560D" w:rsidP="009B00A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lang w:eastAsia="ja-JP"/>
              </w:rPr>
            </w:pPr>
            <w:r w:rsidRPr="0062560D">
              <w:t xml:space="preserve"> 1,254 (2) </w:t>
            </w:r>
          </w:p>
        </w:tc>
      </w:tr>
    </w:tbl>
    <w:p w14:paraId="7C091C9C" w14:textId="77777777" w:rsidR="0062560D" w:rsidRDefault="0062560D" w:rsidP="00ED12BB">
      <w:pPr>
        <w:pStyle w:val="BodyText"/>
        <w:spacing w:before="0" w:after="0"/>
        <w:rPr>
          <w:lang w:val="en-US" w:eastAsia="en-US"/>
        </w:rPr>
      </w:pPr>
    </w:p>
    <w:p w14:paraId="049B76ED" w14:textId="0E8F6AD0" w:rsidR="0062560D" w:rsidRDefault="0062560D" w:rsidP="009777E2">
      <w:pPr>
        <w:pStyle w:val="Tableheading"/>
        <w:rPr>
          <w:lang w:val="en-US"/>
        </w:rPr>
      </w:pPr>
      <w:r>
        <w:rPr>
          <w:lang w:val="en-US"/>
        </w:rPr>
        <w:lastRenderedPageBreak/>
        <w:t xml:space="preserve">Table </w:t>
      </w:r>
      <w:r w:rsidR="009C00F7">
        <w:rPr>
          <w:lang w:val="en-US"/>
        </w:rPr>
        <w:t>A3-2</w:t>
      </w:r>
      <w:r w:rsidR="009B00A0">
        <w:rPr>
          <w:lang w:val="en-US"/>
        </w:rPr>
        <w:t>:</w:t>
      </w:r>
      <w:r>
        <w:rPr>
          <w:lang w:val="en-US"/>
        </w:rPr>
        <w:t xml:space="preserve"> </w:t>
      </w:r>
      <w:r w:rsidR="009B00A0">
        <w:rPr>
          <w:lang w:val="en-US"/>
        </w:rPr>
        <w:tab/>
      </w:r>
      <w:r w:rsidRPr="009C00F7">
        <w:rPr>
          <w:lang w:val="en-US"/>
        </w:rPr>
        <w:t>Nitrogen load</w:t>
      </w:r>
      <w:r>
        <w:rPr>
          <w:lang w:val="en-US"/>
        </w:rPr>
        <w:t xml:space="preserve"> reduction targets for different regions and proportion to the current load</w:t>
      </w:r>
      <w:r w:rsidR="009C17BC">
        <w:rPr>
          <w:lang w:val="en-US"/>
        </w:rPr>
        <w:t>, including</w:t>
      </w:r>
      <w:r>
        <w:rPr>
          <w:lang w:val="en-US"/>
        </w:rPr>
        <w:t xml:space="preserve"> different scenarios with three periphyton </w:t>
      </w:r>
      <w:r w:rsidR="00B856A6">
        <w:rPr>
          <w:lang w:val="en-US"/>
        </w:rPr>
        <w:t xml:space="preserve">spatial exceedance </w:t>
      </w:r>
      <w:r>
        <w:rPr>
          <w:lang w:val="en-US"/>
        </w:rPr>
        <w:t>criteria</w:t>
      </w:r>
      <w:r w:rsidR="00B856A6">
        <w:rPr>
          <w:lang w:val="en-US"/>
        </w:rPr>
        <w:t xml:space="preserve"> (10</w:t>
      </w:r>
      <w:r w:rsidR="008E40DC">
        <w:rPr>
          <w:lang w:val="en-US"/>
        </w:rPr>
        <w:t xml:space="preserve"> per cent</w:t>
      </w:r>
      <w:r w:rsidR="00B856A6">
        <w:rPr>
          <w:lang w:val="en-US"/>
        </w:rPr>
        <w:t>, 20</w:t>
      </w:r>
      <w:r w:rsidR="008E40DC">
        <w:rPr>
          <w:lang w:val="en-US"/>
        </w:rPr>
        <w:t xml:space="preserve"> per cent</w:t>
      </w:r>
      <w:r w:rsidR="00B856A6">
        <w:rPr>
          <w:lang w:val="en-US"/>
        </w:rPr>
        <w:t xml:space="preserve"> and 30</w:t>
      </w:r>
      <w:r w:rsidR="008E40DC">
        <w:rPr>
          <w:lang w:val="en-US"/>
        </w:rPr>
        <w:t xml:space="preserve"> per cent</w:t>
      </w:r>
      <w:r w:rsidR="00B856A6">
        <w:rPr>
          <w:lang w:val="en-US"/>
        </w:rPr>
        <w:t>)</w:t>
      </w:r>
      <w:r>
        <w:rPr>
          <w:lang w:val="en-US"/>
        </w:rPr>
        <w:t>.</w:t>
      </w:r>
    </w:p>
    <w:tbl>
      <w:tblPr>
        <w:tblStyle w:val="LightList-Accent11"/>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tblBorders>
        <w:tblLook w:val="04A0" w:firstRow="1" w:lastRow="0" w:firstColumn="1" w:lastColumn="0" w:noHBand="0" w:noVBand="1"/>
      </w:tblPr>
      <w:tblGrid>
        <w:gridCol w:w="2135"/>
        <w:gridCol w:w="1325"/>
        <w:gridCol w:w="1402"/>
        <w:gridCol w:w="1402"/>
        <w:gridCol w:w="1402"/>
        <w:gridCol w:w="1204"/>
        <w:gridCol w:w="1204"/>
        <w:gridCol w:w="1099"/>
        <w:gridCol w:w="1204"/>
        <w:gridCol w:w="1099"/>
        <w:gridCol w:w="1096"/>
      </w:tblGrid>
      <w:tr w:rsidR="009B00A0" w:rsidRPr="009B00A0" w14:paraId="764688F3" w14:textId="77777777" w:rsidTr="009B00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3" w:type="pct"/>
            <w:noWrap/>
            <w:hideMark/>
          </w:tcPr>
          <w:p w14:paraId="5B2E0516" w14:textId="77777777" w:rsidR="0062560D" w:rsidRPr="009B00A0" w:rsidRDefault="0062560D" w:rsidP="00ED12BB">
            <w:pPr>
              <w:pStyle w:val="TableTextbold"/>
              <w:spacing w:after="0"/>
              <w:rPr>
                <w:b/>
                <w:bCs w:val="0"/>
              </w:rPr>
            </w:pPr>
            <w:r w:rsidRPr="009B00A0">
              <w:rPr>
                <w:b/>
                <w:bCs w:val="0"/>
              </w:rPr>
              <w:t>Scenario</w:t>
            </w:r>
          </w:p>
        </w:tc>
        <w:tc>
          <w:tcPr>
            <w:tcW w:w="455" w:type="pct"/>
            <w:vAlign w:val="center"/>
            <w:hideMark/>
          </w:tcPr>
          <w:p w14:paraId="0F861687"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Current load</w:t>
            </w:r>
          </w:p>
        </w:tc>
        <w:tc>
          <w:tcPr>
            <w:tcW w:w="481" w:type="pct"/>
            <w:noWrap/>
            <w:hideMark/>
          </w:tcPr>
          <w:p w14:paraId="261B0459"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 xml:space="preserve">2017 NPS-FM </w:t>
            </w:r>
          </w:p>
        </w:tc>
        <w:tc>
          <w:tcPr>
            <w:tcW w:w="481" w:type="pct"/>
            <w:noWrap/>
            <w:hideMark/>
          </w:tcPr>
          <w:p w14:paraId="758292DC"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 xml:space="preserve">2017 NPS-FM </w:t>
            </w:r>
          </w:p>
        </w:tc>
        <w:tc>
          <w:tcPr>
            <w:tcW w:w="481" w:type="pct"/>
            <w:noWrap/>
            <w:hideMark/>
          </w:tcPr>
          <w:p w14:paraId="2D48FB88"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 xml:space="preserve">2017 NPS-FM </w:t>
            </w:r>
          </w:p>
        </w:tc>
        <w:tc>
          <w:tcPr>
            <w:tcW w:w="413" w:type="pct"/>
            <w:noWrap/>
            <w:vAlign w:val="center"/>
            <w:hideMark/>
          </w:tcPr>
          <w:p w14:paraId="63E662C0"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DIN1</w:t>
            </w:r>
          </w:p>
        </w:tc>
        <w:tc>
          <w:tcPr>
            <w:tcW w:w="413" w:type="pct"/>
            <w:noWrap/>
            <w:vAlign w:val="center"/>
            <w:hideMark/>
          </w:tcPr>
          <w:p w14:paraId="1867517E"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DIN1</w:t>
            </w:r>
          </w:p>
        </w:tc>
        <w:tc>
          <w:tcPr>
            <w:tcW w:w="377" w:type="pct"/>
            <w:noWrap/>
            <w:vAlign w:val="center"/>
            <w:hideMark/>
          </w:tcPr>
          <w:p w14:paraId="4EAE1E46"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DIN1</w:t>
            </w:r>
          </w:p>
        </w:tc>
        <w:tc>
          <w:tcPr>
            <w:tcW w:w="413" w:type="pct"/>
            <w:noWrap/>
            <w:vAlign w:val="center"/>
            <w:hideMark/>
          </w:tcPr>
          <w:p w14:paraId="08CC328F"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NTox24</w:t>
            </w:r>
          </w:p>
        </w:tc>
        <w:tc>
          <w:tcPr>
            <w:tcW w:w="377" w:type="pct"/>
            <w:noWrap/>
            <w:vAlign w:val="center"/>
            <w:hideMark/>
          </w:tcPr>
          <w:p w14:paraId="1CBC443C"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NTox24</w:t>
            </w:r>
          </w:p>
        </w:tc>
        <w:tc>
          <w:tcPr>
            <w:tcW w:w="377" w:type="pct"/>
            <w:noWrap/>
            <w:vAlign w:val="center"/>
            <w:hideMark/>
          </w:tcPr>
          <w:p w14:paraId="7D9272AE" w14:textId="77777777" w:rsidR="0062560D" w:rsidRPr="009B00A0" w:rsidRDefault="0062560D" w:rsidP="00ED12BB">
            <w:pPr>
              <w:pStyle w:val="TableTextbold"/>
              <w:spacing w:after="0"/>
              <w:jc w:val="right"/>
              <w:cnfStyle w:val="100000000000" w:firstRow="1" w:lastRow="0" w:firstColumn="0" w:lastColumn="0" w:oddVBand="0" w:evenVBand="0" w:oddHBand="0" w:evenHBand="0" w:firstRowFirstColumn="0" w:firstRowLastColumn="0" w:lastRowFirstColumn="0" w:lastRowLastColumn="0"/>
              <w:rPr>
                <w:b/>
                <w:bCs w:val="0"/>
              </w:rPr>
            </w:pPr>
            <w:r w:rsidRPr="009B00A0">
              <w:rPr>
                <w:b/>
                <w:bCs w:val="0"/>
              </w:rPr>
              <w:t>NTox24</w:t>
            </w:r>
          </w:p>
        </w:tc>
      </w:tr>
      <w:tr w:rsidR="009B00A0" w:rsidRPr="009B00A0" w14:paraId="2BE34CB9" w14:textId="77777777" w:rsidTr="009B00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shd w:val="clear" w:color="auto" w:fill="1C556C" w:themeFill="accent1"/>
            <w:noWrap/>
            <w:hideMark/>
          </w:tcPr>
          <w:p w14:paraId="0B00C958" w14:textId="77777777" w:rsidR="0062560D" w:rsidRPr="009B00A0" w:rsidRDefault="0062560D" w:rsidP="00ED12BB">
            <w:pPr>
              <w:pStyle w:val="TableTextbold"/>
              <w:spacing w:before="0" w:after="0"/>
              <w:rPr>
                <w:b/>
                <w:bCs w:val="0"/>
                <w:color w:val="FFFFFF" w:themeColor="background1"/>
              </w:rPr>
            </w:pPr>
            <w:r w:rsidRPr="009B00A0">
              <w:rPr>
                <w:b/>
                <w:bCs w:val="0"/>
                <w:color w:val="FFFFFF" w:themeColor="background1"/>
              </w:rPr>
              <w:t>Periphyton criteria</w:t>
            </w:r>
          </w:p>
        </w:tc>
        <w:tc>
          <w:tcPr>
            <w:tcW w:w="455" w:type="pct"/>
            <w:tcBorders>
              <w:top w:val="none" w:sz="0" w:space="0" w:color="auto"/>
              <w:bottom w:val="none" w:sz="0" w:space="0" w:color="auto"/>
            </w:tcBorders>
            <w:shd w:val="clear" w:color="auto" w:fill="1C556C" w:themeFill="accent1"/>
            <w:noWrap/>
            <w:vAlign w:val="center"/>
            <w:hideMark/>
          </w:tcPr>
          <w:p w14:paraId="3838DA35"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w:t>
            </w:r>
          </w:p>
        </w:tc>
        <w:tc>
          <w:tcPr>
            <w:tcW w:w="481" w:type="pct"/>
            <w:tcBorders>
              <w:top w:val="none" w:sz="0" w:space="0" w:color="auto"/>
              <w:bottom w:val="none" w:sz="0" w:space="0" w:color="auto"/>
            </w:tcBorders>
            <w:shd w:val="clear" w:color="auto" w:fill="1C556C" w:themeFill="accent1"/>
            <w:vAlign w:val="center"/>
            <w:hideMark/>
          </w:tcPr>
          <w:p w14:paraId="781807A8"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10%</w:t>
            </w:r>
          </w:p>
        </w:tc>
        <w:tc>
          <w:tcPr>
            <w:tcW w:w="481" w:type="pct"/>
            <w:tcBorders>
              <w:top w:val="none" w:sz="0" w:space="0" w:color="auto"/>
              <w:bottom w:val="none" w:sz="0" w:space="0" w:color="auto"/>
            </w:tcBorders>
            <w:shd w:val="clear" w:color="auto" w:fill="1C556C" w:themeFill="accent1"/>
            <w:vAlign w:val="center"/>
            <w:hideMark/>
          </w:tcPr>
          <w:p w14:paraId="4CEAA128"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20%</w:t>
            </w:r>
          </w:p>
        </w:tc>
        <w:tc>
          <w:tcPr>
            <w:tcW w:w="481" w:type="pct"/>
            <w:tcBorders>
              <w:top w:val="none" w:sz="0" w:space="0" w:color="auto"/>
              <w:bottom w:val="none" w:sz="0" w:space="0" w:color="auto"/>
            </w:tcBorders>
            <w:shd w:val="clear" w:color="auto" w:fill="1C556C" w:themeFill="accent1"/>
            <w:vAlign w:val="center"/>
            <w:hideMark/>
          </w:tcPr>
          <w:p w14:paraId="60354F60"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30%</w:t>
            </w:r>
          </w:p>
        </w:tc>
        <w:tc>
          <w:tcPr>
            <w:tcW w:w="413" w:type="pct"/>
            <w:tcBorders>
              <w:top w:val="none" w:sz="0" w:space="0" w:color="auto"/>
              <w:bottom w:val="none" w:sz="0" w:space="0" w:color="auto"/>
            </w:tcBorders>
            <w:shd w:val="clear" w:color="auto" w:fill="1C556C" w:themeFill="accent1"/>
            <w:vAlign w:val="center"/>
            <w:hideMark/>
          </w:tcPr>
          <w:p w14:paraId="7832F987"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10%</w:t>
            </w:r>
          </w:p>
        </w:tc>
        <w:tc>
          <w:tcPr>
            <w:tcW w:w="413" w:type="pct"/>
            <w:tcBorders>
              <w:top w:val="none" w:sz="0" w:space="0" w:color="auto"/>
              <w:bottom w:val="none" w:sz="0" w:space="0" w:color="auto"/>
            </w:tcBorders>
            <w:shd w:val="clear" w:color="auto" w:fill="1C556C" w:themeFill="accent1"/>
            <w:vAlign w:val="center"/>
            <w:hideMark/>
          </w:tcPr>
          <w:p w14:paraId="569BA036"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20%</w:t>
            </w:r>
          </w:p>
        </w:tc>
        <w:tc>
          <w:tcPr>
            <w:tcW w:w="377" w:type="pct"/>
            <w:tcBorders>
              <w:top w:val="none" w:sz="0" w:space="0" w:color="auto"/>
              <w:bottom w:val="none" w:sz="0" w:space="0" w:color="auto"/>
            </w:tcBorders>
            <w:shd w:val="clear" w:color="auto" w:fill="1C556C" w:themeFill="accent1"/>
            <w:vAlign w:val="center"/>
            <w:hideMark/>
          </w:tcPr>
          <w:p w14:paraId="2B5E0E50"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30%</w:t>
            </w:r>
          </w:p>
        </w:tc>
        <w:tc>
          <w:tcPr>
            <w:tcW w:w="413" w:type="pct"/>
            <w:tcBorders>
              <w:top w:val="none" w:sz="0" w:space="0" w:color="auto"/>
              <w:bottom w:val="none" w:sz="0" w:space="0" w:color="auto"/>
            </w:tcBorders>
            <w:shd w:val="clear" w:color="auto" w:fill="1C556C" w:themeFill="accent1"/>
            <w:vAlign w:val="center"/>
            <w:hideMark/>
          </w:tcPr>
          <w:p w14:paraId="5257CC9B"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10%</w:t>
            </w:r>
          </w:p>
        </w:tc>
        <w:tc>
          <w:tcPr>
            <w:tcW w:w="377" w:type="pct"/>
            <w:tcBorders>
              <w:top w:val="none" w:sz="0" w:space="0" w:color="auto"/>
              <w:bottom w:val="none" w:sz="0" w:space="0" w:color="auto"/>
            </w:tcBorders>
            <w:shd w:val="clear" w:color="auto" w:fill="1C556C" w:themeFill="accent1"/>
            <w:vAlign w:val="center"/>
            <w:hideMark/>
          </w:tcPr>
          <w:p w14:paraId="0D514355"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20%</w:t>
            </w:r>
          </w:p>
        </w:tc>
        <w:tc>
          <w:tcPr>
            <w:tcW w:w="377" w:type="pct"/>
            <w:tcBorders>
              <w:top w:val="none" w:sz="0" w:space="0" w:color="auto"/>
              <w:bottom w:val="none" w:sz="0" w:space="0" w:color="auto"/>
              <w:right w:val="none" w:sz="0" w:space="0" w:color="auto"/>
            </w:tcBorders>
            <w:shd w:val="clear" w:color="auto" w:fill="1C556C" w:themeFill="accent1"/>
            <w:vAlign w:val="center"/>
            <w:hideMark/>
          </w:tcPr>
          <w:p w14:paraId="0190D260" w14:textId="77777777" w:rsidR="0062560D" w:rsidRPr="009B00A0" w:rsidRDefault="0062560D" w:rsidP="00ED12BB">
            <w:pPr>
              <w:pStyle w:val="TableTextbold"/>
              <w:spacing w:before="0" w:after="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B00A0">
              <w:rPr>
                <w:color w:val="FFFFFF" w:themeColor="background1"/>
              </w:rPr>
              <w:t>30%</w:t>
            </w:r>
          </w:p>
        </w:tc>
      </w:tr>
      <w:tr w:rsidR="009B00A0" w:rsidRPr="009B00A0" w14:paraId="1C3B6725" w14:textId="77777777" w:rsidTr="009B00A0">
        <w:trPr>
          <w:trHeight w:val="20"/>
        </w:trPr>
        <w:tc>
          <w:tcPr>
            <w:cnfStyle w:val="001000000000" w:firstRow="0" w:lastRow="0" w:firstColumn="1" w:lastColumn="0" w:oddVBand="0" w:evenVBand="0" w:oddHBand="0" w:evenHBand="0" w:firstRowFirstColumn="0" w:firstRowLastColumn="0" w:lastRowFirstColumn="0" w:lastRowLastColumn="0"/>
            <w:tcW w:w="733" w:type="pct"/>
            <w:shd w:val="clear" w:color="auto" w:fill="1C556C" w:themeFill="accent1"/>
            <w:noWrap/>
            <w:hideMark/>
          </w:tcPr>
          <w:p w14:paraId="4A031040" w14:textId="77777777" w:rsidR="0062560D" w:rsidRPr="009B00A0" w:rsidRDefault="0062560D" w:rsidP="00ED12BB">
            <w:pPr>
              <w:pStyle w:val="TableTextbold"/>
              <w:spacing w:before="0"/>
              <w:rPr>
                <w:b/>
                <w:bCs w:val="0"/>
                <w:color w:val="FFFFFF" w:themeColor="background1"/>
              </w:rPr>
            </w:pPr>
          </w:p>
        </w:tc>
        <w:tc>
          <w:tcPr>
            <w:tcW w:w="455" w:type="pct"/>
            <w:shd w:val="clear" w:color="auto" w:fill="1C556C" w:themeFill="accent1"/>
            <w:vAlign w:val="center"/>
            <w:hideMark/>
          </w:tcPr>
          <w:p w14:paraId="729351AF"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w:t>
            </w:r>
          </w:p>
        </w:tc>
        <w:tc>
          <w:tcPr>
            <w:tcW w:w="481" w:type="pct"/>
            <w:shd w:val="clear" w:color="auto" w:fill="1C556C" w:themeFill="accent1"/>
            <w:vAlign w:val="center"/>
            <w:hideMark/>
          </w:tcPr>
          <w:p w14:paraId="18B1946C"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481" w:type="pct"/>
            <w:shd w:val="clear" w:color="auto" w:fill="1C556C" w:themeFill="accent1"/>
            <w:vAlign w:val="center"/>
            <w:hideMark/>
          </w:tcPr>
          <w:p w14:paraId="6F97B1CC"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481" w:type="pct"/>
            <w:shd w:val="clear" w:color="auto" w:fill="1C556C" w:themeFill="accent1"/>
            <w:vAlign w:val="center"/>
            <w:hideMark/>
          </w:tcPr>
          <w:p w14:paraId="298CD2A7"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413" w:type="pct"/>
            <w:shd w:val="clear" w:color="auto" w:fill="1C556C" w:themeFill="accent1"/>
            <w:vAlign w:val="center"/>
            <w:hideMark/>
          </w:tcPr>
          <w:p w14:paraId="1A7A07BE"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413" w:type="pct"/>
            <w:shd w:val="clear" w:color="auto" w:fill="1C556C" w:themeFill="accent1"/>
            <w:vAlign w:val="center"/>
            <w:hideMark/>
          </w:tcPr>
          <w:p w14:paraId="5687CAE8"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377" w:type="pct"/>
            <w:shd w:val="clear" w:color="auto" w:fill="1C556C" w:themeFill="accent1"/>
            <w:vAlign w:val="center"/>
            <w:hideMark/>
          </w:tcPr>
          <w:p w14:paraId="327FF9AD"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413" w:type="pct"/>
            <w:shd w:val="clear" w:color="auto" w:fill="1C556C" w:themeFill="accent1"/>
            <w:vAlign w:val="center"/>
            <w:hideMark/>
          </w:tcPr>
          <w:p w14:paraId="729A420E"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377" w:type="pct"/>
            <w:shd w:val="clear" w:color="auto" w:fill="1C556C" w:themeFill="accent1"/>
            <w:vAlign w:val="center"/>
            <w:hideMark/>
          </w:tcPr>
          <w:p w14:paraId="22E4F59E"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c>
          <w:tcPr>
            <w:tcW w:w="377" w:type="pct"/>
            <w:shd w:val="clear" w:color="auto" w:fill="1C556C" w:themeFill="accent1"/>
            <w:vAlign w:val="center"/>
            <w:hideMark/>
          </w:tcPr>
          <w:p w14:paraId="44AF82D8" w14:textId="77777777" w:rsidR="0062560D" w:rsidRPr="009B00A0" w:rsidRDefault="0062560D" w:rsidP="00ED12BB">
            <w:pPr>
              <w:pStyle w:val="TableTextbold"/>
              <w:spacing w:before="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9B00A0">
              <w:rPr>
                <w:color w:val="FFFFFF" w:themeColor="background1"/>
              </w:rPr>
              <w:t>t/yr (%)</w:t>
            </w:r>
          </w:p>
        </w:tc>
      </w:tr>
      <w:tr w:rsidR="00B856A6" w:rsidRPr="0062560D" w14:paraId="5810D5DB"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2DF0C5A4" w14:textId="77777777" w:rsidR="0062560D" w:rsidRPr="0062560D" w:rsidRDefault="0062560D" w:rsidP="00ED12BB">
            <w:pPr>
              <w:pStyle w:val="TableText"/>
              <w:spacing w:before="40" w:after="40"/>
              <w:rPr>
                <w:lang w:eastAsia="ja-JP"/>
              </w:rPr>
            </w:pPr>
            <w:r w:rsidRPr="0062560D">
              <w:rPr>
                <w:lang w:eastAsia="ja-JP"/>
              </w:rPr>
              <w:t>Auckland</w:t>
            </w:r>
          </w:p>
        </w:tc>
        <w:tc>
          <w:tcPr>
            <w:tcW w:w="455" w:type="pct"/>
            <w:tcBorders>
              <w:top w:val="none" w:sz="0" w:space="0" w:color="auto"/>
              <w:bottom w:val="none" w:sz="0" w:space="0" w:color="auto"/>
            </w:tcBorders>
            <w:noWrap/>
            <w:hideMark/>
          </w:tcPr>
          <w:p w14:paraId="08DAFE3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4,460</w:t>
            </w:r>
          </w:p>
        </w:tc>
        <w:tc>
          <w:tcPr>
            <w:tcW w:w="481" w:type="pct"/>
            <w:tcBorders>
              <w:top w:val="none" w:sz="0" w:space="0" w:color="auto"/>
              <w:bottom w:val="none" w:sz="0" w:space="0" w:color="auto"/>
            </w:tcBorders>
            <w:noWrap/>
            <w:hideMark/>
          </w:tcPr>
          <w:p w14:paraId="545680E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389 (9)</w:t>
            </w:r>
          </w:p>
        </w:tc>
        <w:tc>
          <w:tcPr>
            <w:tcW w:w="481" w:type="pct"/>
            <w:tcBorders>
              <w:top w:val="none" w:sz="0" w:space="0" w:color="auto"/>
              <w:bottom w:val="none" w:sz="0" w:space="0" w:color="auto"/>
            </w:tcBorders>
            <w:noWrap/>
            <w:hideMark/>
          </w:tcPr>
          <w:p w14:paraId="159D1037"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111 (2)</w:t>
            </w:r>
          </w:p>
        </w:tc>
        <w:tc>
          <w:tcPr>
            <w:tcW w:w="481" w:type="pct"/>
            <w:tcBorders>
              <w:top w:val="none" w:sz="0" w:space="0" w:color="auto"/>
              <w:bottom w:val="none" w:sz="0" w:space="0" w:color="auto"/>
            </w:tcBorders>
            <w:noWrap/>
            <w:hideMark/>
          </w:tcPr>
          <w:p w14:paraId="4583DB1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21 (0)</w:t>
            </w:r>
          </w:p>
        </w:tc>
        <w:tc>
          <w:tcPr>
            <w:tcW w:w="413" w:type="pct"/>
            <w:tcBorders>
              <w:top w:val="none" w:sz="0" w:space="0" w:color="auto"/>
              <w:bottom w:val="none" w:sz="0" w:space="0" w:color="auto"/>
            </w:tcBorders>
            <w:noWrap/>
            <w:hideMark/>
          </w:tcPr>
          <w:p w14:paraId="6E788AF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447 (10)</w:t>
            </w:r>
          </w:p>
        </w:tc>
        <w:tc>
          <w:tcPr>
            <w:tcW w:w="413" w:type="pct"/>
            <w:tcBorders>
              <w:top w:val="none" w:sz="0" w:space="0" w:color="auto"/>
              <w:bottom w:val="none" w:sz="0" w:space="0" w:color="auto"/>
            </w:tcBorders>
            <w:noWrap/>
            <w:hideMark/>
          </w:tcPr>
          <w:p w14:paraId="21774959"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169 (4)</w:t>
            </w:r>
          </w:p>
        </w:tc>
        <w:tc>
          <w:tcPr>
            <w:tcW w:w="377" w:type="pct"/>
            <w:tcBorders>
              <w:top w:val="none" w:sz="0" w:space="0" w:color="auto"/>
              <w:bottom w:val="none" w:sz="0" w:space="0" w:color="auto"/>
            </w:tcBorders>
            <w:noWrap/>
            <w:hideMark/>
          </w:tcPr>
          <w:p w14:paraId="7845904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86 (2)</w:t>
            </w:r>
          </w:p>
        </w:tc>
        <w:tc>
          <w:tcPr>
            <w:tcW w:w="413" w:type="pct"/>
            <w:tcBorders>
              <w:top w:val="none" w:sz="0" w:space="0" w:color="auto"/>
              <w:bottom w:val="none" w:sz="0" w:space="0" w:color="auto"/>
            </w:tcBorders>
            <w:noWrap/>
            <w:hideMark/>
          </w:tcPr>
          <w:p w14:paraId="1FBDEA49"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390 (9)</w:t>
            </w:r>
          </w:p>
        </w:tc>
        <w:tc>
          <w:tcPr>
            <w:tcW w:w="377" w:type="pct"/>
            <w:tcBorders>
              <w:top w:val="none" w:sz="0" w:space="0" w:color="auto"/>
              <w:bottom w:val="none" w:sz="0" w:space="0" w:color="auto"/>
            </w:tcBorders>
            <w:noWrap/>
            <w:hideMark/>
          </w:tcPr>
          <w:p w14:paraId="53D1C65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112 (3)</w:t>
            </w:r>
          </w:p>
        </w:tc>
        <w:tc>
          <w:tcPr>
            <w:tcW w:w="377" w:type="pct"/>
            <w:tcBorders>
              <w:top w:val="none" w:sz="0" w:space="0" w:color="auto"/>
              <w:bottom w:val="none" w:sz="0" w:space="0" w:color="auto"/>
              <w:right w:val="none" w:sz="0" w:space="0" w:color="auto"/>
            </w:tcBorders>
            <w:noWrap/>
            <w:hideMark/>
          </w:tcPr>
          <w:p w14:paraId="31B3C17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22 (0)</w:t>
            </w:r>
          </w:p>
        </w:tc>
      </w:tr>
      <w:tr w:rsidR="00B856A6" w:rsidRPr="0062560D" w14:paraId="2E7EF3A1"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18E9092E" w14:textId="77777777" w:rsidR="0062560D" w:rsidRPr="0062560D" w:rsidRDefault="0062560D" w:rsidP="00ED12BB">
            <w:pPr>
              <w:pStyle w:val="TableText"/>
              <w:spacing w:before="40" w:after="40"/>
              <w:rPr>
                <w:lang w:eastAsia="ja-JP"/>
              </w:rPr>
            </w:pPr>
            <w:r w:rsidRPr="0062560D">
              <w:rPr>
                <w:lang w:eastAsia="ja-JP"/>
              </w:rPr>
              <w:t>Bay of Plenty</w:t>
            </w:r>
          </w:p>
        </w:tc>
        <w:tc>
          <w:tcPr>
            <w:tcW w:w="455" w:type="pct"/>
            <w:noWrap/>
            <w:hideMark/>
          </w:tcPr>
          <w:p w14:paraId="3F11DC4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13,057</w:t>
            </w:r>
          </w:p>
        </w:tc>
        <w:tc>
          <w:tcPr>
            <w:tcW w:w="481" w:type="pct"/>
            <w:noWrap/>
            <w:hideMark/>
          </w:tcPr>
          <w:p w14:paraId="2B3CCDA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1,021 (8)</w:t>
            </w:r>
          </w:p>
        </w:tc>
        <w:tc>
          <w:tcPr>
            <w:tcW w:w="481" w:type="pct"/>
            <w:noWrap/>
            <w:hideMark/>
          </w:tcPr>
          <w:p w14:paraId="56AAB0D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155 (1)</w:t>
            </w:r>
          </w:p>
        </w:tc>
        <w:tc>
          <w:tcPr>
            <w:tcW w:w="481" w:type="pct"/>
            <w:noWrap/>
            <w:hideMark/>
          </w:tcPr>
          <w:p w14:paraId="6D504B1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20 (0)</w:t>
            </w:r>
          </w:p>
        </w:tc>
        <w:tc>
          <w:tcPr>
            <w:tcW w:w="413" w:type="pct"/>
            <w:noWrap/>
            <w:hideMark/>
          </w:tcPr>
          <w:p w14:paraId="3C5E1A75"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1,038 (8)</w:t>
            </w:r>
          </w:p>
        </w:tc>
        <w:tc>
          <w:tcPr>
            <w:tcW w:w="413" w:type="pct"/>
            <w:noWrap/>
            <w:hideMark/>
          </w:tcPr>
          <w:p w14:paraId="0129D7A5"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300 (2)</w:t>
            </w:r>
          </w:p>
        </w:tc>
        <w:tc>
          <w:tcPr>
            <w:tcW w:w="377" w:type="pct"/>
            <w:noWrap/>
            <w:hideMark/>
          </w:tcPr>
          <w:p w14:paraId="3D427FF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272 (2)</w:t>
            </w:r>
          </w:p>
        </w:tc>
        <w:tc>
          <w:tcPr>
            <w:tcW w:w="413" w:type="pct"/>
            <w:noWrap/>
            <w:hideMark/>
          </w:tcPr>
          <w:p w14:paraId="3B33712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1,021 (8)</w:t>
            </w:r>
          </w:p>
        </w:tc>
        <w:tc>
          <w:tcPr>
            <w:tcW w:w="377" w:type="pct"/>
            <w:noWrap/>
            <w:hideMark/>
          </w:tcPr>
          <w:p w14:paraId="3F88F5B4"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155 (1)</w:t>
            </w:r>
          </w:p>
        </w:tc>
        <w:tc>
          <w:tcPr>
            <w:tcW w:w="377" w:type="pct"/>
            <w:noWrap/>
            <w:hideMark/>
          </w:tcPr>
          <w:p w14:paraId="0446E2F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20 (0)</w:t>
            </w:r>
          </w:p>
        </w:tc>
      </w:tr>
      <w:tr w:rsidR="00B856A6" w:rsidRPr="0062560D" w14:paraId="39F1BB41"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57553AA8" w14:textId="77777777" w:rsidR="0062560D" w:rsidRPr="0062560D" w:rsidRDefault="0062560D" w:rsidP="00ED12BB">
            <w:pPr>
              <w:pStyle w:val="TableText"/>
              <w:spacing w:before="40" w:after="40"/>
              <w:rPr>
                <w:lang w:eastAsia="ja-JP"/>
              </w:rPr>
            </w:pPr>
            <w:r w:rsidRPr="0062560D">
              <w:rPr>
                <w:lang w:eastAsia="ja-JP"/>
              </w:rPr>
              <w:t>Canterbury</w:t>
            </w:r>
          </w:p>
        </w:tc>
        <w:tc>
          <w:tcPr>
            <w:tcW w:w="455" w:type="pct"/>
            <w:tcBorders>
              <w:top w:val="none" w:sz="0" w:space="0" w:color="auto"/>
              <w:bottom w:val="none" w:sz="0" w:space="0" w:color="auto"/>
            </w:tcBorders>
            <w:noWrap/>
            <w:hideMark/>
          </w:tcPr>
          <w:p w14:paraId="7BB830B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33,355</w:t>
            </w:r>
          </w:p>
        </w:tc>
        <w:tc>
          <w:tcPr>
            <w:tcW w:w="481" w:type="pct"/>
            <w:tcBorders>
              <w:top w:val="none" w:sz="0" w:space="0" w:color="auto"/>
              <w:bottom w:val="none" w:sz="0" w:space="0" w:color="auto"/>
            </w:tcBorders>
            <w:noWrap/>
            <w:hideMark/>
          </w:tcPr>
          <w:p w14:paraId="64310B8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10,170 (30)</w:t>
            </w:r>
          </w:p>
        </w:tc>
        <w:tc>
          <w:tcPr>
            <w:tcW w:w="481" w:type="pct"/>
            <w:tcBorders>
              <w:top w:val="none" w:sz="0" w:space="0" w:color="auto"/>
              <w:bottom w:val="none" w:sz="0" w:space="0" w:color="auto"/>
            </w:tcBorders>
            <w:noWrap/>
            <w:hideMark/>
          </w:tcPr>
          <w:p w14:paraId="4895403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7,610 (23)</w:t>
            </w:r>
          </w:p>
        </w:tc>
        <w:tc>
          <w:tcPr>
            <w:tcW w:w="481" w:type="pct"/>
            <w:tcBorders>
              <w:top w:val="none" w:sz="0" w:space="0" w:color="auto"/>
              <w:bottom w:val="none" w:sz="0" w:space="0" w:color="auto"/>
            </w:tcBorders>
            <w:noWrap/>
            <w:hideMark/>
          </w:tcPr>
          <w:p w14:paraId="20CC9070"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5,397 (16)</w:t>
            </w:r>
          </w:p>
        </w:tc>
        <w:tc>
          <w:tcPr>
            <w:tcW w:w="413" w:type="pct"/>
            <w:tcBorders>
              <w:top w:val="none" w:sz="0" w:space="0" w:color="auto"/>
              <w:bottom w:val="none" w:sz="0" w:space="0" w:color="auto"/>
            </w:tcBorders>
            <w:noWrap/>
            <w:hideMark/>
          </w:tcPr>
          <w:p w14:paraId="62CDDD1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13,140 (39)</w:t>
            </w:r>
          </w:p>
        </w:tc>
        <w:tc>
          <w:tcPr>
            <w:tcW w:w="413" w:type="pct"/>
            <w:tcBorders>
              <w:top w:val="none" w:sz="0" w:space="0" w:color="auto"/>
              <w:bottom w:val="none" w:sz="0" w:space="0" w:color="auto"/>
            </w:tcBorders>
            <w:noWrap/>
            <w:hideMark/>
          </w:tcPr>
          <w:p w14:paraId="0EA7DBB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10,690 (32)</w:t>
            </w:r>
          </w:p>
        </w:tc>
        <w:tc>
          <w:tcPr>
            <w:tcW w:w="377" w:type="pct"/>
            <w:tcBorders>
              <w:top w:val="none" w:sz="0" w:space="0" w:color="auto"/>
              <w:bottom w:val="none" w:sz="0" w:space="0" w:color="auto"/>
            </w:tcBorders>
            <w:noWrap/>
            <w:hideMark/>
          </w:tcPr>
          <w:p w14:paraId="58A45724"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9,358 (28)</w:t>
            </w:r>
          </w:p>
        </w:tc>
        <w:tc>
          <w:tcPr>
            <w:tcW w:w="413" w:type="pct"/>
            <w:tcBorders>
              <w:top w:val="none" w:sz="0" w:space="0" w:color="auto"/>
              <w:bottom w:val="none" w:sz="0" w:space="0" w:color="auto"/>
            </w:tcBorders>
            <w:noWrap/>
            <w:hideMark/>
          </w:tcPr>
          <w:p w14:paraId="33AFD63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11,231 (34)</w:t>
            </w:r>
          </w:p>
        </w:tc>
        <w:tc>
          <w:tcPr>
            <w:tcW w:w="377" w:type="pct"/>
            <w:tcBorders>
              <w:top w:val="none" w:sz="0" w:space="0" w:color="auto"/>
              <w:bottom w:val="none" w:sz="0" w:space="0" w:color="auto"/>
            </w:tcBorders>
            <w:noWrap/>
            <w:hideMark/>
          </w:tcPr>
          <w:p w14:paraId="7BBB0460"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8,671 (26)</w:t>
            </w:r>
          </w:p>
        </w:tc>
        <w:tc>
          <w:tcPr>
            <w:tcW w:w="377" w:type="pct"/>
            <w:tcBorders>
              <w:top w:val="none" w:sz="0" w:space="0" w:color="auto"/>
              <w:bottom w:val="none" w:sz="0" w:space="0" w:color="auto"/>
              <w:right w:val="none" w:sz="0" w:space="0" w:color="auto"/>
            </w:tcBorders>
            <w:noWrap/>
            <w:hideMark/>
          </w:tcPr>
          <w:p w14:paraId="50A3E0B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6,458 (19)</w:t>
            </w:r>
          </w:p>
        </w:tc>
      </w:tr>
      <w:tr w:rsidR="00B856A6" w:rsidRPr="0062560D" w14:paraId="6433A65F"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09A98B7A" w14:textId="77777777" w:rsidR="0062560D" w:rsidRPr="0062560D" w:rsidRDefault="0062560D" w:rsidP="00ED12BB">
            <w:pPr>
              <w:pStyle w:val="TableText"/>
              <w:spacing w:before="40" w:after="40"/>
              <w:rPr>
                <w:lang w:eastAsia="ja-JP"/>
              </w:rPr>
            </w:pPr>
            <w:r w:rsidRPr="0062560D">
              <w:rPr>
                <w:lang w:eastAsia="ja-JP"/>
              </w:rPr>
              <w:t>Gisborne</w:t>
            </w:r>
          </w:p>
        </w:tc>
        <w:tc>
          <w:tcPr>
            <w:tcW w:w="455" w:type="pct"/>
            <w:noWrap/>
            <w:hideMark/>
          </w:tcPr>
          <w:p w14:paraId="48587926"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4,482</w:t>
            </w:r>
          </w:p>
        </w:tc>
        <w:tc>
          <w:tcPr>
            <w:tcW w:w="481" w:type="pct"/>
            <w:noWrap/>
            <w:hideMark/>
          </w:tcPr>
          <w:p w14:paraId="052C78A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596 (13)</w:t>
            </w:r>
          </w:p>
        </w:tc>
        <w:tc>
          <w:tcPr>
            <w:tcW w:w="481" w:type="pct"/>
            <w:noWrap/>
            <w:hideMark/>
          </w:tcPr>
          <w:p w14:paraId="161C7974"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(0)</w:t>
            </w:r>
          </w:p>
        </w:tc>
        <w:tc>
          <w:tcPr>
            <w:tcW w:w="481" w:type="pct"/>
            <w:noWrap/>
            <w:hideMark/>
          </w:tcPr>
          <w:p w14:paraId="5D6C1D1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 (0)</w:t>
            </w:r>
          </w:p>
        </w:tc>
        <w:tc>
          <w:tcPr>
            <w:tcW w:w="413" w:type="pct"/>
            <w:noWrap/>
            <w:hideMark/>
          </w:tcPr>
          <w:p w14:paraId="17A6212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596 (13)</w:t>
            </w:r>
          </w:p>
        </w:tc>
        <w:tc>
          <w:tcPr>
            <w:tcW w:w="413" w:type="pct"/>
            <w:noWrap/>
            <w:hideMark/>
          </w:tcPr>
          <w:p w14:paraId="5B51B3EC"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(0)</w:t>
            </w:r>
          </w:p>
        </w:tc>
        <w:tc>
          <w:tcPr>
            <w:tcW w:w="377" w:type="pct"/>
            <w:noWrap/>
            <w:hideMark/>
          </w:tcPr>
          <w:p w14:paraId="687042C4"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 (0)</w:t>
            </w:r>
          </w:p>
        </w:tc>
        <w:tc>
          <w:tcPr>
            <w:tcW w:w="413" w:type="pct"/>
            <w:noWrap/>
            <w:hideMark/>
          </w:tcPr>
          <w:p w14:paraId="35BE57D5"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596 (13)</w:t>
            </w:r>
          </w:p>
        </w:tc>
        <w:tc>
          <w:tcPr>
            <w:tcW w:w="377" w:type="pct"/>
            <w:noWrap/>
            <w:hideMark/>
          </w:tcPr>
          <w:p w14:paraId="623C5F2B"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(0)</w:t>
            </w:r>
          </w:p>
        </w:tc>
        <w:tc>
          <w:tcPr>
            <w:tcW w:w="377" w:type="pct"/>
            <w:noWrap/>
            <w:hideMark/>
          </w:tcPr>
          <w:p w14:paraId="411BD7D4"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 (0)</w:t>
            </w:r>
          </w:p>
        </w:tc>
      </w:tr>
      <w:tr w:rsidR="00B856A6" w:rsidRPr="0062560D" w14:paraId="11072033"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2C8279DB" w14:textId="77777777" w:rsidR="0062560D" w:rsidRPr="0062560D" w:rsidRDefault="0062560D" w:rsidP="00ED12BB">
            <w:pPr>
              <w:pStyle w:val="TableText"/>
              <w:spacing w:before="40" w:after="40"/>
              <w:rPr>
                <w:lang w:eastAsia="ja-JP"/>
              </w:rPr>
            </w:pPr>
            <w:r w:rsidRPr="0062560D">
              <w:rPr>
                <w:lang w:eastAsia="ja-JP"/>
              </w:rPr>
              <w:t>Hawke</w:t>
            </w:r>
            <w:r w:rsidR="00874553">
              <w:rPr>
                <w:lang w:eastAsia="ja-JP"/>
              </w:rPr>
              <w:t>’</w:t>
            </w:r>
            <w:r w:rsidRPr="0062560D">
              <w:rPr>
                <w:lang w:eastAsia="ja-JP"/>
              </w:rPr>
              <w:t>s Bay</w:t>
            </w:r>
          </w:p>
        </w:tc>
        <w:tc>
          <w:tcPr>
            <w:tcW w:w="455" w:type="pct"/>
            <w:tcBorders>
              <w:top w:val="none" w:sz="0" w:space="0" w:color="auto"/>
              <w:bottom w:val="none" w:sz="0" w:space="0" w:color="auto"/>
            </w:tcBorders>
            <w:noWrap/>
            <w:hideMark/>
          </w:tcPr>
          <w:p w14:paraId="24899D4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12,672</w:t>
            </w:r>
          </w:p>
        </w:tc>
        <w:tc>
          <w:tcPr>
            <w:tcW w:w="481" w:type="pct"/>
            <w:tcBorders>
              <w:top w:val="none" w:sz="0" w:space="0" w:color="auto"/>
              <w:bottom w:val="none" w:sz="0" w:space="0" w:color="auto"/>
            </w:tcBorders>
            <w:noWrap/>
            <w:hideMark/>
          </w:tcPr>
          <w:p w14:paraId="4E62802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2,599 (21)</w:t>
            </w:r>
          </w:p>
        </w:tc>
        <w:tc>
          <w:tcPr>
            <w:tcW w:w="481" w:type="pct"/>
            <w:tcBorders>
              <w:top w:val="none" w:sz="0" w:space="0" w:color="auto"/>
              <w:bottom w:val="none" w:sz="0" w:space="0" w:color="auto"/>
            </w:tcBorders>
            <w:noWrap/>
            <w:hideMark/>
          </w:tcPr>
          <w:p w14:paraId="33DB6B8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891 (7)</w:t>
            </w:r>
          </w:p>
        </w:tc>
        <w:tc>
          <w:tcPr>
            <w:tcW w:w="481" w:type="pct"/>
            <w:tcBorders>
              <w:top w:val="none" w:sz="0" w:space="0" w:color="auto"/>
              <w:bottom w:val="none" w:sz="0" w:space="0" w:color="auto"/>
            </w:tcBorders>
            <w:noWrap/>
            <w:hideMark/>
          </w:tcPr>
          <w:p w14:paraId="03B9E51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320 (3)</w:t>
            </w:r>
          </w:p>
        </w:tc>
        <w:tc>
          <w:tcPr>
            <w:tcW w:w="413" w:type="pct"/>
            <w:tcBorders>
              <w:top w:val="none" w:sz="0" w:space="0" w:color="auto"/>
              <w:bottom w:val="none" w:sz="0" w:space="0" w:color="auto"/>
            </w:tcBorders>
            <w:noWrap/>
            <w:hideMark/>
          </w:tcPr>
          <w:p w14:paraId="0D95F67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2,609 (21)</w:t>
            </w:r>
          </w:p>
        </w:tc>
        <w:tc>
          <w:tcPr>
            <w:tcW w:w="413" w:type="pct"/>
            <w:tcBorders>
              <w:top w:val="none" w:sz="0" w:space="0" w:color="auto"/>
              <w:bottom w:val="none" w:sz="0" w:space="0" w:color="auto"/>
            </w:tcBorders>
            <w:noWrap/>
            <w:hideMark/>
          </w:tcPr>
          <w:p w14:paraId="4D1D615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1,008 (8)</w:t>
            </w:r>
          </w:p>
        </w:tc>
        <w:tc>
          <w:tcPr>
            <w:tcW w:w="377" w:type="pct"/>
            <w:tcBorders>
              <w:top w:val="none" w:sz="0" w:space="0" w:color="auto"/>
              <w:bottom w:val="none" w:sz="0" w:space="0" w:color="auto"/>
            </w:tcBorders>
            <w:noWrap/>
            <w:hideMark/>
          </w:tcPr>
          <w:p w14:paraId="7B2D0BB7"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928 (7)</w:t>
            </w:r>
          </w:p>
        </w:tc>
        <w:tc>
          <w:tcPr>
            <w:tcW w:w="413" w:type="pct"/>
            <w:tcBorders>
              <w:top w:val="none" w:sz="0" w:space="0" w:color="auto"/>
              <w:bottom w:val="none" w:sz="0" w:space="0" w:color="auto"/>
            </w:tcBorders>
            <w:noWrap/>
            <w:hideMark/>
          </w:tcPr>
          <w:p w14:paraId="0A27710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2,599 (21)</w:t>
            </w:r>
          </w:p>
        </w:tc>
        <w:tc>
          <w:tcPr>
            <w:tcW w:w="377" w:type="pct"/>
            <w:tcBorders>
              <w:top w:val="none" w:sz="0" w:space="0" w:color="auto"/>
              <w:bottom w:val="none" w:sz="0" w:space="0" w:color="auto"/>
            </w:tcBorders>
            <w:noWrap/>
            <w:hideMark/>
          </w:tcPr>
          <w:p w14:paraId="26270137"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891 (7)</w:t>
            </w:r>
          </w:p>
        </w:tc>
        <w:tc>
          <w:tcPr>
            <w:tcW w:w="377" w:type="pct"/>
            <w:tcBorders>
              <w:top w:val="none" w:sz="0" w:space="0" w:color="auto"/>
              <w:bottom w:val="none" w:sz="0" w:space="0" w:color="auto"/>
              <w:right w:val="none" w:sz="0" w:space="0" w:color="auto"/>
            </w:tcBorders>
            <w:noWrap/>
            <w:hideMark/>
          </w:tcPr>
          <w:p w14:paraId="41666A4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344 (3)</w:t>
            </w:r>
          </w:p>
        </w:tc>
      </w:tr>
      <w:tr w:rsidR="00B856A6" w:rsidRPr="0062560D" w14:paraId="33E3B13F"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596AFD2C" w14:textId="77777777" w:rsidR="0062560D" w:rsidRPr="0062560D" w:rsidRDefault="0062560D" w:rsidP="00ED12BB">
            <w:pPr>
              <w:pStyle w:val="TableText"/>
              <w:spacing w:before="40" w:after="40"/>
              <w:rPr>
                <w:lang w:eastAsia="ja-JP"/>
              </w:rPr>
            </w:pPr>
            <w:r w:rsidRPr="0062560D">
              <w:rPr>
                <w:lang w:eastAsia="ja-JP"/>
              </w:rPr>
              <w:t>Manawatu-Wanganui</w:t>
            </w:r>
          </w:p>
        </w:tc>
        <w:tc>
          <w:tcPr>
            <w:tcW w:w="455" w:type="pct"/>
            <w:noWrap/>
            <w:hideMark/>
          </w:tcPr>
          <w:p w14:paraId="787F671C"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21,261</w:t>
            </w:r>
          </w:p>
        </w:tc>
        <w:tc>
          <w:tcPr>
            <w:tcW w:w="481" w:type="pct"/>
            <w:noWrap/>
            <w:hideMark/>
          </w:tcPr>
          <w:p w14:paraId="4AA38D1D"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5,980 (28)</w:t>
            </w:r>
          </w:p>
        </w:tc>
        <w:tc>
          <w:tcPr>
            <w:tcW w:w="481" w:type="pct"/>
            <w:noWrap/>
            <w:hideMark/>
          </w:tcPr>
          <w:p w14:paraId="7F6979C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918 (4)</w:t>
            </w:r>
          </w:p>
        </w:tc>
        <w:tc>
          <w:tcPr>
            <w:tcW w:w="481" w:type="pct"/>
            <w:noWrap/>
            <w:hideMark/>
          </w:tcPr>
          <w:p w14:paraId="0C70FAB8"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379 (2)</w:t>
            </w:r>
          </w:p>
        </w:tc>
        <w:tc>
          <w:tcPr>
            <w:tcW w:w="413" w:type="pct"/>
            <w:noWrap/>
            <w:hideMark/>
          </w:tcPr>
          <w:p w14:paraId="654F2667"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5,984 (28)</w:t>
            </w:r>
          </w:p>
        </w:tc>
        <w:tc>
          <w:tcPr>
            <w:tcW w:w="413" w:type="pct"/>
            <w:noWrap/>
            <w:hideMark/>
          </w:tcPr>
          <w:p w14:paraId="28813B26"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1,147 (5)</w:t>
            </w:r>
          </w:p>
        </w:tc>
        <w:tc>
          <w:tcPr>
            <w:tcW w:w="377" w:type="pct"/>
            <w:noWrap/>
            <w:hideMark/>
          </w:tcPr>
          <w:p w14:paraId="00C6F2B5"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1,061 (5)</w:t>
            </w:r>
          </w:p>
        </w:tc>
        <w:tc>
          <w:tcPr>
            <w:tcW w:w="413" w:type="pct"/>
            <w:noWrap/>
            <w:hideMark/>
          </w:tcPr>
          <w:p w14:paraId="6B59AB5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5,980 (28)</w:t>
            </w:r>
          </w:p>
        </w:tc>
        <w:tc>
          <w:tcPr>
            <w:tcW w:w="377" w:type="pct"/>
            <w:noWrap/>
            <w:hideMark/>
          </w:tcPr>
          <w:p w14:paraId="6A0E510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918 (4)</w:t>
            </w:r>
          </w:p>
        </w:tc>
        <w:tc>
          <w:tcPr>
            <w:tcW w:w="377" w:type="pct"/>
            <w:noWrap/>
            <w:hideMark/>
          </w:tcPr>
          <w:p w14:paraId="4246DEF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379 (2)</w:t>
            </w:r>
          </w:p>
        </w:tc>
      </w:tr>
      <w:tr w:rsidR="00B856A6" w:rsidRPr="0062560D" w14:paraId="1FFCC101"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411394BB" w14:textId="77777777" w:rsidR="0062560D" w:rsidRPr="0062560D" w:rsidRDefault="0062560D" w:rsidP="00ED12BB">
            <w:pPr>
              <w:pStyle w:val="TableText"/>
              <w:spacing w:before="40" w:after="40"/>
              <w:rPr>
                <w:lang w:eastAsia="ja-JP"/>
              </w:rPr>
            </w:pPr>
            <w:r w:rsidRPr="0062560D">
              <w:rPr>
                <w:lang w:eastAsia="ja-JP"/>
              </w:rPr>
              <w:t>Marlborough</w:t>
            </w:r>
          </w:p>
        </w:tc>
        <w:tc>
          <w:tcPr>
            <w:tcW w:w="455" w:type="pct"/>
            <w:tcBorders>
              <w:top w:val="none" w:sz="0" w:space="0" w:color="auto"/>
              <w:bottom w:val="none" w:sz="0" w:space="0" w:color="auto"/>
            </w:tcBorders>
            <w:noWrap/>
            <w:hideMark/>
          </w:tcPr>
          <w:p w14:paraId="273D916B"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2,638</w:t>
            </w:r>
          </w:p>
        </w:tc>
        <w:tc>
          <w:tcPr>
            <w:tcW w:w="481" w:type="pct"/>
            <w:tcBorders>
              <w:top w:val="none" w:sz="0" w:space="0" w:color="auto"/>
              <w:bottom w:val="none" w:sz="0" w:space="0" w:color="auto"/>
            </w:tcBorders>
            <w:noWrap/>
            <w:hideMark/>
          </w:tcPr>
          <w:p w14:paraId="0000744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88 (3)</w:t>
            </w:r>
          </w:p>
        </w:tc>
        <w:tc>
          <w:tcPr>
            <w:tcW w:w="481" w:type="pct"/>
            <w:tcBorders>
              <w:top w:val="none" w:sz="0" w:space="0" w:color="auto"/>
              <w:bottom w:val="none" w:sz="0" w:space="0" w:color="auto"/>
            </w:tcBorders>
            <w:noWrap/>
            <w:hideMark/>
          </w:tcPr>
          <w:p w14:paraId="2C79FA20"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 (0)</w:t>
            </w:r>
          </w:p>
        </w:tc>
        <w:tc>
          <w:tcPr>
            <w:tcW w:w="481" w:type="pct"/>
            <w:tcBorders>
              <w:top w:val="none" w:sz="0" w:space="0" w:color="auto"/>
              <w:bottom w:val="none" w:sz="0" w:space="0" w:color="auto"/>
            </w:tcBorders>
            <w:noWrap/>
            <w:hideMark/>
          </w:tcPr>
          <w:p w14:paraId="5E7D5CC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 (0)</w:t>
            </w:r>
          </w:p>
        </w:tc>
        <w:tc>
          <w:tcPr>
            <w:tcW w:w="413" w:type="pct"/>
            <w:tcBorders>
              <w:top w:val="none" w:sz="0" w:space="0" w:color="auto"/>
              <w:bottom w:val="none" w:sz="0" w:space="0" w:color="auto"/>
            </w:tcBorders>
            <w:noWrap/>
            <w:hideMark/>
          </w:tcPr>
          <w:p w14:paraId="0A5D9DBC"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92 (3)</w:t>
            </w:r>
          </w:p>
        </w:tc>
        <w:tc>
          <w:tcPr>
            <w:tcW w:w="413" w:type="pct"/>
            <w:tcBorders>
              <w:top w:val="none" w:sz="0" w:space="0" w:color="auto"/>
              <w:bottom w:val="none" w:sz="0" w:space="0" w:color="auto"/>
            </w:tcBorders>
            <w:noWrap/>
            <w:hideMark/>
          </w:tcPr>
          <w:p w14:paraId="4478DB6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15 (1)</w:t>
            </w:r>
          </w:p>
        </w:tc>
        <w:tc>
          <w:tcPr>
            <w:tcW w:w="377" w:type="pct"/>
            <w:tcBorders>
              <w:top w:val="none" w:sz="0" w:space="0" w:color="auto"/>
              <w:bottom w:val="none" w:sz="0" w:space="0" w:color="auto"/>
            </w:tcBorders>
            <w:noWrap/>
            <w:hideMark/>
          </w:tcPr>
          <w:p w14:paraId="6B871C9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12 (0)</w:t>
            </w:r>
          </w:p>
        </w:tc>
        <w:tc>
          <w:tcPr>
            <w:tcW w:w="413" w:type="pct"/>
            <w:tcBorders>
              <w:top w:val="none" w:sz="0" w:space="0" w:color="auto"/>
              <w:bottom w:val="none" w:sz="0" w:space="0" w:color="auto"/>
            </w:tcBorders>
            <w:noWrap/>
            <w:hideMark/>
          </w:tcPr>
          <w:p w14:paraId="3961DDCC"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88 (3)</w:t>
            </w:r>
          </w:p>
        </w:tc>
        <w:tc>
          <w:tcPr>
            <w:tcW w:w="377" w:type="pct"/>
            <w:tcBorders>
              <w:top w:val="none" w:sz="0" w:space="0" w:color="auto"/>
              <w:bottom w:val="none" w:sz="0" w:space="0" w:color="auto"/>
            </w:tcBorders>
            <w:noWrap/>
            <w:hideMark/>
          </w:tcPr>
          <w:p w14:paraId="7A86B37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 (0)</w:t>
            </w:r>
          </w:p>
        </w:tc>
        <w:tc>
          <w:tcPr>
            <w:tcW w:w="377" w:type="pct"/>
            <w:tcBorders>
              <w:top w:val="none" w:sz="0" w:space="0" w:color="auto"/>
              <w:bottom w:val="none" w:sz="0" w:space="0" w:color="auto"/>
              <w:right w:val="none" w:sz="0" w:space="0" w:color="auto"/>
            </w:tcBorders>
            <w:noWrap/>
            <w:hideMark/>
          </w:tcPr>
          <w:p w14:paraId="1C9F228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 (0)</w:t>
            </w:r>
          </w:p>
        </w:tc>
      </w:tr>
      <w:tr w:rsidR="00B856A6" w:rsidRPr="0062560D" w14:paraId="16825CD9"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3E851808" w14:textId="77777777" w:rsidR="0062560D" w:rsidRPr="0062560D" w:rsidRDefault="0062560D" w:rsidP="00ED12BB">
            <w:pPr>
              <w:pStyle w:val="TableText"/>
              <w:spacing w:before="40" w:after="40"/>
              <w:rPr>
                <w:lang w:eastAsia="ja-JP"/>
              </w:rPr>
            </w:pPr>
            <w:r w:rsidRPr="0062560D">
              <w:rPr>
                <w:lang w:eastAsia="ja-JP"/>
              </w:rPr>
              <w:t>Nelson</w:t>
            </w:r>
          </w:p>
        </w:tc>
        <w:tc>
          <w:tcPr>
            <w:tcW w:w="455" w:type="pct"/>
            <w:noWrap/>
            <w:hideMark/>
          </w:tcPr>
          <w:p w14:paraId="12F7CE7D"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139</w:t>
            </w:r>
          </w:p>
        </w:tc>
        <w:tc>
          <w:tcPr>
            <w:tcW w:w="481" w:type="pct"/>
            <w:noWrap/>
            <w:hideMark/>
          </w:tcPr>
          <w:p w14:paraId="47B9543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(7)</w:t>
            </w:r>
          </w:p>
        </w:tc>
        <w:tc>
          <w:tcPr>
            <w:tcW w:w="481" w:type="pct"/>
            <w:noWrap/>
            <w:hideMark/>
          </w:tcPr>
          <w:p w14:paraId="2BE1CFA0"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c>
          <w:tcPr>
            <w:tcW w:w="481" w:type="pct"/>
            <w:noWrap/>
            <w:hideMark/>
          </w:tcPr>
          <w:p w14:paraId="10E705B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c>
          <w:tcPr>
            <w:tcW w:w="413" w:type="pct"/>
            <w:noWrap/>
            <w:hideMark/>
          </w:tcPr>
          <w:p w14:paraId="09D2259B"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(7)</w:t>
            </w:r>
          </w:p>
        </w:tc>
        <w:tc>
          <w:tcPr>
            <w:tcW w:w="413" w:type="pct"/>
            <w:noWrap/>
            <w:hideMark/>
          </w:tcPr>
          <w:p w14:paraId="5DF957A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c>
          <w:tcPr>
            <w:tcW w:w="377" w:type="pct"/>
            <w:noWrap/>
            <w:hideMark/>
          </w:tcPr>
          <w:p w14:paraId="41A502F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c>
          <w:tcPr>
            <w:tcW w:w="413" w:type="pct"/>
            <w:noWrap/>
            <w:hideMark/>
          </w:tcPr>
          <w:p w14:paraId="7270121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 (7)</w:t>
            </w:r>
          </w:p>
        </w:tc>
        <w:tc>
          <w:tcPr>
            <w:tcW w:w="377" w:type="pct"/>
            <w:noWrap/>
            <w:hideMark/>
          </w:tcPr>
          <w:p w14:paraId="50725A4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c>
          <w:tcPr>
            <w:tcW w:w="377" w:type="pct"/>
            <w:noWrap/>
            <w:hideMark/>
          </w:tcPr>
          <w:p w14:paraId="4DFDA3D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 (0)</w:t>
            </w:r>
          </w:p>
        </w:tc>
      </w:tr>
      <w:tr w:rsidR="00B856A6" w:rsidRPr="0062560D" w14:paraId="7021CCFD"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2230B518" w14:textId="77777777" w:rsidR="0062560D" w:rsidRPr="0062560D" w:rsidRDefault="0062560D" w:rsidP="00ED12BB">
            <w:pPr>
              <w:pStyle w:val="TableText"/>
              <w:spacing w:before="40" w:after="40"/>
              <w:rPr>
                <w:lang w:eastAsia="ja-JP"/>
              </w:rPr>
            </w:pPr>
            <w:r w:rsidRPr="0062560D">
              <w:rPr>
                <w:lang w:eastAsia="ja-JP"/>
              </w:rPr>
              <w:t>Northland</w:t>
            </w:r>
          </w:p>
        </w:tc>
        <w:tc>
          <w:tcPr>
            <w:tcW w:w="455" w:type="pct"/>
            <w:tcBorders>
              <w:top w:val="none" w:sz="0" w:space="0" w:color="auto"/>
              <w:bottom w:val="none" w:sz="0" w:space="0" w:color="auto"/>
            </w:tcBorders>
            <w:noWrap/>
            <w:hideMark/>
          </w:tcPr>
          <w:p w14:paraId="41A01F67"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14,365</w:t>
            </w:r>
          </w:p>
        </w:tc>
        <w:tc>
          <w:tcPr>
            <w:tcW w:w="481" w:type="pct"/>
            <w:tcBorders>
              <w:top w:val="none" w:sz="0" w:space="0" w:color="auto"/>
              <w:bottom w:val="none" w:sz="0" w:space="0" w:color="auto"/>
            </w:tcBorders>
            <w:noWrap/>
            <w:hideMark/>
          </w:tcPr>
          <w:p w14:paraId="36E18969"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1,186 (8)</w:t>
            </w:r>
          </w:p>
        </w:tc>
        <w:tc>
          <w:tcPr>
            <w:tcW w:w="481" w:type="pct"/>
            <w:tcBorders>
              <w:top w:val="none" w:sz="0" w:space="0" w:color="auto"/>
              <w:bottom w:val="none" w:sz="0" w:space="0" w:color="auto"/>
            </w:tcBorders>
            <w:noWrap/>
            <w:hideMark/>
          </w:tcPr>
          <w:p w14:paraId="0561569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66 (0)</w:t>
            </w:r>
          </w:p>
        </w:tc>
        <w:tc>
          <w:tcPr>
            <w:tcW w:w="481" w:type="pct"/>
            <w:tcBorders>
              <w:top w:val="none" w:sz="0" w:space="0" w:color="auto"/>
              <w:bottom w:val="none" w:sz="0" w:space="0" w:color="auto"/>
            </w:tcBorders>
            <w:noWrap/>
            <w:hideMark/>
          </w:tcPr>
          <w:p w14:paraId="0242AED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24 (0)</w:t>
            </w:r>
          </w:p>
        </w:tc>
        <w:tc>
          <w:tcPr>
            <w:tcW w:w="413" w:type="pct"/>
            <w:tcBorders>
              <w:top w:val="none" w:sz="0" w:space="0" w:color="auto"/>
              <w:bottom w:val="none" w:sz="0" w:space="0" w:color="auto"/>
            </w:tcBorders>
            <w:noWrap/>
            <w:hideMark/>
          </w:tcPr>
          <w:p w14:paraId="533AA12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1,244 (9)</w:t>
            </w:r>
          </w:p>
        </w:tc>
        <w:tc>
          <w:tcPr>
            <w:tcW w:w="413" w:type="pct"/>
            <w:tcBorders>
              <w:top w:val="none" w:sz="0" w:space="0" w:color="auto"/>
              <w:bottom w:val="none" w:sz="0" w:space="0" w:color="auto"/>
            </w:tcBorders>
            <w:noWrap/>
            <w:hideMark/>
          </w:tcPr>
          <w:p w14:paraId="0B46669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124 (1)</w:t>
            </w:r>
          </w:p>
        </w:tc>
        <w:tc>
          <w:tcPr>
            <w:tcW w:w="377" w:type="pct"/>
            <w:tcBorders>
              <w:top w:val="none" w:sz="0" w:space="0" w:color="auto"/>
              <w:bottom w:val="none" w:sz="0" w:space="0" w:color="auto"/>
            </w:tcBorders>
            <w:noWrap/>
            <w:hideMark/>
          </w:tcPr>
          <w:p w14:paraId="26D96EAB"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82 (1)</w:t>
            </w:r>
          </w:p>
        </w:tc>
        <w:tc>
          <w:tcPr>
            <w:tcW w:w="413" w:type="pct"/>
            <w:tcBorders>
              <w:top w:val="none" w:sz="0" w:space="0" w:color="auto"/>
              <w:bottom w:val="none" w:sz="0" w:space="0" w:color="auto"/>
            </w:tcBorders>
            <w:noWrap/>
            <w:hideMark/>
          </w:tcPr>
          <w:p w14:paraId="7E774D1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1,187 (8)</w:t>
            </w:r>
          </w:p>
        </w:tc>
        <w:tc>
          <w:tcPr>
            <w:tcW w:w="377" w:type="pct"/>
            <w:tcBorders>
              <w:top w:val="none" w:sz="0" w:space="0" w:color="auto"/>
              <w:bottom w:val="none" w:sz="0" w:space="0" w:color="auto"/>
            </w:tcBorders>
            <w:noWrap/>
            <w:hideMark/>
          </w:tcPr>
          <w:p w14:paraId="41D65E2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67 (0)</w:t>
            </w:r>
          </w:p>
        </w:tc>
        <w:tc>
          <w:tcPr>
            <w:tcW w:w="377" w:type="pct"/>
            <w:tcBorders>
              <w:top w:val="none" w:sz="0" w:space="0" w:color="auto"/>
              <w:bottom w:val="none" w:sz="0" w:space="0" w:color="auto"/>
              <w:right w:val="none" w:sz="0" w:space="0" w:color="auto"/>
            </w:tcBorders>
            <w:noWrap/>
            <w:hideMark/>
          </w:tcPr>
          <w:p w14:paraId="57E7BBF0"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25 (0)</w:t>
            </w:r>
          </w:p>
        </w:tc>
      </w:tr>
      <w:tr w:rsidR="00B856A6" w:rsidRPr="0062560D" w14:paraId="704C1185"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5BC1E7D7" w14:textId="77777777" w:rsidR="0062560D" w:rsidRPr="0062560D" w:rsidRDefault="0062560D" w:rsidP="00ED12BB">
            <w:pPr>
              <w:pStyle w:val="TableText"/>
              <w:spacing w:before="40" w:after="40"/>
              <w:rPr>
                <w:lang w:eastAsia="ja-JP"/>
              </w:rPr>
            </w:pPr>
            <w:r w:rsidRPr="0062560D">
              <w:rPr>
                <w:lang w:eastAsia="ja-JP"/>
              </w:rPr>
              <w:t>Otago</w:t>
            </w:r>
          </w:p>
        </w:tc>
        <w:tc>
          <w:tcPr>
            <w:tcW w:w="455" w:type="pct"/>
            <w:noWrap/>
            <w:hideMark/>
          </w:tcPr>
          <w:p w14:paraId="38E80C88"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17,572</w:t>
            </w:r>
          </w:p>
        </w:tc>
        <w:tc>
          <w:tcPr>
            <w:tcW w:w="481" w:type="pct"/>
            <w:noWrap/>
            <w:hideMark/>
          </w:tcPr>
          <w:p w14:paraId="393586B0"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2,861 (16)</w:t>
            </w:r>
          </w:p>
        </w:tc>
        <w:tc>
          <w:tcPr>
            <w:tcW w:w="481" w:type="pct"/>
            <w:noWrap/>
            <w:hideMark/>
          </w:tcPr>
          <w:p w14:paraId="557CDA2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544 (3)</w:t>
            </w:r>
          </w:p>
        </w:tc>
        <w:tc>
          <w:tcPr>
            <w:tcW w:w="481" w:type="pct"/>
            <w:noWrap/>
            <w:hideMark/>
          </w:tcPr>
          <w:p w14:paraId="31C9668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122 (1)</w:t>
            </w:r>
          </w:p>
        </w:tc>
        <w:tc>
          <w:tcPr>
            <w:tcW w:w="413" w:type="pct"/>
            <w:noWrap/>
            <w:hideMark/>
          </w:tcPr>
          <w:p w14:paraId="166E2B06"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2,958 (17)</w:t>
            </w:r>
          </w:p>
        </w:tc>
        <w:tc>
          <w:tcPr>
            <w:tcW w:w="413" w:type="pct"/>
            <w:noWrap/>
            <w:hideMark/>
          </w:tcPr>
          <w:p w14:paraId="1B753596"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680 (4)</w:t>
            </w:r>
          </w:p>
        </w:tc>
        <w:tc>
          <w:tcPr>
            <w:tcW w:w="377" w:type="pct"/>
            <w:noWrap/>
            <w:hideMark/>
          </w:tcPr>
          <w:p w14:paraId="7A957C0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317 (2)</w:t>
            </w:r>
          </w:p>
        </w:tc>
        <w:tc>
          <w:tcPr>
            <w:tcW w:w="413" w:type="pct"/>
            <w:noWrap/>
            <w:hideMark/>
          </w:tcPr>
          <w:p w14:paraId="53C31B43"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2,895 (16)</w:t>
            </w:r>
          </w:p>
        </w:tc>
        <w:tc>
          <w:tcPr>
            <w:tcW w:w="377" w:type="pct"/>
            <w:noWrap/>
            <w:hideMark/>
          </w:tcPr>
          <w:p w14:paraId="7EF9BE90"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577 (3)</w:t>
            </w:r>
          </w:p>
        </w:tc>
        <w:tc>
          <w:tcPr>
            <w:tcW w:w="377" w:type="pct"/>
            <w:noWrap/>
            <w:hideMark/>
          </w:tcPr>
          <w:p w14:paraId="4E10A9B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156 (1)</w:t>
            </w:r>
          </w:p>
        </w:tc>
      </w:tr>
      <w:tr w:rsidR="00B856A6" w:rsidRPr="0062560D" w14:paraId="2BFC0E92"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31490A10" w14:textId="77777777" w:rsidR="0062560D" w:rsidRPr="0062560D" w:rsidRDefault="0062560D" w:rsidP="00ED12BB">
            <w:pPr>
              <w:pStyle w:val="TableText"/>
              <w:spacing w:before="40" w:after="40"/>
              <w:rPr>
                <w:lang w:eastAsia="ja-JP"/>
              </w:rPr>
            </w:pPr>
            <w:r w:rsidRPr="0062560D">
              <w:rPr>
                <w:lang w:eastAsia="ja-JP"/>
              </w:rPr>
              <w:t>Southland</w:t>
            </w:r>
          </w:p>
        </w:tc>
        <w:tc>
          <w:tcPr>
            <w:tcW w:w="455" w:type="pct"/>
            <w:tcBorders>
              <w:top w:val="none" w:sz="0" w:space="0" w:color="auto"/>
              <w:bottom w:val="none" w:sz="0" w:space="0" w:color="auto"/>
            </w:tcBorders>
            <w:noWrap/>
            <w:hideMark/>
          </w:tcPr>
          <w:p w14:paraId="5A13CD4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26,690</w:t>
            </w:r>
          </w:p>
        </w:tc>
        <w:tc>
          <w:tcPr>
            <w:tcW w:w="481" w:type="pct"/>
            <w:tcBorders>
              <w:top w:val="none" w:sz="0" w:space="0" w:color="auto"/>
              <w:bottom w:val="none" w:sz="0" w:space="0" w:color="auto"/>
            </w:tcBorders>
            <w:noWrap/>
            <w:hideMark/>
          </w:tcPr>
          <w:p w14:paraId="44B6B884"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7,816 (29)</w:t>
            </w:r>
          </w:p>
        </w:tc>
        <w:tc>
          <w:tcPr>
            <w:tcW w:w="481" w:type="pct"/>
            <w:tcBorders>
              <w:top w:val="none" w:sz="0" w:space="0" w:color="auto"/>
              <w:bottom w:val="none" w:sz="0" w:space="0" w:color="auto"/>
            </w:tcBorders>
            <w:noWrap/>
            <w:hideMark/>
          </w:tcPr>
          <w:p w14:paraId="30D181BC"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3,677 (14)</w:t>
            </w:r>
          </w:p>
        </w:tc>
        <w:tc>
          <w:tcPr>
            <w:tcW w:w="481" w:type="pct"/>
            <w:tcBorders>
              <w:top w:val="none" w:sz="0" w:space="0" w:color="auto"/>
              <w:bottom w:val="none" w:sz="0" w:space="0" w:color="auto"/>
            </w:tcBorders>
            <w:noWrap/>
            <w:hideMark/>
          </w:tcPr>
          <w:p w14:paraId="706AE4B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862 (3)</w:t>
            </w:r>
          </w:p>
        </w:tc>
        <w:tc>
          <w:tcPr>
            <w:tcW w:w="413" w:type="pct"/>
            <w:tcBorders>
              <w:top w:val="none" w:sz="0" w:space="0" w:color="auto"/>
              <w:bottom w:val="none" w:sz="0" w:space="0" w:color="auto"/>
            </w:tcBorders>
            <w:noWrap/>
            <w:hideMark/>
          </w:tcPr>
          <w:p w14:paraId="4FD4E4AC"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8,376 (31)</w:t>
            </w:r>
          </w:p>
        </w:tc>
        <w:tc>
          <w:tcPr>
            <w:tcW w:w="413" w:type="pct"/>
            <w:tcBorders>
              <w:top w:val="none" w:sz="0" w:space="0" w:color="auto"/>
              <w:bottom w:val="none" w:sz="0" w:space="0" w:color="auto"/>
            </w:tcBorders>
            <w:noWrap/>
            <w:hideMark/>
          </w:tcPr>
          <w:p w14:paraId="35556A2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4,282 (16)</w:t>
            </w:r>
          </w:p>
        </w:tc>
        <w:tc>
          <w:tcPr>
            <w:tcW w:w="377" w:type="pct"/>
            <w:tcBorders>
              <w:top w:val="none" w:sz="0" w:space="0" w:color="auto"/>
              <w:bottom w:val="none" w:sz="0" w:space="0" w:color="auto"/>
            </w:tcBorders>
            <w:noWrap/>
            <w:hideMark/>
          </w:tcPr>
          <w:p w14:paraId="28D5776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2,321 (9)</w:t>
            </w:r>
          </w:p>
        </w:tc>
        <w:tc>
          <w:tcPr>
            <w:tcW w:w="413" w:type="pct"/>
            <w:tcBorders>
              <w:top w:val="none" w:sz="0" w:space="0" w:color="auto"/>
              <w:bottom w:val="none" w:sz="0" w:space="0" w:color="auto"/>
            </w:tcBorders>
            <w:noWrap/>
            <w:hideMark/>
          </w:tcPr>
          <w:p w14:paraId="2052E7E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7,843 (29)</w:t>
            </w:r>
          </w:p>
        </w:tc>
        <w:tc>
          <w:tcPr>
            <w:tcW w:w="377" w:type="pct"/>
            <w:tcBorders>
              <w:top w:val="none" w:sz="0" w:space="0" w:color="auto"/>
              <w:bottom w:val="none" w:sz="0" w:space="0" w:color="auto"/>
            </w:tcBorders>
            <w:noWrap/>
            <w:hideMark/>
          </w:tcPr>
          <w:p w14:paraId="2797BDA6"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3,704 (14)</w:t>
            </w:r>
          </w:p>
        </w:tc>
        <w:tc>
          <w:tcPr>
            <w:tcW w:w="377" w:type="pct"/>
            <w:tcBorders>
              <w:top w:val="none" w:sz="0" w:space="0" w:color="auto"/>
              <w:bottom w:val="none" w:sz="0" w:space="0" w:color="auto"/>
              <w:right w:val="none" w:sz="0" w:space="0" w:color="auto"/>
            </w:tcBorders>
            <w:noWrap/>
            <w:hideMark/>
          </w:tcPr>
          <w:p w14:paraId="0353414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1,006 (4)</w:t>
            </w:r>
          </w:p>
        </w:tc>
      </w:tr>
      <w:tr w:rsidR="00B856A6" w:rsidRPr="0062560D" w14:paraId="75295BFD"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7FC7BF58" w14:textId="77777777" w:rsidR="0062560D" w:rsidRPr="0062560D" w:rsidRDefault="0062560D" w:rsidP="00ED12BB">
            <w:pPr>
              <w:pStyle w:val="TableText"/>
              <w:spacing w:before="40" w:after="40"/>
              <w:rPr>
                <w:lang w:eastAsia="ja-JP"/>
              </w:rPr>
            </w:pPr>
            <w:r w:rsidRPr="0062560D">
              <w:rPr>
                <w:lang w:eastAsia="ja-JP"/>
              </w:rPr>
              <w:t>Taranaki</w:t>
            </w:r>
          </w:p>
        </w:tc>
        <w:tc>
          <w:tcPr>
            <w:tcW w:w="455" w:type="pct"/>
            <w:noWrap/>
            <w:hideMark/>
          </w:tcPr>
          <w:p w14:paraId="2D048EAD"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14,484</w:t>
            </w:r>
          </w:p>
        </w:tc>
        <w:tc>
          <w:tcPr>
            <w:tcW w:w="481" w:type="pct"/>
            <w:noWrap/>
            <w:hideMark/>
          </w:tcPr>
          <w:p w14:paraId="22E2587E"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4,854 (34)</w:t>
            </w:r>
          </w:p>
        </w:tc>
        <w:tc>
          <w:tcPr>
            <w:tcW w:w="481" w:type="pct"/>
            <w:noWrap/>
            <w:hideMark/>
          </w:tcPr>
          <w:p w14:paraId="6069A4DA"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1,556 (11)</w:t>
            </w:r>
          </w:p>
        </w:tc>
        <w:tc>
          <w:tcPr>
            <w:tcW w:w="481" w:type="pct"/>
            <w:noWrap/>
            <w:hideMark/>
          </w:tcPr>
          <w:p w14:paraId="4FE6192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127 (1)</w:t>
            </w:r>
          </w:p>
        </w:tc>
        <w:tc>
          <w:tcPr>
            <w:tcW w:w="413" w:type="pct"/>
            <w:noWrap/>
            <w:hideMark/>
          </w:tcPr>
          <w:p w14:paraId="4960FFA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4,934 (34)</w:t>
            </w:r>
          </w:p>
        </w:tc>
        <w:tc>
          <w:tcPr>
            <w:tcW w:w="413" w:type="pct"/>
            <w:noWrap/>
            <w:hideMark/>
          </w:tcPr>
          <w:p w14:paraId="293DADB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1,696 (12)</w:t>
            </w:r>
          </w:p>
        </w:tc>
        <w:tc>
          <w:tcPr>
            <w:tcW w:w="377" w:type="pct"/>
            <w:noWrap/>
            <w:hideMark/>
          </w:tcPr>
          <w:p w14:paraId="3E3E612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995 (7)</w:t>
            </w:r>
          </w:p>
        </w:tc>
        <w:tc>
          <w:tcPr>
            <w:tcW w:w="413" w:type="pct"/>
            <w:noWrap/>
            <w:hideMark/>
          </w:tcPr>
          <w:p w14:paraId="7A230CC8"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4,854 (34)</w:t>
            </w:r>
          </w:p>
        </w:tc>
        <w:tc>
          <w:tcPr>
            <w:tcW w:w="377" w:type="pct"/>
            <w:noWrap/>
            <w:hideMark/>
          </w:tcPr>
          <w:p w14:paraId="2DAE4427"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1,556 (11)</w:t>
            </w:r>
          </w:p>
        </w:tc>
        <w:tc>
          <w:tcPr>
            <w:tcW w:w="377" w:type="pct"/>
            <w:noWrap/>
            <w:hideMark/>
          </w:tcPr>
          <w:p w14:paraId="11794A70"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127 (1)</w:t>
            </w:r>
          </w:p>
        </w:tc>
      </w:tr>
      <w:tr w:rsidR="00B856A6" w:rsidRPr="0062560D" w14:paraId="3FDFE080"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4EBAE6AE" w14:textId="77777777" w:rsidR="0062560D" w:rsidRPr="0062560D" w:rsidRDefault="0062560D" w:rsidP="00ED12BB">
            <w:pPr>
              <w:pStyle w:val="TableText"/>
              <w:spacing w:before="40" w:after="40"/>
              <w:rPr>
                <w:lang w:eastAsia="ja-JP"/>
              </w:rPr>
            </w:pPr>
            <w:r w:rsidRPr="0062560D">
              <w:rPr>
                <w:lang w:eastAsia="ja-JP"/>
              </w:rPr>
              <w:t>Tasman</w:t>
            </w:r>
          </w:p>
        </w:tc>
        <w:tc>
          <w:tcPr>
            <w:tcW w:w="455" w:type="pct"/>
            <w:tcBorders>
              <w:top w:val="none" w:sz="0" w:space="0" w:color="auto"/>
              <w:bottom w:val="none" w:sz="0" w:space="0" w:color="auto"/>
            </w:tcBorders>
            <w:noWrap/>
            <w:hideMark/>
          </w:tcPr>
          <w:p w14:paraId="73307F1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3,352</w:t>
            </w:r>
          </w:p>
        </w:tc>
        <w:tc>
          <w:tcPr>
            <w:tcW w:w="481" w:type="pct"/>
            <w:tcBorders>
              <w:top w:val="none" w:sz="0" w:space="0" w:color="auto"/>
              <w:bottom w:val="none" w:sz="0" w:space="0" w:color="auto"/>
            </w:tcBorders>
            <w:noWrap/>
            <w:hideMark/>
          </w:tcPr>
          <w:p w14:paraId="2688AC6A"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46 (1)</w:t>
            </w:r>
          </w:p>
        </w:tc>
        <w:tc>
          <w:tcPr>
            <w:tcW w:w="481" w:type="pct"/>
            <w:tcBorders>
              <w:top w:val="none" w:sz="0" w:space="0" w:color="auto"/>
              <w:bottom w:val="none" w:sz="0" w:space="0" w:color="auto"/>
            </w:tcBorders>
            <w:noWrap/>
            <w:hideMark/>
          </w:tcPr>
          <w:p w14:paraId="644B192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 (0)</w:t>
            </w:r>
          </w:p>
        </w:tc>
        <w:tc>
          <w:tcPr>
            <w:tcW w:w="481" w:type="pct"/>
            <w:tcBorders>
              <w:top w:val="none" w:sz="0" w:space="0" w:color="auto"/>
              <w:bottom w:val="none" w:sz="0" w:space="0" w:color="auto"/>
            </w:tcBorders>
            <w:noWrap/>
            <w:hideMark/>
          </w:tcPr>
          <w:p w14:paraId="3011B5C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 (0)</w:t>
            </w:r>
          </w:p>
        </w:tc>
        <w:tc>
          <w:tcPr>
            <w:tcW w:w="413" w:type="pct"/>
            <w:tcBorders>
              <w:top w:val="none" w:sz="0" w:space="0" w:color="auto"/>
              <w:bottom w:val="none" w:sz="0" w:space="0" w:color="auto"/>
            </w:tcBorders>
            <w:noWrap/>
            <w:hideMark/>
          </w:tcPr>
          <w:p w14:paraId="32786D3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52 (2)</w:t>
            </w:r>
          </w:p>
        </w:tc>
        <w:tc>
          <w:tcPr>
            <w:tcW w:w="413" w:type="pct"/>
            <w:tcBorders>
              <w:top w:val="none" w:sz="0" w:space="0" w:color="auto"/>
              <w:bottom w:val="none" w:sz="0" w:space="0" w:color="auto"/>
            </w:tcBorders>
            <w:noWrap/>
            <w:hideMark/>
          </w:tcPr>
          <w:p w14:paraId="510388F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 (0)</w:t>
            </w:r>
          </w:p>
        </w:tc>
        <w:tc>
          <w:tcPr>
            <w:tcW w:w="377" w:type="pct"/>
            <w:tcBorders>
              <w:top w:val="none" w:sz="0" w:space="0" w:color="auto"/>
              <w:bottom w:val="none" w:sz="0" w:space="0" w:color="auto"/>
            </w:tcBorders>
            <w:noWrap/>
            <w:hideMark/>
          </w:tcPr>
          <w:p w14:paraId="0FAB24DC"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7 (0)</w:t>
            </w:r>
          </w:p>
        </w:tc>
        <w:tc>
          <w:tcPr>
            <w:tcW w:w="413" w:type="pct"/>
            <w:tcBorders>
              <w:top w:val="none" w:sz="0" w:space="0" w:color="auto"/>
              <w:bottom w:val="none" w:sz="0" w:space="0" w:color="auto"/>
            </w:tcBorders>
            <w:noWrap/>
            <w:hideMark/>
          </w:tcPr>
          <w:p w14:paraId="33B1C25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46 (1)</w:t>
            </w:r>
          </w:p>
        </w:tc>
        <w:tc>
          <w:tcPr>
            <w:tcW w:w="377" w:type="pct"/>
            <w:tcBorders>
              <w:top w:val="none" w:sz="0" w:space="0" w:color="auto"/>
              <w:bottom w:val="none" w:sz="0" w:space="0" w:color="auto"/>
            </w:tcBorders>
            <w:noWrap/>
            <w:hideMark/>
          </w:tcPr>
          <w:p w14:paraId="457898A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3 (0)</w:t>
            </w:r>
          </w:p>
        </w:tc>
        <w:tc>
          <w:tcPr>
            <w:tcW w:w="377" w:type="pct"/>
            <w:tcBorders>
              <w:top w:val="none" w:sz="0" w:space="0" w:color="auto"/>
              <w:bottom w:val="none" w:sz="0" w:space="0" w:color="auto"/>
              <w:right w:val="none" w:sz="0" w:space="0" w:color="auto"/>
            </w:tcBorders>
            <w:noWrap/>
            <w:hideMark/>
          </w:tcPr>
          <w:p w14:paraId="3E8643B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 (0)</w:t>
            </w:r>
          </w:p>
        </w:tc>
      </w:tr>
      <w:tr w:rsidR="00B856A6" w:rsidRPr="0062560D" w14:paraId="07301447"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0AB46A5E" w14:textId="77777777" w:rsidR="0062560D" w:rsidRPr="0062560D" w:rsidRDefault="0062560D" w:rsidP="00ED12BB">
            <w:pPr>
              <w:pStyle w:val="TableText"/>
              <w:spacing w:before="40" w:after="40"/>
              <w:rPr>
                <w:lang w:eastAsia="ja-JP"/>
              </w:rPr>
            </w:pPr>
            <w:r w:rsidRPr="0062560D">
              <w:rPr>
                <w:lang w:eastAsia="ja-JP"/>
              </w:rPr>
              <w:t>Waikato</w:t>
            </w:r>
          </w:p>
        </w:tc>
        <w:tc>
          <w:tcPr>
            <w:tcW w:w="455" w:type="pct"/>
            <w:noWrap/>
            <w:hideMark/>
          </w:tcPr>
          <w:p w14:paraId="46613FC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38,377</w:t>
            </w:r>
          </w:p>
        </w:tc>
        <w:tc>
          <w:tcPr>
            <w:tcW w:w="481" w:type="pct"/>
            <w:noWrap/>
            <w:hideMark/>
          </w:tcPr>
          <w:p w14:paraId="1BD8DF3C"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5,229 (14)</w:t>
            </w:r>
          </w:p>
        </w:tc>
        <w:tc>
          <w:tcPr>
            <w:tcW w:w="481" w:type="pct"/>
            <w:noWrap/>
            <w:hideMark/>
          </w:tcPr>
          <w:p w14:paraId="69F8B2C6"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1,231 (3)</w:t>
            </w:r>
          </w:p>
        </w:tc>
        <w:tc>
          <w:tcPr>
            <w:tcW w:w="481" w:type="pct"/>
            <w:noWrap/>
            <w:hideMark/>
          </w:tcPr>
          <w:p w14:paraId="04EF35B1"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782 (2)</w:t>
            </w:r>
          </w:p>
        </w:tc>
        <w:tc>
          <w:tcPr>
            <w:tcW w:w="413" w:type="pct"/>
            <w:noWrap/>
            <w:hideMark/>
          </w:tcPr>
          <w:p w14:paraId="67EB8005"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7,743 (20)</w:t>
            </w:r>
          </w:p>
        </w:tc>
        <w:tc>
          <w:tcPr>
            <w:tcW w:w="413" w:type="pct"/>
            <w:noWrap/>
            <w:hideMark/>
          </w:tcPr>
          <w:p w14:paraId="509B2CE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3,808 (10)</w:t>
            </w:r>
          </w:p>
        </w:tc>
        <w:tc>
          <w:tcPr>
            <w:tcW w:w="377" w:type="pct"/>
            <w:noWrap/>
            <w:hideMark/>
          </w:tcPr>
          <w:p w14:paraId="6C16D277"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3,373 (9)</w:t>
            </w:r>
          </w:p>
        </w:tc>
        <w:tc>
          <w:tcPr>
            <w:tcW w:w="413" w:type="pct"/>
            <w:noWrap/>
            <w:hideMark/>
          </w:tcPr>
          <w:p w14:paraId="429507AE"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5,271 (14)</w:t>
            </w:r>
          </w:p>
        </w:tc>
        <w:tc>
          <w:tcPr>
            <w:tcW w:w="377" w:type="pct"/>
            <w:noWrap/>
            <w:hideMark/>
          </w:tcPr>
          <w:p w14:paraId="6A548024"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1,294 (3)</w:t>
            </w:r>
          </w:p>
        </w:tc>
        <w:tc>
          <w:tcPr>
            <w:tcW w:w="377" w:type="pct"/>
            <w:noWrap/>
            <w:hideMark/>
          </w:tcPr>
          <w:p w14:paraId="46C4CE6D"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845 (2)</w:t>
            </w:r>
          </w:p>
        </w:tc>
      </w:tr>
      <w:tr w:rsidR="00B856A6" w:rsidRPr="0062560D" w14:paraId="3ED617E7"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5A8691C0" w14:textId="77777777" w:rsidR="0062560D" w:rsidRPr="0062560D" w:rsidRDefault="0062560D" w:rsidP="00ED12BB">
            <w:pPr>
              <w:pStyle w:val="TableText"/>
              <w:spacing w:before="40" w:after="40"/>
              <w:rPr>
                <w:lang w:eastAsia="ja-JP"/>
              </w:rPr>
            </w:pPr>
            <w:r w:rsidRPr="0062560D">
              <w:rPr>
                <w:lang w:eastAsia="ja-JP"/>
              </w:rPr>
              <w:t>Wellington</w:t>
            </w:r>
          </w:p>
        </w:tc>
        <w:tc>
          <w:tcPr>
            <w:tcW w:w="455" w:type="pct"/>
            <w:tcBorders>
              <w:top w:val="none" w:sz="0" w:space="0" w:color="auto"/>
              <w:bottom w:val="none" w:sz="0" w:space="0" w:color="auto"/>
            </w:tcBorders>
            <w:noWrap/>
            <w:hideMark/>
          </w:tcPr>
          <w:p w14:paraId="77926829"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6,918</w:t>
            </w:r>
          </w:p>
        </w:tc>
        <w:tc>
          <w:tcPr>
            <w:tcW w:w="481" w:type="pct"/>
            <w:tcBorders>
              <w:top w:val="none" w:sz="0" w:space="0" w:color="auto"/>
              <w:bottom w:val="none" w:sz="0" w:space="0" w:color="auto"/>
            </w:tcBorders>
            <w:noWrap/>
            <w:hideMark/>
          </w:tcPr>
          <w:p w14:paraId="46B2DEE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1,184 (17)</w:t>
            </w:r>
          </w:p>
        </w:tc>
        <w:tc>
          <w:tcPr>
            <w:tcW w:w="481" w:type="pct"/>
            <w:tcBorders>
              <w:top w:val="none" w:sz="0" w:space="0" w:color="auto"/>
              <w:bottom w:val="none" w:sz="0" w:space="0" w:color="auto"/>
            </w:tcBorders>
            <w:noWrap/>
            <w:hideMark/>
          </w:tcPr>
          <w:p w14:paraId="571F625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158 (2)</w:t>
            </w:r>
          </w:p>
        </w:tc>
        <w:tc>
          <w:tcPr>
            <w:tcW w:w="481" w:type="pct"/>
            <w:tcBorders>
              <w:top w:val="none" w:sz="0" w:space="0" w:color="auto"/>
              <w:bottom w:val="none" w:sz="0" w:space="0" w:color="auto"/>
            </w:tcBorders>
            <w:noWrap/>
            <w:hideMark/>
          </w:tcPr>
          <w:p w14:paraId="6A0CBCE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97 (1)</w:t>
            </w:r>
          </w:p>
        </w:tc>
        <w:tc>
          <w:tcPr>
            <w:tcW w:w="413" w:type="pct"/>
            <w:tcBorders>
              <w:top w:val="none" w:sz="0" w:space="0" w:color="auto"/>
              <w:bottom w:val="none" w:sz="0" w:space="0" w:color="auto"/>
            </w:tcBorders>
            <w:noWrap/>
            <w:hideMark/>
          </w:tcPr>
          <w:p w14:paraId="05B8028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1,184 (17)</w:t>
            </w:r>
          </w:p>
        </w:tc>
        <w:tc>
          <w:tcPr>
            <w:tcW w:w="413" w:type="pct"/>
            <w:tcBorders>
              <w:top w:val="none" w:sz="0" w:space="0" w:color="auto"/>
              <w:bottom w:val="none" w:sz="0" w:space="0" w:color="auto"/>
            </w:tcBorders>
            <w:noWrap/>
            <w:hideMark/>
          </w:tcPr>
          <w:p w14:paraId="7F468EC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172 (2)</w:t>
            </w:r>
          </w:p>
        </w:tc>
        <w:tc>
          <w:tcPr>
            <w:tcW w:w="377" w:type="pct"/>
            <w:tcBorders>
              <w:top w:val="none" w:sz="0" w:space="0" w:color="auto"/>
              <w:bottom w:val="none" w:sz="0" w:space="0" w:color="auto"/>
            </w:tcBorders>
            <w:noWrap/>
            <w:hideMark/>
          </w:tcPr>
          <w:p w14:paraId="50E01A9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127 (2)</w:t>
            </w:r>
          </w:p>
        </w:tc>
        <w:tc>
          <w:tcPr>
            <w:tcW w:w="413" w:type="pct"/>
            <w:tcBorders>
              <w:top w:val="none" w:sz="0" w:space="0" w:color="auto"/>
              <w:bottom w:val="none" w:sz="0" w:space="0" w:color="auto"/>
            </w:tcBorders>
            <w:noWrap/>
            <w:hideMark/>
          </w:tcPr>
          <w:p w14:paraId="4068286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1,184 (17)</w:t>
            </w:r>
          </w:p>
        </w:tc>
        <w:tc>
          <w:tcPr>
            <w:tcW w:w="377" w:type="pct"/>
            <w:tcBorders>
              <w:top w:val="none" w:sz="0" w:space="0" w:color="auto"/>
              <w:bottom w:val="none" w:sz="0" w:space="0" w:color="auto"/>
            </w:tcBorders>
            <w:noWrap/>
            <w:hideMark/>
          </w:tcPr>
          <w:p w14:paraId="76E20D2B"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158 (2)</w:t>
            </w:r>
          </w:p>
        </w:tc>
        <w:tc>
          <w:tcPr>
            <w:tcW w:w="377" w:type="pct"/>
            <w:tcBorders>
              <w:top w:val="none" w:sz="0" w:space="0" w:color="auto"/>
              <w:bottom w:val="none" w:sz="0" w:space="0" w:color="auto"/>
              <w:right w:val="none" w:sz="0" w:space="0" w:color="auto"/>
            </w:tcBorders>
            <w:noWrap/>
            <w:hideMark/>
          </w:tcPr>
          <w:p w14:paraId="59201518"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97 (1)</w:t>
            </w:r>
          </w:p>
        </w:tc>
      </w:tr>
      <w:tr w:rsidR="00B856A6" w:rsidRPr="0062560D" w14:paraId="2C82189C" w14:textId="77777777" w:rsidTr="009B00A0">
        <w:trPr>
          <w:trHeight w:val="300"/>
        </w:trPr>
        <w:tc>
          <w:tcPr>
            <w:cnfStyle w:val="001000000000" w:firstRow="0" w:lastRow="0" w:firstColumn="1" w:lastColumn="0" w:oddVBand="0" w:evenVBand="0" w:oddHBand="0" w:evenHBand="0" w:firstRowFirstColumn="0" w:firstRowLastColumn="0" w:lastRowFirstColumn="0" w:lastRowLastColumn="0"/>
            <w:tcW w:w="733" w:type="pct"/>
            <w:noWrap/>
            <w:hideMark/>
          </w:tcPr>
          <w:p w14:paraId="365FDF1F" w14:textId="77777777" w:rsidR="0062560D" w:rsidRPr="0062560D" w:rsidRDefault="0062560D" w:rsidP="00ED12BB">
            <w:pPr>
              <w:pStyle w:val="TableText"/>
              <w:spacing w:before="40" w:after="40"/>
              <w:rPr>
                <w:lang w:eastAsia="ja-JP"/>
              </w:rPr>
            </w:pPr>
            <w:r w:rsidRPr="0062560D">
              <w:rPr>
                <w:lang w:eastAsia="ja-JP"/>
              </w:rPr>
              <w:t>West Coast</w:t>
            </w:r>
          </w:p>
        </w:tc>
        <w:tc>
          <w:tcPr>
            <w:tcW w:w="455" w:type="pct"/>
            <w:noWrap/>
            <w:hideMark/>
          </w:tcPr>
          <w:p w14:paraId="16FF78D0"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t>21,875</w:t>
            </w:r>
          </w:p>
        </w:tc>
        <w:tc>
          <w:tcPr>
            <w:tcW w:w="481" w:type="pct"/>
            <w:noWrap/>
            <w:hideMark/>
          </w:tcPr>
          <w:p w14:paraId="61CA8127"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80 (0)</w:t>
            </w:r>
          </w:p>
        </w:tc>
        <w:tc>
          <w:tcPr>
            <w:tcW w:w="481" w:type="pct"/>
            <w:noWrap/>
            <w:hideMark/>
          </w:tcPr>
          <w:p w14:paraId="30C99AD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19 (0)</w:t>
            </w:r>
          </w:p>
        </w:tc>
        <w:tc>
          <w:tcPr>
            <w:tcW w:w="481" w:type="pct"/>
            <w:noWrap/>
            <w:hideMark/>
          </w:tcPr>
          <w:p w14:paraId="41463CF7"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18 (0)</w:t>
            </w:r>
          </w:p>
        </w:tc>
        <w:tc>
          <w:tcPr>
            <w:tcW w:w="413" w:type="pct"/>
            <w:noWrap/>
            <w:hideMark/>
          </w:tcPr>
          <w:p w14:paraId="3E9DAA2B"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83 (0)</w:t>
            </w:r>
          </w:p>
        </w:tc>
        <w:tc>
          <w:tcPr>
            <w:tcW w:w="413" w:type="pct"/>
            <w:noWrap/>
            <w:hideMark/>
          </w:tcPr>
          <w:p w14:paraId="419616AD"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22 (0)</w:t>
            </w:r>
          </w:p>
        </w:tc>
        <w:tc>
          <w:tcPr>
            <w:tcW w:w="377" w:type="pct"/>
            <w:noWrap/>
            <w:hideMark/>
          </w:tcPr>
          <w:p w14:paraId="35F0C9A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21 (0)</w:t>
            </w:r>
          </w:p>
        </w:tc>
        <w:tc>
          <w:tcPr>
            <w:tcW w:w="413" w:type="pct"/>
            <w:noWrap/>
            <w:hideMark/>
          </w:tcPr>
          <w:p w14:paraId="71741D12"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80 (0)</w:t>
            </w:r>
          </w:p>
        </w:tc>
        <w:tc>
          <w:tcPr>
            <w:tcW w:w="377" w:type="pct"/>
            <w:noWrap/>
            <w:hideMark/>
          </w:tcPr>
          <w:p w14:paraId="0E8C37D9"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19 (0)</w:t>
            </w:r>
          </w:p>
        </w:tc>
        <w:tc>
          <w:tcPr>
            <w:tcW w:w="377" w:type="pct"/>
            <w:noWrap/>
            <w:hideMark/>
          </w:tcPr>
          <w:p w14:paraId="3447407F" w14:textId="77777777" w:rsidR="0062560D" w:rsidRPr="0062560D" w:rsidRDefault="0062560D" w:rsidP="00ED12B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lang w:eastAsia="ja-JP"/>
              </w:rPr>
            </w:pPr>
            <w:r w:rsidRPr="0062560D">
              <w:rPr>
                <w:lang w:eastAsia="ja-JP"/>
              </w:rPr>
              <w:t>18 (0)</w:t>
            </w:r>
          </w:p>
        </w:tc>
      </w:tr>
      <w:tr w:rsidR="00B856A6" w:rsidRPr="0062560D" w14:paraId="22D90480" w14:textId="77777777" w:rsidTr="009B0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tcBorders>
            <w:noWrap/>
            <w:hideMark/>
          </w:tcPr>
          <w:p w14:paraId="15F6F5A9" w14:textId="77777777" w:rsidR="0062560D" w:rsidRPr="0062560D" w:rsidRDefault="0062560D" w:rsidP="00ED12BB">
            <w:pPr>
              <w:pStyle w:val="TableText"/>
              <w:spacing w:before="40" w:after="40"/>
              <w:rPr>
                <w:lang w:eastAsia="ja-JP"/>
              </w:rPr>
            </w:pPr>
            <w:r w:rsidRPr="0062560D">
              <w:rPr>
                <w:lang w:eastAsia="ja-JP"/>
              </w:rPr>
              <w:t>New Zealand</w:t>
            </w:r>
          </w:p>
        </w:tc>
        <w:tc>
          <w:tcPr>
            <w:tcW w:w="455" w:type="pct"/>
            <w:tcBorders>
              <w:top w:val="none" w:sz="0" w:space="0" w:color="auto"/>
              <w:bottom w:val="none" w:sz="0" w:space="0" w:color="auto"/>
            </w:tcBorders>
            <w:noWrap/>
            <w:hideMark/>
          </w:tcPr>
          <w:p w14:paraId="3E3B17D5"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t>235,698</w:t>
            </w:r>
          </w:p>
        </w:tc>
        <w:tc>
          <w:tcPr>
            <w:tcW w:w="481" w:type="pct"/>
            <w:tcBorders>
              <w:top w:val="none" w:sz="0" w:space="0" w:color="auto"/>
              <w:bottom w:val="none" w:sz="0" w:space="0" w:color="auto"/>
            </w:tcBorders>
            <w:noWrap/>
            <w:hideMark/>
          </w:tcPr>
          <w:p w14:paraId="7C0E0C22"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44,106 (19)</w:t>
            </w:r>
          </w:p>
        </w:tc>
        <w:tc>
          <w:tcPr>
            <w:tcW w:w="481" w:type="pct"/>
            <w:tcBorders>
              <w:top w:val="none" w:sz="0" w:space="0" w:color="auto"/>
              <w:bottom w:val="none" w:sz="0" w:space="0" w:color="auto"/>
            </w:tcBorders>
            <w:noWrap/>
            <w:hideMark/>
          </w:tcPr>
          <w:p w14:paraId="41F478AD"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16,951 (7)</w:t>
            </w:r>
          </w:p>
        </w:tc>
        <w:tc>
          <w:tcPr>
            <w:tcW w:w="481" w:type="pct"/>
            <w:tcBorders>
              <w:top w:val="none" w:sz="0" w:space="0" w:color="auto"/>
              <w:bottom w:val="none" w:sz="0" w:space="0" w:color="auto"/>
            </w:tcBorders>
            <w:noWrap/>
            <w:hideMark/>
          </w:tcPr>
          <w:p w14:paraId="5AC6564B"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8,171 (3)</w:t>
            </w:r>
          </w:p>
        </w:tc>
        <w:tc>
          <w:tcPr>
            <w:tcW w:w="413" w:type="pct"/>
            <w:tcBorders>
              <w:top w:val="none" w:sz="0" w:space="0" w:color="auto"/>
              <w:bottom w:val="none" w:sz="0" w:space="0" w:color="auto"/>
            </w:tcBorders>
            <w:noWrap/>
            <w:hideMark/>
          </w:tcPr>
          <w:p w14:paraId="05E96619"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50,488 (21)</w:t>
            </w:r>
          </w:p>
        </w:tc>
        <w:tc>
          <w:tcPr>
            <w:tcW w:w="413" w:type="pct"/>
            <w:tcBorders>
              <w:top w:val="none" w:sz="0" w:space="0" w:color="auto"/>
              <w:bottom w:val="none" w:sz="0" w:space="0" w:color="auto"/>
            </w:tcBorders>
            <w:noWrap/>
            <w:hideMark/>
          </w:tcPr>
          <w:p w14:paraId="65FE814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24,131 (10)</w:t>
            </w:r>
          </w:p>
        </w:tc>
        <w:tc>
          <w:tcPr>
            <w:tcW w:w="377" w:type="pct"/>
            <w:tcBorders>
              <w:top w:val="none" w:sz="0" w:space="0" w:color="auto"/>
              <w:bottom w:val="none" w:sz="0" w:space="0" w:color="auto"/>
            </w:tcBorders>
            <w:noWrap/>
            <w:hideMark/>
          </w:tcPr>
          <w:p w14:paraId="6FB37E53"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18,961 (8)</w:t>
            </w:r>
          </w:p>
        </w:tc>
        <w:tc>
          <w:tcPr>
            <w:tcW w:w="413" w:type="pct"/>
            <w:tcBorders>
              <w:top w:val="none" w:sz="0" w:space="0" w:color="auto"/>
              <w:bottom w:val="none" w:sz="0" w:space="0" w:color="auto"/>
            </w:tcBorders>
            <w:noWrap/>
            <w:hideMark/>
          </w:tcPr>
          <w:p w14:paraId="5402330F"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45,272 (19)</w:t>
            </w:r>
          </w:p>
        </w:tc>
        <w:tc>
          <w:tcPr>
            <w:tcW w:w="377" w:type="pct"/>
            <w:tcBorders>
              <w:top w:val="none" w:sz="0" w:space="0" w:color="auto"/>
              <w:bottom w:val="none" w:sz="0" w:space="0" w:color="auto"/>
            </w:tcBorders>
            <w:noWrap/>
            <w:hideMark/>
          </w:tcPr>
          <w:p w14:paraId="736D987E"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18,138 (8)</w:t>
            </w:r>
          </w:p>
        </w:tc>
        <w:tc>
          <w:tcPr>
            <w:tcW w:w="377" w:type="pct"/>
            <w:tcBorders>
              <w:top w:val="none" w:sz="0" w:space="0" w:color="auto"/>
              <w:bottom w:val="none" w:sz="0" w:space="0" w:color="auto"/>
              <w:right w:val="none" w:sz="0" w:space="0" w:color="auto"/>
            </w:tcBorders>
            <w:noWrap/>
            <w:hideMark/>
          </w:tcPr>
          <w:p w14:paraId="4E801601" w14:textId="77777777" w:rsidR="0062560D" w:rsidRPr="0062560D" w:rsidRDefault="0062560D" w:rsidP="00ED12B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lang w:eastAsia="ja-JP"/>
              </w:rPr>
            </w:pPr>
            <w:r w:rsidRPr="0062560D">
              <w:rPr>
                <w:lang w:eastAsia="ja-JP"/>
              </w:rPr>
              <w:t>9,500 (4)</w:t>
            </w:r>
          </w:p>
        </w:tc>
      </w:tr>
      <w:bookmarkEnd w:id="7"/>
      <w:bookmarkEnd w:id="8"/>
    </w:tbl>
    <w:p w14:paraId="7A8E57B2" w14:textId="77777777" w:rsidR="00875AFA" w:rsidRPr="00ED12BB" w:rsidRDefault="00875AFA" w:rsidP="00ED12BB">
      <w:pPr>
        <w:pStyle w:val="BodyText"/>
        <w:spacing w:before="0" w:after="0"/>
      </w:pPr>
    </w:p>
    <w:sectPr w:rsidR="00875AFA" w:rsidRPr="00ED12BB" w:rsidSect="00E2604C">
      <w:footerReference w:type="default" r:id="rId42"/>
      <w:pgSz w:w="16840" w:h="11907" w:orient="landscape" w:code="9"/>
      <w:pgMar w:top="1418" w:right="1134" w:bottom="1418" w:left="1134"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A4EA0" w14:textId="77777777" w:rsidR="003B1F5C" w:rsidRDefault="003B1F5C" w:rsidP="0080531E">
      <w:pPr>
        <w:spacing w:before="0" w:after="0" w:line="240" w:lineRule="auto"/>
      </w:pPr>
      <w:r>
        <w:separator/>
      </w:r>
    </w:p>
    <w:p w14:paraId="2F370F84" w14:textId="77777777" w:rsidR="003B1F5C" w:rsidRDefault="003B1F5C"/>
  </w:endnote>
  <w:endnote w:type="continuationSeparator" w:id="0">
    <w:p w14:paraId="3550D768" w14:textId="77777777" w:rsidR="003B1F5C" w:rsidRDefault="003B1F5C" w:rsidP="0080531E">
      <w:pPr>
        <w:spacing w:before="0" w:after="0" w:line="240" w:lineRule="auto"/>
      </w:pPr>
      <w:r>
        <w:continuationSeparator/>
      </w:r>
    </w:p>
    <w:p w14:paraId="79646DD8" w14:textId="77777777" w:rsidR="003B1F5C" w:rsidRDefault="003B1F5C"/>
  </w:endnote>
  <w:endnote w:type="continuationNotice" w:id="1">
    <w:p w14:paraId="7E1EF0D8" w14:textId="77777777" w:rsidR="003B1F5C" w:rsidRDefault="003B1F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A466" w14:textId="77777777" w:rsidR="008B0107" w:rsidRDefault="008B01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4034D" w14:textId="0B09F4C1" w:rsidR="003B1F5C" w:rsidRDefault="003B1F5C" w:rsidP="004F402C">
    <w:pPr>
      <w:pStyle w:val="Footerodd"/>
      <w:tabs>
        <w:tab w:val="clear" w:pos="7938"/>
        <w:tab w:val="clear" w:pos="8505"/>
        <w:tab w:val="right" w:pos="14005"/>
        <w:tab w:val="right" w:pos="14572"/>
      </w:tabs>
    </w:pPr>
    <w:r>
      <w:tab/>
    </w:r>
    <w:r w:rsidRPr="00C83F5B">
      <w:t>Action for healthy waterways</w:t>
    </w:r>
    <w:r>
      <w:tab/>
    </w:r>
    <w:r>
      <w:fldChar w:fldCharType="begin"/>
    </w:r>
    <w:r>
      <w:instrText xml:space="preserve"> PAGE   \* MERGEFORMAT </w:instrText>
    </w:r>
    <w:r>
      <w:fldChar w:fldCharType="separate"/>
    </w:r>
    <w:r w:rsidR="00925E93">
      <w:rPr>
        <w:noProof/>
      </w:rP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06B6" w14:textId="04C7F3C8" w:rsidR="003B1F5C" w:rsidRDefault="003B1F5C"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85267" w14:textId="77777777" w:rsidR="008B0107" w:rsidRDefault="008B01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DDAC5" w14:textId="77777777" w:rsidR="003B1F5C" w:rsidRDefault="003B1F5C"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A0912" w14:textId="77777777" w:rsidR="003B1F5C" w:rsidRDefault="003B1F5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2E47A" w14:textId="23B68EEC" w:rsidR="003B1F5C" w:rsidRDefault="003B1F5C" w:rsidP="002806D7">
    <w:pPr>
      <w:pStyle w:val="Footereven"/>
    </w:pPr>
    <w:r w:rsidRPr="004F458A">
      <w:rPr>
        <w:b/>
      </w:rPr>
      <w:fldChar w:fldCharType="begin"/>
    </w:r>
    <w:r w:rsidRPr="004F458A">
      <w:instrText xml:space="preserve"> PAGE </w:instrText>
    </w:r>
    <w:r w:rsidRPr="004F458A">
      <w:rPr>
        <w:b/>
      </w:rPr>
      <w:fldChar w:fldCharType="separate"/>
    </w:r>
    <w:r w:rsidR="00925E93">
      <w:rPr>
        <w:noProof/>
      </w:rPr>
      <w:t>20</w:t>
    </w:r>
    <w:r w:rsidRPr="004F458A">
      <w:rPr>
        <w:b/>
      </w:rPr>
      <w:fldChar w:fldCharType="end"/>
    </w:r>
    <w:r>
      <w:tab/>
    </w:r>
    <w:r w:rsidRPr="00C83F5B">
      <w:t>Action for healthy waterways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F20D" w14:textId="2527834D" w:rsidR="003B1F5C" w:rsidRDefault="003B1F5C" w:rsidP="00067CE8">
    <w:pPr>
      <w:pStyle w:val="Footerodd"/>
      <w:tabs>
        <w:tab w:val="clear" w:pos="7938"/>
        <w:tab w:val="clear" w:pos="8505"/>
        <w:tab w:val="right" w:pos="13467"/>
        <w:tab w:val="right" w:pos="14004"/>
      </w:tabs>
      <w:ind w:left="5955"/>
    </w:pPr>
    <w:r>
      <w:tab/>
    </w:r>
    <w:r w:rsidRPr="00C83F5B">
      <w:t>Action for healthy waterways</w:t>
    </w:r>
    <w:r>
      <w:tab/>
    </w:r>
    <w:r>
      <w:fldChar w:fldCharType="begin"/>
    </w:r>
    <w:r>
      <w:instrText xml:space="preserve"> PAGE   \* MERGEFORMAT </w:instrText>
    </w:r>
    <w:r>
      <w:fldChar w:fldCharType="separate"/>
    </w:r>
    <w:r w:rsidR="00925E93">
      <w:rPr>
        <w:noProof/>
      </w:rPr>
      <w:t>19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A42C" w14:textId="40A738B0" w:rsidR="003B1F5C" w:rsidRDefault="003B1F5C" w:rsidP="006D73D5">
    <w:pPr>
      <w:pStyle w:val="Footereven"/>
    </w:pPr>
    <w:r w:rsidRPr="004F458A">
      <w:rPr>
        <w:b/>
      </w:rPr>
      <w:fldChar w:fldCharType="begin"/>
    </w:r>
    <w:r w:rsidRPr="004F458A">
      <w:instrText xml:space="preserve"> PAGE </w:instrText>
    </w:r>
    <w:r w:rsidRPr="004F458A">
      <w:rPr>
        <w:b/>
      </w:rPr>
      <w:fldChar w:fldCharType="separate"/>
    </w:r>
    <w:r w:rsidR="00925E93">
      <w:rPr>
        <w:noProof/>
      </w:rPr>
      <w:t>42</w:t>
    </w:r>
    <w:r w:rsidRPr="004F458A">
      <w:rPr>
        <w:b/>
      </w:rPr>
      <w:fldChar w:fldCharType="end"/>
    </w:r>
    <w:r>
      <w:tab/>
    </w:r>
    <w:r w:rsidRPr="00C83F5B">
      <w:t>Action for healthy waterways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5E4B" w14:textId="7BAE3651" w:rsidR="003B1F5C" w:rsidRDefault="003B1F5C" w:rsidP="006D73D5">
    <w:pPr>
      <w:pStyle w:val="Footerodd"/>
    </w:pPr>
    <w:r>
      <w:tab/>
    </w:r>
    <w:r w:rsidRPr="00C83F5B">
      <w:t>Action for healthy waterways</w:t>
    </w:r>
    <w:r>
      <w:tab/>
    </w:r>
    <w:r>
      <w:fldChar w:fldCharType="begin"/>
    </w:r>
    <w:r>
      <w:instrText xml:space="preserve"> PAGE   \* MERGEFORMAT </w:instrText>
    </w:r>
    <w:r>
      <w:fldChar w:fldCharType="separate"/>
    </w:r>
    <w:r w:rsidR="00925E93">
      <w:rPr>
        <w:noProof/>
      </w:rPr>
      <w:t>39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40FB8" w14:textId="77777777" w:rsidR="003B1F5C" w:rsidRDefault="003B1F5C" w:rsidP="00CB5C5F">
      <w:pPr>
        <w:spacing w:before="0" w:after="80" w:line="240" w:lineRule="auto"/>
      </w:pPr>
      <w:r>
        <w:separator/>
      </w:r>
    </w:p>
  </w:footnote>
  <w:footnote w:type="continuationSeparator" w:id="0">
    <w:p w14:paraId="73839D3F" w14:textId="77777777" w:rsidR="003B1F5C" w:rsidRDefault="003B1F5C" w:rsidP="0080531E">
      <w:pPr>
        <w:spacing w:before="0" w:after="0" w:line="240" w:lineRule="auto"/>
      </w:pPr>
      <w:r>
        <w:continuationSeparator/>
      </w:r>
    </w:p>
    <w:p w14:paraId="1B3464F6" w14:textId="77777777" w:rsidR="003B1F5C" w:rsidRDefault="003B1F5C"/>
  </w:footnote>
  <w:footnote w:type="continuationNotice" w:id="1">
    <w:p w14:paraId="00C69EA4" w14:textId="77777777" w:rsidR="003B1F5C" w:rsidRDefault="003B1F5C">
      <w:pPr>
        <w:spacing w:before="0" w:after="0" w:line="240" w:lineRule="auto"/>
      </w:pPr>
    </w:p>
  </w:footnote>
  <w:footnote w:id="2">
    <w:p w14:paraId="62D89885" w14:textId="5989142D" w:rsidR="003B1F5C" w:rsidRDefault="003B1F5C" w:rsidP="00D7297D">
      <w:pPr>
        <w:pStyle w:val="FootnoteText"/>
      </w:pPr>
      <w:r>
        <w:rPr>
          <w:rStyle w:val="FootnoteReference"/>
        </w:rPr>
        <w:footnoteRef/>
      </w:r>
      <w:r>
        <w:t xml:space="preserve"> </w:t>
      </w:r>
      <w:r>
        <w:tab/>
        <w:t>For example, a 10</w:t>
      </w:r>
      <w:r w:rsidR="008E40DC">
        <w:t xml:space="preserve"> per cent</w:t>
      </w:r>
      <w:r>
        <w:t xml:space="preserve"> spatial exceedance means there is a 10</w:t>
      </w:r>
      <w:r w:rsidR="008E40DC">
        <w:t xml:space="preserve"> per cent</w:t>
      </w:r>
      <w:r>
        <w:t xml:space="preserve"> chance that, at a given site and at the target nutrient concentration, the periphyton bottom-line will not be met. A risk-based approach is necessary</w:t>
      </w:r>
      <w:r w:rsidRPr="00F120A9">
        <w:t xml:space="preserve"> due</w:t>
      </w:r>
      <w:r>
        <w:t> </w:t>
      </w:r>
      <w:r w:rsidRPr="00F120A9">
        <w:t xml:space="preserve">to variation between locations in </w:t>
      </w:r>
      <w:r w:rsidRPr="00D7297D">
        <w:t>flow</w:t>
      </w:r>
      <w:r w:rsidRPr="00F120A9">
        <w:t xml:space="preserve"> regimes, temperature and stream shading (amongst other factors). Periphyton is more likely to grow in stony or gravelly rivers and is less likely to grow in muddy or</w:t>
      </w:r>
      <w:r>
        <w:t> </w:t>
      </w:r>
      <w:r w:rsidRPr="00F120A9">
        <w:t>sandy rivers.</w:t>
      </w:r>
      <w:r w:rsidR="008E40DC">
        <w:t xml:space="preserve">  </w:t>
      </w:r>
    </w:p>
  </w:footnote>
  <w:footnote w:id="3">
    <w:p w14:paraId="2A602313" w14:textId="77777777" w:rsidR="003B1F5C" w:rsidRDefault="003B1F5C">
      <w:pPr>
        <w:pStyle w:val="FootnoteText"/>
      </w:pPr>
      <w:r>
        <w:rPr>
          <w:rStyle w:val="FootnoteReference"/>
        </w:rPr>
        <w:footnoteRef/>
      </w:r>
      <w:r>
        <w:t xml:space="preserve"> </w:t>
      </w:r>
      <w:r>
        <w:tab/>
        <w:t xml:space="preserve">Human health effects from nitrates in drinking water are addressed in the </w:t>
      </w:r>
      <w:r w:rsidRPr="009670C6">
        <w:t>Guidelines for Drinking-water Quality Management for New Zealand</w:t>
      </w:r>
      <w:r>
        <w:t xml:space="preserve">: </w:t>
      </w:r>
      <w:hyperlink r:id="rId1" w:history="1">
        <w:r w:rsidRPr="00102E44">
          <w:rPr>
            <w:rStyle w:val="Hyperlink"/>
          </w:rPr>
          <w:t>www.health.govt.nz/publication/guidelines-drinking-water-quality-management-new-zealand</w:t>
        </w:r>
      </w:hyperlink>
      <w:r>
        <w:t xml:space="preserve"> </w:t>
      </w:r>
    </w:p>
  </w:footnote>
  <w:footnote w:id="4">
    <w:p w14:paraId="452E53F0" w14:textId="433C172E" w:rsidR="003B1F5C" w:rsidRDefault="003B1F5C" w:rsidP="00966C10">
      <w:pPr>
        <w:pStyle w:val="FootnoteText"/>
      </w:pPr>
      <w:r>
        <w:rPr>
          <w:rStyle w:val="FootnoteReference"/>
        </w:rPr>
        <w:footnoteRef/>
      </w:r>
      <w:r>
        <w:t xml:space="preserve"> </w:t>
      </w:r>
      <w:r>
        <w:tab/>
        <w:t xml:space="preserve">Previous studies </w:t>
      </w:r>
      <w:r w:rsidRPr="00CA3A65">
        <w:t xml:space="preserve">considered the idea that in locations where current loads were less than the proposed threshold, there was potential to </w:t>
      </w:r>
      <w:r w:rsidRPr="00966C10">
        <w:t>increase</w:t>
      </w:r>
      <w:r w:rsidRPr="00CA3A65">
        <w:t xml:space="preserve"> loads up to the threshold (headroom). </w:t>
      </w:r>
      <w:r>
        <w:t>T</w:t>
      </w:r>
      <w:r w:rsidRPr="00CA3A65">
        <w:t xml:space="preserve">his would not be consistent with the maintain provision </w:t>
      </w:r>
      <w:r>
        <w:t xml:space="preserve">in the </w:t>
      </w:r>
      <w:r w:rsidRPr="0059238F">
        <w:rPr>
          <w:i/>
        </w:rPr>
        <w:t>Action for healthy waterways</w:t>
      </w:r>
      <w:r>
        <w:t xml:space="preserve"> proposals</w:t>
      </w:r>
      <w:r w:rsidRPr="00CA3A65">
        <w:t>.</w:t>
      </w:r>
    </w:p>
  </w:footnote>
  <w:footnote w:id="5">
    <w:p w14:paraId="1D56F555" w14:textId="023852ED" w:rsidR="003B1F5C" w:rsidRDefault="003B1F5C" w:rsidP="00966C10">
      <w:pPr>
        <w:pStyle w:val="FootnoteText"/>
      </w:pPr>
      <w:r>
        <w:rPr>
          <w:rStyle w:val="FootnoteReference"/>
        </w:rPr>
        <w:footnoteRef/>
      </w:r>
      <w:r>
        <w:t xml:space="preserve"> </w:t>
      </w:r>
      <w:r>
        <w:tab/>
      </w:r>
      <w:r w:rsidRPr="00875AFA">
        <w:t xml:space="preserve">For </w:t>
      </w:r>
      <w:r>
        <w:t>nitrogen (</w:t>
      </w:r>
      <w:r w:rsidRPr="00875AFA">
        <w:t>N</w:t>
      </w:r>
      <w:r>
        <w:t>)</w:t>
      </w:r>
      <w:r w:rsidRPr="00875AFA">
        <w:t xml:space="preserve">, this is relevant to all </w:t>
      </w:r>
      <w:r w:rsidRPr="00966C10">
        <w:t>segments</w:t>
      </w:r>
      <w:r w:rsidRPr="00875AFA">
        <w:t xml:space="preserve"> even under the existing NPS-FM, because nitrate toxicity requirements apply to all segments. For </w:t>
      </w:r>
      <w:r>
        <w:t>phosphorus</w:t>
      </w:r>
      <w:r w:rsidRPr="00875AFA">
        <w:t xml:space="preserve"> </w:t>
      </w:r>
      <w:r>
        <w:t>(</w:t>
      </w:r>
      <w:r w:rsidRPr="00875AFA">
        <w:t>P</w:t>
      </w:r>
      <w:r>
        <w:t>)</w:t>
      </w:r>
      <w:r w:rsidRPr="00875AFA">
        <w:t>, we assumed that no increases were permitted for all segments, even if they do not support periphyton, because P generally varies with N</w:t>
      </w:r>
      <w:r>
        <w:t>. T</w:t>
      </w:r>
      <w:r w:rsidRPr="00875AFA">
        <w:t xml:space="preserve">his provides a conservative (larger) estimate of the required reductions. Also, we required strict maintenance of concentration values, rather than maintaining concentrations in a band, based on </w:t>
      </w:r>
      <w:r>
        <w:t>proposed updates to the NPS-FM</w:t>
      </w:r>
      <w:r w:rsidRPr="00875AF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D141" w14:textId="77777777" w:rsidR="008B0107" w:rsidRDefault="008B0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CD9A7" w14:textId="423231C1" w:rsidR="003B1F5C" w:rsidRPr="00DE7BF8" w:rsidRDefault="003B1F5C"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6D68" w14:textId="77777777" w:rsidR="008B0107" w:rsidRDefault="008B01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54494" w14:textId="77777777" w:rsidR="003B1F5C" w:rsidRDefault="003B1F5C" w:rsidP="0036151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A702" w14:textId="77777777" w:rsidR="003B1F5C" w:rsidRDefault="003B1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C054EF5"/>
    <w:multiLevelType w:val="hybridMultilevel"/>
    <w:tmpl w:val="BEE87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E10843"/>
    <w:multiLevelType w:val="multilevel"/>
    <w:tmpl w:val="212AA4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9626F03"/>
    <w:multiLevelType w:val="hybridMultilevel"/>
    <w:tmpl w:val="492EB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57E0B55"/>
    <w:multiLevelType w:val="hybridMultilevel"/>
    <w:tmpl w:val="72FC905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B0C781C"/>
    <w:multiLevelType w:val="hybridMultilevel"/>
    <w:tmpl w:val="8E12C9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D465A16"/>
    <w:multiLevelType w:val="multilevel"/>
    <w:tmpl w:val="C3261C56"/>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D148D"/>
    <w:multiLevelType w:val="hybridMultilevel"/>
    <w:tmpl w:val="B6B27E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80823"/>
    <w:multiLevelType w:val="hybridMultilevel"/>
    <w:tmpl w:val="D48CB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5FE719A"/>
    <w:multiLevelType w:val="hybridMultilevel"/>
    <w:tmpl w:val="CE52A8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0" w15:restartNumberingAfterBreak="0">
    <w:nsid w:val="46A3157F"/>
    <w:multiLevelType w:val="hybridMultilevel"/>
    <w:tmpl w:val="C8AC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2" w15:restartNumberingAfterBreak="0">
    <w:nsid w:val="5EC2010A"/>
    <w:multiLevelType w:val="hybridMultilevel"/>
    <w:tmpl w:val="FD8C9E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F8C49CF"/>
    <w:multiLevelType w:val="hybridMultilevel"/>
    <w:tmpl w:val="92126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A609AB"/>
    <w:multiLevelType w:val="hybridMultilevel"/>
    <w:tmpl w:val="51BE5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14"/>
  </w:num>
  <w:num w:numId="4">
    <w:abstractNumId w:val="10"/>
  </w:num>
  <w:num w:numId="5">
    <w:abstractNumId w:val="6"/>
  </w:num>
  <w:num w:numId="6">
    <w:abstractNumId w:val="19"/>
  </w:num>
  <w:num w:numId="7">
    <w:abstractNumId w:val="16"/>
  </w:num>
  <w:num w:numId="8">
    <w:abstractNumId w:val="2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5"/>
  </w:num>
  <w:num w:numId="12">
    <w:abstractNumId w:val="1"/>
  </w:num>
  <w:num w:numId="13">
    <w:abstractNumId w:val="8"/>
  </w:num>
  <w:num w:numId="14">
    <w:abstractNumId w:val="13"/>
  </w:num>
  <w:num w:numId="15">
    <w:abstractNumId w:val="5"/>
  </w:num>
  <w:num w:numId="16">
    <w:abstractNumId w:val="26"/>
  </w:num>
  <w:num w:numId="17">
    <w:abstractNumId w:val="15"/>
  </w:num>
  <w:num w:numId="18">
    <w:abstractNumId w:val="20"/>
  </w:num>
  <w:num w:numId="19">
    <w:abstractNumId w:val="24"/>
  </w:num>
  <w:num w:numId="20">
    <w:abstractNumId w:val="12"/>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8"/>
  </w:num>
  <w:num w:numId="27">
    <w:abstractNumId w:val="4"/>
  </w:num>
  <w:num w:numId="28">
    <w:abstractNumId w:val="22"/>
  </w:num>
  <w:num w:numId="29">
    <w:abstractNumId w:val="2"/>
  </w:num>
  <w:num w:numId="30">
    <w:abstractNumId w:val="7"/>
  </w:num>
  <w:num w:numId="31">
    <w:abstractNumId w:val="23"/>
  </w:num>
  <w:num w:numId="32">
    <w:abstractNumId w:val="17"/>
  </w:num>
  <w:num w:numId="33">
    <w:abstractNumId w:val="13"/>
  </w:num>
  <w:num w:numId="3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C85"/>
    <w:rsid w:val="00010E15"/>
    <w:rsid w:val="00010F57"/>
    <w:rsid w:val="0001100C"/>
    <w:rsid w:val="00011188"/>
    <w:rsid w:val="00012555"/>
    <w:rsid w:val="00014236"/>
    <w:rsid w:val="0001475E"/>
    <w:rsid w:val="000148F6"/>
    <w:rsid w:val="00015217"/>
    <w:rsid w:val="000159D2"/>
    <w:rsid w:val="00016264"/>
    <w:rsid w:val="00016993"/>
    <w:rsid w:val="00016CAB"/>
    <w:rsid w:val="00016E5B"/>
    <w:rsid w:val="0001749B"/>
    <w:rsid w:val="00017D75"/>
    <w:rsid w:val="00017FE5"/>
    <w:rsid w:val="0002076E"/>
    <w:rsid w:val="00021910"/>
    <w:rsid w:val="000220D1"/>
    <w:rsid w:val="00022E8D"/>
    <w:rsid w:val="00023287"/>
    <w:rsid w:val="0002348A"/>
    <w:rsid w:val="00024708"/>
    <w:rsid w:val="00024EE7"/>
    <w:rsid w:val="00025D06"/>
    <w:rsid w:val="00025F96"/>
    <w:rsid w:val="00025FAB"/>
    <w:rsid w:val="00026E89"/>
    <w:rsid w:val="0002737A"/>
    <w:rsid w:val="000275A3"/>
    <w:rsid w:val="000278BC"/>
    <w:rsid w:val="00030558"/>
    <w:rsid w:val="00030699"/>
    <w:rsid w:val="00030725"/>
    <w:rsid w:val="00030DB8"/>
    <w:rsid w:val="00031A83"/>
    <w:rsid w:val="0003213A"/>
    <w:rsid w:val="00032A81"/>
    <w:rsid w:val="000340D8"/>
    <w:rsid w:val="0003427D"/>
    <w:rsid w:val="00034A16"/>
    <w:rsid w:val="00034DFA"/>
    <w:rsid w:val="000357ED"/>
    <w:rsid w:val="00035E15"/>
    <w:rsid w:val="0003640E"/>
    <w:rsid w:val="0003688A"/>
    <w:rsid w:val="000368FC"/>
    <w:rsid w:val="00036DA3"/>
    <w:rsid w:val="000379BF"/>
    <w:rsid w:val="00037BEC"/>
    <w:rsid w:val="000400D9"/>
    <w:rsid w:val="0004035C"/>
    <w:rsid w:val="00040860"/>
    <w:rsid w:val="00040BB4"/>
    <w:rsid w:val="00040CED"/>
    <w:rsid w:val="00040EA1"/>
    <w:rsid w:val="00041B51"/>
    <w:rsid w:val="0004205F"/>
    <w:rsid w:val="000423C6"/>
    <w:rsid w:val="00042EDB"/>
    <w:rsid w:val="00044A50"/>
    <w:rsid w:val="00044C65"/>
    <w:rsid w:val="000458C7"/>
    <w:rsid w:val="00045991"/>
    <w:rsid w:val="00045E5C"/>
    <w:rsid w:val="00046288"/>
    <w:rsid w:val="000468E7"/>
    <w:rsid w:val="00047941"/>
    <w:rsid w:val="000506D9"/>
    <w:rsid w:val="00050A22"/>
    <w:rsid w:val="00050E27"/>
    <w:rsid w:val="0005144F"/>
    <w:rsid w:val="00051AF1"/>
    <w:rsid w:val="00051D42"/>
    <w:rsid w:val="000538A1"/>
    <w:rsid w:val="00055375"/>
    <w:rsid w:val="00056319"/>
    <w:rsid w:val="000564E7"/>
    <w:rsid w:val="00056770"/>
    <w:rsid w:val="00057386"/>
    <w:rsid w:val="00057EEF"/>
    <w:rsid w:val="000619CB"/>
    <w:rsid w:val="00061E4B"/>
    <w:rsid w:val="00062387"/>
    <w:rsid w:val="000640F0"/>
    <w:rsid w:val="0006434D"/>
    <w:rsid w:val="000643A1"/>
    <w:rsid w:val="00064679"/>
    <w:rsid w:val="0006486A"/>
    <w:rsid w:val="00064A13"/>
    <w:rsid w:val="00064AF4"/>
    <w:rsid w:val="00064BC5"/>
    <w:rsid w:val="00064DB1"/>
    <w:rsid w:val="00065BA3"/>
    <w:rsid w:val="00065D3B"/>
    <w:rsid w:val="000667E9"/>
    <w:rsid w:val="00067128"/>
    <w:rsid w:val="000675CD"/>
    <w:rsid w:val="00067872"/>
    <w:rsid w:val="000678AC"/>
    <w:rsid w:val="00067CE8"/>
    <w:rsid w:val="000703B2"/>
    <w:rsid w:val="00070FBF"/>
    <w:rsid w:val="000711EE"/>
    <w:rsid w:val="0007180E"/>
    <w:rsid w:val="00071AE4"/>
    <w:rsid w:val="00071CB5"/>
    <w:rsid w:val="00071CCB"/>
    <w:rsid w:val="00071D03"/>
    <w:rsid w:val="0007232B"/>
    <w:rsid w:val="000735A2"/>
    <w:rsid w:val="00074765"/>
    <w:rsid w:val="0007517E"/>
    <w:rsid w:val="000756D3"/>
    <w:rsid w:val="000758D8"/>
    <w:rsid w:val="00075D29"/>
    <w:rsid w:val="00075FE1"/>
    <w:rsid w:val="00076667"/>
    <w:rsid w:val="00077473"/>
    <w:rsid w:val="00077481"/>
    <w:rsid w:val="000776F9"/>
    <w:rsid w:val="00077EE0"/>
    <w:rsid w:val="000802F9"/>
    <w:rsid w:val="000809E8"/>
    <w:rsid w:val="0008145A"/>
    <w:rsid w:val="0008162D"/>
    <w:rsid w:val="000831C8"/>
    <w:rsid w:val="00083F5E"/>
    <w:rsid w:val="00084FDB"/>
    <w:rsid w:val="0008505C"/>
    <w:rsid w:val="00085C46"/>
    <w:rsid w:val="0008686A"/>
    <w:rsid w:val="00087175"/>
    <w:rsid w:val="00087D35"/>
    <w:rsid w:val="00091796"/>
    <w:rsid w:val="00091BA2"/>
    <w:rsid w:val="00091CB0"/>
    <w:rsid w:val="00092DFD"/>
    <w:rsid w:val="00093CD6"/>
    <w:rsid w:val="00094018"/>
    <w:rsid w:val="00094344"/>
    <w:rsid w:val="0009539C"/>
    <w:rsid w:val="000953C6"/>
    <w:rsid w:val="000953F4"/>
    <w:rsid w:val="0009590C"/>
    <w:rsid w:val="000959E7"/>
    <w:rsid w:val="00095E7D"/>
    <w:rsid w:val="000964DE"/>
    <w:rsid w:val="000972AB"/>
    <w:rsid w:val="00097AE0"/>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AB"/>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54A"/>
    <w:rsid w:val="000C17E7"/>
    <w:rsid w:val="000C3270"/>
    <w:rsid w:val="000C46AB"/>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4C98"/>
    <w:rsid w:val="000E58C5"/>
    <w:rsid w:val="000E6203"/>
    <w:rsid w:val="000E64CB"/>
    <w:rsid w:val="000E6BC4"/>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6CE"/>
    <w:rsid w:val="000F348D"/>
    <w:rsid w:val="000F369A"/>
    <w:rsid w:val="000F4463"/>
    <w:rsid w:val="000F5285"/>
    <w:rsid w:val="000F52E0"/>
    <w:rsid w:val="000F53A9"/>
    <w:rsid w:val="000F5717"/>
    <w:rsid w:val="000F629F"/>
    <w:rsid w:val="000F6464"/>
    <w:rsid w:val="000F6628"/>
    <w:rsid w:val="000F6C1A"/>
    <w:rsid w:val="000F6C25"/>
    <w:rsid w:val="000F76EB"/>
    <w:rsid w:val="000F78AE"/>
    <w:rsid w:val="000F7E25"/>
    <w:rsid w:val="001007E2"/>
    <w:rsid w:val="001007EE"/>
    <w:rsid w:val="00100B6B"/>
    <w:rsid w:val="00100F76"/>
    <w:rsid w:val="0010148E"/>
    <w:rsid w:val="0010253C"/>
    <w:rsid w:val="00102696"/>
    <w:rsid w:val="00102B7F"/>
    <w:rsid w:val="00102BD1"/>
    <w:rsid w:val="0010486A"/>
    <w:rsid w:val="0010561C"/>
    <w:rsid w:val="00105C0F"/>
    <w:rsid w:val="00105E39"/>
    <w:rsid w:val="00106561"/>
    <w:rsid w:val="00106D63"/>
    <w:rsid w:val="001075F3"/>
    <w:rsid w:val="00107A01"/>
    <w:rsid w:val="00107C23"/>
    <w:rsid w:val="00107C57"/>
    <w:rsid w:val="00110307"/>
    <w:rsid w:val="00110C7F"/>
    <w:rsid w:val="00110EE2"/>
    <w:rsid w:val="00111A88"/>
    <w:rsid w:val="0011221A"/>
    <w:rsid w:val="00112C3B"/>
    <w:rsid w:val="00112F88"/>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5B7"/>
    <w:rsid w:val="00123C46"/>
    <w:rsid w:val="0012470B"/>
    <w:rsid w:val="00125C75"/>
    <w:rsid w:val="00125C7E"/>
    <w:rsid w:val="00127945"/>
    <w:rsid w:val="00127D94"/>
    <w:rsid w:val="00127E90"/>
    <w:rsid w:val="001302C1"/>
    <w:rsid w:val="001306D3"/>
    <w:rsid w:val="001310BF"/>
    <w:rsid w:val="001327D4"/>
    <w:rsid w:val="00133E73"/>
    <w:rsid w:val="00133FDB"/>
    <w:rsid w:val="00134F4A"/>
    <w:rsid w:val="00135E4E"/>
    <w:rsid w:val="00136235"/>
    <w:rsid w:val="00136246"/>
    <w:rsid w:val="001364D4"/>
    <w:rsid w:val="001371C8"/>
    <w:rsid w:val="001372ED"/>
    <w:rsid w:val="001374C4"/>
    <w:rsid w:val="00140722"/>
    <w:rsid w:val="001412A4"/>
    <w:rsid w:val="001423D3"/>
    <w:rsid w:val="00142B50"/>
    <w:rsid w:val="00143873"/>
    <w:rsid w:val="001439E9"/>
    <w:rsid w:val="00143BF5"/>
    <w:rsid w:val="00143C55"/>
    <w:rsid w:val="00144C6F"/>
    <w:rsid w:val="00145089"/>
    <w:rsid w:val="001451E7"/>
    <w:rsid w:val="00145C8E"/>
    <w:rsid w:val="001462E3"/>
    <w:rsid w:val="0014720C"/>
    <w:rsid w:val="001472C2"/>
    <w:rsid w:val="00147300"/>
    <w:rsid w:val="00147458"/>
    <w:rsid w:val="00147E21"/>
    <w:rsid w:val="00150BA8"/>
    <w:rsid w:val="00150D19"/>
    <w:rsid w:val="0015160D"/>
    <w:rsid w:val="0015181B"/>
    <w:rsid w:val="001518BA"/>
    <w:rsid w:val="00151A9F"/>
    <w:rsid w:val="00152B87"/>
    <w:rsid w:val="00153A96"/>
    <w:rsid w:val="00153D1C"/>
    <w:rsid w:val="001543E2"/>
    <w:rsid w:val="00155B43"/>
    <w:rsid w:val="001565A2"/>
    <w:rsid w:val="001567C3"/>
    <w:rsid w:val="00156A12"/>
    <w:rsid w:val="00157B3F"/>
    <w:rsid w:val="00157F8A"/>
    <w:rsid w:val="0016081F"/>
    <w:rsid w:val="00160C3D"/>
    <w:rsid w:val="00161B24"/>
    <w:rsid w:val="00161C41"/>
    <w:rsid w:val="00161DD5"/>
    <w:rsid w:val="001633A4"/>
    <w:rsid w:val="001633B1"/>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3C55"/>
    <w:rsid w:val="00174128"/>
    <w:rsid w:val="00175C34"/>
    <w:rsid w:val="00175F9A"/>
    <w:rsid w:val="00176E98"/>
    <w:rsid w:val="00177996"/>
    <w:rsid w:val="00180B3F"/>
    <w:rsid w:val="00180C83"/>
    <w:rsid w:val="00180CE5"/>
    <w:rsid w:val="0018175B"/>
    <w:rsid w:val="001820A3"/>
    <w:rsid w:val="0018213E"/>
    <w:rsid w:val="0018332A"/>
    <w:rsid w:val="00183D80"/>
    <w:rsid w:val="001842C8"/>
    <w:rsid w:val="00185044"/>
    <w:rsid w:val="001850DB"/>
    <w:rsid w:val="0018599C"/>
    <w:rsid w:val="00185AD3"/>
    <w:rsid w:val="001869EE"/>
    <w:rsid w:val="00186D00"/>
    <w:rsid w:val="0018743A"/>
    <w:rsid w:val="00190A57"/>
    <w:rsid w:val="00190AD6"/>
    <w:rsid w:val="00190B3F"/>
    <w:rsid w:val="0019122C"/>
    <w:rsid w:val="00191908"/>
    <w:rsid w:val="001920A4"/>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44ED"/>
    <w:rsid w:val="001B5AF9"/>
    <w:rsid w:val="001B6600"/>
    <w:rsid w:val="001B6B9B"/>
    <w:rsid w:val="001B6C27"/>
    <w:rsid w:val="001B7144"/>
    <w:rsid w:val="001B7B6C"/>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52"/>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2BD"/>
    <w:rsid w:val="001F139F"/>
    <w:rsid w:val="001F2805"/>
    <w:rsid w:val="001F2E79"/>
    <w:rsid w:val="001F2F07"/>
    <w:rsid w:val="001F3123"/>
    <w:rsid w:val="001F376D"/>
    <w:rsid w:val="001F418C"/>
    <w:rsid w:val="001F4B2D"/>
    <w:rsid w:val="001F4D98"/>
    <w:rsid w:val="001F4F40"/>
    <w:rsid w:val="001F50E0"/>
    <w:rsid w:val="001F594C"/>
    <w:rsid w:val="001F69FC"/>
    <w:rsid w:val="001F6D62"/>
    <w:rsid w:val="001F7675"/>
    <w:rsid w:val="00200FAE"/>
    <w:rsid w:val="0020102D"/>
    <w:rsid w:val="002010E2"/>
    <w:rsid w:val="00201B73"/>
    <w:rsid w:val="00201C38"/>
    <w:rsid w:val="00202517"/>
    <w:rsid w:val="00202ADB"/>
    <w:rsid w:val="00202BB7"/>
    <w:rsid w:val="002032AA"/>
    <w:rsid w:val="0020422A"/>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AA1"/>
    <w:rsid w:val="00214EA2"/>
    <w:rsid w:val="002160FA"/>
    <w:rsid w:val="002166DD"/>
    <w:rsid w:val="002168A2"/>
    <w:rsid w:val="00217867"/>
    <w:rsid w:val="002205E4"/>
    <w:rsid w:val="00220945"/>
    <w:rsid w:val="00220D67"/>
    <w:rsid w:val="002215F8"/>
    <w:rsid w:val="00221F80"/>
    <w:rsid w:val="0022273A"/>
    <w:rsid w:val="00222D28"/>
    <w:rsid w:val="00223CF4"/>
    <w:rsid w:val="00224220"/>
    <w:rsid w:val="00224398"/>
    <w:rsid w:val="00224590"/>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D8E"/>
    <w:rsid w:val="00237FE4"/>
    <w:rsid w:val="00240656"/>
    <w:rsid w:val="00241610"/>
    <w:rsid w:val="00241AED"/>
    <w:rsid w:val="00243115"/>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1CF5"/>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3B7"/>
    <w:rsid w:val="00272174"/>
    <w:rsid w:val="002721A6"/>
    <w:rsid w:val="002722E0"/>
    <w:rsid w:val="002730EC"/>
    <w:rsid w:val="00273100"/>
    <w:rsid w:val="00273324"/>
    <w:rsid w:val="002735CC"/>
    <w:rsid w:val="00274588"/>
    <w:rsid w:val="00274A67"/>
    <w:rsid w:val="00274AA2"/>
    <w:rsid w:val="002756EF"/>
    <w:rsid w:val="00275708"/>
    <w:rsid w:val="002768CF"/>
    <w:rsid w:val="00276F82"/>
    <w:rsid w:val="00277CB6"/>
    <w:rsid w:val="002805DF"/>
    <w:rsid w:val="002806D7"/>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1E9E"/>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C5A"/>
    <w:rsid w:val="002B3ED7"/>
    <w:rsid w:val="002B4778"/>
    <w:rsid w:val="002B75B2"/>
    <w:rsid w:val="002B79B7"/>
    <w:rsid w:val="002C141D"/>
    <w:rsid w:val="002C19C0"/>
    <w:rsid w:val="002C211E"/>
    <w:rsid w:val="002C2485"/>
    <w:rsid w:val="002C25E0"/>
    <w:rsid w:val="002C2A2D"/>
    <w:rsid w:val="002C33E1"/>
    <w:rsid w:val="002C36C0"/>
    <w:rsid w:val="002C3928"/>
    <w:rsid w:val="002C3B33"/>
    <w:rsid w:val="002C435E"/>
    <w:rsid w:val="002C43BB"/>
    <w:rsid w:val="002C44AB"/>
    <w:rsid w:val="002C5E39"/>
    <w:rsid w:val="002C5FA2"/>
    <w:rsid w:val="002C7A02"/>
    <w:rsid w:val="002C7BD4"/>
    <w:rsid w:val="002C7CED"/>
    <w:rsid w:val="002D0107"/>
    <w:rsid w:val="002D062E"/>
    <w:rsid w:val="002D0A2A"/>
    <w:rsid w:val="002D0D43"/>
    <w:rsid w:val="002D15C2"/>
    <w:rsid w:val="002D2B10"/>
    <w:rsid w:val="002D386A"/>
    <w:rsid w:val="002D4100"/>
    <w:rsid w:val="002D477F"/>
    <w:rsid w:val="002D4F48"/>
    <w:rsid w:val="002D519B"/>
    <w:rsid w:val="002D621E"/>
    <w:rsid w:val="002D66DA"/>
    <w:rsid w:val="002D693C"/>
    <w:rsid w:val="002D6B25"/>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7B"/>
    <w:rsid w:val="002F10EC"/>
    <w:rsid w:val="002F1136"/>
    <w:rsid w:val="002F1231"/>
    <w:rsid w:val="002F1521"/>
    <w:rsid w:val="002F15EE"/>
    <w:rsid w:val="002F353E"/>
    <w:rsid w:val="002F3632"/>
    <w:rsid w:val="002F3A0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112"/>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A04"/>
    <w:rsid w:val="00310BC9"/>
    <w:rsid w:val="00311762"/>
    <w:rsid w:val="00311979"/>
    <w:rsid w:val="00311E98"/>
    <w:rsid w:val="00312215"/>
    <w:rsid w:val="0031249C"/>
    <w:rsid w:val="003125C3"/>
    <w:rsid w:val="00312896"/>
    <w:rsid w:val="00313EAC"/>
    <w:rsid w:val="003142F4"/>
    <w:rsid w:val="0031454E"/>
    <w:rsid w:val="00314FF1"/>
    <w:rsid w:val="0031611F"/>
    <w:rsid w:val="0031712F"/>
    <w:rsid w:val="00317A33"/>
    <w:rsid w:val="00320339"/>
    <w:rsid w:val="00321214"/>
    <w:rsid w:val="003213D5"/>
    <w:rsid w:val="00323737"/>
    <w:rsid w:val="00323AD6"/>
    <w:rsid w:val="00323F27"/>
    <w:rsid w:val="003242EF"/>
    <w:rsid w:val="00325339"/>
    <w:rsid w:val="003255AA"/>
    <w:rsid w:val="0033090F"/>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59C"/>
    <w:rsid w:val="00356C3D"/>
    <w:rsid w:val="00357C93"/>
    <w:rsid w:val="003604BE"/>
    <w:rsid w:val="00360B75"/>
    <w:rsid w:val="0036151C"/>
    <w:rsid w:val="003618BB"/>
    <w:rsid w:val="00361A9B"/>
    <w:rsid w:val="00362CCF"/>
    <w:rsid w:val="003631DB"/>
    <w:rsid w:val="0036438E"/>
    <w:rsid w:val="00364524"/>
    <w:rsid w:val="0036513A"/>
    <w:rsid w:val="00365237"/>
    <w:rsid w:val="0036559C"/>
    <w:rsid w:val="0036587E"/>
    <w:rsid w:val="003660CD"/>
    <w:rsid w:val="00366B08"/>
    <w:rsid w:val="00367496"/>
    <w:rsid w:val="003678BE"/>
    <w:rsid w:val="00367B46"/>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16D1"/>
    <w:rsid w:val="00382909"/>
    <w:rsid w:val="00382EE1"/>
    <w:rsid w:val="00384258"/>
    <w:rsid w:val="00385131"/>
    <w:rsid w:val="0038620B"/>
    <w:rsid w:val="00387647"/>
    <w:rsid w:val="0038791A"/>
    <w:rsid w:val="00390056"/>
    <w:rsid w:val="0039020F"/>
    <w:rsid w:val="0039055C"/>
    <w:rsid w:val="00390718"/>
    <w:rsid w:val="00390767"/>
    <w:rsid w:val="00390883"/>
    <w:rsid w:val="00391470"/>
    <w:rsid w:val="003920C4"/>
    <w:rsid w:val="00392184"/>
    <w:rsid w:val="00392652"/>
    <w:rsid w:val="00392B41"/>
    <w:rsid w:val="0039456F"/>
    <w:rsid w:val="003945C8"/>
    <w:rsid w:val="003946F7"/>
    <w:rsid w:val="0039480D"/>
    <w:rsid w:val="00395446"/>
    <w:rsid w:val="00396725"/>
    <w:rsid w:val="00396904"/>
    <w:rsid w:val="0039720D"/>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5C"/>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764"/>
    <w:rsid w:val="003C0887"/>
    <w:rsid w:val="003C08AF"/>
    <w:rsid w:val="003C170C"/>
    <w:rsid w:val="003C2EDD"/>
    <w:rsid w:val="003C3220"/>
    <w:rsid w:val="003C3A47"/>
    <w:rsid w:val="003C3A79"/>
    <w:rsid w:val="003C48F2"/>
    <w:rsid w:val="003C5177"/>
    <w:rsid w:val="003C52B0"/>
    <w:rsid w:val="003C5911"/>
    <w:rsid w:val="003C598B"/>
    <w:rsid w:val="003C5CDB"/>
    <w:rsid w:val="003C6465"/>
    <w:rsid w:val="003C65E4"/>
    <w:rsid w:val="003C7712"/>
    <w:rsid w:val="003C7862"/>
    <w:rsid w:val="003C7ECD"/>
    <w:rsid w:val="003D007D"/>
    <w:rsid w:val="003D01A1"/>
    <w:rsid w:val="003D04D6"/>
    <w:rsid w:val="003D04F6"/>
    <w:rsid w:val="003D18CC"/>
    <w:rsid w:val="003D2D41"/>
    <w:rsid w:val="003D2F10"/>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B9C"/>
    <w:rsid w:val="003F5CA4"/>
    <w:rsid w:val="003F6D50"/>
    <w:rsid w:val="003F7006"/>
    <w:rsid w:val="003F7507"/>
    <w:rsid w:val="003F7C72"/>
    <w:rsid w:val="003F7D10"/>
    <w:rsid w:val="00400422"/>
    <w:rsid w:val="004009B5"/>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496"/>
    <w:rsid w:val="0041351F"/>
    <w:rsid w:val="004137C8"/>
    <w:rsid w:val="00413BF9"/>
    <w:rsid w:val="00413C25"/>
    <w:rsid w:val="00415531"/>
    <w:rsid w:val="00416330"/>
    <w:rsid w:val="004176C7"/>
    <w:rsid w:val="00417877"/>
    <w:rsid w:val="00417D9F"/>
    <w:rsid w:val="00420229"/>
    <w:rsid w:val="00420C65"/>
    <w:rsid w:val="00420DBA"/>
    <w:rsid w:val="00421311"/>
    <w:rsid w:val="00422E13"/>
    <w:rsid w:val="0042350F"/>
    <w:rsid w:val="00423599"/>
    <w:rsid w:val="0042384C"/>
    <w:rsid w:val="00423893"/>
    <w:rsid w:val="004239A2"/>
    <w:rsid w:val="00423BC9"/>
    <w:rsid w:val="004255B4"/>
    <w:rsid w:val="004256CC"/>
    <w:rsid w:val="00425DE5"/>
    <w:rsid w:val="00426766"/>
    <w:rsid w:val="004267D0"/>
    <w:rsid w:val="004279CA"/>
    <w:rsid w:val="00427A82"/>
    <w:rsid w:val="00427D47"/>
    <w:rsid w:val="00427EA2"/>
    <w:rsid w:val="00430115"/>
    <w:rsid w:val="00430A4B"/>
    <w:rsid w:val="00431C46"/>
    <w:rsid w:val="004327E6"/>
    <w:rsid w:val="004329DC"/>
    <w:rsid w:val="00432AC6"/>
    <w:rsid w:val="00432D39"/>
    <w:rsid w:val="00434C5E"/>
    <w:rsid w:val="00435765"/>
    <w:rsid w:val="004360B6"/>
    <w:rsid w:val="004362E5"/>
    <w:rsid w:val="00436356"/>
    <w:rsid w:val="00437902"/>
    <w:rsid w:val="00440722"/>
    <w:rsid w:val="004425D9"/>
    <w:rsid w:val="00443244"/>
    <w:rsid w:val="00444AF6"/>
    <w:rsid w:val="00444EFC"/>
    <w:rsid w:val="0044519D"/>
    <w:rsid w:val="00445544"/>
    <w:rsid w:val="00445C0B"/>
    <w:rsid w:val="00446195"/>
    <w:rsid w:val="004474A6"/>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4AE1"/>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0D1"/>
    <w:rsid w:val="0047612E"/>
    <w:rsid w:val="004765F4"/>
    <w:rsid w:val="00476B4D"/>
    <w:rsid w:val="00476CBC"/>
    <w:rsid w:val="00476E6C"/>
    <w:rsid w:val="00477282"/>
    <w:rsid w:val="00477947"/>
    <w:rsid w:val="00480FA1"/>
    <w:rsid w:val="0048107C"/>
    <w:rsid w:val="00481850"/>
    <w:rsid w:val="00481FD7"/>
    <w:rsid w:val="00482DE5"/>
    <w:rsid w:val="00483079"/>
    <w:rsid w:val="00483266"/>
    <w:rsid w:val="0048352E"/>
    <w:rsid w:val="004836A9"/>
    <w:rsid w:val="00483B23"/>
    <w:rsid w:val="004840D7"/>
    <w:rsid w:val="004846F4"/>
    <w:rsid w:val="00484F7A"/>
    <w:rsid w:val="00485C26"/>
    <w:rsid w:val="00485EC0"/>
    <w:rsid w:val="00486D55"/>
    <w:rsid w:val="004875E1"/>
    <w:rsid w:val="00487B37"/>
    <w:rsid w:val="00490636"/>
    <w:rsid w:val="00490FF0"/>
    <w:rsid w:val="004910FE"/>
    <w:rsid w:val="00491198"/>
    <w:rsid w:val="004917E0"/>
    <w:rsid w:val="004919EB"/>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4F5C"/>
    <w:rsid w:val="004B00BD"/>
    <w:rsid w:val="004B1199"/>
    <w:rsid w:val="004B16C4"/>
    <w:rsid w:val="004B1867"/>
    <w:rsid w:val="004B2A64"/>
    <w:rsid w:val="004B41DA"/>
    <w:rsid w:val="004B470D"/>
    <w:rsid w:val="004B4764"/>
    <w:rsid w:val="004B4846"/>
    <w:rsid w:val="004B5394"/>
    <w:rsid w:val="004B5775"/>
    <w:rsid w:val="004B5BDD"/>
    <w:rsid w:val="004B6A33"/>
    <w:rsid w:val="004B6E9E"/>
    <w:rsid w:val="004B6F83"/>
    <w:rsid w:val="004B7540"/>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3B5"/>
    <w:rsid w:val="004C6572"/>
    <w:rsid w:val="004C6D4F"/>
    <w:rsid w:val="004C74FF"/>
    <w:rsid w:val="004C7541"/>
    <w:rsid w:val="004D1E71"/>
    <w:rsid w:val="004D2CDF"/>
    <w:rsid w:val="004D33CE"/>
    <w:rsid w:val="004D4AAE"/>
    <w:rsid w:val="004D67E9"/>
    <w:rsid w:val="004D7C86"/>
    <w:rsid w:val="004E0197"/>
    <w:rsid w:val="004E1122"/>
    <w:rsid w:val="004E1409"/>
    <w:rsid w:val="004E1A87"/>
    <w:rsid w:val="004E1B7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A2B"/>
    <w:rsid w:val="004E6FF1"/>
    <w:rsid w:val="004E76DB"/>
    <w:rsid w:val="004E7A2A"/>
    <w:rsid w:val="004F1F90"/>
    <w:rsid w:val="004F2401"/>
    <w:rsid w:val="004F2A44"/>
    <w:rsid w:val="004F2DAD"/>
    <w:rsid w:val="004F34F7"/>
    <w:rsid w:val="004F402C"/>
    <w:rsid w:val="004F474A"/>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301"/>
    <w:rsid w:val="005305FF"/>
    <w:rsid w:val="00530C34"/>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38"/>
    <w:rsid w:val="0054027D"/>
    <w:rsid w:val="0054064F"/>
    <w:rsid w:val="00540F63"/>
    <w:rsid w:val="00541222"/>
    <w:rsid w:val="00541A8D"/>
    <w:rsid w:val="00541C14"/>
    <w:rsid w:val="00544DA0"/>
    <w:rsid w:val="005454BD"/>
    <w:rsid w:val="005457E4"/>
    <w:rsid w:val="00546B62"/>
    <w:rsid w:val="00546C49"/>
    <w:rsid w:val="0055010B"/>
    <w:rsid w:val="00550D59"/>
    <w:rsid w:val="0055110D"/>
    <w:rsid w:val="00551F81"/>
    <w:rsid w:val="0055210F"/>
    <w:rsid w:val="00552CD7"/>
    <w:rsid w:val="005533BE"/>
    <w:rsid w:val="00554B30"/>
    <w:rsid w:val="00554FFB"/>
    <w:rsid w:val="00555D93"/>
    <w:rsid w:val="005567EF"/>
    <w:rsid w:val="005568DE"/>
    <w:rsid w:val="00557C50"/>
    <w:rsid w:val="005606B6"/>
    <w:rsid w:val="005608D6"/>
    <w:rsid w:val="00560F19"/>
    <w:rsid w:val="00561598"/>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77C9A"/>
    <w:rsid w:val="00580062"/>
    <w:rsid w:val="005808EB"/>
    <w:rsid w:val="00580D11"/>
    <w:rsid w:val="00580D37"/>
    <w:rsid w:val="00581FA0"/>
    <w:rsid w:val="00582B90"/>
    <w:rsid w:val="005831A7"/>
    <w:rsid w:val="00583321"/>
    <w:rsid w:val="0058341E"/>
    <w:rsid w:val="005846F5"/>
    <w:rsid w:val="00584F3A"/>
    <w:rsid w:val="005853AB"/>
    <w:rsid w:val="00585748"/>
    <w:rsid w:val="005859C5"/>
    <w:rsid w:val="00585C79"/>
    <w:rsid w:val="00585D2F"/>
    <w:rsid w:val="00585F8A"/>
    <w:rsid w:val="00586144"/>
    <w:rsid w:val="00587785"/>
    <w:rsid w:val="0058788D"/>
    <w:rsid w:val="00587E29"/>
    <w:rsid w:val="00587FE6"/>
    <w:rsid w:val="005911EC"/>
    <w:rsid w:val="00591698"/>
    <w:rsid w:val="0059238F"/>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2B2"/>
    <w:rsid w:val="005A04BD"/>
    <w:rsid w:val="005A0A3F"/>
    <w:rsid w:val="005A114F"/>
    <w:rsid w:val="005A1F49"/>
    <w:rsid w:val="005A2364"/>
    <w:rsid w:val="005A2480"/>
    <w:rsid w:val="005A2B2C"/>
    <w:rsid w:val="005A2D6B"/>
    <w:rsid w:val="005A3252"/>
    <w:rsid w:val="005A33F7"/>
    <w:rsid w:val="005A40CF"/>
    <w:rsid w:val="005A4A9C"/>
    <w:rsid w:val="005A4BAE"/>
    <w:rsid w:val="005A4BBB"/>
    <w:rsid w:val="005A4F39"/>
    <w:rsid w:val="005A574D"/>
    <w:rsid w:val="005A5B5C"/>
    <w:rsid w:val="005A6E93"/>
    <w:rsid w:val="005A707A"/>
    <w:rsid w:val="005A7340"/>
    <w:rsid w:val="005A756E"/>
    <w:rsid w:val="005A7BD8"/>
    <w:rsid w:val="005A7EB2"/>
    <w:rsid w:val="005A7F93"/>
    <w:rsid w:val="005B06F8"/>
    <w:rsid w:val="005B07EA"/>
    <w:rsid w:val="005B0B20"/>
    <w:rsid w:val="005B0BB6"/>
    <w:rsid w:val="005B0BD6"/>
    <w:rsid w:val="005B0EFB"/>
    <w:rsid w:val="005B1060"/>
    <w:rsid w:val="005B12B9"/>
    <w:rsid w:val="005B17C1"/>
    <w:rsid w:val="005B21CC"/>
    <w:rsid w:val="005B3737"/>
    <w:rsid w:val="005B3A42"/>
    <w:rsid w:val="005B5D40"/>
    <w:rsid w:val="005B5EFC"/>
    <w:rsid w:val="005B6412"/>
    <w:rsid w:val="005B6698"/>
    <w:rsid w:val="005B67C8"/>
    <w:rsid w:val="005B68A7"/>
    <w:rsid w:val="005B6AC3"/>
    <w:rsid w:val="005B7A6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102"/>
    <w:rsid w:val="005F0E5C"/>
    <w:rsid w:val="005F134E"/>
    <w:rsid w:val="005F1365"/>
    <w:rsid w:val="005F275C"/>
    <w:rsid w:val="005F2C1F"/>
    <w:rsid w:val="005F2E44"/>
    <w:rsid w:val="005F3690"/>
    <w:rsid w:val="005F3986"/>
    <w:rsid w:val="005F466B"/>
    <w:rsid w:val="005F4C57"/>
    <w:rsid w:val="005F6774"/>
    <w:rsid w:val="005F79AA"/>
    <w:rsid w:val="0060044B"/>
    <w:rsid w:val="006013D7"/>
    <w:rsid w:val="006014CA"/>
    <w:rsid w:val="006014DB"/>
    <w:rsid w:val="00601587"/>
    <w:rsid w:val="00602079"/>
    <w:rsid w:val="006022F3"/>
    <w:rsid w:val="00602579"/>
    <w:rsid w:val="006026D8"/>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3B"/>
    <w:rsid w:val="0061599E"/>
    <w:rsid w:val="00615AC7"/>
    <w:rsid w:val="00615ED7"/>
    <w:rsid w:val="006162E6"/>
    <w:rsid w:val="00616C8A"/>
    <w:rsid w:val="006171A5"/>
    <w:rsid w:val="00620309"/>
    <w:rsid w:val="0062159D"/>
    <w:rsid w:val="00621680"/>
    <w:rsid w:val="006218F6"/>
    <w:rsid w:val="00621EC5"/>
    <w:rsid w:val="006223E0"/>
    <w:rsid w:val="006224D0"/>
    <w:rsid w:val="00622BCE"/>
    <w:rsid w:val="00622E29"/>
    <w:rsid w:val="00623643"/>
    <w:rsid w:val="00624018"/>
    <w:rsid w:val="006240C4"/>
    <w:rsid w:val="0062463C"/>
    <w:rsid w:val="00625304"/>
    <w:rsid w:val="0062560D"/>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A93"/>
    <w:rsid w:val="00664BDE"/>
    <w:rsid w:val="0066565B"/>
    <w:rsid w:val="00665C44"/>
    <w:rsid w:val="00665F75"/>
    <w:rsid w:val="00666284"/>
    <w:rsid w:val="006667F3"/>
    <w:rsid w:val="00667AEA"/>
    <w:rsid w:val="006704FA"/>
    <w:rsid w:val="00670687"/>
    <w:rsid w:val="00670AC3"/>
    <w:rsid w:val="00670DC5"/>
    <w:rsid w:val="00671652"/>
    <w:rsid w:val="00671FAA"/>
    <w:rsid w:val="006727B3"/>
    <w:rsid w:val="00675DA5"/>
    <w:rsid w:val="0067679D"/>
    <w:rsid w:val="00680482"/>
    <w:rsid w:val="006808DC"/>
    <w:rsid w:val="006816B6"/>
    <w:rsid w:val="006820EB"/>
    <w:rsid w:val="00682128"/>
    <w:rsid w:val="0068220C"/>
    <w:rsid w:val="00682AB1"/>
    <w:rsid w:val="00682E9F"/>
    <w:rsid w:val="00683252"/>
    <w:rsid w:val="0068343A"/>
    <w:rsid w:val="006834D4"/>
    <w:rsid w:val="0068413D"/>
    <w:rsid w:val="006842B2"/>
    <w:rsid w:val="006844BA"/>
    <w:rsid w:val="006845A2"/>
    <w:rsid w:val="00684BF8"/>
    <w:rsid w:val="00684D9B"/>
    <w:rsid w:val="006858AA"/>
    <w:rsid w:val="00685BCF"/>
    <w:rsid w:val="0068623C"/>
    <w:rsid w:val="006871D0"/>
    <w:rsid w:val="0068751F"/>
    <w:rsid w:val="006900D1"/>
    <w:rsid w:val="00690297"/>
    <w:rsid w:val="00690C0C"/>
    <w:rsid w:val="0069115A"/>
    <w:rsid w:val="006912F1"/>
    <w:rsid w:val="00691387"/>
    <w:rsid w:val="006927F2"/>
    <w:rsid w:val="006931E1"/>
    <w:rsid w:val="00694310"/>
    <w:rsid w:val="00694700"/>
    <w:rsid w:val="00694803"/>
    <w:rsid w:val="00694CE8"/>
    <w:rsid w:val="0069569E"/>
    <w:rsid w:val="006956C6"/>
    <w:rsid w:val="00696243"/>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4D14"/>
    <w:rsid w:val="006A561D"/>
    <w:rsid w:val="006A5A0C"/>
    <w:rsid w:val="006A5BA0"/>
    <w:rsid w:val="006A5BB1"/>
    <w:rsid w:val="006A5F88"/>
    <w:rsid w:val="006A7D95"/>
    <w:rsid w:val="006B120D"/>
    <w:rsid w:val="006B13C1"/>
    <w:rsid w:val="006B2CC7"/>
    <w:rsid w:val="006B3AF9"/>
    <w:rsid w:val="006B44C5"/>
    <w:rsid w:val="006B555F"/>
    <w:rsid w:val="006B6242"/>
    <w:rsid w:val="006B6AC7"/>
    <w:rsid w:val="006B6C7C"/>
    <w:rsid w:val="006B6EA4"/>
    <w:rsid w:val="006B77BB"/>
    <w:rsid w:val="006B7F8F"/>
    <w:rsid w:val="006B7FC5"/>
    <w:rsid w:val="006C055E"/>
    <w:rsid w:val="006C0D13"/>
    <w:rsid w:val="006C17CB"/>
    <w:rsid w:val="006C187F"/>
    <w:rsid w:val="006C19BC"/>
    <w:rsid w:val="006C19D5"/>
    <w:rsid w:val="006C1B44"/>
    <w:rsid w:val="006C1F77"/>
    <w:rsid w:val="006C2211"/>
    <w:rsid w:val="006C3031"/>
    <w:rsid w:val="006C31D0"/>
    <w:rsid w:val="006C3607"/>
    <w:rsid w:val="006C3990"/>
    <w:rsid w:val="006C3ED2"/>
    <w:rsid w:val="006C4233"/>
    <w:rsid w:val="006C42E7"/>
    <w:rsid w:val="006C4301"/>
    <w:rsid w:val="006C4422"/>
    <w:rsid w:val="006C5CCA"/>
    <w:rsid w:val="006C625F"/>
    <w:rsid w:val="006C75E3"/>
    <w:rsid w:val="006C78A6"/>
    <w:rsid w:val="006C7AB4"/>
    <w:rsid w:val="006D006B"/>
    <w:rsid w:val="006D105C"/>
    <w:rsid w:val="006D30E7"/>
    <w:rsid w:val="006D48E7"/>
    <w:rsid w:val="006D4947"/>
    <w:rsid w:val="006D5F16"/>
    <w:rsid w:val="006D63AD"/>
    <w:rsid w:val="006D6764"/>
    <w:rsid w:val="006D67D9"/>
    <w:rsid w:val="006D6C93"/>
    <w:rsid w:val="006D73D5"/>
    <w:rsid w:val="006D7573"/>
    <w:rsid w:val="006E0340"/>
    <w:rsid w:val="006E06F9"/>
    <w:rsid w:val="006E07A9"/>
    <w:rsid w:val="006E08B4"/>
    <w:rsid w:val="006E0D91"/>
    <w:rsid w:val="006E1706"/>
    <w:rsid w:val="006E3CB2"/>
    <w:rsid w:val="006E3DA8"/>
    <w:rsid w:val="006E4ADA"/>
    <w:rsid w:val="006E5DAA"/>
    <w:rsid w:val="006E66A6"/>
    <w:rsid w:val="006E7006"/>
    <w:rsid w:val="006E7AE8"/>
    <w:rsid w:val="006F00E7"/>
    <w:rsid w:val="006F0EEB"/>
    <w:rsid w:val="006F0F6E"/>
    <w:rsid w:val="006F1B22"/>
    <w:rsid w:val="006F1BA4"/>
    <w:rsid w:val="006F2259"/>
    <w:rsid w:val="006F23E1"/>
    <w:rsid w:val="006F2F8F"/>
    <w:rsid w:val="006F2FDA"/>
    <w:rsid w:val="006F2FE5"/>
    <w:rsid w:val="006F3460"/>
    <w:rsid w:val="006F34FE"/>
    <w:rsid w:val="006F35BD"/>
    <w:rsid w:val="006F3615"/>
    <w:rsid w:val="006F3FA3"/>
    <w:rsid w:val="006F48BA"/>
    <w:rsid w:val="006F4AF9"/>
    <w:rsid w:val="006F4C50"/>
    <w:rsid w:val="006F54EB"/>
    <w:rsid w:val="006F5CC1"/>
    <w:rsid w:val="006F67A5"/>
    <w:rsid w:val="006F762D"/>
    <w:rsid w:val="00700492"/>
    <w:rsid w:val="0070167E"/>
    <w:rsid w:val="00701E1B"/>
    <w:rsid w:val="007028FC"/>
    <w:rsid w:val="007029FE"/>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256"/>
    <w:rsid w:val="007169AC"/>
    <w:rsid w:val="007169DD"/>
    <w:rsid w:val="007171FC"/>
    <w:rsid w:val="00717679"/>
    <w:rsid w:val="00717B67"/>
    <w:rsid w:val="007206A2"/>
    <w:rsid w:val="00720B38"/>
    <w:rsid w:val="00720CA7"/>
    <w:rsid w:val="0072147B"/>
    <w:rsid w:val="007217F5"/>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69EE"/>
    <w:rsid w:val="00737566"/>
    <w:rsid w:val="00737C7E"/>
    <w:rsid w:val="007404BF"/>
    <w:rsid w:val="00741BA2"/>
    <w:rsid w:val="00741CF4"/>
    <w:rsid w:val="00741DCC"/>
    <w:rsid w:val="00741DE2"/>
    <w:rsid w:val="007421A1"/>
    <w:rsid w:val="007427FE"/>
    <w:rsid w:val="00742C51"/>
    <w:rsid w:val="00743445"/>
    <w:rsid w:val="00744F8C"/>
    <w:rsid w:val="00745E01"/>
    <w:rsid w:val="0074666B"/>
    <w:rsid w:val="0074679E"/>
    <w:rsid w:val="007468D6"/>
    <w:rsid w:val="00746BFF"/>
    <w:rsid w:val="007473E1"/>
    <w:rsid w:val="00747897"/>
    <w:rsid w:val="00747E47"/>
    <w:rsid w:val="00750192"/>
    <w:rsid w:val="007504E1"/>
    <w:rsid w:val="00750544"/>
    <w:rsid w:val="00750804"/>
    <w:rsid w:val="007509AB"/>
    <w:rsid w:val="00751689"/>
    <w:rsid w:val="007524AA"/>
    <w:rsid w:val="00753744"/>
    <w:rsid w:val="007537F3"/>
    <w:rsid w:val="00753A93"/>
    <w:rsid w:val="00755663"/>
    <w:rsid w:val="00756386"/>
    <w:rsid w:val="00756603"/>
    <w:rsid w:val="00756E50"/>
    <w:rsid w:val="007575C0"/>
    <w:rsid w:val="00757D2F"/>
    <w:rsid w:val="0076000E"/>
    <w:rsid w:val="007604E0"/>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6FC7"/>
    <w:rsid w:val="007770F9"/>
    <w:rsid w:val="00777179"/>
    <w:rsid w:val="00777945"/>
    <w:rsid w:val="00777D40"/>
    <w:rsid w:val="00780B8D"/>
    <w:rsid w:val="00780B8E"/>
    <w:rsid w:val="00781649"/>
    <w:rsid w:val="007823D6"/>
    <w:rsid w:val="0078254E"/>
    <w:rsid w:val="00782628"/>
    <w:rsid w:val="007826AB"/>
    <w:rsid w:val="007840E2"/>
    <w:rsid w:val="0078509A"/>
    <w:rsid w:val="0078569F"/>
    <w:rsid w:val="00785803"/>
    <w:rsid w:val="00785EB4"/>
    <w:rsid w:val="0078609A"/>
    <w:rsid w:val="00786F85"/>
    <w:rsid w:val="0078731A"/>
    <w:rsid w:val="00787487"/>
    <w:rsid w:val="007879F2"/>
    <w:rsid w:val="007906F1"/>
    <w:rsid w:val="00790EDA"/>
    <w:rsid w:val="00791349"/>
    <w:rsid w:val="00791D85"/>
    <w:rsid w:val="00791DAF"/>
    <w:rsid w:val="0079220B"/>
    <w:rsid w:val="007924CA"/>
    <w:rsid w:val="00794CBF"/>
    <w:rsid w:val="00795052"/>
    <w:rsid w:val="00795365"/>
    <w:rsid w:val="0079567E"/>
    <w:rsid w:val="007961D5"/>
    <w:rsid w:val="00796A6F"/>
    <w:rsid w:val="00796C5D"/>
    <w:rsid w:val="00797B06"/>
    <w:rsid w:val="00797B9C"/>
    <w:rsid w:val="007A0483"/>
    <w:rsid w:val="007A076D"/>
    <w:rsid w:val="007A1065"/>
    <w:rsid w:val="007A185B"/>
    <w:rsid w:val="007A1D86"/>
    <w:rsid w:val="007A2A97"/>
    <w:rsid w:val="007A2CDC"/>
    <w:rsid w:val="007A371B"/>
    <w:rsid w:val="007A3832"/>
    <w:rsid w:val="007A3A0F"/>
    <w:rsid w:val="007A3E60"/>
    <w:rsid w:val="007A407D"/>
    <w:rsid w:val="007A464F"/>
    <w:rsid w:val="007A4798"/>
    <w:rsid w:val="007A50D9"/>
    <w:rsid w:val="007A6196"/>
    <w:rsid w:val="007A63D5"/>
    <w:rsid w:val="007A689A"/>
    <w:rsid w:val="007A68EA"/>
    <w:rsid w:val="007A6B7D"/>
    <w:rsid w:val="007A7629"/>
    <w:rsid w:val="007B100A"/>
    <w:rsid w:val="007B1027"/>
    <w:rsid w:val="007B1691"/>
    <w:rsid w:val="007B174F"/>
    <w:rsid w:val="007B1863"/>
    <w:rsid w:val="007B22E0"/>
    <w:rsid w:val="007B28CA"/>
    <w:rsid w:val="007B358D"/>
    <w:rsid w:val="007B5401"/>
    <w:rsid w:val="007B5FB4"/>
    <w:rsid w:val="007B6B2B"/>
    <w:rsid w:val="007B7636"/>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072"/>
    <w:rsid w:val="007E6719"/>
    <w:rsid w:val="007E68ED"/>
    <w:rsid w:val="007E69ED"/>
    <w:rsid w:val="007E7B2D"/>
    <w:rsid w:val="007F0221"/>
    <w:rsid w:val="007F034B"/>
    <w:rsid w:val="007F0557"/>
    <w:rsid w:val="007F07B9"/>
    <w:rsid w:val="007F0928"/>
    <w:rsid w:val="007F15CE"/>
    <w:rsid w:val="007F1A16"/>
    <w:rsid w:val="007F1E88"/>
    <w:rsid w:val="007F2514"/>
    <w:rsid w:val="007F2CD7"/>
    <w:rsid w:val="007F3568"/>
    <w:rsid w:val="007F3F76"/>
    <w:rsid w:val="007F422D"/>
    <w:rsid w:val="007F4DBA"/>
    <w:rsid w:val="007F519C"/>
    <w:rsid w:val="007F534D"/>
    <w:rsid w:val="007F54A2"/>
    <w:rsid w:val="007F54FE"/>
    <w:rsid w:val="007F5535"/>
    <w:rsid w:val="007F5D32"/>
    <w:rsid w:val="007F6D5C"/>
    <w:rsid w:val="007F72DC"/>
    <w:rsid w:val="007F795F"/>
    <w:rsid w:val="0080019A"/>
    <w:rsid w:val="0080069C"/>
    <w:rsid w:val="008006FD"/>
    <w:rsid w:val="0080148D"/>
    <w:rsid w:val="0080156B"/>
    <w:rsid w:val="00801A3A"/>
    <w:rsid w:val="00804114"/>
    <w:rsid w:val="008045ED"/>
    <w:rsid w:val="00804634"/>
    <w:rsid w:val="008047E8"/>
    <w:rsid w:val="0080531E"/>
    <w:rsid w:val="00805723"/>
    <w:rsid w:val="00805C3D"/>
    <w:rsid w:val="00806F1D"/>
    <w:rsid w:val="008077ED"/>
    <w:rsid w:val="00807B6F"/>
    <w:rsid w:val="00807E93"/>
    <w:rsid w:val="00810172"/>
    <w:rsid w:val="00810762"/>
    <w:rsid w:val="00810858"/>
    <w:rsid w:val="00810EFF"/>
    <w:rsid w:val="00811314"/>
    <w:rsid w:val="00811A39"/>
    <w:rsid w:val="00811AE8"/>
    <w:rsid w:val="00811FFF"/>
    <w:rsid w:val="0081291B"/>
    <w:rsid w:val="00813622"/>
    <w:rsid w:val="00813DCF"/>
    <w:rsid w:val="00813FAB"/>
    <w:rsid w:val="0081498C"/>
    <w:rsid w:val="00814AE1"/>
    <w:rsid w:val="0081597F"/>
    <w:rsid w:val="00815D31"/>
    <w:rsid w:val="0081601F"/>
    <w:rsid w:val="00816064"/>
    <w:rsid w:val="008172FB"/>
    <w:rsid w:val="008174B2"/>
    <w:rsid w:val="00817CFF"/>
    <w:rsid w:val="0082000D"/>
    <w:rsid w:val="0082037E"/>
    <w:rsid w:val="00820C9C"/>
    <w:rsid w:val="00820F55"/>
    <w:rsid w:val="00821572"/>
    <w:rsid w:val="0082219D"/>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0F5B"/>
    <w:rsid w:val="00831652"/>
    <w:rsid w:val="0083202E"/>
    <w:rsid w:val="00832965"/>
    <w:rsid w:val="0083304F"/>
    <w:rsid w:val="008334C9"/>
    <w:rsid w:val="0083398E"/>
    <w:rsid w:val="00833DAE"/>
    <w:rsid w:val="00834122"/>
    <w:rsid w:val="008352C5"/>
    <w:rsid w:val="008358A6"/>
    <w:rsid w:val="008359FB"/>
    <w:rsid w:val="00835C56"/>
    <w:rsid w:val="008360FC"/>
    <w:rsid w:val="00836B43"/>
    <w:rsid w:val="00836E81"/>
    <w:rsid w:val="008377C1"/>
    <w:rsid w:val="00837C90"/>
    <w:rsid w:val="00837EB1"/>
    <w:rsid w:val="0084042B"/>
    <w:rsid w:val="008406A6"/>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9E8"/>
    <w:rsid w:val="00846DBD"/>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737"/>
    <w:rsid w:val="0086793D"/>
    <w:rsid w:val="00867B1C"/>
    <w:rsid w:val="008713D6"/>
    <w:rsid w:val="00871643"/>
    <w:rsid w:val="0087281D"/>
    <w:rsid w:val="008732D8"/>
    <w:rsid w:val="00873377"/>
    <w:rsid w:val="00873577"/>
    <w:rsid w:val="0087409F"/>
    <w:rsid w:val="00874553"/>
    <w:rsid w:val="00874D58"/>
    <w:rsid w:val="008750D2"/>
    <w:rsid w:val="00875AB5"/>
    <w:rsid w:val="00875AFA"/>
    <w:rsid w:val="00875C91"/>
    <w:rsid w:val="00875F85"/>
    <w:rsid w:val="00876C6B"/>
    <w:rsid w:val="00876DC9"/>
    <w:rsid w:val="00877125"/>
    <w:rsid w:val="008777C2"/>
    <w:rsid w:val="008806C8"/>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CD8"/>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FBC"/>
    <w:rsid w:val="008A62DB"/>
    <w:rsid w:val="008A69C9"/>
    <w:rsid w:val="008A720F"/>
    <w:rsid w:val="008A7C72"/>
    <w:rsid w:val="008B0107"/>
    <w:rsid w:val="008B04F2"/>
    <w:rsid w:val="008B0D0E"/>
    <w:rsid w:val="008B12BB"/>
    <w:rsid w:val="008B1411"/>
    <w:rsid w:val="008B17A2"/>
    <w:rsid w:val="008B25F2"/>
    <w:rsid w:val="008B2643"/>
    <w:rsid w:val="008B2B2B"/>
    <w:rsid w:val="008B2FAE"/>
    <w:rsid w:val="008B3317"/>
    <w:rsid w:val="008B414B"/>
    <w:rsid w:val="008B45ED"/>
    <w:rsid w:val="008B4E0E"/>
    <w:rsid w:val="008B4FB9"/>
    <w:rsid w:val="008B5715"/>
    <w:rsid w:val="008B5A2D"/>
    <w:rsid w:val="008B5BC2"/>
    <w:rsid w:val="008B60BB"/>
    <w:rsid w:val="008B6732"/>
    <w:rsid w:val="008B6786"/>
    <w:rsid w:val="008B68EC"/>
    <w:rsid w:val="008B711E"/>
    <w:rsid w:val="008C042F"/>
    <w:rsid w:val="008C057B"/>
    <w:rsid w:val="008C0CAC"/>
    <w:rsid w:val="008C13B4"/>
    <w:rsid w:val="008C1557"/>
    <w:rsid w:val="008C1B8C"/>
    <w:rsid w:val="008C2306"/>
    <w:rsid w:val="008C2378"/>
    <w:rsid w:val="008C26D1"/>
    <w:rsid w:val="008C2B7F"/>
    <w:rsid w:val="008C36AC"/>
    <w:rsid w:val="008C4953"/>
    <w:rsid w:val="008C4E44"/>
    <w:rsid w:val="008C5E36"/>
    <w:rsid w:val="008C6255"/>
    <w:rsid w:val="008C684B"/>
    <w:rsid w:val="008C6ABD"/>
    <w:rsid w:val="008C6F18"/>
    <w:rsid w:val="008C7685"/>
    <w:rsid w:val="008D007A"/>
    <w:rsid w:val="008D07DE"/>
    <w:rsid w:val="008D0831"/>
    <w:rsid w:val="008D0E40"/>
    <w:rsid w:val="008D1822"/>
    <w:rsid w:val="008D1E7F"/>
    <w:rsid w:val="008D2367"/>
    <w:rsid w:val="008D427A"/>
    <w:rsid w:val="008D4DD5"/>
    <w:rsid w:val="008D513D"/>
    <w:rsid w:val="008D5657"/>
    <w:rsid w:val="008D6752"/>
    <w:rsid w:val="008D69A5"/>
    <w:rsid w:val="008D69E7"/>
    <w:rsid w:val="008D6FC1"/>
    <w:rsid w:val="008D78FF"/>
    <w:rsid w:val="008E0140"/>
    <w:rsid w:val="008E0639"/>
    <w:rsid w:val="008E0688"/>
    <w:rsid w:val="008E0BEF"/>
    <w:rsid w:val="008E228F"/>
    <w:rsid w:val="008E266D"/>
    <w:rsid w:val="008E2CE8"/>
    <w:rsid w:val="008E2D6C"/>
    <w:rsid w:val="008E2F0C"/>
    <w:rsid w:val="008E3E23"/>
    <w:rsid w:val="008E40DC"/>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5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EC0"/>
    <w:rsid w:val="00916286"/>
    <w:rsid w:val="00916595"/>
    <w:rsid w:val="00916C47"/>
    <w:rsid w:val="0091713F"/>
    <w:rsid w:val="009171AD"/>
    <w:rsid w:val="00917569"/>
    <w:rsid w:val="00920174"/>
    <w:rsid w:val="00920852"/>
    <w:rsid w:val="009219D2"/>
    <w:rsid w:val="00921A4E"/>
    <w:rsid w:val="00921E37"/>
    <w:rsid w:val="00922511"/>
    <w:rsid w:val="00922F07"/>
    <w:rsid w:val="00923463"/>
    <w:rsid w:val="009236E7"/>
    <w:rsid w:val="00925238"/>
    <w:rsid w:val="00925ACF"/>
    <w:rsid w:val="00925E93"/>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371"/>
    <w:rsid w:val="009379C4"/>
    <w:rsid w:val="0094041A"/>
    <w:rsid w:val="00940938"/>
    <w:rsid w:val="00940D32"/>
    <w:rsid w:val="0094190D"/>
    <w:rsid w:val="00942354"/>
    <w:rsid w:val="00942681"/>
    <w:rsid w:val="00943A7E"/>
    <w:rsid w:val="00943E42"/>
    <w:rsid w:val="00943E5D"/>
    <w:rsid w:val="00944728"/>
    <w:rsid w:val="009453E8"/>
    <w:rsid w:val="00945664"/>
    <w:rsid w:val="00945AD1"/>
    <w:rsid w:val="0094613D"/>
    <w:rsid w:val="00946ECB"/>
    <w:rsid w:val="00947268"/>
    <w:rsid w:val="0094750E"/>
    <w:rsid w:val="00947C94"/>
    <w:rsid w:val="0095019C"/>
    <w:rsid w:val="009507C8"/>
    <w:rsid w:val="0095115E"/>
    <w:rsid w:val="0095118A"/>
    <w:rsid w:val="00952468"/>
    <w:rsid w:val="0095463E"/>
    <w:rsid w:val="00954767"/>
    <w:rsid w:val="0095487A"/>
    <w:rsid w:val="009548FB"/>
    <w:rsid w:val="0095538B"/>
    <w:rsid w:val="00957AF7"/>
    <w:rsid w:val="009604CB"/>
    <w:rsid w:val="00960ACA"/>
    <w:rsid w:val="00960C4F"/>
    <w:rsid w:val="00960D36"/>
    <w:rsid w:val="00960E4F"/>
    <w:rsid w:val="0096217C"/>
    <w:rsid w:val="00962441"/>
    <w:rsid w:val="00963277"/>
    <w:rsid w:val="00964B53"/>
    <w:rsid w:val="00964C3F"/>
    <w:rsid w:val="00964C6C"/>
    <w:rsid w:val="00965176"/>
    <w:rsid w:val="00965240"/>
    <w:rsid w:val="00965847"/>
    <w:rsid w:val="00965A3E"/>
    <w:rsid w:val="00965C48"/>
    <w:rsid w:val="00966C10"/>
    <w:rsid w:val="00966D9D"/>
    <w:rsid w:val="00966E4A"/>
    <w:rsid w:val="00967041"/>
    <w:rsid w:val="009670C6"/>
    <w:rsid w:val="00970918"/>
    <w:rsid w:val="0097099E"/>
    <w:rsid w:val="00970D6C"/>
    <w:rsid w:val="00971761"/>
    <w:rsid w:val="0097216F"/>
    <w:rsid w:val="00972C3B"/>
    <w:rsid w:val="00973057"/>
    <w:rsid w:val="00974D50"/>
    <w:rsid w:val="009751AF"/>
    <w:rsid w:val="00975326"/>
    <w:rsid w:val="00975DEA"/>
    <w:rsid w:val="009777E2"/>
    <w:rsid w:val="00977CDF"/>
    <w:rsid w:val="0098043F"/>
    <w:rsid w:val="00980D10"/>
    <w:rsid w:val="00981038"/>
    <w:rsid w:val="0098106E"/>
    <w:rsid w:val="00981511"/>
    <w:rsid w:val="00981D1C"/>
    <w:rsid w:val="00981E1C"/>
    <w:rsid w:val="00982118"/>
    <w:rsid w:val="00982C62"/>
    <w:rsid w:val="00982C91"/>
    <w:rsid w:val="00982F76"/>
    <w:rsid w:val="00982FA3"/>
    <w:rsid w:val="009840FD"/>
    <w:rsid w:val="009842EC"/>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099"/>
    <w:rsid w:val="009A51C7"/>
    <w:rsid w:val="009A59EC"/>
    <w:rsid w:val="009A5B0D"/>
    <w:rsid w:val="009A5C56"/>
    <w:rsid w:val="009A5CA8"/>
    <w:rsid w:val="009A6AD0"/>
    <w:rsid w:val="009A6ED0"/>
    <w:rsid w:val="009A706A"/>
    <w:rsid w:val="009A71AB"/>
    <w:rsid w:val="009A7745"/>
    <w:rsid w:val="009A7C3D"/>
    <w:rsid w:val="009B00A0"/>
    <w:rsid w:val="009B0156"/>
    <w:rsid w:val="009B0295"/>
    <w:rsid w:val="009B05BA"/>
    <w:rsid w:val="009B0F83"/>
    <w:rsid w:val="009B1B0E"/>
    <w:rsid w:val="009B2596"/>
    <w:rsid w:val="009B42B6"/>
    <w:rsid w:val="009B42CC"/>
    <w:rsid w:val="009B43D6"/>
    <w:rsid w:val="009B5081"/>
    <w:rsid w:val="009B57D7"/>
    <w:rsid w:val="009B6985"/>
    <w:rsid w:val="009B69B3"/>
    <w:rsid w:val="009B7011"/>
    <w:rsid w:val="009B71E4"/>
    <w:rsid w:val="009C00F7"/>
    <w:rsid w:val="009C04EE"/>
    <w:rsid w:val="009C0CD4"/>
    <w:rsid w:val="009C15E7"/>
    <w:rsid w:val="009C17BC"/>
    <w:rsid w:val="009C17C8"/>
    <w:rsid w:val="009C385B"/>
    <w:rsid w:val="009C3E3C"/>
    <w:rsid w:val="009C416A"/>
    <w:rsid w:val="009C424E"/>
    <w:rsid w:val="009C4353"/>
    <w:rsid w:val="009C49C2"/>
    <w:rsid w:val="009C4E2D"/>
    <w:rsid w:val="009C58BE"/>
    <w:rsid w:val="009C60BB"/>
    <w:rsid w:val="009C62C0"/>
    <w:rsid w:val="009C6A88"/>
    <w:rsid w:val="009C765D"/>
    <w:rsid w:val="009C7ADA"/>
    <w:rsid w:val="009D000A"/>
    <w:rsid w:val="009D01A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50"/>
    <w:rsid w:val="009E37D3"/>
    <w:rsid w:val="009E5028"/>
    <w:rsid w:val="009E50FB"/>
    <w:rsid w:val="009E5280"/>
    <w:rsid w:val="009E5386"/>
    <w:rsid w:val="009E5DD1"/>
    <w:rsid w:val="009E60AD"/>
    <w:rsid w:val="009E60DB"/>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5194"/>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3D0"/>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C43"/>
    <w:rsid w:val="00A25D84"/>
    <w:rsid w:val="00A26029"/>
    <w:rsid w:val="00A262E4"/>
    <w:rsid w:val="00A268EA"/>
    <w:rsid w:val="00A27448"/>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08E"/>
    <w:rsid w:val="00A432D1"/>
    <w:rsid w:val="00A43716"/>
    <w:rsid w:val="00A441C4"/>
    <w:rsid w:val="00A442C5"/>
    <w:rsid w:val="00A44712"/>
    <w:rsid w:val="00A44AF5"/>
    <w:rsid w:val="00A44B8B"/>
    <w:rsid w:val="00A44F67"/>
    <w:rsid w:val="00A45EC4"/>
    <w:rsid w:val="00A46EB0"/>
    <w:rsid w:val="00A47212"/>
    <w:rsid w:val="00A474EA"/>
    <w:rsid w:val="00A475BB"/>
    <w:rsid w:val="00A501B2"/>
    <w:rsid w:val="00A5034A"/>
    <w:rsid w:val="00A50FFA"/>
    <w:rsid w:val="00A539D1"/>
    <w:rsid w:val="00A54DAE"/>
    <w:rsid w:val="00A56D3B"/>
    <w:rsid w:val="00A57450"/>
    <w:rsid w:val="00A57479"/>
    <w:rsid w:val="00A57C08"/>
    <w:rsid w:val="00A600D9"/>
    <w:rsid w:val="00A604CD"/>
    <w:rsid w:val="00A621E7"/>
    <w:rsid w:val="00A628EC"/>
    <w:rsid w:val="00A637A0"/>
    <w:rsid w:val="00A63ECD"/>
    <w:rsid w:val="00A64093"/>
    <w:rsid w:val="00A640EB"/>
    <w:rsid w:val="00A647DC"/>
    <w:rsid w:val="00A64815"/>
    <w:rsid w:val="00A65043"/>
    <w:rsid w:val="00A66DF9"/>
    <w:rsid w:val="00A704E4"/>
    <w:rsid w:val="00A7136A"/>
    <w:rsid w:val="00A71C44"/>
    <w:rsid w:val="00A72296"/>
    <w:rsid w:val="00A7388E"/>
    <w:rsid w:val="00A73C57"/>
    <w:rsid w:val="00A74544"/>
    <w:rsid w:val="00A74548"/>
    <w:rsid w:val="00A74DF2"/>
    <w:rsid w:val="00A74E4D"/>
    <w:rsid w:val="00A7510A"/>
    <w:rsid w:val="00A7592E"/>
    <w:rsid w:val="00A75FC7"/>
    <w:rsid w:val="00A76913"/>
    <w:rsid w:val="00A76C1F"/>
    <w:rsid w:val="00A803FC"/>
    <w:rsid w:val="00A8071A"/>
    <w:rsid w:val="00A80B7C"/>
    <w:rsid w:val="00A80DD9"/>
    <w:rsid w:val="00A80FCA"/>
    <w:rsid w:val="00A81CBC"/>
    <w:rsid w:val="00A822D3"/>
    <w:rsid w:val="00A82506"/>
    <w:rsid w:val="00A837CE"/>
    <w:rsid w:val="00A83DB5"/>
    <w:rsid w:val="00A83FBA"/>
    <w:rsid w:val="00A84636"/>
    <w:rsid w:val="00A84FE1"/>
    <w:rsid w:val="00A85080"/>
    <w:rsid w:val="00A85E4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0E7"/>
    <w:rsid w:val="00A9657F"/>
    <w:rsid w:val="00A9797D"/>
    <w:rsid w:val="00AA015F"/>
    <w:rsid w:val="00AA0C3A"/>
    <w:rsid w:val="00AA1723"/>
    <w:rsid w:val="00AA190D"/>
    <w:rsid w:val="00AA1FDD"/>
    <w:rsid w:val="00AA22C3"/>
    <w:rsid w:val="00AA230D"/>
    <w:rsid w:val="00AA265B"/>
    <w:rsid w:val="00AA4941"/>
    <w:rsid w:val="00AA49E9"/>
    <w:rsid w:val="00AA5475"/>
    <w:rsid w:val="00AA5876"/>
    <w:rsid w:val="00AA6733"/>
    <w:rsid w:val="00AA6A8A"/>
    <w:rsid w:val="00AA6DD8"/>
    <w:rsid w:val="00AA6FA3"/>
    <w:rsid w:val="00AA70BB"/>
    <w:rsid w:val="00AA757C"/>
    <w:rsid w:val="00AA7F10"/>
    <w:rsid w:val="00AB0309"/>
    <w:rsid w:val="00AB0391"/>
    <w:rsid w:val="00AB2151"/>
    <w:rsid w:val="00AB2C59"/>
    <w:rsid w:val="00AB2C8A"/>
    <w:rsid w:val="00AB42B6"/>
    <w:rsid w:val="00AB4D67"/>
    <w:rsid w:val="00AB545D"/>
    <w:rsid w:val="00AB54D7"/>
    <w:rsid w:val="00AB57D3"/>
    <w:rsid w:val="00AB59BE"/>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BDB"/>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096A"/>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2058"/>
    <w:rsid w:val="00AF2EAE"/>
    <w:rsid w:val="00AF39AF"/>
    <w:rsid w:val="00AF3E3B"/>
    <w:rsid w:val="00AF3E5A"/>
    <w:rsid w:val="00AF4136"/>
    <w:rsid w:val="00AF46FE"/>
    <w:rsid w:val="00AF486F"/>
    <w:rsid w:val="00AF548B"/>
    <w:rsid w:val="00AF55E0"/>
    <w:rsid w:val="00AF5666"/>
    <w:rsid w:val="00AF5870"/>
    <w:rsid w:val="00AF6619"/>
    <w:rsid w:val="00AF6CFD"/>
    <w:rsid w:val="00AF7DC1"/>
    <w:rsid w:val="00B000AE"/>
    <w:rsid w:val="00B0040B"/>
    <w:rsid w:val="00B0067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172"/>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CE0"/>
    <w:rsid w:val="00B20934"/>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2403"/>
    <w:rsid w:val="00B32CB8"/>
    <w:rsid w:val="00B333FE"/>
    <w:rsid w:val="00B3382B"/>
    <w:rsid w:val="00B35094"/>
    <w:rsid w:val="00B350F0"/>
    <w:rsid w:val="00B357AC"/>
    <w:rsid w:val="00B35992"/>
    <w:rsid w:val="00B35E4B"/>
    <w:rsid w:val="00B35FCC"/>
    <w:rsid w:val="00B36518"/>
    <w:rsid w:val="00B378CC"/>
    <w:rsid w:val="00B40DE9"/>
    <w:rsid w:val="00B41615"/>
    <w:rsid w:val="00B41FD8"/>
    <w:rsid w:val="00B420DF"/>
    <w:rsid w:val="00B428E2"/>
    <w:rsid w:val="00B42A2C"/>
    <w:rsid w:val="00B42A5C"/>
    <w:rsid w:val="00B42A98"/>
    <w:rsid w:val="00B42C64"/>
    <w:rsid w:val="00B448EF"/>
    <w:rsid w:val="00B44C9E"/>
    <w:rsid w:val="00B47493"/>
    <w:rsid w:val="00B474C8"/>
    <w:rsid w:val="00B474DF"/>
    <w:rsid w:val="00B47915"/>
    <w:rsid w:val="00B50494"/>
    <w:rsid w:val="00B50ACE"/>
    <w:rsid w:val="00B50C21"/>
    <w:rsid w:val="00B50E18"/>
    <w:rsid w:val="00B513A9"/>
    <w:rsid w:val="00B51568"/>
    <w:rsid w:val="00B51610"/>
    <w:rsid w:val="00B5167B"/>
    <w:rsid w:val="00B520E3"/>
    <w:rsid w:val="00B52336"/>
    <w:rsid w:val="00B5388C"/>
    <w:rsid w:val="00B559A1"/>
    <w:rsid w:val="00B55CED"/>
    <w:rsid w:val="00B55D57"/>
    <w:rsid w:val="00B55F80"/>
    <w:rsid w:val="00B5618B"/>
    <w:rsid w:val="00B56480"/>
    <w:rsid w:val="00B565D6"/>
    <w:rsid w:val="00B576A4"/>
    <w:rsid w:val="00B57998"/>
    <w:rsid w:val="00B57CD0"/>
    <w:rsid w:val="00B57DA9"/>
    <w:rsid w:val="00B57EBE"/>
    <w:rsid w:val="00B60035"/>
    <w:rsid w:val="00B60177"/>
    <w:rsid w:val="00B60639"/>
    <w:rsid w:val="00B6308E"/>
    <w:rsid w:val="00B63D58"/>
    <w:rsid w:val="00B64E8A"/>
    <w:rsid w:val="00B65588"/>
    <w:rsid w:val="00B658D1"/>
    <w:rsid w:val="00B6600E"/>
    <w:rsid w:val="00B66064"/>
    <w:rsid w:val="00B66995"/>
    <w:rsid w:val="00B671A1"/>
    <w:rsid w:val="00B675A6"/>
    <w:rsid w:val="00B6794D"/>
    <w:rsid w:val="00B67B36"/>
    <w:rsid w:val="00B67B55"/>
    <w:rsid w:val="00B67C6C"/>
    <w:rsid w:val="00B70C61"/>
    <w:rsid w:val="00B70CEF"/>
    <w:rsid w:val="00B70E5A"/>
    <w:rsid w:val="00B7220D"/>
    <w:rsid w:val="00B749B6"/>
    <w:rsid w:val="00B7509A"/>
    <w:rsid w:val="00B7613E"/>
    <w:rsid w:val="00B766C1"/>
    <w:rsid w:val="00B76966"/>
    <w:rsid w:val="00B76B96"/>
    <w:rsid w:val="00B76EFB"/>
    <w:rsid w:val="00B77129"/>
    <w:rsid w:val="00B771BB"/>
    <w:rsid w:val="00B77C37"/>
    <w:rsid w:val="00B807BF"/>
    <w:rsid w:val="00B809B1"/>
    <w:rsid w:val="00B8206A"/>
    <w:rsid w:val="00B82543"/>
    <w:rsid w:val="00B82998"/>
    <w:rsid w:val="00B834B0"/>
    <w:rsid w:val="00B837F6"/>
    <w:rsid w:val="00B83DAE"/>
    <w:rsid w:val="00B84FB4"/>
    <w:rsid w:val="00B856A6"/>
    <w:rsid w:val="00B8756E"/>
    <w:rsid w:val="00B87DF9"/>
    <w:rsid w:val="00B91951"/>
    <w:rsid w:val="00B91A58"/>
    <w:rsid w:val="00B91B09"/>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76"/>
    <w:rsid w:val="00BA1FE7"/>
    <w:rsid w:val="00BA2B1D"/>
    <w:rsid w:val="00BA3D14"/>
    <w:rsid w:val="00BA3EA9"/>
    <w:rsid w:val="00BA435A"/>
    <w:rsid w:val="00BA54BA"/>
    <w:rsid w:val="00BA5603"/>
    <w:rsid w:val="00BA56D9"/>
    <w:rsid w:val="00BA609E"/>
    <w:rsid w:val="00BA6194"/>
    <w:rsid w:val="00BA77C0"/>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1BD"/>
    <w:rsid w:val="00BC2306"/>
    <w:rsid w:val="00BC2B55"/>
    <w:rsid w:val="00BC2F31"/>
    <w:rsid w:val="00BC3CAF"/>
    <w:rsid w:val="00BC4036"/>
    <w:rsid w:val="00BC4F0A"/>
    <w:rsid w:val="00BC509F"/>
    <w:rsid w:val="00BC51D2"/>
    <w:rsid w:val="00BC64BE"/>
    <w:rsid w:val="00BC7155"/>
    <w:rsid w:val="00BC7550"/>
    <w:rsid w:val="00BC788B"/>
    <w:rsid w:val="00BD0931"/>
    <w:rsid w:val="00BD0B72"/>
    <w:rsid w:val="00BD0D87"/>
    <w:rsid w:val="00BD2668"/>
    <w:rsid w:val="00BD3924"/>
    <w:rsid w:val="00BD450F"/>
    <w:rsid w:val="00BD4512"/>
    <w:rsid w:val="00BD52AA"/>
    <w:rsid w:val="00BE0F0F"/>
    <w:rsid w:val="00BE1061"/>
    <w:rsid w:val="00BE1321"/>
    <w:rsid w:val="00BE2893"/>
    <w:rsid w:val="00BE2EB4"/>
    <w:rsid w:val="00BE2F5A"/>
    <w:rsid w:val="00BE37D3"/>
    <w:rsid w:val="00BE522A"/>
    <w:rsid w:val="00BE57B5"/>
    <w:rsid w:val="00BE7A7C"/>
    <w:rsid w:val="00BF0690"/>
    <w:rsid w:val="00BF0A44"/>
    <w:rsid w:val="00BF0CEC"/>
    <w:rsid w:val="00BF1323"/>
    <w:rsid w:val="00BF186C"/>
    <w:rsid w:val="00BF1A44"/>
    <w:rsid w:val="00BF1EDF"/>
    <w:rsid w:val="00BF4D3D"/>
    <w:rsid w:val="00BF5B8C"/>
    <w:rsid w:val="00BF66B7"/>
    <w:rsid w:val="00BF6A68"/>
    <w:rsid w:val="00BF7152"/>
    <w:rsid w:val="00BF734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2EC8"/>
    <w:rsid w:val="00C23155"/>
    <w:rsid w:val="00C238B0"/>
    <w:rsid w:val="00C23DBB"/>
    <w:rsid w:val="00C23FE1"/>
    <w:rsid w:val="00C2410D"/>
    <w:rsid w:val="00C24BAF"/>
    <w:rsid w:val="00C25F8B"/>
    <w:rsid w:val="00C2635A"/>
    <w:rsid w:val="00C265C0"/>
    <w:rsid w:val="00C26B9E"/>
    <w:rsid w:val="00C272EF"/>
    <w:rsid w:val="00C2732B"/>
    <w:rsid w:val="00C2753F"/>
    <w:rsid w:val="00C276A8"/>
    <w:rsid w:val="00C27975"/>
    <w:rsid w:val="00C300BC"/>
    <w:rsid w:val="00C3146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2D60"/>
    <w:rsid w:val="00C432E5"/>
    <w:rsid w:val="00C434C2"/>
    <w:rsid w:val="00C43940"/>
    <w:rsid w:val="00C44342"/>
    <w:rsid w:val="00C44694"/>
    <w:rsid w:val="00C44744"/>
    <w:rsid w:val="00C457C1"/>
    <w:rsid w:val="00C46625"/>
    <w:rsid w:val="00C46870"/>
    <w:rsid w:val="00C47545"/>
    <w:rsid w:val="00C47593"/>
    <w:rsid w:val="00C5044B"/>
    <w:rsid w:val="00C506BD"/>
    <w:rsid w:val="00C507F4"/>
    <w:rsid w:val="00C50E55"/>
    <w:rsid w:val="00C51426"/>
    <w:rsid w:val="00C51622"/>
    <w:rsid w:val="00C51FB3"/>
    <w:rsid w:val="00C5223C"/>
    <w:rsid w:val="00C52A35"/>
    <w:rsid w:val="00C53213"/>
    <w:rsid w:val="00C53722"/>
    <w:rsid w:val="00C53917"/>
    <w:rsid w:val="00C541DE"/>
    <w:rsid w:val="00C54C11"/>
    <w:rsid w:val="00C54C67"/>
    <w:rsid w:val="00C54CC6"/>
    <w:rsid w:val="00C54E65"/>
    <w:rsid w:val="00C56324"/>
    <w:rsid w:val="00C5653B"/>
    <w:rsid w:val="00C565A3"/>
    <w:rsid w:val="00C577F7"/>
    <w:rsid w:val="00C605BB"/>
    <w:rsid w:val="00C60667"/>
    <w:rsid w:val="00C61AB9"/>
    <w:rsid w:val="00C61F84"/>
    <w:rsid w:val="00C62FF7"/>
    <w:rsid w:val="00C63135"/>
    <w:rsid w:val="00C637DC"/>
    <w:rsid w:val="00C63EE8"/>
    <w:rsid w:val="00C6432E"/>
    <w:rsid w:val="00C654E6"/>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4E43"/>
    <w:rsid w:val="00C755E6"/>
    <w:rsid w:val="00C757B8"/>
    <w:rsid w:val="00C76906"/>
    <w:rsid w:val="00C76B7C"/>
    <w:rsid w:val="00C76CC7"/>
    <w:rsid w:val="00C76F81"/>
    <w:rsid w:val="00C776A4"/>
    <w:rsid w:val="00C800DD"/>
    <w:rsid w:val="00C80920"/>
    <w:rsid w:val="00C80B03"/>
    <w:rsid w:val="00C8204B"/>
    <w:rsid w:val="00C821A9"/>
    <w:rsid w:val="00C8243F"/>
    <w:rsid w:val="00C8289B"/>
    <w:rsid w:val="00C82D54"/>
    <w:rsid w:val="00C82F3B"/>
    <w:rsid w:val="00C837C4"/>
    <w:rsid w:val="00C83829"/>
    <w:rsid w:val="00C83EDD"/>
    <w:rsid w:val="00C83F5B"/>
    <w:rsid w:val="00C84BF1"/>
    <w:rsid w:val="00C84CA2"/>
    <w:rsid w:val="00C85A36"/>
    <w:rsid w:val="00C85CD1"/>
    <w:rsid w:val="00C86C56"/>
    <w:rsid w:val="00C8773E"/>
    <w:rsid w:val="00C90601"/>
    <w:rsid w:val="00C90D16"/>
    <w:rsid w:val="00C9116A"/>
    <w:rsid w:val="00C9265D"/>
    <w:rsid w:val="00C92824"/>
    <w:rsid w:val="00C92B6F"/>
    <w:rsid w:val="00C937BA"/>
    <w:rsid w:val="00C938F2"/>
    <w:rsid w:val="00C949FC"/>
    <w:rsid w:val="00C960CF"/>
    <w:rsid w:val="00C964A0"/>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3A65"/>
    <w:rsid w:val="00CA5AD3"/>
    <w:rsid w:val="00CA62DD"/>
    <w:rsid w:val="00CA69BA"/>
    <w:rsid w:val="00CA7DE6"/>
    <w:rsid w:val="00CB0339"/>
    <w:rsid w:val="00CB110E"/>
    <w:rsid w:val="00CB11F8"/>
    <w:rsid w:val="00CB225B"/>
    <w:rsid w:val="00CB2EF5"/>
    <w:rsid w:val="00CB33E4"/>
    <w:rsid w:val="00CB4207"/>
    <w:rsid w:val="00CB4230"/>
    <w:rsid w:val="00CB431B"/>
    <w:rsid w:val="00CB4A77"/>
    <w:rsid w:val="00CB4EA5"/>
    <w:rsid w:val="00CB557F"/>
    <w:rsid w:val="00CB592B"/>
    <w:rsid w:val="00CB5C5F"/>
    <w:rsid w:val="00CB600E"/>
    <w:rsid w:val="00CB65B8"/>
    <w:rsid w:val="00CB6655"/>
    <w:rsid w:val="00CB6CDF"/>
    <w:rsid w:val="00CB7264"/>
    <w:rsid w:val="00CB730F"/>
    <w:rsid w:val="00CB761C"/>
    <w:rsid w:val="00CB76B5"/>
    <w:rsid w:val="00CB7AD6"/>
    <w:rsid w:val="00CC0495"/>
    <w:rsid w:val="00CC110F"/>
    <w:rsid w:val="00CC11B8"/>
    <w:rsid w:val="00CC1AF9"/>
    <w:rsid w:val="00CC1C7C"/>
    <w:rsid w:val="00CC20E0"/>
    <w:rsid w:val="00CC2818"/>
    <w:rsid w:val="00CC2EFB"/>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1E88"/>
    <w:rsid w:val="00CE2298"/>
    <w:rsid w:val="00CE3064"/>
    <w:rsid w:val="00CE39E4"/>
    <w:rsid w:val="00CE4282"/>
    <w:rsid w:val="00CE47B0"/>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B16"/>
    <w:rsid w:val="00CF3D1C"/>
    <w:rsid w:val="00CF4713"/>
    <w:rsid w:val="00CF4B12"/>
    <w:rsid w:val="00CF58FE"/>
    <w:rsid w:val="00CF5EBE"/>
    <w:rsid w:val="00CF783B"/>
    <w:rsid w:val="00CF7A80"/>
    <w:rsid w:val="00CF7D97"/>
    <w:rsid w:val="00CF7EEC"/>
    <w:rsid w:val="00D001C2"/>
    <w:rsid w:val="00D00779"/>
    <w:rsid w:val="00D009D8"/>
    <w:rsid w:val="00D012E1"/>
    <w:rsid w:val="00D01318"/>
    <w:rsid w:val="00D01665"/>
    <w:rsid w:val="00D01D1E"/>
    <w:rsid w:val="00D02580"/>
    <w:rsid w:val="00D03BF7"/>
    <w:rsid w:val="00D03EE9"/>
    <w:rsid w:val="00D03F1E"/>
    <w:rsid w:val="00D0428E"/>
    <w:rsid w:val="00D04426"/>
    <w:rsid w:val="00D0482F"/>
    <w:rsid w:val="00D04A33"/>
    <w:rsid w:val="00D05892"/>
    <w:rsid w:val="00D06824"/>
    <w:rsid w:val="00D06C03"/>
    <w:rsid w:val="00D1037A"/>
    <w:rsid w:val="00D10D09"/>
    <w:rsid w:val="00D1163E"/>
    <w:rsid w:val="00D12362"/>
    <w:rsid w:val="00D128F4"/>
    <w:rsid w:val="00D12A4F"/>
    <w:rsid w:val="00D13100"/>
    <w:rsid w:val="00D14C15"/>
    <w:rsid w:val="00D15CB3"/>
    <w:rsid w:val="00D15F51"/>
    <w:rsid w:val="00D16ED5"/>
    <w:rsid w:val="00D202B1"/>
    <w:rsid w:val="00D20662"/>
    <w:rsid w:val="00D20EBD"/>
    <w:rsid w:val="00D21291"/>
    <w:rsid w:val="00D2183A"/>
    <w:rsid w:val="00D21C8A"/>
    <w:rsid w:val="00D2297E"/>
    <w:rsid w:val="00D22DE5"/>
    <w:rsid w:val="00D233BD"/>
    <w:rsid w:val="00D233D7"/>
    <w:rsid w:val="00D23CBB"/>
    <w:rsid w:val="00D2490F"/>
    <w:rsid w:val="00D25806"/>
    <w:rsid w:val="00D25E9D"/>
    <w:rsid w:val="00D25F1C"/>
    <w:rsid w:val="00D26DE6"/>
    <w:rsid w:val="00D26EE7"/>
    <w:rsid w:val="00D30718"/>
    <w:rsid w:val="00D30FC1"/>
    <w:rsid w:val="00D322FB"/>
    <w:rsid w:val="00D32475"/>
    <w:rsid w:val="00D32EF4"/>
    <w:rsid w:val="00D33F81"/>
    <w:rsid w:val="00D34850"/>
    <w:rsid w:val="00D35060"/>
    <w:rsid w:val="00D369D4"/>
    <w:rsid w:val="00D36AD7"/>
    <w:rsid w:val="00D373E9"/>
    <w:rsid w:val="00D37C61"/>
    <w:rsid w:val="00D37E53"/>
    <w:rsid w:val="00D403FF"/>
    <w:rsid w:val="00D404C4"/>
    <w:rsid w:val="00D40CE9"/>
    <w:rsid w:val="00D412EB"/>
    <w:rsid w:val="00D42115"/>
    <w:rsid w:val="00D42D37"/>
    <w:rsid w:val="00D42EFD"/>
    <w:rsid w:val="00D457D1"/>
    <w:rsid w:val="00D458AA"/>
    <w:rsid w:val="00D46338"/>
    <w:rsid w:val="00D46A96"/>
    <w:rsid w:val="00D46BA2"/>
    <w:rsid w:val="00D47234"/>
    <w:rsid w:val="00D47281"/>
    <w:rsid w:val="00D47581"/>
    <w:rsid w:val="00D50295"/>
    <w:rsid w:val="00D5069A"/>
    <w:rsid w:val="00D50E43"/>
    <w:rsid w:val="00D51469"/>
    <w:rsid w:val="00D52B45"/>
    <w:rsid w:val="00D530EB"/>
    <w:rsid w:val="00D53393"/>
    <w:rsid w:val="00D535B6"/>
    <w:rsid w:val="00D55235"/>
    <w:rsid w:val="00D55390"/>
    <w:rsid w:val="00D55D78"/>
    <w:rsid w:val="00D56771"/>
    <w:rsid w:val="00D572B2"/>
    <w:rsid w:val="00D57F53"/>
    <w:rsid w:val="00D60CAB"/>
    <w:rsid w:val="00D610FD"/>
    <w:rsid w:val="00D612AF"/>
    <w:rsid w:val="00D619F3"/>
    <w:rsid w:val="00D62A5B"/>
    <w:rsid w:val="00D62B43"/>
    <w:rsid w:val="00D62ECD"/>
    <w:rsid w:val="00D63748"/>
    <w:rsid w:val="00D639F0"/>
    <w:rsid w:val="00D63C1B"/>
    <w:rsid w:val="00D63D76"/>
    <w:rsid w:val="00D64690"/>
    <w:rsid w:val="00D64BFF"/>
    <w:rsid w:val="00D64DE1"/>
    <w:rsid w:val="00D64E3F"/>
    <w:rsid w:val="00D653D0"/>
    <w:rsid w:val="00D653FF"/>
    <w:rsid w:val="00D6692A"/>
    <w:rsid w:val="00D66E55"/>
    <w:rsid w:val="00D674E9"/>
    <w:rsid w:val="00D6799A"/>
    <w:rsid w:val="00D7009C"/>
    <w:rsid w:val="00D70F17"/>
    <w:rsid w:val="00D712DA"/>
    <w:rsid w:val="00D719EF"/>
    <w:rsid w:val="00D72327"/>
    <w:rsid w:val="00D72491"/>
    <w:rsid w:val="00D727E0"/>
    <w:rsid w:val="00D7297D"/>
    <w:rsid w:val="00D72B87"/>
    <w:rsid w:val="00D72C72"/>
    <w:rsid w:val="00D74160"/>
    <w:rsid w:val="00D75D22"/>
    <w:rsid w:val="00D75DA5"/>
    <w:rsid w:val="00D76C58"/>
    <w:rsid w:val="00D76CF2"/>
    <w:rsid w:val="00D76E32"/>
    <w:rsid w:val="00D76E7C"/>
    <w:rsid w:val="00D80B40"/>
    <w:rsid w:val="00D8155B"/>
    <w:rsid w:val="00D815C4"/>
    <w:rsid w:val="00D81E79"/>
    <w:rsid w:val="00D825A5"/>
    <w:rsid w:val="00D825B7"/>
    <w:rsid w:val="00D8290E"/>
    <w:rsid w:val="00D82AD1"/>
    <w:rsid w:val="00D82E6E"/>
    <w:rsid w:val="00D83040"/>
    <w:rsid w:val="00D8323B"/>
    <w:rsid w:val="00D83489"/>
    <w:rsid w:val="00D83703"/>
    <w:rsid w:val="00D83D13"/>
    <w:rsid w:val="00D841AC"/>
    <w:rsid w:val="00D8589D"/>
    <w:rsid w:val="00D858DE"/>
    <w:rsid w:val="00D85A81"/>
    <w:rsid w:val="00D85CEC"/>
    <w:rsid w:val="00D86466"/>
    <w:rsid w:val="00D870E8"/>
    <w:rsid w:val="00D87423"/>
    <w:rsid w:val="00D87452"/>
    <w:rsid w:val="00D87485"/>
    <w:rsid w:val="00D877B1"/>
    <w:rsid w:val="00D907CB"/>
    <w:rsid w:val="00D91891"/>
    <w:rsid w:val="00D91BF2"/>
    <w:rsid w:val="00D91C48"/>
    <w:rsid w:val="00D937E4"/>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501"/>
    <w:rsid w:val="00DA2FD5"/>
    <w:rsid w:val="00DA353E"/>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21E"/>
    <w:rsid w:val="00DB5366"/>
    <w:rsid w:val="00DB586E"/>
    <w:rsid w:val="00DB5F2A"/>
    <w:rsid w:val="00DB6A77"/>
    <w:rsid w:val="00DB6F45"/>
    <w:rsid w:val="00DB72B7"/>
    <w:rsid w:val="00DB7546"/>
    <w:rsid w:val="00DB7827"/>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4FED"/>
    <w:rsid w:val="00DC54EB"/>
    <w:rsid w:val="00DC580A"/>
    <w:rsid w:val="00DC5B50"/>
    <w:rsid w:val="00DC5C3E"/>
    <w:rsid w:val="00DC66BC"/>
    <w:rsid w:val="00DC727F"/>
    <w:rsid w:val="00DC7560"/>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CFE"/>
    <w:rsid w:val="00DE1E1E"/>
    <w:rsid w:val="00DE223E"/>
    <w:rsid w:val="00DE2951"/>
    <w:rsid w:val="00DE2D33"/>
    <w:rsid w:val="00DE34EB"/>
    <w:rsid w:val="00DE3592"/>
    <w:rsid w:val="00DE3E78"/>
    <w:rsid w:val="00DE41F8"/>
    <w:rsid w:val="00DE45AA"/>
    <w:rsid w:val="00DE4B9D"/>
    <w:rsid w:val="00DE50EA"/>
    <w:rsid w:val="00DE545C"/>
    <w:rsid w:val="00DE56A4"/>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9EB"/>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6A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289"/>
    <w:rsid w:val="00E253A3"/>
    <w:rsid w:val="00E25402"/>
    <w:rsid w:val="00E259B0"/>
    <w:rsid w:val="00E25AF8"/>
    <w:rsid w:val="00E2604C"/>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543"/>
    <w:rsid w:val="00E42F07"/>
    <w:rsid w:val="00E4370F"/>
    <w:rsid w:val="00E4441D"/>
    <w:rsid w:val="00E45242"/>
    <w:rsid w:val="00E453AB"/>
    <w:rsid w:val="00E462E6"/>
    <w:rsid w:val="00E463A0"/>
    <w:rsid w:val="00E474DF"/>
    <w:rsid w:val="00E47839"/>
    <w:rsid w:val="00E51CDE"/>
    <w:rsid w:val="00E5210B"/>
    <w:rsid w:val="00E53197"/>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3DD3"/>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639B"/>
    <w:rsid w:val="00E770F2"/>
    <w:rsid w:val="00E77E05"/>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87B1D"/>
    <w:rsid w:val="00E90329"/>
    <w:rsid w:val="00E910D5"/>
    <w:rsid w:val="00E9147F"/>
    <w:rsid w:val="00E922C4"/>
    <w:rsid w:val="00E943AE"/>
    <w:rsid w:val="00E947B0"/>
    <w:rsid w:val="00E94C69"/>
    <w:rsid w:val="00E95D82"/>
    <w:rsid w:val="00E95F21"/>
    <w:rsid w:val="00E96273"/>
    <w:rsid w:val="00E96E97"/>
    <w:rsid w:val="00E97D49"/>
    <w:rsid w:val="00EA0251"/>
    <w:rsid w:val="00EA1065"/>
    <w:rsid w:val="00EA1434"/>
    <w:rsid w:val="00EA3C3E"/>
    <w:rsid w:val="00EA4694"/>
    <w:rsid w:val="00EA48D3"/>
    <w:rsid w:val="00EA520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59F8"/>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65C4"/>
    <w:rsid w:val="00EC7808"/>
    <w:rsid w:val="00EC7BFA"/>
    <w:rsid w:val="00ED042E"/>
    <w:rsid w:val="00ED1295"/>
    <w:rsid w:val="00ED12BB"/>
    <w:rsid w:val="00ED2725"/>
    <w:rsid w:val="00ED34D1"/>
    <w:rsid w:val="00ED35CC"/>
    <w:rsid w:val="00ED367F"/>
    <w:rsid w:val="00ED4206"/>
    <w:rsid w:val="00ED58A2"/>
    <w:rsid w:val="00ED58C3"/>
    <w:rsid w:val="00ED5C71"/>
    <w:rsid w:val="00ED5EEE"/>
    <w:rsid w:val="00ED667C"/>
    <w:rsid w:val="00ED7966"/>
    <w:rsid w:val="00EE01CC"/>
    <w:rsid w:val="00EE04EE"/>
    <w:rsid w:val="00EE1760"/>
    <w:rsid w:val="00EE287D"/>
    <w:rsid w:val="00EE317B"/>
    <w:rsid w:val="00EE3B32"/>
    <w:rsid w:val="00EE3CFF"/>
    <w:rsid w:val="00EE3F39"/>
    <w:rsid w:val="00EE414C"/>
    <w:rsid w:val="00EE44FE"/>
    <w:rsid w:val="00EE4512"/>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5A5"/>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3A4"/>
    <w:rsid w:val="00F06A47"/>
    <w:rsid w:val="00F0717F"/>
    <w:rsid w:val="00F0747A"/>
    <w:rsid w:val="00F07849"/>
    <w:rsid w:val="00F07882"/>
    <w:rsid w:val="00F07883"/>
    <w:rsid w:val="00F10177"/>
    <w:rsid w:val="00F10D83"/>
    <w:rsid w:val="00F1196B"/>
    <w:rsid w:val="00F11A6A"/>
    <w:rsid w:val="00F120A9"/>
    <w:rsid w:val="00F126BD"/>
    <w:rsid w:val="00F13433"/>
    <w:rsid w:val="00F134FC"/>
    <w:rsid w:val="00F1350E"/>
    <w:rsid w:val="00F14419"/>
    <w:rsid w:val="00F1470E"/>
    <w:rsid w:val="00F147A5"/>
    <w:rsid w:val="00F147FB"/>
    <w:rsid w:val="00F14AA7"/>
    <w:rsid w:val="00F15884"/>
    <w:rsid w:val="00F15B8E"/>
    <w:rsid w:val="00F15C16"/>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4E3D"/>
    <w:rsid w:val="00F256AE"/>
    <w:rsid w:val="00F25773"/>
    <w:rsid w:val="00F257FA"/>
    <w:rsid w:val="00F26004"/>
    <w:rsid w:val="00F270E8"/>
    <w:rsid w:val="00F27EF5"/>
    <w:rsid w:val="00F27FDB"/>
    <w:rsid w:val="00F30251"/>
    <w:rsid w:val="00F305CC"/>
    <w:rsid w:val="00F3179A"/>
    <w:rsid w:val="00F31D54"/>
    <w:rsid w:val="00F32357"/>
    <w:rsid w:val="00F32684"/>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4A21"/>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3EF"/>
    <w:rsid w:val="00F5736B"/>
    <w:rsid w:val="00F57880"/>
    <w:rsid w:val="00F608AB"/>
    <w:rsid w:val="00F60AA0"/>
    <w:rsid w:val="00F60BE7"/>
    <w:rsid w:val="00F6159C"/>
    <w:rsid w:val="00F61714"/>
    <w:rsid w:val="00F6238F"/>
    <w:rsid w:val="00F63E59"/>
    <w:rsid w:val="00F64BE0"/>
    <w:rsid w:val="00F65B68"/>
    <w:rsid w:val="00F66DFD"/>
    <w:rsid w:val="00F67846"/>
    <w:rsid w:val="00F67B42"/>
    <w:rsid w:val="00F7001F"/>
    <w:rsid w:val="00F70B72"/>
    <w:rsid w:val="00F70DEF"/>
    <w:rsid w:val="00F70EA3"/>
    <w:rsid w:val="00F71398"/>
    <w:rsid w:val="00F718C7"/>
    <w:rsid w:val="00F7294C"/>
    <w:rsid w:val="00F72C5F"/>
    <w:rsid w:val="00F72CAD"/>
    <w:rsid w:val="00F72D52"/>
    <w:rsid w:val="00F73549"/>
    <w:rsid w:val="00F75782"/>
    <w:rsid w:val="00F773EB"/>
    <w:rsid w:val="00F80846"/>
    <w:rsid w:val="00F80C1D"/>
    <w:rsid w:val="00F81130"/>
    <w:rsid w:val="00F816F3"/>
    <w:rsid w:val="00F818F7"/>
    <w:rsid w:val="00F82E92"/>
    <w:rsid w:val="00F8325D"/>
    <w:rsid w:val="00F832A9"/>
    <w:rsid w:val="00F832B0"/>
    <w:rsid w:val="00F83307"/>
    <w:rsid w:val="00F833A5"/>
    <w:rsid w:val="00F8342D"/>
    <w:rsid w:val="00F844D3"/>
    <w:rsid w:val="00F84629"/>
    <w:rsid w:val="00F84B71"/>
    <w:rsid w:val="00F84F0E"/>
    <w:rsid w:val="00F8515D"/>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A78"/>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A5E"/>
    <w:rsid w:val="00FB3BC4"/>
    <w:rsid w:val="00FB3F9C"/>
    <w:rsid w:val="00FB3FDE"/>
    <w:rsid w:val="00FB4676"/>
    <w:rsid w:val="00FB5552"/>
    <w:rsid w:val="00FB5789"/>
    <w:rsid w:val="00FB5F3A"/>
    <w:rsid w:val="00FB606C"/>
    <w:rsid w:val="00FB64E5"/>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8D0"/>
    <w:rsid w:val="00FD3CC7"/>
    <w:rsid w:val="00FD4148"/>
    <w:rsid w:val="00FD4D5B"/>
    <w:rsid w:val="00FD4FFE"/>
    <w:rsid w:val="00FD6453"/>
    <w:rsid w:val="00FD67FD"/>
    <w:rsid w:val="00FD7CB2"/>
    <w:rsid w:val="00FD7D46"/>
    <w:rsid w:val="00FD7D8B"/>
    <w:rsid w:val="00FE0AF2"/>
    <w:rsid w:val="00FE1C47"/>
    <w:rsid w:val="00FE22DD"/>
    <w:rsid w:val="00FE2CFB"/>
    <w:rsid w:val="00FE3F10"/>
    <w:rsid w:val="00FE4A60"/>
    <w:rsid w:val="00FE54E0"/>
    <w:rsid w:val="00FE55F0"/>
    <w:rsid w:val="00FE6331"/>
    <w:rsid w:val="00FE685B"/>
    <w:rsid w:val="00FE6C12"/>
    <w:rsid w:val="00FE7894"/>
    <w:rsid w:val="00FF01FA"/>
    <w:rsid w:val="00FF21B5"/>
    <w:rsid w:val="00FF21C3"/>
    <w:rsid w:val="00FF2A11"/>
    <w:rsid w:val="00FF2AA0"/>
    <w:rsid w:val="00FF3977"/>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2CF949F"/>
    <w:rsid w:val="037B9E7B"/>
    <w:rsid w:val="03911ED5"/>
    <w:rsid w:val="050AC09F"/>
    <w:rsid w:val="071CB7DB"/>
    <w:rsid w:val="0783C56A"/>
    <w:rsid w:val="0935AB13"/>
    <w:rsid w:val="094E5959"/>
    <w:rsid w:val="09C73FDD"/>
    <w:rsid w:val="09D2AD3C"/>
    <w:rsid w:val="0A4ACA47"/>
    <w:rsid w:val="0A7B6593"/>
    <w:rsid w:val="0B2F7AB8"/>
    <w:rsid w:val="0CD942BB"/>
    <w:rsid w:val="0DD0369D"/>
    <w:rsid w:val="0F0AAF76"/>
    <w:rsid w:val="0F92269D"/>
    <w:rsid w:val="0FB082EF"/>
    <w:rsid w:val="11978458"/>
    <w:rsid w:val="11B85219"/>
    <w:rsid w:val="11BBF3C0"/>
    <w:rsid w:val="11BED681"/>
    <w:rsid w:val="1228DE59"/>
    <w:rsid w:val="130F5729"/>
    <w:rsid w:val="146D317E"/>
    <w:rsid w:val="14712242"/>
    <w:rsid w:val="14C3A201"/>
    <w:rsid w:val="15CFC308"/>
    <w:rsid w:val="16DE3F62"/>
    <w:rsid w:val="1A97A52B"/>
    <w:rsid w:val="1CAE61EA"/>
    <w:rsid w:val="20AE78F4"/>
    <w:rsid w:val="217F9DA9"/>
    <w:rsid w:val="21B3703A"/>
    <w:rsid w:val="2436830E"/>
    <w:rsid w:val="25E68D5B"/>
    <w:rsid w:val="275171C0"/>
    <w:rsid w:val="27BCC2BE"/>
    <w:rsid w:val="28356C3E"/>
    <w:rsid w:val="28B401F6"/>
    <w:rsid w:val="28D5C1BE"/>
    <w:rsid w:val="2A1DE801"/>
    <w:rsid w:val="2A5F7339"/>
    <w:rsid w:val="2AF0AABD"/>
    <w:rsid w:val="2D9C9F0B"/>
    <w:rsid w:val="2E154098"/>
    <w:rsid w:val="2F5DEA7C"/>
    <w:rsid w:val="30E0E85F"/>
    <w:rsid w:val="318014BA"/>
    <w:rsid w:val="31D25B84"/>
    <w:rsid w:val="32FD13BB"/>
    <w:rsid w:val="349316DA"/>
    <w:rsid w:val="35365517"/>
    <w:rsid w:val="37F2790C"/>
    <w:rsid w:val="3976C5C7"/>
    <w:rsid w:val="3A125505"/>
    <w:rsid w:val="3A7D0CD5"/>
    <w:rsid w:val="3BD3B805"/>
    <w:rsid w:val="3C547F45"/>
    <w:rsid w:val="3C5A2B35"/>
    <w:rsid w:val="3E3C9CA3"/>
    <w:rsid w:val="3E9067F3"/>
    <w:rsid w:val="3EE392FB"/>
    <w:rsid w:val="40267EAC"/>
    <w:rsid w:val="469AA727"/>
    <w:rsid w:val="48AD03CB"/>
    <w:rsid w:val="49840553"/>
    <w:rsid w:val="4ABFB34F"/>
    <w:rsid w:val="4D30F38A"/>
    <w:rsid w:val="4D3296AF"/>
    <w:rsid w:val="50D373B4"/>
    <w:rsid w:val="51E677D5"/>
    <w:rsid w:val="53BA30AE"/>
    <w:rsid w:val="543991C2"/>
    <w:rsid w:val="573B2AB3"/>
    <w:rsid w:val="57835F6F"/>
    <w:rsid w:val="57A5F14F"/>
    <w:rsid w:val="580175AE"/>
    <w:rsid w:val="5A193151"/>
    <w:rsid w:val="5A79CDD6"/>
    <w:rsid w:val="5CBC9D91"/>
    <w:rsid w:val="5F271558"/>
    <w:rsid w:val="626B5E98"/>
    <w:rsid w:val="63C8FFC5"/>
    <w:rsid w:val="6464CC33"/>
    <w:rsid w:val="65171C6E"/>
    <w:rsid w:val="6731E774"/>
    <w:rsid w:val="679D9011"/>
    <w:rsid w:val="691075F6"/>
    <w:rsid w:val="69DC76C1"/>
    <w:rsid w:val="6A95227B"/>
    <w:rsid w:val="6B273AA9"/>
    <w:rsid w:val="6CCF3B0E"/>
    <w:rsid w:val="6D25D72D"/>
    <w:rsid w:val="6D26B9A0"/>
    <w:rsid w:val="6D40DFDB"/>
    <w:rsid w:val="6DAB383F"/>
    <w:rsid w:val="6E2BDE09"/>
    <w:rsid w:val="6F5DB097"/>
    <w:rsid w:val="71DF9933"/>
    <w:rsid w:val="71FFF277"/>
    <w:rsid w:val="7229EA2D"/>
    <w:rsid w:val="7394F82E"/>
    <w:rsid w:val="741953C5"/>
    <w:rsid w:val="741F388D"/>
    <w:rsid w:val="7447A775"/>
    <w:rsid w:val="75D00216"/>
    <w:rsid w:val="76BAC1E5"/>
    <w:rsid w:val="7855D343"/>
    <w:rsid w:val="78AB1347"/>
    <w:rsid w:val="79EBB37E"/>
    <w:rsid w:val="7AB194FD"/>
    <w:rsid w:val="7ADF2EA3"/>
    <w:rsid w:val="7B965D58"/>
    <w:rsid w:val="7C07F25E"/>
    <w:rsid w:val="7D5306F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AF447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D2490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1"/>
    <w:qFormat/>
    <w:rsid w:val="000F26CE"/>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1"/>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1"/>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1"/>
    <w:qFormat/>
    <w:rsid w:val="00B51610"/>
    <w:pPr>
      <w:outlineLvl w:val="3"/>
    </w:pPr>
    <w:rPr>
      <w:color w:val="0F7B7D"/>
      <w:sz w:val="24"/>
    </w:rPr>
  </w:style>
  <w:style w:type="paragraph" w:styleId="Heading5">
    <w:name w:val="heading 5"/>
    <w:basedOn w:val="Normal"/>
    <w:next w:val="BodyText"/>
    <w:link w:val="Heading5Char"/>
    <w:uiPriority w:val="1"/>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26CE"/>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1"/>
    <w:rsid w:val="009A6AD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1"/>
    <w:rsid w:val="009A6AD0"/>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1"/>
    <w:rsid w:val="009A6AD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1"/>
    <w:rsid w:val="009A6AD0"/>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29"/>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29"/>
    <w:semiHidden/>
    <w:rsid w:val="00314FF1"/>
    <w:rPr>
      <w:rFonts w:ascii="Calibri" w:eastAsiaTheme="minorEastAsia" w:hAnsi="Calibri"/>
      <w:sz w:val="20"/>
      <w:lang w:eastAsia="en-NZ"/>
    </w:rPr>
  </w:style>
  <w:style w:type="paragraph" w:customStyle="1" w:styleId="Box">
    <w:name w:val="Box"/>
    <w:basedOn w:val="Normal"/>
    <w:uiPriority w:val="4"/>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4"/>
    <w:semiHidden/>
    <w:qFormat/>
    <w:rsid w:val="00A56D3B"/>
    <w:pPr>
      <w:tabs>
        <w:tab w:val="left" w:pos="680"/>
      </w:tabs>
      <w:spacing w:before="0"/>
      <w:ind w:left="681" w:hanging="397"/>
    </w:pPr>
  </w:style>
  <w:style w:type="paragraph" w:customStyle="1" w:styleId="Boxheading">
    <w:name w:val="Box heading"/>
    <w:basedOn w:val="Box"/>
    <w:next w:val="Box"/>
    <w:uiPriority w:val="4"/>
    <w:semiHidden/>
    <w:qFormat/>
    <w:rsid w:val="001820A3"/>
    <w:pPr>
      <w:keepNext/>
      <w:spacing w:after="0"/>
    </w:pPr>
    <w:rPr>
      <w:b/>
    </w:rPr>
  </w:style>
  <w:style w:type="paragraph" w:customStyle="1" w:styleId="Bullet">
    <w:name w:val="Bullet"/>
    <w:basedOn w:val="Normal"/>
    <w:link w:val="BulletChar"/>
    <w:qFormat/>
    <w:rsid w:val="003C170C"/>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10"/>
    <w:semiHidden/>
    <w:qFormat/>
    <w:rsid w:val="00624018"/>
    <w:pPr>
      <w:spacing w:line="360" w:lineRule="auto"/>
      <w:jc w:val="center"/>
    </w:pPr>
    <w:rPr>
      <w:b/>
      <w:color w:val="17556C"/>
      <w:sz w:val="52"/>
    </w:rPr>
  </w:style>
  <w:style w:type="character" w:customStyle="1" w:styleId="TitleChar">
    <w:name w:val="Title Char"/>
    <w:basedOn w:val="DefaultParagraphFont"/>
    <w:link w:val="Title"/>
    <w:uiPriority w:val="10"/>
    <w:semiHidden/>
    <w:rsid w:val="00314FF1"/>
    <w:rPr>
      <w:rFonts w:ascii="Calibri" w:eastAsiaTheme="minorEastAsia" w:hAnsi="Calibri"/>
      <w:b/>
      <w:color w:val="17556C"/>
      <w:sz w:val="52"/>
      <w:lang w:eastAsia="en-NZ"/>
    </w:rPr>
  </w:style>
  <w:style w:type="paragraph" w:styleId="Subtitle">
    <w:name w:val="Subtitle"/>
    <w:basedOn w:val="Title"/>
    <w:link w:val="SubtitleChar"/>
    <w:uiPriority w:val="11"/>
    <w:semiHidden/>
    <w:qFormat/>
    <w:rsid w:val="00D94120"/>
    <w:pPr>
      <w:spacing w:before="600" w:line="240" w:lineRule="auto"/>
    </w:pPr>
    <w:rPr>
      <w:sz w:val="36"/>
      <w:szCs w:val="36"/>
    </w:rPr>
  </w:style>
  <w:style w:type="character" w:customStyle="1" w:styleId="SubtitleChar">
    <w:name w:val="Subtitle Char"/>
    <w:basedOn w:val="DefaultParagraphFont"/>
    <w:link w:val="Subtitle"/>
    <w:uiPriority w:val="11"/>
    <w:semiHidden/>
    <w:rsid w:val="00314FF1"/>
    <w:rPr>
      <w:rFonts w:ascii="Calibri" w:eastAsiaTheme="minorEastAsia" w:hAnsi="Calibri"/>
      <w:b/>
      <w:color w:val="17556C"/>
      <w:sz w:val="36"/>
      <w:szCs w:val="36"/>
      <w:lang w:eastAsia="en-NZ"/>
    </w:rPr>
  </w:style>
  <w:style w:type="paragraph" w:customStyle="1" w:styleId="Tableheading">
    <w:name w:val="Table heading"/>
    <w:basedOn w:val="Normal"/>
    <w:next w:val="Normal"/>
    <w:uiPriority w:val="2"/>
    <w:qFormat/>
    <w:rsid w:val="00EA64B4"/>
    <w:pPr>
      <w:keepNext/>
      <w:ind w:left="1134" w:hanging="1134"/>
      <w:jc w:val="left"/>
    </w:pPr>
    <w:rPr>
      <w:b/>
      <w:sz w:val="20"/>
    </w:rPr>
  </w:style>
  <w:style w:type="paragraph" w:customStyle="1" w:styleId="TableText">
    <w:name w:val="TableText"/>
    <w:basedOn w:val="Normal"/>
    <w:uiPriority w:val="2"/>
    <w:qFormat/>
    <w:rsid w:val="00EA64B4"/>
    <w:pPr>
      <w:spacing w:before="60" w:after="60" w:line="240" w:lineRule="atLeast"/>
      <w:jc w:val="left"/>
    </w:pPr>
    <w:rPr>
      <w:sz w:val="18"/>
    </w:rPr>
  </w:style>
  <w:style w:type="paragraph" w:customStyle="1" w:styleId="TableTextbold">
    <w:name w:val="TableText bold"/>
    <w:basedOn w:val="TableText"/>
    <w:uiPriority w:val="2"/>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4"/>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0F629F"/>
    <w:pPr>
      <w:tabs>
        <w:tab w:val="right" w:pos="8494"/>
      </w:tabs>
      <w:spacing w:before="0"/>
      <w:ind w:left="1134" w:right="567" w:hanging="1134"/>
      <w:jc w:val="left"/>
    </w:pPr>
    <w:rPr>
      <w:noProof/>
    </w:r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uiPriority w:val="2"/>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uiPriority w:val="2"/>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3C170C"/>
    <w:rPr>
      <w:rFonts w:ascii="Calibri" w:eastAsia="Times New Roman" w:hAnsi="Calibri" w:cs="Times New Roman"/>
      <w:szCs w:val="20"/>
      <w:lang w:eastAsia="en-NZ"/>
    </w:rPr>
  </w:style>
  <w:style w:type="paragraph" w:customStyle="1" w:styleId="Casestudyheading">
    <w:name w:val="Case study heading"/>
    <w:basedOn w:val="BodyText"/>
    <w:uiPriority w:val="4"/>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4"/>
    <w:semiHidden/>
    <w:rsid w:val="00C15722"/>
    <w:pPr>
      <w:numPr>
        <w:numId w:val="12"/>
      </w:numPr>
      <w:spacing w:before="0"/>
      <w:ind w:left="681" w:hanging="397"/>
    </w:pPr>
  </w:style>
  <w:style w:type="paragraph" w:customStyle="1" w:styleId="Greentext-casestudytables">
    <w:name w:val="Green text - case study tables"/>
    <w:basedOn w:val="BodyText"/>
    <w:uiPriority w:val="4"/>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4"/>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4"/>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4"/>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4"/>
    <w:semiHidden/>
    <w:qFormat/>
    <w:rsid w:val="007823D6"/>
    <w:pPr>
      <w:keepNext/>
      <w:spacing w:before="240" w:after="0"/>
    </w:pPr>
    <w:rPr>
      <w:rFonts w:cs="Times New Roman"/>
      <w:b/>
      <w:szCs w:val="20"/>
    </w:rPr>
  </w:style>
  <w:style w:type="paragraph" w:customStyle="1" w:styleId="Blue-boxsub-bullet">
    <w:name w:val="Blue-box sub-bullet"/>
    <w:basedOn w:val="Blueboxtext"/>
    <w:uiPriority w:val="4"/>
    <w:semiHidden/>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4"/>
    <w:semiHidden/>
    <w:qFormat/>
    <w:rsid w:val="00C15722"/>
    <w:pPr>
      <w:numPr>
        <w:numId w:val="16"/>
      </w:numPr>
      <w:spacing w:before="0"/>
      <w:ind w:left="1077" w:hanging="397"/>
    </w:pPr>
  </w:style>
  <w:style w:type="paragraph" w:styleId="CommentText">
    <w:name w:val="annotation text"/>
    <w:basedOn w:val="Normal"/>
    <w:link w:val="CommentTextChar"/>
    <w:uiPriority w:val="99"/>
    <w:semiHidden/>
    <w:rsid w:val="00665F75"/>
    <w:pPr>
      <w:spacing w:line="240" w:lineRule="auto"/>
    </w:pPr>
    <w:rPr>
      <w:sz w:val="20"/>
      <w:szCs w:val="20"/>
    </w:rPr>
  </w:style>
  <w:style w:type="character" w:customStyle="1" w:styleId="CommentTextChar">
    <w:name w:val="Comment Text Char"/>
    <w:basedOn w:val="DefaultParagraphFont"/>
    <w:link w:val="CommentText"/>
    <w:uiPriority w:val="99"/>
    <w:semiHidden/>
    <w:rsid w:val="00665F75"/>
    <w:rPr>
      <w:rFonts w:ascii="Calibri" w:eastAsiaTheme="minorEastAsia" w:hAnsi="Calibri"/>
      <w:sz w:val="20"/>
      <w:szCs w:val="20"/>
      <w:lang w:eastAsia="en-NZ"/>
    </w:rPr>
  </w:style>
  <w:style w:type="character" w:styleId="Emphasis">
    <w:name w:val="Emphasis"/>
    <w:basedOn w:val="DefaultParagraphFont"/>
    <w:uiPriority w:val="20"/>
    <w:semiHidden/>
    <w:qFormat/>
    <w:rsid w:val="0078509A"/>
    <w:rPr>
      <w:b/>
      <w:i/>
      <w:spacing w:val="10"/>
      <w:shd w:val="clear" w:color="auto" w:fill="auto"/>
    </w:rPr>
  </w:style>
  <w:style w:type="paragraph" w:styleId="NoSpacing">
    <w:name w:val="No Spacing"/>
    <w:basedOn w:val="Normal"/>
    <w:link w:val="NoSpacingChar"/>
    <w:uiPriority w:val="1"/>
    <w:semiHidden/>
    <w:qFormat/>
    <w:rsid w:val="0078509A"/>
    <w:pPr>
      <w:spacing w:before="0" w:after="0" w:line="240" w:lineRule="auto"/>
      <w:jc w:val="left"/>
    </w:pPr>
    <w:rPr>
      <w:rFonts w:asciiTheme="minorHAnsi" w:hAnsiTheme="minorHAnsi" w:cs="Times New Roman"/>
      <w:lang w:val="en-US" w:eastAsia="en-US"/>
    </w:rPr>
  </w:style>
  <w:style w:type="paragraph" w:styleId="IntenseQuote">
    <w:name w:val="Intense Quote"/>
    <w:basedOn w:val="Normal"/>
    <w:next w:val="Normal"/>
    <w:link w:val="IntenseQuoteChar"/>
    <w:uiPriority w:val="30"/>
    <w:semiHidden/>
    <w:qFormat/>
    <w:rsid w:val="0078509A"/>
    <w:pPr>
      <w:pBdr>
        <w:bottom w:val="single" w:sz="4" w:space="1" w:color="auto"/>
      </w:pBdr>
      <w:spacing w:before="200" w:after="280" w:line="276" w:lineRule="auto"/>
      <w:ind w:left="1008" w:right="1152"/>
    </w:pPr>
    <w:rPr>
      <w:rFonts w:asciiTheme="minorHAnsi" w:hAnsiTheme="minorHAnsi" w:cs="Times New Roman"/>
      <w:b/>
      <w:bCs/>
      <w:i/>
      <w:iCs/>
      <w:lang w:val="en-US" w:eastAsia="en-US"/>
    </w:rPr>
  </w:style>
  <w:style w:type="character" w:customStyle="1" w:styleId="IntenseQuoteChar">
    <w:name w:val="Intense Quote Char"/>
    <w:basedOn w:val="DefaultParagraphFont"/>
    <w:link w:val="IntenseQuote"/>
    <w:uiPriority w:val="30"/>
    <w:semiHidden/>
    <w:rsid w:val="009A6AD0"/>
    <w:rPr>
      <w:rFonts w:eastAsiaTheme="minorEastAsia" w:cs="Times New Roman"/>
      <w:b/>
      <w:bCs/>
      <w:i/>
      <w:iCs/>
      <w:lang w:val="en-US"/>
    </w:rPr>
  </w:style>
  <w:style w:type="character" w:styleId="SubtleEmphasis">
    <w:name w:val="Subtle Emphasis"/>
    <w:basedOn w:val="DefaultParagraphFont"/>
    <w:uiPriority w:val="19"/>
    <w:semiHidden/>
    <w:qFormat/>
    <w:rsid w:val="0078509A"/>
    <w:rPr>
      <w:i/>
    </w:rPr>
  </w:style>
  <w:style w:type="character" w:styleId="IntenseEmphasis">
    <w:name w:val="Intense Emphasis"/>
    <w:basedOn w:val="DefaultParagraphFont"/>
    <w:uiPriority w:val="21"/>
    <w:semiHidden/>
    <w:qFormat/>
    <w:rsid w:val="0078509A"/>
    <w:rPr>
      <w:b/>
    </w:rPr>
  </w:style>
  <w:style w:type="character" w:styleId="SubtleReference">
    <w:name w:val="Subtle Reference"/>
    <w:basedOn w:val="DefaultParagraphFont"/>
    <w:uiPriority w:val="31"/>
    <w:semiHidden/>
    <w:qFormat/>
    <w:rsid w:val="0078509A"/>
    <w:rPr>
      <w:smallCaps/>
    </w:rPr>
  </w:style>
  <w:style w:type="character" w:styleId="IntenseReference">
    <w:name w:val="Intense Reference"/>
    <w:basedOn w:val="DefaultParagraphFont"/>
    <w:uiPriority w:val="32"/>
    <w:semiHidden/>
    <w:qFormat/>
    <w:rsid w:val="0078509A"/>
    <w:rPr>
      <w:smallCaps/>
      <w:spacing w:val="5"/>
      <w:u w:val="single"/>
    </w:rPr>
  </w:style>
  <w:style w:type="character" w:styleId="BookTitle">
    <w:name w:val="Book Title"/>
    <w:basedOn w:val="DefaultParagraphFont"/>
    <w:uiPriority w:val="33"/>
    <w:semiHidden/>
    <w:qFormat/>
    <w:rsid w:val="0078509A"/>
    <w:rPr>
      <w:i/>
      <w:smallCaps/>
      <w:spacing w:val="5"/>
    </w:rPr>
  </w:style>
  <w:style w:type="paragraph" w:styleId="TOCHeading">
    <w:name w:val="TOC Heading"/>
    <w:basedOn w:val="Heading1"/>
    <w:next w:val="Normal"/>
    <w:uiPriority w:val="39"/>
    <w:unhideWhenUsed/>
    <w:qFormat/>
    <w:rsid w:val="0078509A"/>
    <w:pPr>
      <w:keepNext w:val="0"/>
      <w:tabs>
        <w:tab w:val="clear" w:pos="851"/>
      </w:tabs>
      <w:spacing w:before="480" w:after="0" w:line="276" w:lineRule="auto"/>
      <w:contextualSpacing/>
      <w:outlineLvl w:val="9"/>
    </w:pPr>
    <w:rPr>
      <w:rFonts w:asciiTheme="majorHAnsi" w:hAnsiTheme="majorHAnsi" w:cs="Times New Roman"/>
      <w:color w:val="auto"/>
      <w:sz w:val="28"/>
      <w:lang w:val="en-US" w:eastAsia="en-US"/>
    </w:rPr>
  </w:style>
  <w:style w:type="character" w:customStyle="1" w:styleId="NoSpacingChar">
    <w:name w:val="No Spacing Char"/>
    <w:basedOn w:val="DefaultParagraphFont"/>
    <w:link w:val="NoSpacing"/>
    <w:uiPriority w:val="1"/>
    <w:semiHidden/>
    <w:locked/>
    <w:rsid w:val="009A6AD0"/>
    <w:rPr>
      <w:rFonts w:eastAsiaTheme="minorEastAsia" w:cs="Times New Roman"/>
      <w:lang w:val="en-US"/>
    </w:rPr>
  </w:style>
  <w:style w:type="paragraph" w:styleId="Bibliography">
    <w:name w:val="Bibliography"/>
    <w:basedOn w:val="Normal"/>
    <w:next w:val="Normal"/>
    <w:uiPriority w:val="37"/>
    <w:semiHidden/>
    <w:rsid w:val="0078509A"/>
    <w:pPr>
      <w:spacing w:before="0" w:after="240" w:line="240" w:lineRule="auto"/>
      <w:ind w:left="720" w:hanging="720"/>
      <w:jc w:val="left"/>
    </w:pPr>
    <w:rPr>
      <w:rFonts w:asciiTheme="minorHAnsi" w:hAnsiTheme="minorHAnsi" w:cs="Times New Roman"/>
      <w:lang w:val="en-US" w:eastAsia="en-US"/>
    </w:rPr>
  </w:style>
  <w:style w:type="numbering" w:customStyle="1" w:styleId="NoList1">
    <w:name w:val="No List1"/>
    <w:next w:val="NoList"/>
    <w:uiPriority w:val="99"/>
    <w:semiHidden/>
    <w:unhideWhenUsed/>
    <w:rsid w:val="0078509A"/>
  </w:style>
  <w:style w:type="table" w:customStyle="1" w:styleId="TableGrid1">
    <w:name w:val="Table Grid1"/>
    <w:basedOn w:val="TableNormal"/>
    <w:next w:val="TableGrid"/>
    <w:uiPriority w:val="59"/>
    <w:rsid w:val="0078509A"/>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2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1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7B7636"/>
    <w:pPr>
      <w:spacing w:after="0" w:line="240" w:lineRule="auto"/>
    </w:pPr>
    <w:rPr>
      <w:rFonts w:ascii="Calibri" w:eastAsia="SimSun" w:hAnsi="Calibri" w:cs="Arial"/>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33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417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59149375">
      <w:bodyDiv w:val="1"/>
      <w:marLeft w:val="0"/>
      <w:marRight w:val="0"/>
      <w:marTop w:val="0"/>
      <w:marBottom w:val="0"/>
      <w:divBdr>
        <w:top w:val="none" w:sz="0" w:space="0" w:color="auto"/>
        <w:left w:val="none" w:sz="0" w:space="0" w:color="auto"/>
        <w:bottom w:val="none" w:sz="0" w:space="0" w:color="auto"/>
        <w:right w:val="none" w:sz="0" w:space="0" w:color="auto"/>
      </w:divBdr>
    </w:div>
    <w:div w:id="939415675">
      <w:bodyDiv w:val="1"/>
      <w:marLeft w:val="0"/>
      <w:marRight w:val="0"/>
      <w:marTop w:val="0"/>
      <w:marBottom w:val="0"/>
      <w:divBdr>
        <w:top w:val="none" w:sz="0" w:space="0" w:color="auto"/>
        <w:left w:val="none" w:sz="0" w:space="0" w:color="auto"/>
        <w:bottom w:val="none" w:sz="0" w:space="0" w:color="auto"/>
        <w:right w:val="none" w:sz="0" w:space="0" w:color="auto"/>
      </w:divBdr>
    </w:div>
    <w:div w:id="951519907">
      <w:bodyDiv w:val="1"/>
      <w:marLeft w:val="0"/>
      <w:marRight w:val="0"/>
      <w:marTop w:val="0"/>
      <w:marBottom w:val="0"/>
      <w:divBdr>
        <w:top w:val="none" w:sz="0" w:space="0" w:color="auto"/>
        <w:left w:val="none" w:sz="0" w:space="0" w:color="auto"/>
        <w:bottom w:val="none" w:sz="0" w:space="0" w:color="auto"/>
        <w:right w:val="none" w:sz="0" w:space="0" w:color="auto"/>
      </w:divBdr>
    </w:div>
    <w:div w:id="1104763384">
      <w:bodyDiv w:val="1"/>
      <w:marLeft w:val="0"/>
      <w:marRight w:val="0"/>
      <w:marTop w:val="0"/>
      <w:marBottom w:val="0"/>
      <w:divBdr>
        <w:top w:val="none" w:sz="0" w:space="0" w:color="auto"/>
        <w:left w:val="none" w:sz="0" w:space="0" w:color="auto"/>
        <w:bottom w:val="none" w:sz="0" w:space="0" w:color="auto"/>
        <w:right w:val="none" w:sz="0" w:space="0" w:color="auto"/>
      </w:divBdr>
    </w:div>
    <w:div w:id="1125729761">
      <w:bodyDiv w:val="1"/>
      <w:marLeft w:val="0"/>
      <w:marRight w:val="0"/>
      <w:marTop w:val="0"/>
      <w:marBottom w:val="0"/>
      <w:divBdr>
        <w:top w:val="none" w:sz="0" w:space="0" w:color="auto"/>
        <w:left w:val="none" w:sz="0" w:space="0" w:color="auto"/>
        <w:bottom w:val="none" w:sz="0" w:space="0" w:color="auto"/>
        <w:right w:val="none" w:sz="0" w:space="0" w:color="auto"/>
      </w:divBdr>
    </w:div>
    <w:div w:id="1152136182">
      <w:bodyDiv w:val="1"/>
      <w:marLeft w:val="0"/>
      <w:marRight w:val="0"/>
      <w:marTop w:val="0"/>
      <w:marBottom w:val="0"/>
      <w:divBdr>
        <w:top w:val="none" w:sz="0" w:space="0" w:color="auto"/>
        <w:left w:val="none" w:sz="0" w:space="0" w:color="auto"/>
        <w:bottom w:val="none" w:sz="0" w:space="0" w:color="auto"/>
        <w:right w:val="none" w:sz="0" w:space="0" w:color="auto"/>
      </w:divBdr>
    </w:div>
    <w:div w:id="1234703671">
      <w:bodyDiv w:val="1"/>
      <w:marLeft w:val="0"/>
      <w:marRight w:val="0"/>
      <w:marTop w:val="0"/>
      <w:marBottom w:val="0"/>
      <w:divBdr>
        <w:top w:val="none" w:sz="0" w:space="0" w:color="auto"/>
        <w:left w:val="none" w:sz="0" w:space="0" w:color="auto"/>
        <w:bottom w:val="none" w:sz="0" w:space="0" w:color="auto"/>
        <w:right w:val="none" w:sz="0" w:space="0" w:color="auto"/>
      </w:divBdr>
    </w:div>
    <w:div w:id="1293292164">
      <w:bodyDiv w:val="1"/>
      <w:marLeft w:val="0"/>
      <w:marRight w:val="0"/>
      <w:marTop w:val="0"/>
      <w:marBottom w:val="0"/>
      <w:divBdr>
        <w:top w:val="none" w:sz="0" w:space="0" w:color="auto"/>
        <w:left w:val="none" w:sz="0" w:space="0" w:color="auto"/>
        <w:bottom w:val="none" w:sz="0" w:space="0" w:color="auto"/>
        <w:right w:val="none" w:sz="0" w:space="0" w:color="auto"/>
      </w:divBdr>
    </w:div>
    <w:div w:id="1329673074">
      <w:bodyDiv w:val="1"/>
      <w:marLeft w:val="0"/>
      <w:marRight w:val="0"/>
      <w:marTop w:val="0"/>
      <w:marBottom w:val="0"/>
      <w:divBdr>
        <w:top w:val="none" w:sz="0" w:space="0" w:color="auto"/>
        <w:left w:val="none" w:sz="0" w:space="0" w:color="auto"/>
        <w:bottom w:val="none" w:sz="0" w:space="0" w:color="auto"/>
        <w:right w:val="none" w:sz="0" w:space="0" w:color="auto"/>
      </w:divBdr>
    </w:div>
    <w:div w:id="1407999308">
      <w:bodyDiv w:val="1"/>
      <w:marLeft w:val="0"/>
      <w:marRight w:val="0"/>
      <w:marTop w:val="0"/>
      <w:marBottom w:val="0"/>
      <w:divBdr>
        <w:top w:val="none" w:sz="0" w:space="0" w:color="auto"/>
        <w:left w:val="none" w:sz="0" w:space="0" w:color="auto"/>
        <w:bottom w:val="none" w:sz="0" w:space="0" w:color="auto"/>
        <w:right w:val="none" w:sz="0" w:space="0" w:color="auto"/>
      </w:divBdr>
    </w:div>
    <w:div w:id="1430463263">
      <w:bodyDiv w:val="1"/>
      <w:marLeft w:val="0"/>
      <w:marRight w:val="0"/>
      <w:marTop w:val="0"/>
      <w:marBottom w:val="0"/>
      <w:divBdr>
        <w:top w:val="none" w:sz="0" w:space="0" w:color="auto"/>
        <w:left w:val="none" w:sz="0" w:space="0" w:color="auto"/>
        <w:bottom w:val="none" w:sz="0" w:space="0" w:color="auto"/>
        <w:right w:val="none" w:sz="0" w:space="0" w:color="auto"/>
      </w:divBdr>
    </w:div>
    <w:div w:id="143663617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5331268">
      <w:bodyDiv w:val="1"/>
      <w:marLeft w:val="0"/>
      <w:marRight w:val="0"/>
      <w:marTop w:val="0"/>
      <w:marBottom w:val="0"/>
      <w:divBdr>
        <w:top w:val="none" w:sz="0" w:space="0" w:color="auto"/>
        <w:left w:val="none" w:sz="0" w:space="0" w:color="auto"/>
        <w:bottom w:val="none" w:sz="0" w:space="0" w:color="auto"/>
        <w:right w:val="none" w:sz="0" w:space="0" w:color="auto"/>
      </w:divBdr>
    </w:div>
    <w:div w:id="1571577867">
      <w:bodyDiv w:val="1"/>
      <w:marLeft w:val="0"/>
      <w:marRight w:val="0"/>
      <w:marTop w:val="0"/>
      <w:marBottom w:val="0"/>
      <w:divBdr>
        <w:top w:val="none" w:sz="0" w:space="0" w:color="auto"/>
        <w:left w:val="none" w:sz="0" w:space="0" w:color="auto"/>
        <w:bottom w:val="none" w:sz="0" w:space="0" w:color="auto"/>
        <w:right w:val="none" w:sz="0" w:space="0" w:color="auto"/>
      </w:divBdr>
    </w:div>
    <w:div w:id="1610969707">
      <w:bodyDiv w:val="1"/>
      <w:marLeft w:val="0"/>
      <w:marRight w:val="0"/>
      <w:marTop w:val="0"/>
      <w:marBottom w:val="0"/>
      <w:divBdr>
        <w:top w:val="none" w:sz="0" w:space="0" w:color="auto"/>
        <w:left w:val="none" w:sz="0" w:space="0" w:color="auto"/>
        <w:bottom w:val="none" w:sz="0" w:space="0" w:color="auto"/>
        <w:right w:val="none" w:sz="0" w:space="0" w:color="auto"/>
      </w:divBdr>
    </w:div>
    <w:div w:id="191997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mfe.govt.nz"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publication/guidelines-drinking-water-quality-management-new-zealand"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5E506-B315-4876-A0C1-34144432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14422</Words>
  <Characters>74421</Characters>
  <Application>Microsoft Office Word</Application>
  <DocSecurity>0</DocSecurity>
  <Lines>3382</Lines>
  <Paragraphs>2865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modelling to inform environmental impact assessment of nutrient proposals</dc:title>
  <dc:subject/>
  <dc:creator/>
  <cp:keywords/>
  <cp:lastModifiedBy/>
  <cp:revision>1</cp:revision>
  <dcterms:created xsi:type="dcterms:W3CDTF">2020-05-25T05:58:00Z</dcterms:created>
  <dcterms:modified xsi:type="dcterms:W3CDTF">2020-05-25T05:59:00Z</dcterms:modified>
</cp:coreProperties>
</file>